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6702D3" w:rsidP="6C9B0643" w14:paraId="358AC355" w14:textId="215D62C2">
      <w:pPr>
        <w:pStyle w:val="Title"/>
        <w:spacing w:line="276" w:lineRule="auto"/>
        <w:ind w:left="720" w:firstLine="720"/>
        <w:contextualSpacing/>
        <w:jc w:val="right"/>
        <w:rPr>
          <w:sz w:val="28"/>
          <w:szCs w:val="28"/>
        </w:rPr>
      </w:pPr>
      <w:r>
        <w:rPr>
          <w:sz w:val="28"/>
          <w:szCs w:val="28"/>
        </w:rPr>
        <w:t>May</w:t>
      </w:r>
      <w:r w:rsidRPr="6C9B0643">
        <w:rPr>
          <w:sz w:val="28"/>
          <w:szCs w:val="28"/>
        </w:rPr>
        <w:t xml:space="preserve"> </w:t>
      </w:r>
      <w:r w:rsidR="00450EE0">
        <w:rPr>
          <w:sz w:val="28"/>
          <w:szCs w:val="28"/>
        </w:rPr>
        <w:t>2</w:t>
      </w:r>
      <w:r>
        <w:rPr>
          <w:sz w:val="28"/>
          <w:szCs w:val="28"/>
        </w:rPr>
        <w:t>9</w:t>
      </w:r>
      <w:r w:rsidRPr="6C9B0643" w:rsidR="00635E63">
        <w:rPr>
          <w:sz w:val="28"/>
          <w:szCs w:val="28"/>
        </w:rPr>
        <w:t>, 202</w:t>
      </w:r>
      <w:r w:rsidRPr="6C9B0643" w:rsidR="00171560">
        <w:rPr>
          <w:sz w:val="28"/>
          <w:szCs w:val="28"/>
        </w:rPr>
        <w:t>4</w:t>
      </w:r>
    </w:p>
    <w:p w:rsidR="00635E63" w:rsidRPr="00814646" w:rsidP="00814646" w14:paraId="5E1D898C" w14:textId="2E32B114">
      <w:pPr>
        <w:pStyle w:val="Title"/>
        <w:spacing w:line="276" w:lineRule="auto"/>
        <w:contextualSpacing/>
        <w:rPr>
          <w:sz w:val="28"/>
          <w:szCs w:val="28"/>
        </w:rPr>
      </w:pPr>
    </w:p>
    <w:p w:rsidR="00562915" w:rsidRPr="00814646" w:rsidP="00814646" w14:paraId="02B90A68" w14:textId="77777777">
      <w:pPr>
        <w:pStyle w:val="Title"/>
        <w:spacing w:line="276" w:lineRule="auto"/>
        <w:contextualSpacing/>
        <w:rPr>
          <w:color w:val="000000" w:themeColor="text1"/>
        </w:rPr>
      </w:pPr>
      <w:r w:rsidRPr="00814646">
        <w:t xml:space="preserve">Supporting Statement </w:t>
      </w:r>
      <w:r w:rsidRPr="00814646">
        <w:rPr>
          <w:color w:val="000000" w:themeColor="text1"/>
        </w:rPr>
        <w:t>for</w:t>
      </w:r>
      <w:r w:rsidRPr="00814646">
        <w:rPr>
          <w:color w:val="000000" w:themeColor="text1"/>
        </w:rPr>
        <w:t xml:space="preserve"> </w:t>
      </w:r>
    </w:p>
    <w:p w:rsidR="00635E63" w:rsidRPr="00814646" w:rsidP="00814646" w14:paraId="69C01159" w14:textId="2124CE62">
      <w:pPr>
        <w:pStyle w:val="Title"/>
        <w:spacing w:line="276" w:lineRule="auto"/>
        <w:contextualSpacing/>
        <w:rPr>
          <w:color w:val="000000" w:themeColor="text1"/>
          <w:sz w:val="28"/>
        </w:rPr>
      </w:pPr>
      <w:r w:rsidRPr="00814646">
        <w:rPr>
          <w:color w:val="000000" w:themeColor="text1"/>
        </w:rPr>
        <w:t>Paperwork Reduction Act Submissions</w:t>
      </w:r>
    </w:p>
    <w:p w:rsidR="00635E63" w:rsidRPr="00814646" w:rsidP="00814646" w14:paraId="6DD4DBBE" w14:textId="19FEF738">
      <w:pPr>
        <w:tabs>
          <w:tab w:val="left" w:pos="-720"/>
        </w:tabs>
        <w:suppressAutoHyphens/>
        <w:spacing w:line="276" w:lineRule="auto"/>
        <w:contextualSpacing/>
        <w:rPr>
          <w:rFonts w:cs="Times New Roman"/>
          <w:b/>
          <w:color w:val="000000" w:themeColor="text1"/>
        </w:rPr>
      </w:pPr>
    </w:p>
    <w:p w:rsidR="00635E63" w:rsidRPr="006702D3" w:rsidP="00814646" w14:paraId="655EE819" w14:textId="77F45E28">
      <w:pPr>
        <w:pStyle w:val="Heading1"/>
        <w:spacing w:line="276" w:lineRule="auto"/>
        <w:contextualSpacing/>
      </w:pPr>
      <w:r w:rsidRPr="006702D3">
        <w:t>OMB Control Number:  1660</w:t>
      </w:r>
      <w:r w:rsidRPr="006702D3" w:rsidR="00562915">
        <w:t xml:space="preserve"> </w:t>
      </w:r>
      <w:r w:rsidRPr="006702D3" w:rsidR="006F5C17">
        <w:t>–</w:t>
      </w:r>
      <w:r w:rsidRPr="006702D3" w:rsidR="00562915">
        <w:t xml:space="preserve"> </w:t>
      </w:r>
      <w:r w:rsidRPr="006702D3" w:rsidR="00E820C4">
        <w:t>0103</w:t>
      </w:r>
    </w:p>
    <w:p w:rsidR="00635E63" w:rsidRPr="006702D3" w:rsidP="00814646" w14:paraId="380664B6" w14:textId="68525FCC">
      <w:pPr>
        <w:tabs>
          <w:tab w:val="left" w:pos="-720"/>
        </w:tabs>
        <w:suppressAutoHyphens/>
        <w:spacing w:line="276" w:lineRule="auto"/>
        <w:contextualSpacing/>
        <w:rPr>
          <w:rFonts w:cs="Times New Roman"/>
          <w:b/>
          <w:sz w:val="28"/>
        </w:rPr>
      </w:pPr>
    </w:p>
    <w:p w:rsidR="00635E63" w:rsidRPr="006702D3" w:rsidP="00814646" w14:paraId="3B321277" w14:textId="70433F9C">
      <w:pPr>
        <w:pStyle w:val="Heading1"/>
        <w:spacing w:line="276" w:lineRule="auto"/>
        <w:contextualSpacing/>
      </w:pPr>
      <w:r w:rsidRPr="006702D3">
        <w:t>Title:</w:t>
      </w:r>
      <w:r w:rsidRPr="006702D3" w:rsidR="00BE238B">
        <w:t xml:space="preserve">  </w:t>
      </w:r>
      <w:r w:rsidRPr="006702D3" w:rsidR="00CF7456">
        <w:t>Property Acquisition and Relocation for Open Space</w:t>
      </w:r>
    </w:p>
    <w:p w:rsidR="00635E63" w:rsidRPr="006702D3" w:rsidP="00814646" w14:paraId="57212962" w14:textId="2E3D7423">
      <w:pPr>
        <w:tabs>
          <w:tab w:val="left" w:pos="-720"/>
        </w:tabs>
        <w:suppressAutoHyphens/>
        <w:spacing w:line="276" w:lineRule="auto"/>
        <w:contextualSpacing/>
        <w:rPr>
          <w:rFonts w:cs="Times New Roman"/>
          <w:b/>
          <w:sz w:val="28"/>
        </w:rPr>
      </w:pPr>
    </w:p>
    <w:p w:rsidR="00BE238B" w:rsidRPr="006702D3" w:rsidP="00814646" w14:paraId="008E7B78" w14:textId="34372D0C">
      <w:pPr>
        <w:pStyle w:val="Heading1"/>
        <w:spacing w:line="276" w:lineRule="auto"/>
        <w:contextualSpacing/>
        <w:rPr>
          <w:strike/>
        </w:rPr>
      </w:pPr>
      <w:r w:rsidRPr="006702D3">
        <w:t>Form Number(s):</w:t>
      </w:r>
      <w:r w:rsidRPr="006702D3" w:rsidR="00562915">
        <w:t xml:space="preserve">  </w:t>
      </w:r>
      <w:r w:rsidRPr="006702D3">
        <w:t>FEMA Form FF-</w:t>
      </w:r>
      <w:r w:rsidRPr="006702D3" w:rsidR="00515EE6">
        <w:t>206</w:t>
      </w:r>
      <w:r w:rsidRPr="006702D3">
        <w:t>-FY-</w:t>
      </w:r>
      <w:r w:rsidRPr="006702D3" w:rsidR="00515EE6">
        <w:t>21-124 (Formerly</w:t>
      </w:r>
      <w:r w:rsidRPr="006702D3" w:rsidR="006F5C17">
        <w:t xml:space="preserve"> 086-0-31</w:t>
      </w:r>
      <w:r w:rsidRPr="006702D3" w:rsidR="006C06B3">
        <w:t>)</w:t>
      </w:r>
      <w:r w:rsidRPr="006702D3" w:rsidR="007C2BDF">
        <w:t>, Statement of Voluntary Participation for Acquisition of Property for Purpose of Open Space</w:t>
      </w:r>
      <w:r w:rsidRPr="006702D3" w:rsidR="006C06B3">
        <w:t>.</w:t>
      </w:r>
      <w:r w:rsidRPr="006702D3" w:rsidR="00DE0F68">
        <w:t xml:space="preserve"> </w:t>
      </w:r>
    </w:p>
    <w:p w:rsidR="00635E63" w:rsidRPr="006702D3" w:rsidP="00814646" w14:paraId="10BF2149" w14:textId="0F6CAC3D">
      <w:pPr>
        <w:tabs>
          <w:tab w:val="left" w:pos="-720"/>
        </w:tabs>
        <w:suppressAutoHyphens/>
        <w:spacing w:line="276" w:lineRule="auto"/>
        <w:contextualSpacing/>
        <w:rPr>
          <w:rFonts w:cs="Times New Roman"/>
        </w:rPr>
      </w:pPr>
    </w:p>
    <w:p w:rsidR="00635E63" w:rsidRPr="006702D3" w:rsidP="00814646" w14:paraId="571854E9" w14:textId="2C66384A">
      <w:pPr>
        <w:pStyle w:val="Heading1"/>
        <w:spacing w:line="276" w:lineRule="auto"/>
        <w:contextualSpacing/>
      </w:pPr>
      <w:r w:rsidRPr="006702D3">
        <w:t>General Instructions</w:t>
      </w:r>
    </w:p>
    <w:p w:rsidR="00635E63" w:rsidRPr="006702D3" w:rsidP="00814646" w14:paraId="688A3A8F" w14:textId="19F56B53">
      <w:pPr>
        <w:spacing w:line="276" w:lineRule="auto"/>
        <w:contextualSpacing/>
        <w:rPr>
          <w:rFonts w:cs="Times New Roman"/>
        </w:rPr>
      </w:pPr>
    </w:p>
    <w:p w:rsidR="00635E63" w:rsidRPr="006702D3" w:rsidP="00814646" w14:paraId="77230DCA" w14:textId="128A24FB">
      <w:pPr>
        <w:tabs>
          <w:tab w:val="left" w:pos="-720"/>
        </w:tabs>
        <w:suppressAutoHyphens/>
        <w:spacing w:line="276" w:lineRule="auto"/>
        <w:contextualSpacing/>
        <w:rPr>
          <w:rFonts w:cs="Times New Roman"/>
        </w:rPr>
      </w:pPr>
      <w:r w:rsidRPr="006702D3">
        <w:rPr>
          <w:rFonts w:cs="Times New Roman"/>
        </w:rPr>
        <w:t xml:space="preserve">A Supporting Statement, including the text of the notice to the public required by 5 CFR </w:t>
      </w:r>
      <w:r w:rsidRPr="006702D3" w:rsidR="005F4A45">
        <w:rPr>
          <w:rFonts w:cs="Times New Roman"/>
          <w:szCs w:val="24"/>
        </w:rPr>
        <w:t>§</w:t>
      </w:r>
      <w:r w:rsidRPr="006702D3">
        <w:rPr>
          <w:rFonts w:cs="Times New Roman"/>
        </w:rPr>
        <w:t>1320.5(a)(</w:t>
      </w:r>
      <w:r w:rsidRPr="006702D3" w:rsidR="006F4198">
        <w:rPr>
          <w:rFonts w:cs="Times New Roman"/>
        </w:rPr>
        <w:t>1</w:t>
      </w:r>
      <w:r w:rsidRPr="006702D3">
        <w:rPr>
          <w:rFonts w:cs="Times New Roman"/>
        </w:rPr>
        <w:t xml:space="preserve">)(iv) and its actual or estimated date of publication in the Federal Register, must accompany </w:t>
      </w:r>
      <w:r w:rsidRPr="006702D3" w:rsidR="00562915">
        <w:rPr>
          <w:rFonts w:cs="Times New Roman"/>
          <w:szCs w:val="24"/>
        </w:rPr>
        <w:t>each</w:t>
      </w:r>
      <w:r w:rsidRPr="006702D3">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6702D3" w:rsidP="00814646" w14:paraId="253F6323" w14:textId="0BCB0631">
      <w:pPr>
        <w:pStyle w:val="Heading1"/>
        <w:spacing w:line="276" w:lineRule="auto"/>
        <w:contextualSpacing/>
      </w:pPr>
    </w:p>
    <w:p w:rsidR="00635E63" w:rsidRPr="006702D3" w:rsidP="00814646" w14:paraId="06B94A10" w14:textId="056F07B5">
      <w:pPr>
        <w:pStyle w:val="Heading1"/>
        <w:spacing w:line="276" w:lineRule="auto"/>
        <w:contextualSpacing/>
      </w:pPr>
      <w:r w:rsidRPr="006702D3">
        <w:t>Specific Instructions</w:t>
      </w:r>
    </w:p>
    <w:p w:rsidR="00635E63" w:rsidRPr="006702D3" w:rsidP="00814646" w14:paraId="09AC5D79" w14:textId="77777777">
      <w:pPr>
        <w:tabs>
          <w:tab w:val="left" w:pos="-720"/>
        </w:tabs>
        <w:suppressAutoHyphens/>
        <w:spacing w:line="276" w:lineRule="auto"/>
        <w:contextualSpacing/>
        <w:rPr>
          <w:rFonts w:cs="Times New Roman"/>
          <w:sz w:val="28"/>
        </w:rPr>
      </w:pPr>
    </w:p>
    <w:p w:rsidR="00635E63" w:rsidRPr="006702D3" w:rsidP="00814646" w14:paraId="174C5989" w14:textId="4D9F4667">
      <w:pPr>
        <w:pStyle w:val="Heading1"/>
        <w:spacing w:line="276" w:lineRule="auto"/>
        <w:contextualSpacing/>
      </w:pPr>
      <w:r w:rsidRPr="006702D3">
        <w:t>A.  Justification</w:t>
      </w:r>
    </w:p>
    <w:p w:rsidR="00635E63" w:rsidRPr="00814646" w:rsidP="00814646" w14:paraId="6E72C0CF" w14:textId="11FD7BC5">
      <w:pPr>
        <w:spacing w:line="276" w:lineRule="auto"/>
        <w:contextualSpacing/>
        <w:rPr>
          <w:rFonts w:cs="Times New Roman"/>
          <w:szCs w:val="24"/>
        </w:rPr>
      </w:pPr>
    </w:p>
    <w:p w:rsidR="00562915" w:rsidRPr="00D03C8B" w:rsidP="00814646" w14:paraId="5BFE2659" w14:textId="77777777">
      <w:pPr>
        <w:numPr>
          <w:ilvl w:val="0"/>
          <w:numId w:val="9"/>
        </w:numPr>
        <w:spacing w:line="276" w:lineRule="auto"/>
        <w:contextualSpacing/>
        <w:rPr>
          <w:rFonts w:cs="Times New Roman"/>
          <w:b/>
          <w:bCs/>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sidR="00BE238B">
        <w:rPr>
          <w:rFonts w:cs="Times New Roman"/>
          <w:b/>
          <w:szCs w:val="24"/>
        </w:rPr>
        <w:t>Explain the circumstances that make the collection of information necessary</w:t>
      </w:r>
      <w:r w:rsidRPr="00D03C8B" w:rsidR="00BE238B">
        <w:rPr>
          <w:rFonts w:cs="Times New Roman"/>
          <w:b/>
          <w:color w:val="000000"/>
          <w:szCs w:val="24"/>
        </w:rPr>
        <w:t>.</w:t>
      </w:r>
      <w:r w:rsidRPr="00D03C8B" w:rsidR="00BE238B">
        <w:rPr>
          <w:rFonts w:cs="Times New Roman"/>
          <w:b/>
          <w:szCs w:val="24"/>
        </w:rPr>
        <w:t xml:space="preserve"> </w:t>
      </w:r>
    </w:p>
    <w:p w:rsidR="00635E63" w:rsidRPr="00D03C8B" w:rsidP="00814646" w14:paraId="4481E81E" w14:textId="58B96602">
      <w:pPr>
        <w:spacing w:line="276" w:lineRule="auto"/>
        <w:contextualSpacing/>
        <w:rPr>
          <w:rFonts w:cs="Times New Roman"/>
          <w:b/>
          <w:color w:val="000000"/>
          <w:szCs w:val="24"/>
        </w:rPr>
      </w:pPr>
      <w:r w:rsidRPr="00D03C8B">
        <w:rPr>
          <w:rFonts w:cs="Times New Roman"/>
          <w:b/>
          <w:szCs w:val="24"/>
        </w:rPr>
        <w:t>Identify any legal or administrative requirements that necessitate the collection.  Attach a copy of the appropriate section of ea</w:t>
      </w:r>
      <w:r w:rsidRPr="00D03C8B" w:rsidR="00B17A38">
        <w:rPr>
          <w:rFonts w:cs="Times New Roman"/>
          <w:b/>
          <w:szCs w:val="24"/>
        </w:rPr>
        <w:t xml:space="preserve">ch statute and regulation mandating or authorizing the collection of information.  </w:t>
      </w:r>
      <w:r w:rsidRPr="00D03C8B" w:rsidR="00B17A38">
        <w:rPr>
          <w:rFonts w:cs="Times New Roman"/>
          <w:b/>
          <w:color w:val="000000"/>
          <w:szCs w:val="24"/>
        </w:rPr>
        <w:t>Provide a detailed description of the nature and source of the information to be collected.</w:t>
      </w:r>
    </w:p>
    <w:p w:rsidR="00174B16" w:rsidRPr="00D03C8B" w:rsidP="00814646" w14:paraId="059F20DD" w14:textId="08250C35">
      <w:pPr>
        <w:spacing w:line="276" w:lineRule="auto"/>
        <w:contextualSpacing/>
        <w:rPr>
          <w:rFonts w:cs="Times New Roman"/>
          <w:b/>
          <w:color w:val="000000"/>
          <w:szCs w:val="24"/>
        </w:rPr>
      </w:pPr>
    </w:p>
    <w:p w:rsidR="00871ACD" w:rsidRPr="00D03C8B" w14:paraId="01447C76" w14:textId="6E89866D">
      <w:pPr>
        <w:spacing w:line="276" w:lineRule="auto"/>
        <w:contextualSpacing/>
        <w:rPr>
          <w:rFonts w:eastAsia="Times New Roman" w:cs="Times New Roman"/>
        </w:rPr>
      </w:pPr>
      <w:r w:rsidRPr="085DEDAF">
        <w:rPr>
          <w:rFonts w:eastAsia="Times New Roman" w:cs="Times New Roman"/>
          <w:spacing w:val="-3"/>
        </w:rPr>
        <w:t>On September 16, 2009</w:t>
      </w:r>
      <w:r w:rsidRPr="085DEDAF" w:rsidR="00FB0A17">
        <w:rPr>
          <w:rFonts w:eastAsia="Times New Roman" w:cs="Times New Roman"/>
          <w:spacing w:val="-3"/>
        </w:rPr>
        <w:t>,</w:t>
      </w:r>
      <w:r w:rsidRPr="085DEDAF">
        <w:rPr>
          <w:rFonts w:eastAsia="Times New Roman" w:cs="Times New Roman"/>
          <w:spacing w:val="-3"/>
        </w:rPr>
        <w:t xml:space="preserve"> FEMA published a Final Rule on Property Acquisition and Relocation for Open Space (44 CFR Part 80) that governs property acquisitions for FEMA’s </w:t>
      </w:r>
      <w:r w:rsidRPr="085DEDAF" w:rsidR="00DB3A7D">
        <w:rPr>
          <w:rFonts w:eastAsia="Times New Roman" w:cs="Times New Roman"/>
          <w:spacing w:val="-3"/>
        </w:rPr>
        <w:t>four</w:t>
      </w:r>
      <w:r w:rsidRPr="085DEDAF" w:rsidR="00BF002C">
        <w:rPr>
          <w:rFonts w:eastAsia="Times New Roman" w:cs="Times New Roman"/>
          <w:spacing w:val="-3"/>
        </w:rPr>
        <w:t xml:space="preserve"> Hazard Mitigation Assistance (HMA) </w:t>
      </w:r>
      <w:r w:rsidRPr="085DEDAF">
        <w:rPr>
          <w:rFonts w:eastAsia="Times New Roman" w:cs="Times New Roman"/>
          <w:spacing w:val="-3"/>
        </w:rPr>
        <w:t>grant programs</w:t>
      </w:r>
      <w:r w:rsidRPr="085DEDAF" w:rsidR="00BF002C">
        <w:rPr>
          <w:rFonts w:eastAsia="Times New Roman" w:cs="Times New Roman"/>
          <w:spacing w:val="-3"/>
        </w:rPr>
        <w:t xml:space="preserve">, </w:t>
      </w:r>
      <w:r w:rsidRPr="085DEDAF" w:rsidR="003D70AE">
        <w:rPr>
          <w:rFonts w:eastAsia="Times New Roman" w:cs="Times New Roman"/>
          <w:spacing w:val="-3"/>
        </w:rPr>
        <w:t>three</w:t>
      </w:r>
      <w:r w:rsidRPr="085DEDAF" w:rsidR="00BF002C">
        <w:rPr>
          <w:rFonts w:eastAsia="Times New Roman" w:cs="Times New Roman"/>
          <w:spacing w:val="-3"/>
        </w:rPr>
        <w:t xml:space="preserve"> of which, Pre-Disaster </w:t>
      </w:r>
      <w:r w:rsidRPr="085DEDAF" w:rsidR="00BF002C">
        <w:rPr>
          <w:rFonts w:eastAsia="Times New Roman" w:cs="Times New Roman"/>
          <w:spacing w:val="-3"/>
        </w:rPr>
        <w:t>Mitigation</w:t>
      </w:r>
      <w:r w:rsidRPr="085DEDAF" w:rsidR="009446F2">
        <w:rPr>
          <w:rFonts w:eastAsia="Times New Roman" w:cs="Times New Roman"/>
          <w:spacing w:val="-3"/>
        </w:rPr>
        <w:t>,</w:t>
      </w:r>
      <w:r w:rsidRPr="085DEDAF" w:rsidR="00BF002C">
        <w:rPr>
          <w:rFonts w:eastAsia="Times New Roman" w:cs="Times New Roman"/>
          <w:spacing w:val="-3"/>
        </w:rPr>
        <w:t xml:space="preserve"> the Hazard Mitigation Grant Program,</w:t>
      </w:r>
      <w:r w:rsidRPr="085DEDAF" w:rsidR="00645D24">
        <w:rPr>
          <w:rFonts w:eastAsia="Times New Roman" w:cs="Times New Roman"/>
          <w:spacing w:val="-3"/>
        </w:rPr>
        <w:t xml:space="preserve"> and the Safeguarding Tomorrow Revolving Loan Fund (RLF)</w:t>
      </w:r>
      <w:r w:rsidRPr="085DEDAF" w:rsidR="009446F2">
        <w:rPr>
          <w:rFonts w:eastAsia="Times New Roman" w:cs="Times New Roman"/>
          <w:spacing w:val="-3"/>
        </w:rPr>
        <w:t xml:space="preserve"> program</w:t>
      </w:r>
      <w:r w:rsidRPr="085DEDAF">
        <w:rPr>
          <w:rFonts w:eastAsia="Times New Roman" w:cs="Times New Roman"/>
          <w:spacing w:val="-3"/>
        </w:rPr>
        <w:t xml:space="preserve"> </w:t>
      </w:r>
      <w:r w:rsidRPr="085DEDAF" w:rsidR="00BF002C">
        <w:rPr>
          <w:rFonts w:eastAsia="Times New Roman" w:cs="Times New Roman"/>
          <w:spacing w:val="-3"/>
        </w:rPr>
        <w:t xml:space="preserve">are </w:t>
      </w:r>
      <w:r w:rsidRPr="085DEDAF">
        <w:rPr>
          <w:rFonts w:eastAsia="Times New Roman" w:cs="Times New Roman"/>
          <w:spacing w:val="-3"/>
        </w:rPr>
        <w:t xml:space="preserve">authorized under the Robert T. Stafford Disaster Relief and Emergency Assistance Act of 1988 </w:t>
      </w:r>
      <w:r w:rsidRPr="085DEDAF" w:rsidR="00CD72B9">
        <w:rPr>
          <w:rFonts w:eastAsia="Times New Roman" w:cs="Times New Roman"/>
          <w:spacing w:val="-3"/>
        </w:rPr>
        <w:t>(</w:t>
      </w:r>
      <w:r w:rsidRPr="085DEDAF">
        <w:rPr>
          <w:rFonts w:eastAsia="Times New Roman" w:cs="Times New Roman"/>
          <w:spacing w:val="-3"/>
        </w:rPr>
        <w:t>P</w:t>
      </w:r>
      <w:r w:rsidRPr="085DEDAF" w:rsidR="00CD72B9">
        <w:rPr>
          <w:rFonts w:eastAsia="Times New Roman" w:cs="Times New Roman"/>
          <w:spacing w:val="-3"/>
        </w:rPr>
        <w:t>ub</w:t>
      </w:r>
      <w:r w:rsidRPr="085DEDAF">
        <w:rPr>
          <w:rFonts w:eastAsia="Times New Roman" w:cs="Times New Roman"/>
          <w:spacing w:val="-3"/>
        </w:rPr>
        <w:t>.</w:t>
      </w:r>
      <w:r w:rsidRPr="085DEDAF" w:rsidR="00CD72B9">
        <w:rPr>
          <w:rFonts w:eastAsia="Times New Roman" w:cs="Times New Roman"/>
          <w:spacing w:val="-3"/>
        </w:rPr>
        <w:t xml:space="preserve"> </w:t>
      </w:r>
      <w:r w:rsidRPr="085DEDAF">
        <w:rPr>
          <w:rFonts w:eastAsia="Times New Roman" w:cs="Times New Roman"/>
          <w:spacing w:val="-3"/>
        </w:rPr>
        <w:t>L. 93-288</w:t>
      </w:r>
      <w:r w:rsidRPr="085DEDAF" w:rsidR="003C241E">
        <w:rPr>
          <w:rFonts w:eastAsia="Times New Roman" w:cs="Times New Roman"/>
          <w:spacing w:val="-3"/>
        </w:rPr>
        <w:t>, as amended</w:t>
      </w:r>
      <w:r w:rsidRPr="085DEDAF" w:rsidR="00CD72B9">
        <w:rPr>
          <w:rFonts w:eastAsia="Times New Roman" w:cs="Times New Roman"/>
          <w:spacing w:val="-3"/>
        </w:rPr>
        <w:t>)</w:t>
      </w:r>
      <w:r w:rsidRPr="085DEDAF" w:rsidR="00FB0A17">
        <w:rPr>
          <w:rFonts w:eastAsia="Times New Roman" w:cs="Times New Roman"/>
          <w:spacing w:val="-3"/>
        </w:rPr>
        <w:t xml:space="preserve"> (42 U.S.C. </w:t>
      </w:r>
      <w:r w:rsidRPr="085DEDAF" w:rsidR="00CD72B9">
        <w:rPr>
          <w:rFonts w:eastAsia="Times New Roman" w:cs="Times New Roman"/>
          <w:spacing w:val="-3"/>
        </w:rPr>
        <w:t xml:space="preserve">§§ </w:t>
      </w:r>
      <w:r w:rsidRPr="085DEDAF" w:rsidR="00BF002C">
        <w:rPr>
          <w:rFonts w:eastAsia="Times New Roman" w:cs="Times New Roman"/>
          <w:spacing w:val="-3"/>
        </w:rPr>
        <w:t>5133, 5170c</w:t>
      </w:r>
      <w:r w:rsidRPr="085DEDAF" w:rsidR="00392854">
        <w:rPr>
          <w:rFonts w:eastAsia="Times New Roman" w:cs="Times New Roman"/>
          <w:spacing w:val="-3"/>
        </w:rPr>
        <w:t xml:space="preserve">, </w:t>
      </w:r>
      <w:r w:rsidRPr="085DEDAF" w:rsidR="00CD72B9">
        <w:rPr>
          <w:rFonts w:eastAsia="Times New Roman" w:cs="Times New Roman"/>
          <w:spacing w:val="-3"/>
        </w:rPr>
        <w:t xml:space="preserve">and </w:t>
      </w:r>
      <w:r w:rsidRPr="085DEDAF" w:rsidR="00392854">
        <w:rPr>
          <w:rFonts w:eastAsia="Times New Roman" w:cs="Times New Roman"/>
          <w:spacing w:val="-3"/>
        </w:rPr>
        <w:t>5135</w:t>
      </w:r>
      <w:r w:rsidRPr="085DEDAF" w:rsidR="00FB0A17">
        <w:rPr>
          <w:rFonts w:eastAsia="Times New Roman" w:cs="Times New Roman"/>
          <w:spacing w:val="-3"/>
        </w:rPr>
        <w:t>)</w:t>
      </w:r>
      <w:r w:rsidRPr="085DEDAF">
        <w:rPr>
          <w:rFonts w:eastAsia="Times New Roman" w:cs="Times New Roman"/>
          <w:spacing w:val="-3"/>
        </w:rPr>
        <w:t xml:space="preserve"> and </w:t>
      </w:r>
      <w:r w:rsidRPr="085DEDAF" w:rsidR="00BF002C">
        <w:rPr>
          <w:rFonts w:eastAsia="Times New Roman" w:cs="Times New Roman"/>
          <w:spacing w:val="-3"/>
        </w:rPr>
        <w:t xml:space="preserve">the </w:t>
      </w:r>
      <w:r w:rsidRPr="085DEDAF" w:rsidR="00CD72B9">
        <w:rPr>
          <w:rFonts w:eastAsia="Times New Roman" w:cs="Times New Roman"/>
          <w:spacing w:val="-3"/>
        </w:rPr>
        <w:t xml:space="preserve">fourth </w:t>
      </w:r>
      <w:r w:rsidRPr="085DEDAF" w:rsidR="00733641">
        <w:rPr>
          <w:rFonts w:eastAsia="Times New Roman" w:cs="Times New Roman"/>
          <w:spacing w:val="-3"/>
        </w:rPr>
        <w:t xml:space="preserve">(Flood Mitigation Assistance) </w:t>
      </w:r>
      <w:r w:rsidRPr="085DEDAF" w:rsidR="00BF002C">
        <w:rPr>
          <w:rFonts w:eastAsia="Times New Roman" w:cs="Times New Roman"/>
          <w:spacing w:val="-3"/>
        </w:rPr>
        <w:t xml:space="preserve">under Section 1366 of </w:t>
      </w:r>
      <w:r w:rsidRPr="085DEDAF">
        <w:rPr>
          <w:rFonts w:eastAsia="Times New Roman" w:cs="Times New Roman"/>
          <w:spacing w:val="-3"/>
        </w:rPr>
        <w:t>the National Flood Insurance Act (NFIA) of 1968 (</w:t>
      </w:r>
      <w:r w:rsidRPr="085DEDAF" w:rsidR="003C241E">
        <w:rPr>
          <w:rFonts w:eastAsia="Times New Roman" w:cs="Times New Roman"/>
          <w:spacing w:val="-3"/>
        </w:rPr>
        <w:t>Pub. L. 90-448, as amended) (</w:t>
      </w:r>
      <w:r w:rsidRPr="085DEDAF">
        <w:rPr>
          <w:rFonts w:eastAsia="Times New Roman" w:cs="Times New Roman"/>
          <w:spacing w:val="-3"/>
        </w:rPr>
        <w:t xml:space="preserve">42 U.S.C. </w:t>
      </w:r>
      <w:r w:rsidRPr="085DEDAF" w:rsidR="00CD72B9">
        <w:rPr>
          <w:rFonts w:eastAsia="Times New Roman" w:cs="Times New Roman"/>
          <w:spacing w:val="-3"/>
        </w:rPr>
        <w:t xml:space="preserve">§ </w:t>
      </w:r>
      <w:r w:rsidRPr="085DEDAF" w:rsidR="225B2D53">
        <w:rPr>
          <w:rFonts w:eastAsia="Times New Roman" w:cs="Times New Roman"/>
        </w:rPr>
        <w:t>4104c</w:t>
      </w:r>
      <w:r w:rsidRPr="085DEDAF" w:rsidR="003C241E">
        <w:rPr>
          <w:rFonts w:eastAsia="Times New Roman" w:cs="Times New Roman"/>
          <w:i/>
          <w:iCs/>
          <w:spacing w:val="-3"/>
        </w:rPr>
        <w:t>.</w:t>
      </w:r>
      <w:r w:rsidRPr="085DEDAF">
        <w:rPr>
          <w:rFonts w:eastAsia="Times New Roman" w:cs="Times New Roman"/>
          <w:spacing w:val="-3"/>
        </w:rPr>
        <w:t xml:space="preserve">). </w:t>
      </w:r>
      <w:r w:rsidRPr="085DEDAF" w:rsidR="00BF49DD">
        <w:rPr>
          <w:rFonts w:eastAsia="Times New Roman" w:cs="Times New Roman"/>
          <w:spacing w:val="-3"/>
        </w:rPr>
        <w:t>44 CFR Part 80</w:t>
      </w:r>
      <w:r w:rsidRPr="085DEDAF">
        <w:rPr>
          <w:rFonts w:eastAsia="Times New Roman" w:cs="Times New Roman"/>
          <w:spacing w:val="-3"/>
        </w:rPr>
        <w:t xml:space="preserve"> requires the collection of information from grant applicants to ensure the voluntary nature of the property acquisitions and to ensure that the property acquired remains in open space in perpetuity.</w:t>
      </w:r>
    </w:p>
    <w:p w:rsidR="007C2BDF" w:rsidRPr="00D03C8B" w:rsidP="00814646" w14:paraId="053A0D03" w14:textId="77777777">
      <w:pPr>
        <w:spacing w:line="276" w:lineRule="auto"/>
        <w:contextualSpacing/>
        <w:rPr>
          <w:rFonts w:cs="Times New Roman"/>
          <w:szCs w:val="24"/>
        </w:rPr>
      </w:pPr>
    </w:p>
    <w:p w:rsidR="001F0066" w:rsidRPr="00D03C8B" w:rsidP="00814646" w14:paraId="3B676461" w14:textId="1E7B8F6D">
      <w:pPr>
        <w:spacing w:line="276" w:lineRule="auto"/>
        <w:contextualSpacing/>
        <w:rPr>
          <w:rFonts w:cs="Times New Roman"/>
          <w:szCs w:val="24"/>
        </w:rPr>
      </w:pPr>
      <w:r w:rsidRPr="00D03C8B">
        <w:rPr>
          <w:rFonts w:cs="Times New Roman"/>
          <w:szCs w:val="24"/>
        </w:rPr>
        <w:t xml:space="preserve">In </w:t>
      </w:r>
      <w:r w:rsidRPr="00D03C8B" w:rsidR="00333732">
        <w:rPr>
          <w:rFonts w:cs="Times New Roman"/>
          <w:szCs w:val="24"/>
        </w:rPr>
        <w:t xml:space="preserve">2014, </w:t>
      </w:r>
      <w:r w:rsidRPr="00D03C8B">
        <w:rPr>
          <w:rFonts w:cs="Times New Roman"/>
          <w:szCs w:val="24"/>
        </w:rPr>
        <w:t>FEMA</w:t>
      </w:r>
      <w:r w:rsidRPr="00D03C8B" w:rsidR="00333732">
        <w:rPr>
          <w:rFonts w:cs="Times New Roman"/>
          <w:szCs w:val="24"/>
        </w:rPr>
        <w:t xml:space="preserve"> adopted 2 CFR Parts 200, and 3002, which supersede the Office of Management and Budget (OMB) Circulars A-21, A-87, A-110, and A-122 (2 CFR Parts 215, 220, 225, and 230); OMB Circulars A-89, A-102, and A-133; and the guidance in Circular A-50 on Single Audit Act follow-up. </w:t>
      </w:r>
    </w:p>
    <w:p w:rsidR="005D123B" w:rsidRPr="00D03C8B" w:rsidP="00814646" w14:paraId="0882A8D9" w14:textId="77777777">
      <w:pPr>
        <w:spacing w:line="276" w:lineRule="auto"/>
        <w:contextualSpacing/>
        <w:rPr>
          <w:rFonts w:cs="Times New Roman"/>
          <w:szCs w:val="24"/>
        </w:rPr>
      </w:pPr>
    </w:p>
    <w:p w:rsidR="00333732" w:rsidRPr="00D03C8B" w:rsidP="00814646" w14:paraId="17942FFA" w14:textId="718EC102">
      <w:pPr>
        <w:pStyle w:val="NormalWeb"/>
        <w:spacing w:before="0" w:beforeAutospacing="0" w:after="0" w:afterAutospacing="0" w:line="276" w:lineRule="auto"/>
        <w:contextualSpacing/>
      </w:pPr>
      <w:r w:rsidRPr="00D03C8B">
        <w:rPr>
          <w:rFonts w:eastAsiaTheme="minorHAnsi"/>
        </w:rPr>
        <w:t>T</w:t>
      </w:r>
      <w:r w:rsidRPr="00D03C8B">
        <w:rPr>
          <w:rFonts w:eastAsiaTheme="minorHAnsi"/>
        </w:rPr>
        <w:t>erminology</w:t>
      </w:r>
      <w:r w:rsidRPr="00D03C8B">
        <w:t xml:space="preserve"> references in </w:t>
      </w:r>
      <w:r w:rsidRPr="00D03C8B" w:rsidR="003A59CD">
        <w:t>HMA program regulation</w:t>
      </w:r>
      <w:r w:rsidRPr="00D03C8B">
        <w:t xml:space="preserve"> </w:t>
      </w:r>
      <w:r w:rsidR="003C241E">
        <w:t>(</w:t>
      </w:r>
      <w:r w:rsidRPr="00D03C8B">
        <w:t>44 CFR Part 80</w:t>
      </w:r>
      <w:r w:rsidR="003C241E">
        <w:t>)</w:t>
      </w:r>
      <w:r w:rsidRPr="00D03C8B">
        <w:t xml:space="preserve"> and guidance should be read in conjunction with the corresponding definition in 2 CFR Part 200. All grantees, subgrantees, applicants, and subapplicants must comply with the relevant requirements prescribed throughout 2 CFR Part 200</w:t>
      </w:r>
      <w:r w:rsidRPr="00D03C8B" w:rsidR="001F0066">
        <w:t xml:space="preserve">. </w:t>
      </w:r>
      <w:r w:rsidRPr="00D03C8B" w:rsidR="00C67257">
        <w:rPr>
          <w:rFonts w:eastAsiaTheme="minorHAnsi"/>
        </w:rPr>
        <w:t xml:space="preserve">The following </w:t>
      </w:r>
      <w:r w:rsidRPr="00D03C8B">
        <w:rPr>
          <w:rFonts w:eastAsiaTheme="minorHAnsi"/>
        </w:rPr>
        <w:t xml:space="preserve">terminology </w:t>
      </w:r>
      <w:r w:rsidRPr="00D03C8B" w:rsidR="00C67257">
        <w:rPr>
          <w:rFonts w:eastAsiaTheme="minorHAnsi"/>
        </w:rPr>
        <w:t>references in applicable program regulations are subject to the corresponding requirements of 2 CFR 200: (</w:t>
      </w:r>
      <w:r w:rsidRPr="00D03C8B">
        <w:rPr>
          <w:rFonts w:eastAsiaTheme="minorHAnsi"/>
        </w:rPr>
        <w:t>subgrant</w:t>
      </w:r>
      <w:r w:rsidRPr="00D03C8B" w:rsidR="00C67257">
        <w:rPr>
          <w:rFonts w:eastAsiaTheme="minorHAnsi"/>
        </w:rPr>
        <w:t>/</w:t>
      </w:r>
      <w:r w:rsidRPr="00D03C8B">
        <w:rPr>
          <w:rFonts w:eastAsiaTheme="minorHAnsi"/>
        </w:rPr>
        <w:t>subaward</w:t>
      </w:r>
      <w:r w:rsidRPr="00D03C8B" w:rsidR="00C67257">
        <w:rPr>
          <w:rFonts w:eastAsiaTheme="minorHAnsi"/>
        </w:rPr>
        <w:t>),</w:t>
      </w:r>
      <w:r w:rsidRPr="00D03C8B">
        <w:rPr>
          <w:rFonts w:eastAsiaTheme="minorHAnsi"/>
        </w:rPr>
        <w:t xml:space="preserve"> </w:t>
      </w:r>
      <w:r w:rsidRPr="00D03C8B" w:rsidR="00C67257">
        <w:rPr>
          <w:rFonts w:eastAsiaTheme="minorHAnsi"/>
        </w:rPr>
        <w:t>(</w:t>
      </w:r>
      <w:r w:rsidRPr="00D03C8B">
        <w:rPr>
          <w:rFonts w:eastAsiaTheme="minorHAnsi"/>
        </w:rPr>
        <w:t>subgrantee</w:t>
      </w:r>
      <w:r w:rsidRPr="00D03C8B" w:rsidR="00C67257">
        <w:rPr>
          <w:rFonts w:eastAsiaTheme="minorHAnsi"/>
        </w:rPr>
        <w:t>/</w:t>
      </w:r>
      <w:r w:rsidRPr="00D03C8B">
        <w:rPr>
          <w:rFonts w:eastAsiaTheme="minorHAnsi"/>
        </w:rPr>
        <w:t>subrecipient</w:t>
      </w:r>
      <w:r w:rsidRPr="00D03C8B" w:rsidR="00C67257">
        <w:rPr>
          <w:rFonts w:eastAsiaTheme="minorHAnsi"/>
        </w:rPr>
        <w:t>), (</w:t>
      </w:r>
      <w:r w:rsidRPr="00D03C8B">
        <w:rPr>
          <w:rFonts w:eastAsiaTheme="minorHAnsi"/>
        </w:rPr>
        <w:t>grant</w:t>
      </w:r>
      <w:r w:rsidRPr="00D03C8B" w:rsidR="00C67257">
        <w:rPr>
          <w:rFonts w:eastAsiaTheme="minorHAnsi"/>
        </w:rPr>
        <w:t>/</w:t>
      </w:r>
      <w:r w:rsidRPr="00D03C8B">
        <w:rPr>
          <w:rFonts w:eastAsiaTheme="minorHAnsi"/>
        </w:rPr>
        <w:t>federal award</w:t>
      </w:r>
      <w:r w:rsidRPr="00D03C8B" w:rsidR="00C67257">
        <w:rPr>
          <w:rFonts w:eastAsiaTheme="minorHAnsi"/>
        </w:rPr>
        <w:t>), and</w:t>
      </w:r>
      <w:r w:rsidRPr="00D03C8B">
        <w:rPr>
          <w:rFonts w:eastAsiaTheme="minorHAnsi"/>
        </w:rPr>
        <w:t xml:space="preserve"> </w:t>
      </w:r>
      <w:r w:rsidRPr="00D03C8B" w:rsidR="00C67257">
        <w:rPr>
          <w:rFonts w:eastAsiaTheme="minorHAnsi"/>
        </w:rPr>
        <w:t>(</w:t>
      </w:r>
      <w:r w:rsidRPr="00D03C8B">
        <w:rPr>
          <w:rFonts w:eastAsiaTheme="minorHAnsi"/>
        </w:rPr>
        <w:t>grantee</w:t>
      </w:r>
      <w:r w:rsidRPr="00D03C8B" w:rsidR="00C67257">
        <w:rPr>
          <w:rFonts w:eastAsiaTheme="minorHAnsi"/>
        </w:rPr>
        <w:t>/</w:t>
      </w:r>
      <w:r w:rsidRPr="00D03C8B">
        <w:rPr>
          <w:rFonts w:eastAsiaTheme="minorHAnsi"/>
        </w:rPr>
        <w:t>recipient</w:t>
      </w:r>
      <w:r w:rsidRPr="00D03C8B" w:rsidR="00C67257">
        <w:rPr>
          <w:rFonts w:eastAsiaTheme="minorHAnsi"/>
        </w:rPr>
        <w:t>)</w:t>
      </w:r>
      <w:r w:rsidRPr="00D03C8B">
        <w:rPr>
          <w:rFonts w:eastAsiaTheme="minorHAnsi"/>
        </w:rPr>
        <w:t>.</w:t>
      </w:r>
    </w:p>
    <w:p w:rsidR="00871ACD" w:rsidRPr="00D03C8B" w:rsidP="00814646" w14:paraId="2B014491" w14:textId="77777777">
      <w:pPr>
        <w:pStyle w:val="NormalWeb"/>
        <w:spacing w:before="0" w:beforeAutospacing="0" w:after="0" w:afterAutospacing="0" w:line="276" w:lineRule="auto"/>
        <w:contextualSpacing/>
        <w:rPr>
          <w:spacing w:val="-3"/>
        </w:rPr>
      </w:pPr>
    </w:p>
    <w:p w:rsidR="00333732" w:rsidRPr="00D03C8B" w:rsidP="00814646" w14:paraId="6AB031BC" w14:textId="77777777">
      <w:pPr>
        <w:pStyle w:val="NormalWeb"/>
        <w:spacing w:before="0" w:beforeAutospacing="0" w:after="0" w:afterAutospacing="0" w:line="276" w:lineRule="auto"/>
        <w:contextualSpacing/>
      </w:pPr>
      <w:r w:rsidRPr="00D03C8B">
        <w:t xml:space="preserve">All references to subgrant in applicable program regulations are subject to the requirements of </w:t>
      </w:r>
      <w:r w:rsidRPr="00D03C8B" w:rsidR="008D583C">
        <w:t xml:space="preserve">a </w:t>
      </w:r>
      <w:r w:rsidRPr="00D03C8B">
        <w:t>subaward. All references to a subgrantee in the applicable program regulations and guidance are subject to the requirements of a subrecipient. All references to grant in the applicable program regulations and guidance are subject to the requirements of a federal award. All references to grantee in the applicable program regulations and guidance are subject to the requirements of a recipient.</w:t>
      </w:r>
    </w:p>
    <w:p w:rsidR="00871ACD" w:rsidRPr="00D03C8B" w:rsidP="00814646" w14:paraId="0470E8F2" w14:textId="77777777">
      <w:pPr>
        <w:tabs>
          <w:tab w:val="left" w:pos="-720"/>
        </w:tabs>
        <w:suppressAutoHyphens/>
        <w:spacing w:line="276" w:lineRule="auto"/>
        <w:contextualSpacing/>
        <w:rPr>
          <w:rFonts w:eastAsia="Times New Roman" w:cs="Times New Roman"/>
          <w:spacing w:val="-3"/>
          <w:szCs w:val="24"/>
        </w:rPr>
      </w:pPr>
    </w:p>
    <w:p w:rsidR="003A59CD" w:rsidRPr="00D03C8B" w:rsidP="00814646" w14:paraId="7AA531C0" w14:textId="183B9CF5">
      <w:pPr>
        <w:tabs>
          <w:tab w:val="left" w:pos="-720"/>
        </w:tabs>
        <w:suppressAutoHyphens/>
        <w:spacing w:line="276" w:lineRule="auto"/>
        <w:contextualSpacing/>
        <w:rPr>
          <w:rFonts w:eastAsia="Times New Roman" w:cs="Times New Roman"/>
          <w:spacing w:val="-3"/>
          <w:szCs w:val="24"/>
        </w:rPr>
      </w:pPr>
      <w:r w:rsidRPr="00D03C8B">
        <w:rPr>
          <w:rFonts w:eastAsia="Times New Roman" w:cs="Times New Roman"/>
          <w:spacing w:val="-3"/>
          <w:szCs w:val="24"/>
        </w:rPr>
        <w:t>State</w:t>
      </w:r>
      <w:r w:rsidRPr="00D03C8B" w:rsidR="003D3ECC">
        <w:rPr>
          <w:rFonts w:eastAsia="Times New Roman" w:cs="Times New Roman"/>
          <w:spacing w:val="-3"/>
          <w:szCs w:val="24"/>
        </w:rPr>
        <w:t>s</w:t>
      </w:r>
      <w:r w:rsidRPr="00D03C8B" w:rsidR="00C67257">
        <w:rPr>
          <w:rFonts w:eastAsia="Times New Roman" w:cs="Times New Roman"/>
          <w:spacing w:val="-3"/>
          <w:szCs w:val="24"/>
        </w:rPr>
        <w:t>,</w:t>
      </w:r>
      <w:r w:rsidRPr="00D03C8B" w:rsidR="005D256B">
        <w:rPr>
          <w:rFonts w:eastAsia="Times New Roman" w:cs="Times New Roman"/>
          <w:spacing w:val="-3"/>
          <w:szCs w:val="24"/>
        </w:rPr>
        <w:t xml:space="preserve"> </w:t>
      </w:r>
      <w:r w:rsidR="00171560">
        <w:rPr>
          <w:rFonts w:eastAsia="Times New Roman" w:cs="Times New Roman"/>
          <w:spacing w:val="-3"/>
          <w:szCs w:val="24"/>
        </w:rPr>
        <w:t>F</w:t>
      </w:r>
      <w:r w:rsidRPr="00D03C8B" w:rsidR="00171560">
        <w:rPr>
          <w:rFonts w:eastAsia="Times New Roman" w:cs="Times New Roman"/>
          <w:spacing w:val="-3"/>
          <w:szCs w:val="24"/>
        </w:rPr>
        <w:t>ederally</w:t>
      </w:r>
      <w:r w:rsidR="003C241E">
        <w:rPr>
          <w:rFonts w:eastAsia="Times New Roman" w:cs="Times New Roman"/>
          <w:spacing w:val="-3"/>
          <w:szCs w:val="24"/>
        </w:rPr>
        <w:t>-</w:t>
      </w:r>
      <w:r w:rsidRPr="00D03C8B" w:rsidR="00392854">
        <w:rPr>
          <w:rFonts w:eastAsia="Times New Roman" w:cs="Times New Roman"/>
          <w:spacing w:val="-3"/>
          <w:szCs w:val="24"/>
        </w:rPr>
        <w:t>recognized Tribes</w:t>
      </w:r>
      <w:r w:rsidRPr="00D03C8B" w:rsidR="001D252C">
        <w:rPr>
          <w:rFonts w:eastAsia="Times New Roman" w:cs="Times New Roman"/>
          <w:spacing w:val="-3"/>
          <w:szCs w:val="24"/>
        </w:rPr>
        <w:t xml:space="preserve"> </w:t>
      </w:r>
      <w:r w:rsidRPr="00D03C8B" w:rsidR="00B11E0C">
        <w:rPr>
          <w:rFonts w:eastAsia="Times New Roman" w:cs="Times New Roman"/>
          <w:spacing w:val="-3"/>
          <w:szCs w:val="24"/>
        </w:rPr>
        <w:t>(Tribes)</w:t>
      </w:r>
      <w:r w:rsidRPr="00D03C8B" w:rsidR="00C67257">
        <w:rPr>
          <w:rFonts w:eastAsia="Times New Roman" w:cs="Times New Roman"/>
          <w:spacing w:val="-3"/>
          <w:szCs w:val="24"/>
        </w:rPr>
        <w:t xml:space="preserve"> and </w:t>
      </w:r>
      <w:r w:rsidRPr="00D03C8B" w:rsidR="007C2BDF">
        <w:rPr>
          <w:rFonts w:eastAsia="Times New Roman" w:cs="Times New Roman"/>
          <w:spacing w:val="-3"/>
          <w:szCs w:val="24"/>
        </w:rPr>
        <w:t xml:space="preserve">territories </w:t>
      </w:r>
      <w:r w:rsidRPr="00D03C8B" w:rsidR="003D3ECC">
        <w:rPr>
          <w:rFonts w:eastAsia="Times New Roman" w:cs="Times New Roman"/>
          <w:spacing w:val="-3"/>
          <w:szCs w:val="24"/>
        </w:rPr>
        <w:t>as</w:t>
      </w:r>
      <w:r w:rsidRPr="00D03C8B" w:rsidR="001D252C">
        <w:rPr>
          <w:rFonts w:eastAsia="Times New Roman" w:cs="Times New Roman"/>
          <w:spacing w:val="-3"/>
          <w:szCs w:val="24"/>
        </w:rPr>
        <w:t xml:space="preserve"> </w:t>
      </w:r>
      <w:r w:rsidRPr="00D03C8B" w:rsidR="003D3ECC">
        <w:rPr>
          <w:rFonts w:eastAsia="Times New Roman" w:cs="Times New Roman"/>
          <w:spacing w:val="-3"/>
          <w:szCs w:val="24"/>
        </w:rPr>
        <w:t>applicants</w:t>
      </w:r>
      <w:r w:rsidRPr="00D03C8B" w:rsidR="00BF002C">
        <w:rPr>
          <w:rFonts w:eastAsia="Times New Roman" w:cs="Times New Roman"/>
          <w:spacing w:val="-3"/>
          <w:szCs w:val="24"/>
        </w:rPr>
        <w:t>/recipients</w:t>
      </w:r>
      <w:r w:rsidRPr="00D03C8B">
        <w:rPr>
          <w:rFonts w:eastAsia="Times New Roman" w:cs="Times New Roman"/>
          <w:spacing w:val="-3"/>
          <w:szCs w:val="24"/>
        </w:rPr>
        <w:t>, per 44 CFR 80.5(b)(</w:t>
      </w:r>
      <w:r w:rsidRPr="00D03C8B" w:rsidR="00AF3FF9">
        <w:rPr>
          <w:rFonts w:eastAsia="Times New Roman" w:cs="Times New Roman"/>
          <w:spacing w:val="-3"/>
          <w:szCs w:val="24"/>
        </w:rPr>
        <w:t>3</w:t>
      </w:r>
      <w:r w:rsidRPr="00D03C8B">
        <w:rPr>
          <w:rFonts w:eastAsia="Times New Roman" w:cs="Times New Roman"/>
          <w:spacing w:val="-3"/>
          <w:szCs w:val="24"/>
        </w:rPr>
        <w:t xml:space="preserve">), </w:t>
      </w:r>
      <w:r w:rsidRPr="00D03C8B" w:rsidR="003D3ECC">
        <w:rPr>
          <w:rFonts w:eastAsia="Times New Roman" w:cs="Times New Roman"/>
          <w:spacing w:val="-3"/>
          <w:szCs w:val="24"/>
        </w:rPr>
        <w:t>are</w:t>
      </w:r>
      <w:r w:rsidRPr="00D03C8B">
        <w:rPr>
          <w:rFonts w:eastAsia="Times New Roman" w:cs="Times New Roman"/>
          <w:spacing w:val="-3"/>
          <w:szCs w:val="24"/>
        </w:rPr>
        <w:t xml:space="preserve"> responsible</w:t>
      </w:r>
      <w:r w:rsidRPr="00D03C8B" w:rsidR="00923004">
        <w:rPr>
          <w:rFonts w:eastAsia="Times New Roman" w:cs="Times New Roman"/>
          <w:spacing w:val="-3"/>
          <w:szCs w:val="24"/>
        </w:rPr>
        <w:t xml:space="preserve"> for collecting and reviewing </w:t>
      </w:r>
      <w:r w:rsidRPr="00D03C8B" w:rsidR="00E8254F">
        <w:rPr>
          <w:rFonts w:eastAsia="Times New Roman" w:cs="Times New Roman"/>
          <w:spacing w:val="-3"/>
          <w:szCs w:val="24"/>
        </w:rPr>
        <w:t>application</w:t>
      </w:r>
      <w:r w:rsidRPr="00D03C8B" w:rsidR="00A930DB">
        <w:rPr>
          <w:rFonts w:eastAsia="Times New Roman" w:cs="Times New Roman"/>
          <w:spacing w:val="-3"/>
          <w:szCs w:val="24"/>
        </w:rPr>
        <w:t>s</w:t>
      </w:r>
      <w:r w:rsidRPr="00D03C8B" w:rsidR="00E8254F">
        <w:rPr>
          <w:rFonts w:eastAsia="Times New Roman" w:cs="Times New Roman"/>
          <w:spacing w:val="-3"/>
          <w:szCs w:val="24"/>
        </w:rPr>
        <w:t xml:space="preserve"> </w:t>
      </w:r>
      <w:r w:rsidRPr="00D03C8B" w:rsidR="00B11E0C">
        <w:rPr>
          <w:rFonts w:eastAsia="Times New Roman" w:cs="Times New Roman"/>
          <w:spacing w:val="-3"/>
          <w:szCs w:val="24"/>
        </w:rPr>
        <w:t xml:space="preserve">for acquisition projects </w:t>
      </w:r>
      <w:r w:rsidRPr="00D03C8B" w:rsidR="00E8254F">
        <w:rPr>
          <w:rFonts w:eastAsia="Times New Roman" w:cs="Times New Roman"/>
          <w:spacing w:val="-3"/>
          <w:szCs w:val="24"/>
        </w:rPr>
        <w:t>to ensure that the proposed activit</w:t>
      </w:r>
      <w:r w:rsidRPr="00D03C8B" w:rsidR="00A930DB">
        <w:rPr>
          <w:rFonts w:eastAsia="Times New Roman" w:cs="Times New Roman"/>
          <w:spacing w:val="-3"/>
          <w:szCs w:val="24"/>
        </w:rPr>
        <w:t>ies comply</w:t>
      </w:r>
      <w:r w:rsidRPr="00D03C8B" w:rsidR="00E8254F">
        <w:rPr>
          <w:rFonts w:eastAsia="Times New Roman" w:cs="Times New Roman"/>
          <w:spacing w:val="-3"/>
          <w:szCs w:val="24"/>
        </w:rPr>
        <w:t xml:space="preserve"> with 44 CFR Part 80</w:t>
      </w:r>
      <w:r w:rsidRPr="00D03C8B" w:rsidR="00A344CE">
        <w:rPr>
          <w:rFonts w:eastAsia="Times New Roman" w:cs="Times New Roman"/>
          <w:spacing w:val="-3"/>
          <w:szCs w:val="24"/>
        </w:rPr>
        <w:t>. States</w:t>
      </w:r>
      <w:r w:rsidRPr="00D03C8B" w:rsidR="00D62C7B">
        <w:rPr>
          <w:rFonts w:eastAsia="Times New Roman" w:cs="Times New Roman"/>
          <w:spacing w:val="-3"/>
          <w:szCs w:val="24"/>
        </w:rPr>
        <w:t xml:space="preserve">, </w:t>
      </w:r>
      <w:r w:rsidRPr="00D03C8B" w:rsidR="007C2BDF">
        <w:rPr>
          <w:rFonts w:eastAsia="Times New Roman" w:cs="Times New Roman"/>
          <w:spacing w:val="-3"/>
          <w:szCs w:val="24"/>
        </w:rPr>
        <w:t xml:space="preserve">territories </w:t>
      </w:r>
      <w:r w:rsidRPr="00D03C8B" w:rsidR="000127F8">
        <w:rPr>
          <w:rFonts w:eastAsia="Times New Roman" w:cs="Times New Roman"/>
          <w:spacing w:val="-3"/>
          <w:szCs w:val="24"/>
        </w:rPr>
        <w:t>and T</w:t>
      </w:r>
      <w:r w:rsidRPr="00D03C8B" w:rsidR="001D252C">
        <w:rPr>
          <w:rFonts w:eastAsia="Times New Roman" w:cs="Times New Roman"/>
          <w:spacing w:val="-3"/>
          <w:szCs w:val="24"/>
        </w:rPr>
        <w:t>ribes</w:t>
      </w:r>
      <w:r w:rsidRPr="00D03C8B" w:rsidR="00A344CE">
        <w:rPr>
          <w:rFonts w:eastAsia="Times New Roman" w:cs="Times New Roman"/>
          <w:spacing w:val="-3"/>
          <w:szCs w:val="24"/>
        </w:rPr>
        <w:t xml:space="preserve"> must ensure</w:t>
      </w:r>
      <w:r w:rsidRPr="00D03C8B" w:rsidR="00E8254F">
        <w:rPr>
          <w:rFonts w:eastAsia="Times New Roman" w:cs="Times New Roman"/>
          <w:spacing w:val="-3"/>
          <w:szCs w:val="24"/>
        </w:rPr>
        <w:t xml:space="preserve"> that </w:t>
      </w:r>
      <w:r w:rsidRPr="00D03C8B" w:rsidR="00B11E0C">
        <w:rPr>
          <w:rFonts w:eastAsia="Times New Roman" w:cs="Times New Roman"/>
          <w:spacing w:val="-3"/>
          <w:szCs w:val="24"/>
        </w:rPr>
        <w:t xml:space="preserve">the </w:t>
      </w:r>
      <w:r w:rsidRPr="00D03C8B" w:rsidR="00E8254F">
        <w:rPr>
          <w:rFonts w:eastAsia="Times New Roman" w:cs="Times New Roman"/>
          <w:spacing w:val="-3"/>
          <w:szCs w:val="24"/>
        </w:rPr>
        <w:t xml:space="preserve">property acquisition </w:t>
      </w:r>
      <w:r w:rsidRPr="00D03C8B" w:rsidR="00B11E0C">
        <w:rPr>
          <w:rFonts w:eastAsia="Times New Roman" w:cs="Times New Roman"/>
          <w:spacing w:val="-3"/>
          <w:szCs w:val="24"/>
        </w:rPr>
        <w:t>is</w:t>
      </w:r>
      <w:r w:rsidRPr="00D03C8B" w:rsidR="00E8254F">
        <w:rPr>
          <w:rFonts w:eastAsia="Times New Roman" w:cs="Times New Roman"/>
          <w:spacing w:val="-3"/>
          <w:szCs w:val="24"/>
        </w:rPr>
        <w:t xml:space="preserve"> voluntary</w:t>
      </w:r>
      <w:r w:rsidRPr="00D03C8B" w:rsidR="00A344CE">
        <w:rPr>
          <w:rFonts w:eastAsia="Times New Roman" w:cs="Times New Roman"/>
          <w:spacing w:val="-3"/>
          <w:szCs w:val="24"/>
        </w:rPr>
        <w:t xml:space="preserve"> </w:t>
      </w:r>
      <w:r w:rsidRPr="00D03C8B">
        <w:rPr>
          <w:rFonts w:eastAsia="Times New Roman" w:cs="Times New Roman"/>
          <w:spacing w:val="-3"/>
          <w:szCs w:val="24"/>
        </w:rPr>
        <w:t>in nature</w:t>
      </w:r>
      <w:r w:rsidRPr="00D03C8B" w:rsidR="00B11E0C">
        <w:rPr>
          <w:rFonts w:eastAsia="Times New Roman" w:cs="Times New Roman"/>
          <w:spacing w:val="-3"/>
          <w:szCs w:val="24"/>
        </w:rPr>
        <w:t xml:space="preserve">. The subapplication they </w:t>
      </w:r>
      <w:r w:rsidRPr="00D03C8B" w:rsidR="00A344CE">
        <w:rPr>
          <w:rFonts w:eastAsia="Times New Roman" w:cs="Times New Roman"/>
          <w:spacing w:val="-3"/>
          <w:szCs w:val="24"/>
        </w:rPr>
        <w:t xml:space="preserve">submit </w:t>
      </w:r>
      <w:r w:rsidRPr="00D03C8B">
        <w:rPr>
          <w:rFonts w:eastAsia="Times New Roman" w:cs="Times New Roman"/>
          <w:spacing w:val="-3"/>
          <w:szCs w:val="24"/>
        </w:rPr>
        <w:t xml:space="preserve">to FEMA for proposed projects </w:t>
      </w:r>
      <w:r w:rsidRPr="00D03C8B" w:rsidR="00B11E0C">
        <w:rPr>
          <w:rFonts w:eastAsia="Times New Roman" w:cs="Times New Roman"/>
          <w:spacing w:val="-3"/>
          <w:szCs w:val="24"/>
        </w:rPr>
        <w:t xml:space="preserve">must </w:t>
      </w:r>
      <w:r w:rsidRPr="00D03C8B">
        <w:rPr>
          <w:rFonts w:eastAsia="Times New Roman" w:cs="Times New Roman"/>
          <w:spacing w:val="-3"/>
          <w:szCs w:val="24"/>
        </w:rPr>
        <w:t>include information to enable FEMA</w:t>
      </w:r>
      <w:r w:rsidRPr="00D03C8B" w:rsidR="00A930DB">
        <w:rPr>
          <w:rFonts w:eastAsia="Times New Roman" w:cs="Times New Roman"/>
          <w:spacing w:val="-3"/>
          <w:szCs w:val="24"/>
        </w:rPr>
        <w:t>’s</w:t>
      </w:r>
      <w:r w:rsidRPr="00D03C8B">
        <w:rPr>
          <w:rFonts w:eastAsia="Times New Roman" w:cs="Times New Roman"/>
          <w:spacing w:val="-3"/>
          <w:szCs w:val="24"/>
        </w:rPr>
        <w:t xml:space="preserve"> determin</w:t>
      </w:r>
      <w:r w:rsidRPr="00D03C8B" w:rsidR="00A930DB">
        <w:rPr>
          <w:rFonts w:eastAsia="Times New Roman" w:cs="Times New Roman"/>
          <w:spacing w:val="-3"/>
          <w:szCs w:val="24"/>
        </w:rPr>
        <w:t>ation of</w:t>
      </w:r>
      <w:r w:rsidRPr="00D03C8B">
        <w:rPr>
          <w:rFonts w:eastAsia="Times New Roman" w:cs="Times New Roman"/>
          <w:spacing w:val="-3"/>
          <w:szCs w:val="24"/>
        </w:rPr>
        <w:t xml:space="preserve"> eligibility, technical feasibility</w:t>
      </w:r>
      <w:r w:rsidRPr="00D03C8B" w:rsidR="008D5DCD">
        <w:rPr>
          <w:rFonts w:eastAsia="Times New Roman" w:cs="Times New Roman"/>
          <w:spacing w:val="-3"/>
          <w:szCs w:val="24"/>
        </w:rPr>
        <w:t>, cost effectiveness, and environmental and historic preservation compliance</w:t>
      </w:r>
      <w:r w:rsidRPr="00D03C8B" w:rsidR="007430EF">
        <w:rPr>
          <w:rFonts w:eastAsia="Times New Roman" w:cs="Times New Roman"/>
          <w:spacing w:val="-3"/>
          <w:szCs w:val="24"/>
        </w:rPr>
        <w:t>.</w:t>
      </w:r>
      <w:r w:rsidRPr="00D03C8B" w:rsidR="007C2449">
        <w:rPr>
          <w:rFonts w:eastAsia="Times New Roman" w:cs="Times New Roman"/>
          <w:spacing w:val="-3"/>
          <w:szCs w:val="24"/>
        </w:rPr>
        <w:t xml:space="preserve"> (44 CFR 80.5(b)(4)). Per 44 CFR 80.5(b),</w:t>
      </w:r>
      <w:r w:rsidRPr="00D03C8B" w:rsidR="008D5DCD">
        <w:rPr>
          <w:rFonts w:eastAsia="Times New Roman" w:cs="Times New Roman"/>
          <w:spacing w:val="-3"/>
          <w:szCs w:val="24"/>
        </w:rPr>
        <w:t xml:space="preserve"> </w:t>
      </w:r>
      <w:r w:rsidRPr="00D03C8B" w:rsidR="004F30A5">
        <w:rPr>
          <w:rFonts w:eastAsia="Times New Roman" w:cs="Times New Roman"/>
          <w:spacing w:val="-3"/>
          <w:szCs w:val="24"/>
        </w:rPr>
        <w:t>o</w:t>
      </w:r>
      <w:r w:rsidRPr="00D03C8B" w:rsidR="00B11E0C">
        <w:rPr>
          <w:rFonts w:eastAsia="Times New Roman" w:cs="Times New Roman"/>
          <w:spacing w:val="-3"/>
          <w:szCs w:val="24"/>
        </w:rPr>
        <w:t xml:space="preserve">nce the property is acquired, </w:t>
      </w:r>
      <w:r w:rsidRPr="00D03C8B" w:rsidR="007C2BDF">
        <w:rPr>
          <w:rFonts w:eastAsia="Times New Roman" w:cs="Times New Roman"/>
          <w:spacing w:val="-3"/>
          <w:szCs w:val="24"/>
        </w:rPr>
        <w:t>s</w:t>
      </w:r>
      <w:r w:rsidRPr="00D03C8B">
        <w:rPr>
          <w:rFonts w:eastAsia="Times New Roman" w:cs="Times New Roman"/>
          <w:spacing w:val="-3"/>
          <w:szCs w:val="24"/>
        </w:rPr>
        <w:t>tates</w:t>
      </w:r>
      <w:r w:rsidRPr="00D03C8B" w:rsidR="00D62C7B">
        <w:rPr>
          <w:rFonts w:eastAsia="Times New Roman" w:cs="Times New Roman"/>
          <w:spacing w:val="-3"/>
          <w:szCs w:val="24"/>
        </w:rPr>
        <w:t xml:space="preserve">, </w:t>
      </w:r>
      <w:r w:rsidRPr="00D03C8B" w:rsidR="007C2BDF">
        <w:rPr>
          <w:rFonts w:eastAsia="Times New Roman" w:cs="Times New Roman"/>
          <w:spacing w:val="-3"/>
          <w:szCs w:val="24"/>
        </w:rPr>
        <w:t>t</w:t>
      </w:r>
      <w:r w:rsidRPr="00D03C8B" w:rsidR="00D62C7B">
        <w:rPr>
          <w:rFonts w:eastAsia="Times New Roman" w:cs="Times New Roman"/>
          <w:spacing w:val="-3"/>
          <w:szCs w:val="24"/>
        </w:rPr>
        <w:t>erritories</w:t>
      </w:r>
      <w:r w:rsidRPr="00D03C8B">
        <w:rPr>
          <w:rFonts w:eastAsia="Times New Roman" w:cs="Times New Roman"/>
          <w:spacing w:val="-3"/>
          <w:szCs w:val="24"/>
        </w:rPr>
        <w:t xml:space="preserve"> and </w:t>
      </w:r>
      <w:r w:rsidRPr="00D03C8B" w:rsidR="004F30A5">
        <w:rPr>
          <w:rFonts w:eastAsia="Times New Roman" w:cs="Times New Roman"/>
          <w:spacing w:val="-3"/>
          <w:szCs w:val="24"/>
        </w:rPr>
        <w:t>Tribes, as</w:t>
      </w:r>
      <w:r w:rsidRPr="00D03C8B" w:rsidR="00B11E0C">
        <w:rPr>
          <w:rFonts w:eastAsia="Times New Roman" w:cs="Times New Roman"/>
          <w:spacing w:val="-3"/>
          <w:szCs w:val="24"/>
        </w:rPr>
        <w:t xml:space="preserve"> well as FEMA and the subrecipients, </w:t>
      </w:r>
      <w:r w:rsidRPr="00D03C8B">
        <w:rPr>
          <w:rFonts w:eastAsia="Times New Roman" w:cs="Times New Roman"/>
          <w:spacing w:val="-3"/>
          <w:szCs w:val="24"/>
        </w:rPr>
        <w:t xml:space="preserve">must enforce the terms of </w:t>
      </w:r>
      <w:r w:rsidR="003C241E">
        <w:rPr>
          <w:rFonts w:eastAsia="Times New Roman" w:cs="Times New Roman"/>
          <w:spacing w:val="-3"/>
          <w:szCs w:val="24"/>
        </w:rPr>
        <w:t xml:space="preserve">44 CFR </w:t>
      </w:r>
      <w:r w:rsidRPr="00D03C8B" w:rsidR="00B11E0C">
        <w:rPr>
          <w:rFonts w:eastAsia="Times New Roman" w:cs="Times New Roman"/>
          <w:spacing w:val="-3"/>
          <w:szCs w:val="24"/>
        </w:rPr>
        <w:t>Part 80</w:t>
      </w:r>
      <w:r w:rsidRPr="00D03C8B">
        <w:rPr>
          <w:rFonts w:eastAsia="Times New Roman" w:cs="Times New Roman"/>
          <w:spacing w:val="-3"/>
          <w:szCs w:val="24"/>
        </w:rPr>
        <w:t xml:space="preserve"> and the deed restrictions to ensure that the property remains </w:t>
      </w:r>
      <w:r w:rsidRPr="00D03C8B" w:rsidR="00B11E0C">
        <w:rPr>
          <w:rFonts w:eastAsia="Times New Roman" w:cs="Times New Roman"/>
          <w:spacing w:val="-3"/>
          <w:szCs w:val="24"/>
        </w:rPr>
        <w:t xml:space="preserve">committed to </w:t>
      </w:r>
      <w:r w:rsidRPr="00D03C8B">
        <w:rPr>
          <w:rFonts w:eastAsia="Times New Roman" w:cs="Times New Roman"/>
          <w:spacing w:val="-3"/>
          <w:szCs w:val="24"/>
        </w:rPr>
        <w:t>open space use in perpetuity. States</w:t>
      </w:r>
      <w:r w:rsidRPr="00D03C8B" w:rsidR="00D62C7B">
        <w:rPr>
          <w:rFonts w:eastAsia="Times New Roman" w:cs="Times New Roman"/>
          <w:spacing w:val="-3"/>
          <w:szCs w:val="24"/>
        </w:rPr>
        <w:t xml:space="preserve">, </w:t>
      </w:r>
      <w:r w:rsidRPr="00D03C8B" w:rsidR="007C2BDF">
        <w:rPr>
          <w:rFonts w:eastAsia="Times New Roman" w:cs="Times New Roman"/>
          <w:spacing w:val="-3"/>
          <w:szCs w:val="24"/>
        </w:rPr>
        <w:t>t</w:t>
      </w:r>
      <w:r w:rsidRPr="00D03C8B" w:rsidR="00D62C7B">
        <w:rPr>
          <w:rFonts w:eastAsia="Times New Roman" w:cs="Times New Roman"/>
          <w:spacing w:val="-3"/>
          <w:szCs w:val="24"/>
        </w:rPr>
        <w:t>erritories</w:t>
      </w:r>
      <w:r w:rsidRPr="00D03C8B">
        <w:rPr>
          <w:rFonts w:eastAsia="Times New Roman" w:cs="Times New Roman"/>
          <w:spacing w:val="-3"/>
          <w:szCs w:val="24"/>
        </w:rPr>
        <w:t xml:space="preserve"> and Tribes must report on property compliance with open space requirements after the grant is awarded.</w:t>
      </w:r>
    </w:p>
    <w:p w:rsidR="003A59CD" w:rsidRPr="00D03C8B" w:rsidP="00814646" w14:paraId="2E72888A" w14:textId="77777777">
      <w:pPr>
        <w:tabs>
          <w:tab w:val="left" w:pos="-720"/>
        </w:tabs>
        <w:suppressAutoHyphens/>
        <w:spacing w:line="276" w:lineRule="auto"/>
        <w:contextualSpacing/>
        <w:rPr>
          <w:rFonts w:eastAsia="Times New Roman" w:cs="Times New Roman"/>
          <w:spacing w:val="-3"/>
          <w:szCs w:val="24"/>
        </w:rPr>
      </w:pPr>
    </w:p>
    <w:p w:rsidR="00970393" w:rsidRPr="00D03C8B" w:rsidP="00814646" w14:paraId="7AECDE49" w14:textId="77777777">
      <w:pPr>
        <w:tabs>
          <w:tab w:val="left" w:pos="-720"/>
        </w:tabs>
        <w:suppressAutoHyphens/>
        <w:spacing w:line="276" w:lineRule="auto"/>
        <w:contextualSpacing/>
        <w:rPr>
          <w:rFonts w:eastAsia="Times New Roman" w:cs="Times New Roman"/>
          <w:spacing w:val="-3"/>
          <w:szCs w:val="24"/>
        </w:rPr>
      </w:pPr>
      <w:r w:rsidRPr="00D03C8B">
        <w:rPr>
          <w:rFonts w:eastAsia="Times New Roman" w:cs="Times New Roman"/>
          <w:spacing w:val="-3"/>
          <w:szCs w:val="24"/>
        </w:rPr>
        <w:t xml:space="preserve">Subrecipients coordinate with property owners to ensure they understand the benefits and responsibilities of participating in the program including that the program is voluntary. Subrecipients prepare an application which they submit to the Recipient. As part of this application, they provide assurances that they agree to all the terms of the deed restrictions and agree to </w:t>
      </w:r>
      <w:r w:rsidRPr="00D03C8B" w:rsidR="00B11E0C">
        <w:rPr>
          <w:rFonts w:eastAsia="Times New Roman" w:cs="Times New Roman"/>
          <w:spacing w:val="-3"/>
          <w:szCs w:val="24"/>
        </w:rPr>
        <w:t>restrict the</w:t>
      </w:r>
      <w:r w:rsidRPr="00D03C8B">
        <w:rPr>
          <w:rFonts w:eastAsia="Times New Roman" w:cs="Times New Roman"/>
          <w:spacing w:val="-3"/>
          <w:szCs w:val="24"/>
        </w:rPr>
        <w:t xml:space="preserve"> land </w:t>
      </w:r>
      <w:r w:rsidRPr="00D03C8B" w:rsidR="00B11E0C">
        <w:rPr>
          <w:rFonts w:eastAsia="Times New Roman" w:cs="Times New Roman"/>
          <w:spacing w:val="-3"/>
          <w:szCs w:val="24"/>
        </w:rPr>
        <w:t xml:space="preserve">to </w:t>
      </w:r>
      <w:r w:rsidRPr="00D03C8B">
        <w:rPr>
          <w:rFonts w:eastAsia="Times New Roman" w:cs="Times New Roman"/>
          <w:spacing w:val="-3"/>
          <w:szCs w:val="24"/>
        </w:rPr>
        <w:t xml:space="preserve">uses </w:t>
      </w:r>
      <w:r w:rsidRPr="00D03C8B" w:rsidR="00B11E0C">
        <w:rPr>
          <w:rFonts w:eastAsia="Times New Roman" w:cs="Times New Roman"/>
          <w:spacing w:val="-3"/>
          <w:szCs w:val="24"/>
        </w:rPr>
        <w:t xml:space="preserve">and structures </w:t>
      </w:r>
      <w:r w:rsidRPr="00D03C8B">
        <w:rPr>
          <w:rFonts w:eastAsia="Times New Roman" w:cs="Times New Roman"/>
          <w:spacing w:val="-3"/>
          <w:szCs w:val="24"/>
        </w:rPr>
        <w:t>that are compatible with open</w:t>
      </w:r>
      <w:r w:rsidRPr="00D03C8B" w:rsidR="004B28D3">
        <w:rPr>
          <w:rFonts w:eastAsia="Times New Roman" w:cs="Times New Roman"/>
          <w:spacing w:val="-3"/>
          <w:szCs w:val="24"/>
        </w:rPr>
        <w:t xml:space="preserve"> </w:t>
      </w:r>
      <w:r w:rsidRPr="00D03C8B">
        <w:rPr>
          <w:rFonts w:eastAsia="Times New Roman" w:cs="Times New Roman"/>
          <w:spacing w:val="-3"/>
          <w:szCs w:val="24"/>
        </w:rPr>
        <w:t>space.</w:t>
      </w:r>
    </w:p>
    <w:p w:rsidR="00970393" w:rsidRPr="00D03C8B" w:rsidP="00814646" w14:paraId="6C1893A6" w14:textId="77777777">
      <w:pPr>
        <w:tabs>
          <w:tab w:val="left" w:pos="-720"/>
        </w:tabs>
        <w:suppressAutoHyphens/>
        <w:spacing w:line="276" w:lineRule="auto"/>
        <w:contextualSpacing/>
        <w:rPr>
          <w:rFonts w:eastAsia="Times New Roman" w:cs="Times New Roman"/>
          <w:spacing w:val="-3"/>
          <w:szCs w:val="24"/>
        </w:rPr>
      </w:pPr>
    </w:p>
    <w:p w:rsidR="00D303B1" w:rsidRPr="00D03C8B" w:rsidP="00814646" w14:paraId="05E52E56" w14:textId="51305C32">
      <w:pPr>
        <w:tabs>
          <w:tab w:val="left" w:pos="-720"/>
        </w:tabs>
        <w:suppressAutoHyphens/>
        <w:spacing w:line="276" w:lineRule="auto"/>
        <w:contextualSpacing/>
        <w:rPr>
          <w:rFonts w:eastAsia="Times New Roman" w:cs="Times New Roman"/>
          <w:spacing w:val="-3"/>
          <w:szCs w:val="24"/>
        </w:rPr>
      </w:pPr>
      <w:r w:rsidRPr="00D03C8B">
        <w:rPr>
          <w:rFonts w:eastAsia="Times New Roman" w:cs="Times New Roman"/>
          <w:spacing w:val="-3"/>
          <w:szCs w:val="24"/>
        </w:rPr>
        <w:t xml:space="preserve">State agencies, </w:t>
      </w:r>
      <w:r w:rsidRPr="00D03C8B" w:rsidR="007C2BDF">
        <w:rPr>
          <w:rFonts w:eastAsia="Times New Roman" w:cs="Times New Roman"/>
          <w:spacing w:val="-3"/>
          <w:szCs w:val="24"/>
        </w:rPr>
        <w:t>t</w:t>
      </w:r>
      <w:r w:rsidRPr="00D03C8B">
        <w:rPr>
          <w:rFonts w:eastAsia="Times New Roman" w:cs="Times New Roman"/>
          <w:spacing w:val="-3"/>
          <w:szCs w:val="24"/>
        </w:rPr>
        <w:t>erritory agencies</w:t>
      </w:r>
      <w:r w:rsidRPr="00D03C8B" w:rsidR="00125358">
        <w:rPr>
          <w:rFonts w:eastAsia="Times New Roman" w:cs="Times New Roman"/>
          <w:spacing w:val="-3"/>
          <w:szCs w:val="24"/>
        </w:rPr>
        <w:t xml:space="preserve">, </w:t>
      </w:r>
      <w:r w:rsidRPr="00D03C8B" w:rsidR="007E49DC">
        <w:rPr>
          <w:rFonts w:eastAsia="Times New Roman" w:cs="Times New Roman"/>
          <w:spacing w:val="-3"/>
          <w:szCs w:val="24"/>
        </w:rPr>
        <w:t>Tribes,</w:t>
      </w:r>
      <w:r w:rsidRPr="00D03C8B" w:rsidR="00125358">
        <w:rPr>
          <w:rFonts w:eastAsia="Times New Roman" w:cs="Times New Roman"/>
          <w:spacing w:val="-3"/>
          <w:szCs w:val="24"/>
        </w:rPr>
        <w:t xml:space="preserve"> and local government </w:t>
      </w:r>
      <w:r w:rsidRPr="00D03C8B" w:rsidR="001A6816">
        <w:rPr>
          <w:rFonts w:eastAsia="Times New Roman" w:cs="Times New Roman"/>
          <w:spacing w:val="-3"/>
          <w:szCs w:val="24"/>
        </w:rPr>
        <w:t xml:space="preserve">as subrecipients, through the </w:t>
      </w:r>
      <w:r w:rsidRPr="00D03C8B" w:rsidR="007C2BDF">
        <w:rPr>
          <w:rFonts w:eastAsia="Times New Roman" w:cs="Times New Roman"/>
          <w:spacing w:val="-3"/>
          <w:szCs w:val="24"/>
        </w:rPr>
        <w:t>s</w:t>
      </w:r>
      <w:r w:rsidRPr="00D03C8B" w:rsidR="001A6816">
        <w:rPr>
          <w:rFonts w:eastAsia="Times New Roman" w:cs="Times New Roman"/>
          <w:spacing w:val="-3"/>
          <w:szCs w:val="24"/>
        </w:rPr>
        <w:t>tates</w:t>
      </w:r>
      <w:r w:rsidRPr="00D03C8B" w:rsidR="00D62C7B">
        <w:rPr>
          <w:rFonts w:eastAsia="Times New Roman" w:cs="Times New Roman"/>
          <w:spacing w:val="-3"/>
          <w:szCs w:val="24"/>
        </w:rPr>
        <w:t xml:space="preserve">, </w:t>
      </w:r>
      <w:r w:rsidRPr="00D03C8B" w:rsidR="007C2BDF">
        <w:rPr>
          <w:rFonts w:eastAsia="Times New Roman" w:cs="Times New Roman"/>
          <w:spacing w:val="-3"/>
          <w:szCs w:val="24"/>
        </w:rPr>
        <w:t>t</w:t>
      </w:r>
      <w:r w:rsidRPr="00D03C8B" w:rsidR="00D62C7B">
        <w:rPr>
          <w:rFonts w:eastAsia="Times New Roman" w:cs="Times New Roman"/>
          <w:spacing w:val="-3"/>
          <w:szCs w:val="24"/>
        </w:rPr>
        <w:t>erritories</w:t>
      </w:r>
      <w:r w:rsidRPr="00D03C8B" w:rsidR="001A6816">
        <w:rPr>
          <w:rFonts w:eastAsia="Times New Roman" w:cs="Times New Roman"/>
          <w:spacing w:val="-3"/>
          <w:szCs w:val="24"/>
        </w:rPr>
        <w:t xml:space="preserve"> </w:t>
      </w:r>
      <w:r w:rsidRPr="00D03C8B" w:rsidR="00925108">
        <w:rPr>
          <w:rFonts w:eastAsia="Times New Roman" w:cs="Times New Roman"/>
          <w:spacing w:val="-3"/>
          <w:szCs w:val="24"/>
        </w:rPr>
        <w:t xml:space="preserve">or </w:t>
      </w:r>
      <w:r w:rsidRPr="00D03C8B" w:rsidR="001A6816">
        <w:rPr>
          <w:rFonts w:eastAsia="Times New Roman" w:cs="Times New Roman"/>
          <w:spacing w:val="-3"/>
          <w:szCs w:val="24"/>
        </w:rPr>
        <w:t>Tribes as recipient</w:t>
      </w:r>
      <w:r w:rsidRPr="00D03C8B" w:rsidR="000C434F">
        <w:rPr>
          <w:rFonts w:eastAsia="Times New Roman" w:cs="Times New Roman"/>
          <w:spacing w:val="-3"/>
          <w:szCs w:val="24"/>
        </w:rPr>
        <w:t>s</w:t>
      </w:r>
      <w:r w:rsidRPr="00D03C8B" w:rsidR="001A6816">
        <w:rPr>
          <w:rFonts w:eastAsia="Times New Roman" w:cs="Times New Roman"/>
          <w:spacing w:val="-3"/>
          <w:szCs w:val="24"/>
        </w:rPr>
        <w:t xml:space="preserve">, will submit a report certifying that the subrecipient has inspected the property within the month preceding the report and that the property continues to be maintained consistent with the provisions of this part, the property </w:t>
      </w:r>
      <w:r w:rsidRPr="00D03C8B" w:rsidR="00AE2761">
        <w:rPr>
          <w:rFonts w:eastAsia="Times New Roman" w:cs="Times New Roman"/>
          <w:spacing w:val="-3"/>
          <w:szCs w:val="24"/>
        </w:rPr>
        <w:t>conveyance,</w:t>
      </w:r>
      <w:r w:rsidRPr="00D03C8B" w:rsidR="00A91363">
        <w:rPr>
          <w:rFonts w:eastAsia="Times New Roman" w:cs="Times New Roman"/>
          <w:spacing w:val="-3"/>
          <w:szCs w:val="24"/>
        </w:rPr>
        <w:t xml:space="preserve"> and the grant award (44 CFR</w:t>
      </w:r>
      <w:r w:rsidRPr="00D03C8B" w:rsidR="001A6816">
        <w:rPr>
          <w:rFonts w:eastAsia="Times New Roman" w:cs="Times New Roman"/>
          <w:spacing w:val="-3"/>
          <w:szCs w:val="24"/>
        </w:rPr>
        <w:t xml:space="preserve"> 80.19(d)).</w:t>
      </w:r>
    </w:p>
    <w:p w:rsidR="001A6816" w:rsidRPr="00D03C8B" w:rsidP="00814646" w14:paraId="442F436D" w14:textId="77777777">
      <w:pPr>
        <w:tabs>
          <w:tab w:val="left" w:pos="-720"/>
        </w:tabs>
        <w:suppressAutoHyphens/>
        <w:spacing w:line="276" w:lineRule="auto"/>
        <w:contextualSpacing/>
        <w:rPr>
          <w:rFonts w:eastAsia="Times New Roman" w:cs="Times New Roman"/>
          <w:spacing w:val="-3"/>
          <w:szCs w:val="24"/>
        </w:rPr>
      </w:pPr>
    </w:p>
    <w:p w:rsidR="00871ACD" w:rsidRPr="00D03C8B" w:rsidP="00814646" w14:paraId="643A908D" w14:textId="0C095BB0">
      <w:pPr>
        <w:tabs>
          <w:tab w:val="left" w:pos="-720"/>
        </w:tabs>
        <w:suppressAutoHyphens/>
        <w:spacing w:line="276" w:lineRule="auto"/>
        <w:contextualSpacing/>
        <w:rPr>
          <w:rFonts w:eastAsia="Times New Roman" w:cs="Times New Roman"/>
          <w:spacing w:val="-3"/>
          <w:szCs w:val="24"/>
        </w:rPr>
      </w:pPr>
      <w:r w:rsidRPr="00D03C8B">
        <w:rPr>
          <w:rFonts w:eastAsia="Times New Roman" w:cs="Times New Roman"/>
          <w:spacing w:val="-3"/>
          <w:szCs w:val="24"/>
        </w:rPr>
        <w:t>FEMA</w:t>
      </w:r>
      <w:r w:rsidRPr="00D03C8B" w:rsidR="00AC2CB8">
        <w:rPr>
          <w:rFonts w:eastAsia="Times New Roman" w:cs="Times New Roman"/>
          <w:spacing w:val="-3"/>
          <w:szCs w:val="24"/>
        </w:rPr>
        <w:t xml:space="preserve"> </w:t>
      </w:r>
      <w:r w:rsidRPr="00D03C8B">
        <w:rPr>
          <w:rFonts w:eastAsia="Times New Roman" w:cs="Times New Roman"/>
          <w:spacing w:val="-3"/>
          <w:szCs w:val="24"/>
        </w:rPr>
        <w:t xml:space="preserve">is responsible for reviewing applications for eligibility and compliance with </w:t>
      </w:r>
      <w:r w:rsidRPr="00D03C8B" w:rsidR="00923004">
        <w:rPr>
          <w:rFonts w:eastAsia="Times New Roman" w:cs="Times New Roman"/>
          <w:spacing w:val="-3"/>
          <w:szCs w:val="24"/>
        </w:rPr>
        <w:t xml:space="preserve">44 CFR </w:t>
      </w:r>
      <w:r w:rsidRPr="00D03C8B">
        <w:rPr>
          <w:rFonts w:eastAsia="Times New Roman" w:cs="Times New Roman"/>
          <w:spacing w:val="-3"/>
          <w:szCs w:val="24"/>
        </w:rPr>
        <w:t xml:space="preserve">Part 80, for reviewing proposals for subsequent transfer of </w:t>
      </w:r>
      <w:r w:rsidRPr="00D03C8B" w:rsidR="00B11E0C">
        <w:rPr>
          <w:rFonts w:eastAsia="Times New Roman" w:cs="Times New Roman"/>
          <w:spacing w:val="-3"/>
          <w:szCs w:val="24"/>
        </w:rPr>
        <w:t>an acquired property (or property interest)</w:t>
      </w:r>
      <w:r w:rsidRPr="00D03C8B">
        <w:rPr>
          <w:rFonts w:eastAsia="Times New Roman" w:cs="Times New Roman"/>
          <w:spacing w:val="-3"/>
          <w:szCs w:val="24"/>
        </w:rPr>
        <w:t xml:space="preserve"> and approving appropriate transferees</w:t>
      </w:r>
      <w:r w:rsidRPr="00D03C8B" w:rsidR="00923004">
        <w:rPr>
          <w:rFonts w:eastAsia="Times New Roman" w:cs="Times New Roman"/>
          <w:spacing w:val="-3"/>
          <w:szCs w:val="24"/>
        </w:rPr>
        <w:t>, determin</w:t>
      </w:r>
      <w:r w:rsidRPr="00D03C8B" w:rsidR="00575406">
        <w:rPr>
          <w:rFonts w:eastAsia="Times New Roman" w:cs="Times New Roman"/>
          <w:spacing w:val="-3"/>
          <w:szCs w:val="24"/>
        </w:rPr>
        <w:t>i</w:t>
      </w:r>
      <w:r w:rsidRPr="00D03C8B" w:rsidR="004A53D9">
        <w:rPr>
          <w:rFonts w:eastAsia="Times New Roman" w:cs="Times New Roman"/>
          <w:spacing w:val="-3"/>
          <w:szCs w:val="24"/>
        </w:rPr>
        <w:t>ng</w:t>
      </w:r>
      <w:r w:rsidRPr="00D03C8B" w:rsidR="00923004">
        <w:rPr>
          <w:rFonts w:eastAsia="Times New Roman" w:cs="Times New Roman"/>
          <w:spacing w:val="-3"/>
          <w:szCs w:val="24"/>
        </w:rPr>
        <w:t xml:space="preserve"> the compatibility of proposed uses with the open space purpose, </w:t>
      </w:r>
      <w:r w:rsidRPr="00D03C8B" w:rsidR="004A53D9">
        <w:rPr>
          <w:rFonts w:eastAsia="Times New Roman" w:cs="Times New Roman"/>
          <w:spacing w:val="-3"/>
          <w:szCs w:val="24"/>
        </w:rPr>
        <w:t xml:space="preserve">and enforcing the grant terms, </w:t>
      </w:r>
      <w:r w:rsidRPr="00D03C8B" w:rsidR="00923004">
        <w:rPr>
          <w:rFonts w:eastAsia="Times New Roman" w:cs="Times New Roman"/>
          <w:spacing w:val="-3"/>
          <w:szCs w:val="24"/>
        </w:rPr>
        <w:t xml:space="preserve">in accordance with 44 CFR  </w:t>
      </w:r>
      <w:r w:rsidRPr="00D03C8B" w:rsidR="007430EF">
        <w:rPr>
          <w:rFonts w:eastAsia="Times New Roman" w:cs="Times New Roman"/>
          <w:spacing w:val="-3"/>
          <w:szCs w:val="24"/>
        </w:rPr>
        <w:t>80</w:t>
      </w:r>
      <w:r w:rsidRPr="00D03C8B" w:rsidR="00B11E0C">
        <w:rPr>
          <w:rFonts w:eastAsia="Times New Roman" w:cs="Times New Roman"/>
          <w:spacing w:val="-3"/>
          <w:szCs w:val="24"/>
        </w:rPr>
        <w:t xml:space="preserve">, and the deed restrictions.  </w:t>
      </w:r>
    </w:p>
    <w:p w:rsidR="00871ACD" w:rsidRPr="00D03C8B" w:rsidP="00814646" w14:paraId="35C856E7" w14:textId="77777777">
      <w:pPr>
        <w:tabs>
          <w:tab w:val="left" w:pos="-720"/>
        </w:tabs>
        <w:suppressAutoHyphens/>
        <w:spacing w:line="276" w:lineRule="auto"/>
        <w:contextualSpacing/>
        <w:rPr>
          <w:rFonts w:eastAsia="Times New Roman" w:cs="Times New Roman"/>
          <w:spacing w:val="-3"/>
          <w:szCs w:val="24"/>
        </w:rPr>
      </w:pPr>
    </w:p>
    <w:p w:rsidR="00871ACD" w:rsidRPr="00D03C8B" w:rsidP="00814646" w14:paraId="61BAA20D" w14:textId="5E5EFBA3">
      <w:pPr>
        <w:tabs>
          <w:tab w:val="left" w:pos="-720"/>
        </w:tabs>
        <w:suppressAutoHyphens/>
        <w:spacing w:line="276" w:lineRule="auto"/>
        <w:contextualSpacing/>
        <w:rPr>
          <w:rFonts w:eastAsia="Times New Roman" w:cs="Times New Roman"/>
          <w:spacing w:val="-3"/>
          <w:szCs w:val="24"/>
        </w:rPr>
      </w:pPr>
      <w:r w:rsidRPr="00D03C8B">
        <w:rPr>
          <w:rFonts w:eastAsia="Times New Roman" w:cs="Times New Roman"/>
          <w:spacing w:val="-3"/>
          <w:szCs w:val="24"/>
        </w:rPr>
        <w:t>FEMA is also responsible for ensuring that the property is dedicated and maintained in perpetuity as open space in compliance with 44 CFR</w:t>
      </w:r>
      <w:r w:rsidRPr="00D03C8B" w:rsidR="00170C63">
        <w:rPr>
          <w:rFonts w:eastAsia="Times New Roman" w:cs="Times New Roman"/>
          <w:spacing w:val="-3"/>
          <w:szCs w:val="24"/>
        </w:rPr>
        <w:t xml:space="preserve"> Part</w:t>
      </w:r>
      <w:r w:rsidRPr="00D03C8B">
        <w:rPr>
          <w:rFonts w:eastAsia="Times New Roman" w:cs="Times New Roman"/>
          <w:spacing w:val="-3"/>
          <w:szCs w:val="24"/>
        </w:rPr>
        <w:t xml:space="preserve"> 80.</w:t>
      </w:r>
      <w:r w:rsidRPr="00D03C8B" w:rsidR="00C038AF">
        <w:rPr>
          <w:rFonts w:eastAsia="Times New Roman" w:cs="Times New Roman"/>
          <w:spacing w:val="-3"/>
          <w:szCs w:val="24"/>
        </w:rPr>
        <w:t xml:space="preserve"> </w:t>
      </w:r>
      <w:r w:rsidRPr="00D03C8B">
        <w:rPr>
          <w:rFonts w:eastAsia="Times New Roman" w:cs="Times New Roman"/>
          <w:spacing w:val="-3"/>
          <w:szCs w:val="24"/>
        </w:rPr>
        <w:t xml:space="preserve">It is important that the Agency maintain awareness of the recipient’s actions to monitor compliance. </w:t>
      </w:r>
      <w:r w:rsidRPr="00D03C8B" w:rsidR="007C2BDF">
        <w:rPr>
          <w:rFonts w:eastAsia="Times New Roman" w:cs="Times New Roman"/>
          <w:spacing w:val="-3"/>
          <w:szCs w:val="24"/>
        </w:rPr>
        <w:t xml:space="preserve">44 CFR </w:t>
      </w:r>
      <w:r w:rsidRPr="00D03C8B" w:rsidR="00E820C4">
        <w:rPr>
          <w:rFonts w:eastAsia="Times New Roman" w:cs="Times New Roman"/>
          <w:spacing w:val="-3"/>
          <w:szCs w:val="24"/>
        </w:rPr>
        <w:t xml:space="preserve">80.19(e) requires that enforcement notices and actions be </w:t>
      </w:r>
      <w:r w:rsidRPr="00D03C8B" w:rsidR="001F14E3">
        <w:rPr>
          <w:rFonts w:eastAsia="Times New Roman" w:cs="Times New Roman"/>
          <w:spacing w:val="-3"/>
          <w:szCs w:val="24"/>
        </w:rPr>
        <w:t xml:space="preserve">completed </w:t>
      </w:r>
      <w:r w:rsidRPr="00D03C8B" w:rsidR="00E820C4">
        <w:rPr>
          <w:rFonts w:eastAsia="Times New Roman" w:cs="Times New Roman"/>
          <w:spacing w:val="-3"/>
          <w:szCs w:val="24"/>
        </w:rPr>
        <w:t xml:space="preserve">by </w:t>
      </w:r>
      <w:r w:rsidRPr="00D03C8B" w:rsidR="007C2BDF">
        <w:rPr>
          <w:rFonts w:eastAsia="Times New Roman" w:cs="Times New Roman"/>
          <w:spacing w:val="-3"/>
          <w:szCs w:val="24"/>
        </w:rPr>
        <w:t>s</w:t>
      </w:r>
      <w:r w:rsidRPr="00D03C8B" w:rsidR="00E820C4">
        <w:rPr>
          <w:rFonts w:eastAsia="Times New Roman" w:cs="Times New Roman"/>
          <w:spacing w:val="-3"/>
          <w:szCs w:val="24"/>
        </w:rPr>
        <w:t>tate</w:t>
      </w:r>
      <w:r w:rsidRPr="00D03C8B" w:rsidR="00F333A0">
        <w:rPr>
          <w:rFonts w:eastAsia="Times New Roman" w:cs="Times New Roman"/>
          <w:spacing w:val="-3"/>
          <w:szCs w:val="24"/>
        </w:rPr>
        <w:t>s</w:t>
      </w:r>
      <w:r w:rsidRPr="00D03C8B" w:rsidR="00A4526B">
        <w:rPr>
          <w:rFonts w:eastAsia="Times New Roman" w:cs="Times New Roman"/>
          <w:spacing w:val="-3"/>
          <w:szCs w:val="24"/>
        </w:rPr>
        <w:t>,</w:t>
      </w:r>
      <w:r w:rsidRPr="00D03C8B" w:rsidR="004B28D3">
        <w:rPr>
          <w:rFonts w:eastAsia="Times New Roman" w:cs="Times New Roman"/>
          <w:spacing w:val="-3"/>
          <w:szCs w:val="24"/>
        </w:rPr>
        <w:t xml:space="preserve"> </w:t>
      </w:r>
      <w:r w:rsidRPr="00D03C8B" w:rsidR="007C2BDF">
        <w:rPr>
          <w:rFonts w:eastAsia="Times New Roman" w:cs="Times New Roman"/>
          <w:spacing w:val="-3"/>
          <w:szCs w:val="24"/>
        </w:rPr>
        <w:t>t</w:t>
      </w:r>
      <w:r w:rsidRPr="00D03C8B" w:rsidR="004B28D3">
        <w:rPr>
          <w:rFonts w:eastAsia="Times New Roman" w:cs="Times New Roman"/>
          <w:spacing w:val="-3"/>
          <w:szCs w:val="24"/>
        </w:rPr>
        <w:t>erritories</w:t>
      </w:r>
      <w:r w:rsidRPr="00D03C8B" w:rsidR="001F14E3">
        <w:rPr>
          <w:rFonts w:eastAsia="Times New Roman" w:cs="Times New Roman"/>
          <w:spacing w:val="-3"/>
          <w:szCs w:val="24"/>
        </w:rPr>
        <w:t xml:space="preserve"> and Tribes</w:t>
      </w:r>
      <w:r w:rsidRPr="00D03C8B" w:rsidR="00A4526B">
        <w:rPr>
          <w:rFonts w:eastAsia="Times New Roman" w:cs="Times New Roman"/>
          <w:spacing w:val="-3"/>
          <w:szCs w:val="24"/>
        </w:rPr>
        <w:t xml:space="preserve">, </w:t>
      </w:r>
      <w:r w:rsidRPr="00D03C8B" w:rsidR="004A53D9">
        <w:rPr>
          <w:rFonts w:eastAsia="Times New Roman" w:cs="Times New Roman"/>
          <w:spacing w:val="-3"/>
          <w:szCs w:val="24"/>
        </w:rPr>
        <w:t>if there are violations of open space</w:t>
      </w:r>
      <w:r w:rsidRPr="00D03C8B" w:rsidR="00E820C4">
        <w:rPr>
          <w:rFonts w:eastAsia="Times New Roman" w:cs="Times New Roman"/>
          <w:spacing w:val="-3"/>
          <w:szCs w:val="24"/>
        </w:rPr>
        <w:t xml:space="preserve">. </w:t>
      </w:r>
      <w:r w:rsidRPr="00D03C8B" w:rsidR="00A4526B">
        <w:rPr>
          <w:rFonts w:eastAsia="Times New Roman" w:cs="Times New Roman"/>
          <w:spacing w:val="-3"/>
          <w:szCs w:val="24"/>
        </w:rPr>
        <w:t>The</w:t>
      </w:r>
      <w:r w:rsidRPr="00D03C8B" w:rsidR="00E820C4">
        <w:rPr>
          <w:rFonts w:eastAsia="Times New Roman" w:cs="Times New Roman"/>
          <w:spacing w:val="-3"/>
          <w:szCs w:val="24"/>
        </w:rPr>
        <w:t xml:space="preserve"> recipient </w:t>
      </w:r>
      <w:r w:rsidRPr="00D03C8B" w:rsidR="00A4526B">
        <w:rPr>
          <w:rFonts w:eastAsia="Times New Roman" w:cs="Times New Roman"/>
          <w:spacing w:val="-3"/>
          <w:szCs w:val="24"/>
        </w:rPr>
        <w:t xml:space="preserve">must </w:t>
      </w:r>
      <w:r w:rsidRPr="00D03C8B" w:rsidR="00FB0A17">
        <w:rPr>
          <w:rFonts w:eastAsia="Times New Roman" w:cs="Times New Roman"/>
          <w:spacing w:val="-3"/>
          <w:szCs w:val="24"/>
        </w:rPr>
        <w:t xml:space="preserve">take </w:t>
      </w:r>
      <w:r w:rsidRPr="00D03C8B" w:rsidR="00E820C4">
        <w:rPr>
          <w:rFonts w:eastAsia="Times New Roman" w:cs="Times New Roman"/>
          <w:spacing w:val="-3"/>
          <w:szCs w:val="24"/>
        </w:rPr>
        <w:t xml:space="preserve">corrective action to </w:t>
      </w:r>
      <w:r w:rsidRPr="00D03C8B" w:rsidR="00FB0A17">
        <w:rPr>
          <w:rFonts w:eastAsia="Times New Roman" w:cs="Times New Roman"/>
          <w:spacing w:val="-3"/>
          <w:szCs w:val="24"/>
        </w:rPr>
        <w:t xml:space="preserve">ensure that the </w:t>
      </w:r>
      <w:r w:rsidRPr="00D03C8B" w:rsidR="00E820C4">
        <w:rPr>
          <w:rFonts w:eastAsia="Times New Roman" w:cs="Times New Roman"/>
          <w:spacing w:val="-3"/>
          <w:szCs w:val="24"/>
        </w:rPr>
        <w:t>sub</w:t>
      </w:r>
      <w:r w:rsidRPr="00D03C8B" w:rsidR="00845C9B">
        <w:rPr>
          <w:rFonts w:eastAsia="Times New Roman" w:cs="Times New Roman"/>
          <w:spacing w:val="-3"/>
          <w:szCs w:val="24"/>
        </w:rPr>
        <w:t xml:space="preserve">recipient </w:t>
      </w:r>
      <w:r w:rsidRPr="00D03C8B" w:rsidR="00FB0A17">
        <w:rPr>
          <w:rFonts w:eastAsia="Times New Roman" w:cs="Times New Roman"/>
          <w:spacing w:val="-3"/>
          <w:szCs w:val="24"/>
        </w:rPr>
        <w:t>complies</w:t>
      </w:r>
      <w:r w:rsidRPr="00D03C8B" w:rsidR="00E820C4">
        <w:rPr>
          <w:rFonts w:eastAsia="Times New Roman" w:cs="Times New Roman"/>
          <w:spacing w:val="-3"/>
          <w:szCs w:val="24"/>
        </w:rPr>
        <w:t xml:space="preserve"> with the terms of the deed restriction</w:t>
      </w:r>
      <w:r w:rsidRPr="00D03C8B" w:rsidR="002E465B">
        <w:rPr>
          <w:rFonts w:eastAsia="Times New Roman" w:cs="Times New Roman"/>
          <w:spacing w:val="-3"/>
          <w:szCs w:val="24"/>
        </w:rPr>
        <w:t>s</w:t>
      </w:r>
      <w:r w:rsidRPr="00D03C8B" w:rsidR="00E820C4">
        <w:rPr>
          <w:rFonts w:eastAsia="Times New Roman" w:cs="Times New Roman"/>
          <w:spacing w:val="-3"/>
          <w:szCs w:val="24"/>
        </w:rPr>
        <w:t xml:space="preserve">. Although requirements for </w:t>
      </w:r>
      <w:r w:rsidRPr="00D03C8B" w:rsidR="001F14E3">
        <w:rPr>
          <w:rFonts w:eastAsia="Times New Roman" w:cs="Times New Roman"/>
          <w:spacing w:val="-3"/>
          <w:szCs w:val="24"/>
        </w:rPr>
        <w:t xml:space="preserve">transfers </w:t>
      </w:r>
      <w:r w:rsidRPr="00D03C8B" w:rsidR="00E820C4">
        <w:rPr>
          <w:rFonts w:eastAsia="Times New Roman" w:cs="Times New Roman"/>
          <w:spacing w:val="-3"/>
          <w:szCs w:val="24"/>
        </w:rPr>
        <w:t xml:space="preserve">and </w:t>
      </w:r>
      <w:r w:rsidRPr="00D03C8B" w:rsidR="001F14E3">
        <w:rPr>
          <w:rFonts w:eastAsia="Times New Roman" w:cs="Times New Roman"/>
          <w:spacing w:val="-3"/>
          <w:szCs w:val="24"/>
        </w:rPr>
        <w:t xml:space="preserve">enforcement </w:t>
      </w:r>
      <w:r w:rsidRPr="00D03C8B" w:rsidR="00E820C4">
        <w:rPr>
          <w:rFonts w:eastAsia="Times New Roman" w:cs="Times New Roman"/>
          <w:spacing w:val="-3"/>
          <w:szCs w:val="24"/>
        </w:rPr>
        <w:t xml:space="preserve">activities are included in the </w:t>
      </w:r>
      <w:r w:rsidRPr="00D03C8B" w:rsidR="001F14E3">
        <w:rPr>
          <w:rFonts w:eastAsia="Times New Roman" w:cs="Times New Roman"/>
          <w:spacing w:val="-3"/>
          <w:szCs w:val="24"/>
        </w:rPr>
        <w:t xml:space="preserve">acquisition </w:t>
      </w:r>
      <w:r w:rsidRPr="00D03C8B" w:rsidR="00E820C4">
        <w:rPr>
          <w:rFonts w:eastAsia="Times New Roman" w:cs="Times New Roman"/>
          <w:spacing w:val="-3"/>
          <w:szCs w:val="24"/>
        </w:rPr>
        <w:t xml:space="preserve">regulation, the frequency of </w:t>
      </w:r>
      <w:r w:rsidRPr="00D03C8B" w:rsidR="00A56834">
        <w:rPr>
          <w:rFonts w:eastAsia="Times New Roman" w:cs="Times New Roman"/>
          <w:spacing w:val="-3"/>
          <w:szCs w:val="24"/>
        </w:rPr>
        <w:t xml:space="preserve">related </w:t>
      </w:r>
      <w:r w:rsidRPr="00D03C8B" w:rsidR="00E820C4">
        <w:rPr>
          <w:rFonts w:eastAsia="Times New Roman" w:cs="Times New Roman"/>
          <w:spacing w:val="-3"/>
          <w:szCs w:val="24"/>
        </w:rPr>
        <w:t xml:space="preserve">responses from </w:t>
      </w:r>
      <w:r w:rsidRPr="00D03C8B" w:rsidR="001F14E3">
        <w:rPr>
          <w:rFonts w:eastAsia="Times New Roman" w:cs="Times New Roman"/>
          <w:spacing w:val="-3"/>
          <w:szCs w:val="24"/>
        </w:rPr>
        <w:t xml:space="preserve">recipients </w:t>
      </w:r>
      <w:r w:rsidRPr="00D03C8B" w:rsidR="00E820C4">
        <w:rPr>
          <w:rFonts w:eastAsia="Times New Roman" w:cs="Times New Roman"/>
          <w:spacing w:val="-3"/>
          <w:szCs w:val="24"/>
        </w:rPr>
        <w:t xml:space="preserve">is </w:t>
      </w:r>
      <w:r w:rsidRPr="00D03C8B" w:rsidR="00A56834">
        <w:rPr>
          <w:rFonts w:eastAsia="Times New Roman" w:cs="Times New Roman"/>
          <w:spacing w:val="-3"/>
          <w:szCs w:val="24"/>
        </w:rPr>
        <w:t>low</w:t>
      </w:r>
      <w:r w:rsidRPr="00D03C8B" w:rsidR="00E820C4">
        <w:rPr>
          <w:rFonts w:eastAsia="Times New Roman" w:cs="Times New Roman"/>
          <w:spacing w:val="-3"/>
          <w:szCs w:val="24"/>
        </w:rPr>
        <w:t xml:space="preserve">. Since 1988 (when </w:t>
      </w:r>
      <w:r w:rsidRPr="00D03C8B" w:rsidR="007430EF">
        <w:rPr>
          <w:rFonts w:eastAsia="Times New Roman" w:cs="Times New Roman"/>
          <w:spacing w:val="-3"/>
          <w:szCs w:val="24"/>
        </w:rPr>
        <w:t xml:space="preserve">the </w:t>
      </w:r>
      <w:r w:rsidRPr="00D03C8B" w:rsidR="00E820C4">
        <w:rPr>
          <w:rFonts w:eastAsia="Times New Roman" w:cs="Times New Roman"/>
          <w:spacing w:val="-3"/>
          <w:szCs w:val="24"/>
        </w:rPr>
        <w:t xml:space="preserve">Hazard Mitigation Grant Program was first authorized), the number of properties acquired with Federal funds that have required these types of activities </w:t>
      </w:r>
      <w:r w:rsidRPr="00D03C8B" w:rsidR="00A56834">
        <w:rPr>
          <w:rFonts w:eastAsia="Times New Roman" w:cs="Times New Roman"/>
          <w:spacing w:val="-3"/>
          <w:szCs w:val="24"/>
        </w:rPr>
        <w:t>has been</w:t>
      </w:r>
      <w:r w:rsidRPr="00D03C8B" w:rsidR="001F14E3">
        <w:rPr>
          <w:rFonts w:eastAsia="Times New Roman" w:cs="Times New Roman"/>
          <w:spacing w:val="-3"/>
          <w:szCs w:val="24"/>
        </w:rPr>
        <w:t xml:space="preserve"> </w:t>
      </w:r>
      <w:r w:rsidRPr="00D03C8B" w:rsidR="00E820C4">
        <w:rPr>
          <w:rFonts w:eastAsia="Times New Roman" w:cs="Times New Roman"/>
          <w:spacing w:val="-3"/>
          <w:szCs w:val="24"/>
        </w:rPr>
        <w:t xml:space="preserve">minimal. We estimate that only </w:t>
      </w:r>
      <w:r w:rsidRPr="00D03C8B" w:rsidR="00700C49">
        <w:rPr>
          <w:rFonts w:eastAsia="Times New Roman" w:cs="Times New Roman"/>
          <w:spacing w:val="-3"/>
          <w:szCs w:val="24"/>
        </w:rPr>
        <w:t>4-6</w:t>
      </w:r>
      <w:r w:rsidRPr="00D03C8B" w:rsidR="00E820C4">
        <w:rPr>
          <w:rFonts w:eastAsia="Times New Roman" w:cs="Times New Roman"/>
          <w:spacing w:val="-3"/>
          <w:szCs w:val="24"/>
        </w:rPr>
        <w:t xml:space="preserve"> requests for transfers or notices of enforcement actions have been initiated since FEMA mitigation grants for acquisition activities started in 1988.</w:t>
      </w:r>
      <w:r w:rsidRPr="00D03C8B" w:rsidR="007317F9">
        <w:rPr>
          <w:rFonts w:eastAsia="Times New Roman" w:cs="Times New Roman"/>
          <w:spacing w:val="-3"/>
          <w:szCs w:val="24"/>
        </w:rPr>
        <w:t xml:space="preserve"> </w:t>
      </w:r>
      <w:r w:rsidRPr="00D03C8B" w:rsidR="00364EE2">
        <w:rPr>
          <w:rFonts w:cs="Times New Roman"/>
          <w:szCs w:val="24"/>
        </w:rPr>
        <w:t>Recipients are responsibl</w:t>
      </w:r>
      <w:r w:rsidRPr="00D03C8B" w:rsidR="005F3857">
        <w:rPr>
          <w:rFonts w:cs="Times New Roman"/>
          <w:szCs w:val="24"/>
        </w:rPr>
        <w:t xml:space="preserve">e for monitoring and taking measures to bring the property back into compliance if the property is not maintained in accordance with the terms of </w:t>
      </w:r>
      <w:r w:rsidRPr="00D03C8B" w:rsidR="005F3857">
        <w:rPr>
          <w:rFonts w:eastAsia="Times New Roman" w:cs="Times New Roman"/>
          <w:spacing w:val="-3"/>
          <w:szCs w:val="24"/>
        </w:rPr>
        <w:t xml:space="preserve">44 CFR </w:t>
      </w:r>
      <w:r w:rsidRPr="00D03C8B" w:rsidR="00170C63">
        <w:rPr>
          <w:rFonts w:eastAsia="Times New Roman" w:cs="Times New Roman"/>
          <w:spacing w:val="-3"/>
          <w:szCs w:val="24"/>
        </w:rPr>
        <w:t xml:space="preserve">Part </w:t>
      </w:r>
      <w:r w:rsidRPr="00D03C8B" w:rsidR="005F3857">
        <w:rPr>
          <w:rFonts w:eastAsia="Times New Roman" w:cs="Times New Roman"/>
          <w:spacing w:val="-3"/>
          <w:szCs w:val="24"/>
        </w:rPr>
        <w:t>80</w:t>
      </w:r>
      <w:r w:rsidRPr="00D03C8B" w:rsidR="00527E3B">
        <w:rPr>
          <w:rFonts w:cs="Times New Roman"/>
          <w:szCs w:val="24"/>
        </w:rPr>
        <w:t>. Some</w:t>
      </w:r>
      <w:r w:rsidRPr="00D03C8B" w:rsidR="00364EE2">
        <w:rPr>
          <w:rFonts w:cs="Times New Roman"/>
          <w:szCs w:val="24"/>
        </w:rPr>
        <w:t xml:space="preserve"> recip</w:t>
      </w:r>
      <w:r w:rsidRPr="00D03C8B" w:rsidR="00527E3B">
        <w:rPr>
          <w:rFonts w:cs="Times New Roman"/>
          <w:szCs w:val="24"/>
        </w:rPr>
        <w:t xml:space="preserve">ients may not notify </w:t>
      </w:r>
      <w:r w:rsidRPr="00D03C8B" w:rsidR="00364EE2">
        <w:rPr>
          <w:rFonts w:cs="Times New Roman"/>
          <w:szCs w:val="24"/>
        </w:rPr>
        <w:t>FEMA</w:t>
      </w:r>
      <w:r w:rsidRPr="00D03C8B" w:rsidR="00527E3B">
        <w:rPr>
          <w:rFonts w:cs="Times New Roman"/>
          <w:szCs w:val="24"/>
        </w:rPr>
        <w:t xml:space="preserve"> of all non-compliance actions when the issues are resolved </w:t>
      </w:r>
      <w:r w:rsidRPr="00D03C8B" w:rsidR="00622C70">
        <w:rPr>
          <w:rFonts w:cs="Times New Roman"/>
          <w:szCs w:val="24"/>
        </w:rPr>
        <w:t xml:space="preserve">informally </w:t>
      </w:r>
      <w:r w:rsidRPr="00D03C8B" w:rsidR="00527E3B">
        <w:rPr>
          <w:rFonts w:cs="Times New Roman"/>
          <w:szCs w:val="24"/>
        </w:rPr>
        <w:t>before official enforcement notices are sent</w:t>
      </w:r>
      <w:r w:rsidRPr="00D03C8B" w:rsidR="00364EE2">
        <w:rPr>
          <w:rFonts w:cs="Times New Roman"/>
          <w:szCs w:val="24"/>
        </w:rPr>
        <w:t>.</w:t>
      </w:r>
      <w:r w:rsidRPr="00D03C8B" w:rsidR="005F3857">
        <w:rPr>
          <w:rFonts w:cs="Times New Roman"/>
          <w:szCs w:val="24"/>
        </w:rPr>
        <w:t xml:space="preserve"> </w:t>
      </w:r>
      <w:r w:rsidRPr="00D03C8B" w:rsidR="00364EE2">
        <w:rPr>
          <w:rFonts w:cs="Times New Roman"/>
          <w:szCs w:val="24"/>
        </w:rPr>
        <w:t xml:space="preserve"> </w:t>
      </w:r>
    </w:p>
    <w:p w:rsidR="00871ACD" w14:paraId="4FE7A729" w14:textId="30C56CE4">
      <w:pPr>
        <w:tabs>
          <w:tab w:val="left" w:pos="-720"/>
        </w:tabs>
        <w:suppressAutoHyphens/>
        <w:spacing w:line="276" w:lineRule="auto"/>
        <w:contextualSpacing/>
        <w:rPr>
          <w:rFonts w:eastAsia="Times New Roman" w:cs="Times New Roman"/>
          <w:spacing w:val="-3"/>
          <w:szCs w:val="24"/>
        </w:rPr>
      </w:pPr>
    </w:p>
    <w:p w:rsidR="00171560" w14:paraId="20EF31D5" w14:textId="355F25C2">
      <w:pPr>
        <w:tabs>
          <w:tab w:val="left" w:pos="-720"/>
        </w:tabs>
        <w:suppressAutoHyphens/>
        <w:spacing w:line="276" w:lineRule="auto"/>
        <w:contextualSpacing/>
        <w:rPr>
          <w:rFonts w:eastAsia="Times New Roman" w:cs="Times New Roman"/>
          <w:spacing w:val="-3"/>
          <w:szCs w:val="24"/>
        </w:rPr>
      </w:pPr>
      <w:r>
        <w:rPr>
          <w:rFonts w:eastAsia="Times New Roman" w:cs="Times New Roman"/>
          <w:spacing w:val="-3"/>
          <w:szCs w:val="24"/>
        </w:rPr>
        <w:t>With this revision, FEMA is removing five instruments off the inventory for this information collection because each of these five instruments are approved for use in a different information collection with its own OMB Control Number.</w:t>
      </w:r>
    </w:p>
    <w:p w:rsidR="00171560" w:rsidRPr="00D03C8B" w:rsidP="00814646" w14:paraId="04890B74" w14:textId="77777777">
      <w:pPr>
        <w:tabs>
          <w:tab w:val="left" w:pos="-720"/>
        </w:tabs>
        <w:suppressAutoHyphens/>
        <w:spacing w:line="276" w:lineRule="auto"/>
        <w:contextualSpacing/>
        <w:rPr>
          <w:rFonts w:eastAsia="Times New Roman" w:cs="Times New Roman"/>
          <w:spacing w:val="-3"/>
          <w:szCs w:val="24"/>
        </w:rPr>
      </w:pPr>
    </w:p>
    <w:p w:rsidR="00B17A38" w:rsidRPr="00D03C8B" w:rsidP="00814646" w14:paraId="7B30CBB0" w14:textId="06BFCC9A">
      <w:pPr>
        <w:spacing w:line="276" w:lineRule="auto"/>
        <w:contextualSpacing/>
        <w:rPr>
          <w:rFonts w:cs="Times New Roman"/>
          <w:b/>
          <w:color w:val="000000"/>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2.  </w:t>
      </w:r>
      <w:r w:rsidRPr="00D03C8B">
        <w:rPr>
          <w:rFonts w:cs="Times New Roman"/>
          <w:b/>
          <w:szCs w:val="24"/>
        </w:rPr>
        <w:t xml:space="preserve">Indicate how, by whom, and for what purpose the information is to be used.  Except for a new collection, indicate the actual use the agency has made of the information received from the current collection. </w:t>
      </w:r>
      <w:r w:rsidRPr="00D03C8B">
        <w:rPr>
          <w:rFonts w:cs="Times New Roman"/>
          <w:b/>
          <w:color w:val="0000FF"/>
          <w:szCs w:val="24"/>
        </w:rPr>
        <w:t xml:space="preserve"> </w:t>
      </w:r>
      <w:r w:rsidRPr="00D03C8B">
        <w:rPr>
          <w:rFonts w:cs="Times New Roman"/>
          <w:b/>
          <w:color w:val="000000"/>
          <w:szCs w:val="24"/>
        </w:rPr>
        <w:t>Provide a detailed description of: how the information will be shared, if applicable, and for</w:t>
      </w:r>
      <w:r w:rsidRPr="00D03C8B">
        <w:rPr>
          <w:rFonts w:cs="Times New Roman"/>
          <w:b/>
          <w:color w:val="0000FF"/>
          <w:szCs w:val="24"/>
        </w:rPr>
        <w:t xml:space="preserve"> </w:t>
      </w:r>
      <w:r w:rsidRPr="00D03C8B">
        <w:rPr>
          <w:rFonts w:cs="Times New Roman"/>
          <w:b/>
          <w:color w:val="000000"/>
          <w:szCs w:val="24"/>
        </w:rPr>
        <w:t>what programmatic purpose.</w:t>
      </w:r>
      <w:r w:rsidRPr="00D03C8B">
        <w:rPr>
          <w:rFonts w:cs="Times New Roman"/>
          <w:b/>
          <w:bCs/>
          <w:color w:val="000000"/>
          <w:szCs w:val="24"/>
        </w:rPr>
        <w:t xml:space="preserve">     </w:t>
      </w:r>
    </w:p>
    <w:p w:rsidR="00174B16" w14:paraId="709567B5" w14:textId="3885D806">
      <w:pPr>
        <w:spacing w:line="276" w:lineRule="auto"/>
        <w:contextualSpacing/>
        <w:rPr>
          <w:rFonts w:cs="Times New Roman"/>
          <w:szCs w:val="24"/>
        </w:rPr>
      </w:pPr>
    </w:p>
    <w:p w:rsidR="00171560" w14:paraId="01BD388C" w14:textId="38B836D7">
      <w:pPr>
        <w:spacing w:line="276" w:lineRule="auto"/>
        <w:contextualSpacing/>
        <w:rPr>
          <w:rFonts w:cs="Times New Roman"/>
          <w:szCs w:val="24"/>
        </w:rPr>
      </w:pPr>
      <w:r w:rsidRPr="00D03C8B">
        <w:rPr>
          <w:rFonts w:eastAsia="Times New Roman" w:cs="Times New Roman"/>
          <w:szCs w:val="24"/>
        </w:rPr>
        <w:t xml:space="preserve">FEMA and state, territory and Tribal recipients of FEMA mitigation grant funds will use the information collected from grant subapplicants (local jurisdictions) to ensure the voluntary nature of the property acquisitions (per 44 CFR 80.11) and to ensure that when the </w:t>
      </w:r>
      <w:r>
        <w:rPr>
          <w:rFonts w:eastAsia="Times New Roman" w:cs="Times New Roman"/>
          <w:szCs w:val="24"/>
        </w:rPr>
        <w:t>s</w:t>
      </w:r>
      <w:r w:rsidRPr="00D03C8B">
        <w:rPr>
          <w:rFonts w:eastAsia="Times New Roman" w:cs="Times New Roman"/>
          <w:szCs w:val="24"/>
        </w:rPr>
        <w:t xml:space="preserve">tate, </w:t>
      </w:r>
      <w:r>
        <w:rPr>
          <w:rFonts w:eastAsia="Times New Roman" w:cs="Times New Roman"/>
          <w:szCs w:val="24"/>
        </w:rPr>
        <w:t>t</w:t>
      </w:r>
      <w:r w:rsidRPr="00D03C8B">
        <w:rPr>
          <w:rFonts w:eastAsia="Times New Roman" w:cs="Times New Roman"/>
          <w:szCs w:val="24"/>
        </w:rPr>
        <w:t>erritory or Tribe acquires the property, it remains in open space in perpetuity consistent with 44 CFR Part 80. FEMA and recipients will also use the information to monitor and enforce the open space requirements for all properties acquired with FEMA mitigation grants</w:t>
      </w:r>
      <w:r w:rsidR="0016159D">
        <w:rPr>
          <w:rFonts w:eastAsia="Times New Roman" w:cs="Times New Roman"/>
          <w:szCs w:val="24"/>
        </w:rPr>
        <w:t>.</w:t>
      </w:r>
    </w:p>
    <w:p w:rsidR="00171560" w14:paraId="1734C4D8" w14:textId="71EA2FAB">
      <w:pPr>
        <w:spacing w:line="276" w:lineRule="auto"/>
        <w:contextualSpacing/>
        <w:rPr>
          <w:rFonts w:cs="Times New Roman"/>
          <w:szCs w:val="24"/>
        </w:rPr>
      </w:pPr>
    </w:p>
    <w:p w:rsidR="0016159D" w14:paraId="4033B892" w14:textId="39C4D23E">
      <w:pPr>
        <w:spacing w:line="276" w:lineRule="auto"/>
        <w:contextualSpacing/>
        <w:rPr>
          <w:rFonts w:cs="Times New Roman"/>
          <w:szCs w:val="24"/>
        </w:rPr>
      </w:pPr>
      <w:r w:rsidRPr="00D03C8B">
        <w:rPr>
          <w:rFonts w:cs="Times New Roman"/>
          <w:szCs w:val="24"/>
        </w:rPr>
        <w:t>Acquired land must remain as open space and is restricted in perpetuity to uses that are “compatible with open space, recreational, or wetlands management practices” and “conserve the natural floodplain functions.” When the state, territory or Tribe acquires the property, verification of monitoring and reporting is submitted by the state, territory and/or Tribe to FEMA. Every three years the subrecipient, through the recipient, must submit to FEMA a report certifying that the subrecipient has inspected the property within the month preceding the report and that the property continues to be maintained consistent with provisions of the grant. This requirement is necessary to enforce the continued open space land use in accordance with the terms of the deed restrictions for properties acquired with FEMA mitigation grants</w:t>
      </w:r>
      <w:r>
        <w:rPr>
          <w:rFonts w:cs="Times New Roman"/>
          <w:szCs w:val="24"/>
        </w:rPr>
        <w:t>.</w:t>
      </w:r>
    </w:p>
    <w:p w:rsidR="0016159D" w14:paraId="720EE19F" w14:textId="77777777">
      <w:pPr>
        <w:spacing w:line="276" w:lineRule="auto"/>
        <w:contextualSpacing/>
        <w:rPr>
          <w:rFonts w:cs="Times New Roman"/>
          <w:szCs w:val="24"/>
        </w:rPr>
      </w:pPr>
    </w:p>
    <w:p w:rsidR="00171560" w:rsidRPr="00D03C8B" w:rsidP="00814646" w14:paraId="538666DD" w14:textId="5F0F6ACC">
      <w:pPr>
        <w:tabs>
          <w:tab w:val="left" w:pos="-720"/>
        </w:tabs>
        <w:suppressAutoHyphens/>
        <w:spacing w:line="276" w:lineRule="auto"/>
        <w:contextualSpacing/>
        <w:rPr>
          <w:rFonts w:eastAsia="Times New Roman" w:cs="Times New Roman"/>
          <w:szCs w:val="24"/>
        </w:rPr>
      </w:pPr>
      <w:r w:rsidRPr="00CB14F8">
        <w:rPr>
          <w:rFonts w:eastAsia="Arial Unicode MS" w:cs="Times New Roman"/>
          <w:b/>
          <w:bCs/>
          <w:szCs w:val="24"/>
        </w:rPr>
        <w:t>FEMA Form FF-206-FY-21-124 (formerly 086-0-31</w:t>
      </w:r>
      <w:r w:rsidRPr="005C5AA2">
        <w:rPr>
          <w:rFonts w:eastAsia="Arial Unicode MS" w:cs="Times New Roman"/>
          <w:b/>
          <w:bCs/>
          <w:szCs w:val="24"/>
        </w:rPr>
        <w:t>),</w:t>
      </w:r>
      <w:r w:rsidRPr="005C5AA2">
        <w:rPr>
          <w:rFonts w:eastAsia="Times New Roman" w:cs="Times New Roman"/>
          <w:b/>
          <w:bCs/>
          <w:szCs w:val="24"/>
        </w:rPr>
        <w:t xml:space="preserve"> </w:t>
      </w:r>
      <w:r w:rsidRPr="00814646" w:rsidR="005C5AA2">
        <w:rPr>
          <w:b/>
          <w:bCs/>
        </w:rPr>
        <w:t>Statement of Voluntary Participation for Acquisition of Property for Purpose of Open Space</w:t>
      </w:r>
      <w:r w:rsidR="005C5AA2">
        <w:rPr>
          <w:rFonts w:eastAsia="Arial Unicode MS" w:cs="Times New Roman"/>
          <w:szCs w:val="24"/>
        </w:rPr>
        <w:t xml:space="preserve"> </w:t>
      </w:r>
      <w:r>
        <w:rPr>
          <w:rFonts w:eastAsia="Arial Unicode MS" w:cs="Times New Roman"/>
          <w:szCs w:val="24"/>
        </w:rPr>
        <w:t xml:space="preserve">is used by state, territorial, and Tribal </w:t>
      </w:r>
      <w:r w:rsidR="0016159D">
        <w:rPr>
          <w:rFonts w:eastAsia="Arial Unicode MS" w:cs="Times New Roman"/>
          <w:szCs w:val="24"/>
        </w:rPr>
        <w:t xml:space="preserve">recipients </w:t>
      </w:r>
      <w:r>
        <w:rPr>
          <w:rFonts w:eastAsia="Arial Unicode MS" w:cs="Times New Roman"/>
          <w:szCs w:val="24"/>
        </w:rPr>
        <w:t xml:space="preserve">to collect information </w:t>
      </w:r>
      <w:r w:rsidRPr="00D03C8B">
        <w:rPr>
          <w:rFonts w:eastAsia="Times New Roman" w:cs="Times New Roman"/>
          <w:szCs w:val="24"/>
        </w:rPr>
        <w:t>from each property owner prior to award and submit copies to FEMA as part of the grant agreement. The statements must be signed by property owners and local community officials. These statements will enforce the requirement that all acquisitions using FEMA mitigation grants are voluntary, and that no property is acquired using state, territorial, local, or Tribal eminent domain authorities or other forcible acquisition procedures. See 44 CFR 80.11.</w:t>
      </w:r>
    </w:p>
    <w:p w:rsidR="00171560" w:rsidRPr="00D03C8B" w:rsidP="00814646" w14:paraId="66250FDD" w14:textId="77777777">
      <w:pPr>
        <w:spacing w:line="276" w:lineRule="auto"/>
        <w:contextualSpacing/>
        <w:rPr>
          <w:rFonts w:eastAsia="Times New Roman" w:cs="Times New Roman"/>
          <w:b/>
          <w:bCs/>
          <w:color w:val="000000"/>
          <w:spacing w:val="-3"/>
          <w:szCs w:val="24"/>
        </w:rPr>
      </w:pPr>
    </w:p>
    <w:p w:rsidR="00171560" w:rsidRPr="00D03C8B" w:rsidP="00814646" w14:paraId="36DE7A7C" w14:textId="77777777">
      <w:pPr>
        <w:tabs>
          <w:tab w:val="left" w:pos="-720"/>
        </w:tabs>
        <w:suppressAutoHyphens/>
        <w:spacing w:line="276" w:lineRule="auto"/>
        <w:contextualSpacing/>
        <w:rPr>
          <w:rFonts w:eastAsia="Times New Roman" w:cs="Times New Roman"/>
          <w:spacing w:val="-3"/>
          <w:szCs w:val="24"/>
        </w:rPr>
      </w:pPr>
      <w:r w:rsidRPr="00D03C8B">
        <w:rPr>
          <w:rFonts w:eastAsia="Times New Roman" w:cs="Times New Roman"/>
          <w:spacing w:val="-3"/>
          <w:szCs w:val="24"/>
        </w:rPr>
        <w:t xml:space="preserve">The state, territorial and/or Tribal applicant must provide in the application assurance that the title to the property to be purchased is clear. The title search and title insurance </w:t>
      </w:r>
      <w:r w:rsidRPr="00D03C8B">
        <w:rPr>
          <w:rFonts w:eastAsia="Times New Roman" w:cs="Times New Roman"/>
          <w:spacing w:val="-3"/>
          <w:szCs w:val="24"/>
        </w:rPr>
        <w:t xml:space="preserve">requirements are completed by the state, local community, territory and/or Tribe to ensure that any incompatible easements or other encumbrances to the property are extinguished before acquisition.  </w:t>
      </w:r>
    </w:p>
    <w:p w:rsidR="00171560" w:rsidRPr="00D03C8B" w:rsidP="00814646" w14:paraId="100DC1CA" w14:textId="77777777">
      <w:pPr>
        <w:tabs>
          <w:tab w:val="left" w:pos="-720"/>
        </w:tabs>
        <w:suppressAutoHyphens/>
        <w:spacing w:line="276" w:lineRule="auto"/>
        <w:contextualSpacing/>
        <w:rPr>
          <w:rFonts w:eastAsia="Times New Roman" w:cs="Times New Roman"/>
          <w:spacing w:val="-3"/>
          <w:szCs w:val="24"/>
        </w:rPr>
      </w:pPr>
    </w:p>
    <w:p w:rsidR="00171560" w:rsidRPr="00D03C8B" w:rsidP="00814646" w14:paraId="7AD01495" w14:textId="77777777">
      <w:pPr>
        <w:tabs>
          <w:tab w:val="left" w:pos="-720"/>
        </w:tabs>
        <w:suppressAutoHyphens/>
        <w:spacing w:line="276" w:lineRule="auto"/>
        <w:contextualSpacing/>
        <w:rPr>
          <w:rFonts w:eastAsia="Times New Roman" w:cs="Times New Roman"/>
          <w:spacing w:val="-3"/>
          <w:szCs w:val="24"/>
        </w:rPr>
      </w:pPr>
      <w:r w:rsidRPr="00D03C8B">
        <w:rPr>
          <w:rFonts w:eastAsia="Times New Roman" w:cs="Times New Roman"/>
          <w:spacing w:val="-3"/>
          <w:szCs w:val="24"/>
        </w:rPr>
        <w:t xml:space="preserve">The recipient ensures that the subrecipient (local jurisdiction) informs each property owner, in writing, of what the subrecipient considers to be the market value of the property, the method of valuation and basis for the purchase offer, and the purchase offer amount. This requirement demonstrates that the grant recipient is offering an amount consistent with the required method of valuation and provides the property owner an opportunity to negotiate the fair market value offered prior to purchase.  </w:t>
      </w:r>
    </w:p>
    <w:p w:rsidR="00171560" w14:paraId="6C4A7A8A" w14:textId="6D17F3E6">
      <w:pPr>
        <w:spacing w:line="276" w:lineRule="auto"/>
        <w:contextualSpacing/>
        <w:rPr>
          <w:rFonts w:cs="Times New Roman"/>
          <w:szCs w:val="24"/>
        </w:rPr>
      </w:pPr>
    </w:p>
    <w:p w:rsidR="00171560" w:rsidRPr="00237D0C" w:rsidP="00171560" w14:paraId="1A78E604" w14:textId="77777777">
      <w:pPr>
        <w:spacing w:line="276" w:lineRule="auto"/>
        <w:contextualSpacing/>
        <w:rPr>
          <w:rFonts w:eastAsia="Calibri"/>
          <w:b/>
          <w:bCs/>
        </w:rPr>
      </w:pPr>
      <w:r w:rsidRPr="00237D0C">
        <w:rPr>
          <w:rFonts w:eastAsia="Calibri"/>
          <w:b/>
          <w:bCs/>
        </w:rPr>
        <w:t>Information from the following Standard Forms (SF) is collected within the subgrant application.  Approval for the collection of this information is provided under a government-wide OMB control number used throughout the Federal government.</w:t>
      </w:r>
    </w:p>
    <w:p w:rsidR="00171560" w:rsidRPr="00D03C8B" w:rsidP="00814646" w14:paraId="4BCEA2C9" w14:textId="77777777">
      <w:pPr>
        <w:spacing w:line="276" w:lineRule="auto"/>
        <w:contextualSpacing/>
        <w:rPr>
          <w:rFonts w:cs="Times New Roman"/>
          <w:szCs w:val="24"/>
        </w:rPr>
      </w:pPr>
    </w:p>
    <w:p w:rsidR="003C241E" w:rsidRPr="00D03C8B" w:rsidP="00814646" w14:paraId="492467FB" w14:textId="013DBAAE">
      <w:pPr>
        <w:tabs>
          <w:tab w:val="left" w:pos="-720"/>
        </w:tabs>
        <w:suppressAutoHyphens/>
        <w:spacing w:line="276" w:lineRule="auto"/>
        <w:contextualSpacing/>
        <w:rPr>
          <w:rFonts w:eastAsia="Times New Roman" w:cs="Times New Roman"/>
          <w:spacing w:val="-3"/>
          <w:szCs w:val="24"/>
        </w:rPr>
      </w:pPr>
      <w:r>
        <w:rPr>
          <w:rFonts w:eastAsia="Times New Roman" w:cs="Times New Roman"/>
          <w:b/>
          <w:szCs w:val="24"/>
        </w:rPr>
        <w:t xml:space="preserve">FEMA Form </w:t>
      </w:r>
      <w:r w:rsidRPr="00D03C8B">
        <w:rPr>
          <w:rFonts w:eastAsia="Times New Roman" w:cs="Times New Roman"/>
          <w:b/>
          <w:szCs w:val="24"/>
        </w:rPr>
        <w:t>FF-206-FY-22-157</w:t>
      </w:r>
      <w:r>
        <w:rPr>
          <w:rFonts w:eastAsia="Times New Roman" w:cs="Times New Roman"/>
          <w:b/>
          <w:szCs w:val="24"/>
        </w:rPr>
        <w:t>,</w:t>
      </w:r>
      <w:r w:rsidRPr="00D03C8B" w:rsidR="00A74C87">
        <w:rPr>
          <w:rFonts w:eastAsia="Times New Roman" w:cs="Times New Roman"/>
          <w:szCs w:val="24"/>
        </w:rPr>
        <w:t xml:space="preserve"> </w:t>
      </w:r>
      <w:r w:rsidRPr="00D03C8B" w:rsidR="0058389F">
        <w:rPr>
          <w:rFonts w:eastAsia="Times New Roman" w:cs="Times New Roman"/>
          <w:b/>
          <w:szCs w:val="24"/>
        </w:rPr>
        <w:t>FEMA Model D</w:t>
      </w:r>
      <w:r w:rsidRPr="00D03C8B" w:rsidR="00A74C87">
        <w:rPr>
          <w:rFonts w:eastAsia="Times New Roman" w:cs="Times New Roman"/>
          <w:b/>
          <w:szCs w:val="24"/>
        </w:rPr>
        <w:t xml:space="preserve">eed </w:t>
      </w:r>
      <w:r w:rsidRPr="00D03C8B" w:rsidR="00B536F9">
        <w:rPr>
          <w:rFonts w:eastAsia="Times New Roman" w:cs="Times New Roman"/>
          <w:b/>
          <w:szCs w:val="24"/>
        </w:rPr>
        <w:t>Restriction</w:t>
      </w:r>
      <w:r w:rsidRPr="00814646">
        <w:rPr>
          <w:rFonts w:eastAsia="Times New Roman" w:cs="Times New Roman"/>
          <w:bCs/>
          <w:szCs w:val="24"/>
        </w:rPr>
        <w:t xml:space="preserve"> </w:t>
      </w:r>
      <w:r w:rsidRPr="00D03C8B" w:rsidR="00A92EA5">
        <w:rPr>
          <w:rFonts w:eastAsia="Times New Roman" w:cs="Times New Roman"/>
          <w:szCs w:val="24"/>
        </w:rPr>
        <w:t xml:space="preserve">must </w:t>
      </w:r>
      <w:r w:rsidRPr="00D03C8B" w:rsidR="00E820C4">
        <w:rPr>
          <w:rFonts w:eastAsia="Times New Roman" w:cs="Times New Roman"/>
          <w:szCs w:val="24"/>
        </w:rPr>
        <w:t xml:space="preserve">be recorded </w:t>
      </w:r>
      <w:r w:rsidR="0016159D">
        <w:rPr>
          <w:rFonts w:eastAsia="Times New Roman" w:cs="Times New Roman"/>
          <w:szCs w:val="24"/>
        </w:rPr>
        <w:t xml:space="preserve">when the state, territory, or Tribe acquires the property </w:t>
      </w:r>
      <w:r w:rsidRPr="00D03C8B" w:rsidR="00E820C4">
        <w:rPr>
          <w:rFonts w:eastAsia="Times New Roman" w:cs="Times New Roman"/>
          <w:szCs w:val="24"/>
        </w:rPr>
        <w:t xml:space="preserve">with each individual property by the </w:t>
      </w:r>
      <w:r w:rsidRPr="00D03C8B" w:rsidR="00A436E7">
        <w:rPr>
          <w:rFonts w:eastAsia="Times New Roman" w:cs="Times New Roman"/>
          <w:szCs w:val="24"/>
        </w:rPr>
        <w:t xml:space="preserve">recipient </w:t>
      </w:r>
      <w:r w:rsidRPr="00D03C8B" w:rsidR="00E820C4">
        <w:rPr>
          <w:rFonts w:eastAsia="Times New Roman" w:cs="Times New Roman"/>
          <w:szCs w:val="24"/>
        </w:rPr>
        <w:t>and local community</w:t>
      </w:r>
      <w:r w:rsidRPr="00D03C8B" w:rsidR="00A74C87">
        <w:rPr>
          <w:rFonts w:eastAsia="Times New Roman" w:cs="Times New Roman"/>
          <w:szCs w:val="24"/>
        </w:rPr>
        <w:t xml:space="preserve"> or Tribe</w:t>
      </w:r>
      <w:r w:rsidRPr="00D03C8B" w:rsidR="00E820C4">
        <w:rPr>
          <w:rFonts w:eastAsia="Times New Roman" w:cs="Times New Roman"/>
          <w:szCs w:val="24"/>
        </w:rPr>
        <w:t xml:space="preserve"> to restrict the land uses allowed for properties acquired with FEMA funds. </w:t>
      </w:r>
      <w:r w:rsidRPr="00D03C8B" w:rsidR="00970393">
        <w:rPr>
          <w:rFonts w:eastAsia="Times New Roman" w:cs="Times New Roman"/>
          <w:szCs w:val="24"/>
        </w:rPr>
        <w:t>T</w:t>
      </w:r>
      <w:r w:rsidRPr="00D03C8B" w:rsidR="00970393">
        <w:rPr>
          <w:rFonts w:cs="Times New Roman"/>
          <w:szCs w:val="24"/>
        </w:rPr>
        <w:t xml:space="preserve">he deed language </w:t>
      </w:r>
      <w:r w:rsidRPr="00D03C8B" w:rsidR="00D674D1">
        <w:rPr>
          <w:rFonts w:cs="Times New Roman"/>
          <w:szCs w:val="24"/>
        </w:rPr>
        <w:t>identifies</w:t>
      </w:r>
      <w:r w:rsidRPr="00D03C8B" w:rsidR="00970393">
        <w:rPr>
          <w:rFonts w:cs="Times New Roman"/>
          <w:szCs w:val="24"/>
        </w:rPr>
        <w:t xml:space="preserve"> compatible use</w:t>
      </w:r>
      <w:r w:rsidRPr="00D03C8B" w:rsidR="00D674D1">
        <w:rPr>
          <w:rFonts w:cs="Times New Roman"/>
          <w:szCs w:val="24"/>
        </w:rPr>
        <w:t>s for open</w:t>
      </w:r>
      <w:r w:rsidRPr="00D03C8B" w:rsidR="004A53D9">
        <w:rPr>
          <w:rFonts w:cs="Times New Roman"/>
          <w:szCs w:val="24"/>
        </w:rPr>
        <w:t xml:space="preserve"> </w:t>
      </w:r>
      <w:r w:rsidRPr="00D03C8B" w:rsidR="00D674D1">
        <w:rPr>
          <w:rFonts w:cs="Times New Roman"/>
          <w:szCs w:val="24"/>
        </w:rPr>
        <w:t>space as</w:t>
      </w:r>
      <w:r w:rsidRPr="00D03C8B" w:rsidR="00970393">
        <w:rPr>
          <w:rFonts w:cs="Times New Roman"/>
          <w:szCs w:val="24"/>
        </w:rPr>
        <w:t xml:space="preserve"> allowed by regulation or guidance. </w:t>
      </w:r>
      <w:r w:rsidRPr="00D03C8B" w:rsidR="00E820C4">
        <w:rPr>
          <w:rFonts w:eastAsia="Times New Roman" w:cs="Times New Roman"/>
          <w:szCs w:val="24"/>
        </w:rPr>
        <w:t xml:space="preserve">FEMA will collect copies of the deed restriction language from applicants as a pre-award requirement for mitigation grants to ensure that the deed to be recorded meets the minimum </w:t>
      </w:r>
      <w:r w:rsidRPr="00D03C8B" w:rsidR="00A74C87">
        <w:rPr>
          <w:rFonts w:eastAsia="Times New Roman" w:cs="Times New Roman"/>
          <w:szCs w:val="24"/>
        </w:rPr>
        <w:t xml:space="preserve">legal and program </w:t>
      </w:r>
      <w:r w:rsidRPr="00D03C8B" w:rsidR="00E820C4">
        <w:rPr>
          <w:rFonts w:eastAsia="Times New Roman" w:cs="Times New Roman"/>
          <w:szCs w:val="24"/>
        </w:rPr>
        <w:t>requirements.</w:t>
      </w:r>
      <w:r w:rsidRPr="00D03C8B" w:rsidR="00F8005F">
        <w:rPr>
          <w:rFonts w:eastAsia="Times New Roman" w:cs="Times New Roman"/>
          <w:szCs w:val="24"/>
        </w:rPr>
        <w:t xml:space="preserve"> For property acquired by the </w:t>
      </w:r>
      <w:r w:rsidRPr="00D03C8B" w:rsidR="007C2BDF">
        <w:rPr>
          <w:rFonts w:eastAsia="Times New Roman" w:cs="Times New Roman"/>
          <w:szCs w:val="24"/>
        </w:rPr>
        <w:t>s</w:t>
      </w:r>
      <w:r w:rsidRPr="00D03C8B" w:rsidR="00F8005F">
        <w:rPr>
          <w:rFonts w:eastAsia="Times New Roman" w:cs="Times New Roman"/>
          <w:szCs w:val="24"/>
        </w:rPr>
        <w:t xml:space="preserve">tate, </w:t>
      </w:r>
      <w:r w:rsidRPr="00D03C8B" w:rsidR="007C2BDF">
        <w:rPr>
          <w:rFonts w:eastAsia="Times New Roman" w:cs="Times New Roman"/>
          <w:szCs w:val="24"/>
        </w:rPr>
        <w:t>t</w:t>
      </w:r>
      <w:r w:rsidRPr="00D03C8B" w:rsidR="00733641">
        <w:rPr>
          <w:rFonts w:eastAsia="Times New Roman" w:cs="Times New Roman"/>
          <w:szCs w:val="24"/>
        </w:rPr>
        <w:t>erritory, or Tribe</w:t>
      </w:r>
      <w:r w:rsidRPr="00D03C8B" w:rsidR="00F8005F">
        <w:rPr>
          <w:rFonts w:eastAsia="Times New Roman" w:cs="Times New Roman"/>
          <w:szCs w:val="24"/>
        </w:rPr>
        <w:t xml:space="preserve">, no disaster assistance is allowed on that property in the future and no </w:t>
      </w:r>
      <w:r w:rsidRPr="00D03C8B" w:rsidR="004A53D9">
        <w:rPr>
          <w:rFonts w:eastAsia="Times New Roman" w:cs="Times New Roman"/>
          <w:szCs w:val="24"/>
        </w:rPr>
        <w:t xml:space="preserve">flood </w:t>
      </w:r>
      <w:r w:rsidRPr="00D03C8B" w:rsidR="00F8005F">
        <w:rPr>
          <w:rFonts w:eastAsia="Times New Roman" w:cs="Times New Roman"/>
          <w:szCs w:val="24"/>
        </w:rPr>
        <w:t xml:space="preserve">insurance payments will be made.  </w:t>
      </w:r>
      <w:r w:rsidRPr="00D03C8B">
        <w:rPr>
          <w:rFonts w:eastAsia="Times New Roman" w:cs="Times New Roman"/>
          <w:spacing w:val="-3"/>
          <w:szCs w:val="24"/>
        </w:rPr>
        <w:t xml:space="preserve">This </w:t>
      </w:r>
      <w:r w:rsidR="009922CB">
        <w:rPr>
          <w:rFonts w:eastAsia="Times New Roman" w:cs="Times New Roman"/>
          <w:spacing w:val="-3"/>
          <w:szCs w:val="24"/>
        </w:rPr>
        <w:t xml:space="preserve">instrument </w:t>
      </w:r>
      <w:r w:rsidRPr="00D03C8B">
        <w:rPr>
          <w:rFonts w:eastAsia="Times New Roman" w:cs="Times New Roman"/>
          <w:spacing w:val="-3"/>
          <w:szCs w:val="24"/>
        </w:rPr>
        <w:t>is approved</w:t>
      </w:r>
      <w:r>
        <w:rPr>
          <w:rFonts w:eastAsia="Times New Roman" w:cs="Times New Roman"/>
          <w:spacing w:val="-3"/>
          <w:szCs w:val="24"/>
        </w:rPr>
        <w:t xml:space="preserve"> for use</w:t>
      </w:r>
      <w:r w:rsidRPr="00D03C8B">
        <w:rPr>
          <w:rFonts w:eastAsia="Times New Roman" w:cs="Times New Roman"/>
          <w:spacing w:val="-3"/>
          <w:szCs w:val="24"/>
        </w:rPr>
        <w:t xml:space="preserve"> under OMB Collection 1660-00</w:t>
      </w:r>
      <w:r>
        <w:rPr>
          <w:rFonts w:eastAsia="Times New Roman" w:cs="Times New Roman"/>
          <w:spacing w:val="-3"/>
          <w:szCs w:val="24"/>
        </w:rPr>
        <w:t>7</w:t>
      </w:r>
      <w:r w:rsidRPr="00D03C8B">
        <w:rPr>
          <w:rFonts w:eastAsia="Times New Roman" w:cs="Times New Roman"/>
          <w:spacing w:val="-3"/>
          <w:szCs w:val="24"/>
        </w:rPr>
        <w:t>2</w:t>
      </w:r>
      <w:r w:rsidR="009922CB">
        <w:rPr>
          <w:rFonts w:eastAsia="Times New Roman" w:cs="Times New Roman"/>
          <w:spacing w:val="-3"/>
          <w:szCs w:val="24"/>
        </w:rPr>
        <w:t xml:space="preserve"> –</w:t>
      </w:r>
      <w:r w:rsidRPr="00D03C8B">
        <w:rPr>
          <w:rFonts w:eastAsia="Times New Roman" w:cs="Times New Roman"/>
          <w:spacing w:val="-3"/>
          <w:szCs w:val="24"/>
        </w:rPr>
        <w:t xml:space="preserve"> </w:t>
      </w:r>
      <w:r>
        <w:rPr>
          <w:rFonts w:eastAsia="Times New Roman" w:cs="Times New Roman"/>
          <w:spacing w:val="-3"/>
          <w:szCs w:val="24"/>
        </w:rPr>
        <w:t xml:space="preserve">Mitigation Grant Programs </w:t>
      </w:r>
      <w:r w:rsidR="0016159D">
        <w:rPr>
          <w:rFonts w:eastAsia="Times New Roman" w:cs="Times New Roman"/>
          <w:spacing w:val="-3"/>
          <w:szCs w:val="24"/>
        </w:rPr>
        <w:t>and is scheduled to</w:t>
      </w:r>
      <w:r w:rsidRPr="00D03C8B">
        <w:rPr>
          <w:rFonts w:eastAsia="Times New Roman" w:cs="Times New Roman"/>
          <w:spacing w:val="-3"/>
          <w:szCs w:val="24"/>
        </w:rPr>
        <w:t xml:space="preserve"> expire on </w:t>
      </w:r>
      <w:r>
        <w:rPr>
          <w:rFonts w:eastAsia="Times New Roman" w:cs="Times New Roman"/>
          <w:spacing w:val="-3"/>
          <w:szCs w:val="24"/>
        </w:rPr>
        <w:t xml:space="preserve">April 30, </w:t>
      </w:r>
      <w:r w:rsidRPr="00D03C8B">
        <w:rPr>
          <w:rFonts w:eastAsia="Times New Roman" w:cs="Times New Roman"/>
          <w:spacing w:val="-3"/>
          <w:szCs w:val="24"/>
        </w:rPr>
        <w:t>2026.</w:t>
      </w:r>
    </w:p>
    <w:p w:rsidR="003E3789" w:rsidRPr="00D03C8B" w:rsidP="00814646" w14:paraId="7D94DC58" w14:textId="77777777">
      <w:pPr>
        <w:tabs>
          <w:tab w:val="left" w:pos="-720"/>
        </w:tabs>
        <w:suppressAutoHyphens/>
        <w:spacing w:line="276" w:lineRule="auto"/>
        <w:contextualSpacing/>
        <w:rPr>
          <w:rFonts w:eastAsia="Times New Roman" w:cs="Times New Roman"/>
          <w:spacing w:val="-3"/>
          <w:szCs w:val="24"/>
        </w:rPr>
      </w:pPr>
    </w:p>
    <w:p w:rsidR="00871ACD" w:rsidRPr="00D03C8B" w:rsidP="00814646" w14:paraId="52D610B5" w14:textId="348DDFB1">
      <w:pPr>
        <w:tabs>
          <w:tab w:val="left" w:pos="-720"/>
        </w:tabs>
        <w:suppressAutoHyphens/>
        <w:spacing w:line="276" w:lineRule="auto"/>
        <w:contextualSpacing/>
        <w:rPr>
          <w:rFonts w:eastAsia="Times New Roman" w:cs="Times New Roman"/>
          <w:spacing w:val="-3"/>
          <w:szCs w:val="24"/>
        </w:rPr>
      </w:pPr>
      <w:r w:rsidRPr="00814646">
        <w:rPr>
          <w:rFonts w:eastAsia="Times New Roman" w:cs="Times New Roman"/>
          <w:b/>
          <w:bCs/>
          <w:spacing w:val="-3"/>
          <w:szCs w:val="24"/>
        </w:rPr>
        <w:t>FEMA Form FF-104-FY-21-128 (formerly 009-0-3)</w:t>
      </w:r>
      <w:r>
        <w:rPr>
          <w:rFonts w:eastAsia="Times New Roman" w:cs="Times New Roman"/>
          <w:b/>
          <w:bCs/>
          <w:spacing w:val="-3"/>
          <w:szCs w:val="24"/>
        </w:rPr>
        <w:t xml:space="preserve"> (English),</w:t>
      </w:r>
      <w:r w:rsidRPr="00814646">
        <w:rPr>
          <w:rFonts w:eastAsia="Times New Roman" w:cs="Times New Roman"/>
          <w:b/>
          <w:bCs/>
          <w:spacing w:val="-3"/>
          <w:szCs w:val="24"/>
        </w:rPr>
        <w:t xml:space="preserve"> </w:t>
      </w:r>
      <w:r w:rsidRPr="003C241E" w:rsidR="00F8005F">
        <w:rPr>
          <w:rFonts w:eastAsia="Times New Roman" w:cs="Times New Roman"/>
          <w:b/>
          <w:bCs/>
          <w:spacing w:val="-3"/>
          <w:szCs w:val="24"/>
        </w:rPr>
        <w:t>Declaration and Release</w:t>
      </w:r>
      <w:r w:rsidRPr="00035B9C" w:rsidR="00F8005F">
        <w:rPr>
          <w:rFonts w:eastAsia="Times New Roman" w:cs="Times New Roman"/>
          <w:b/>
          <w:bCs/>
          <w:spacing w:val="-3"/>
          <w:szCs w:val="24"/>
        </w:rPr>
        <w:t xml:space="preserve"> </w:t>
      </w:r>
      <w:r w:rsidRPr="00035B9C" w:rsidR="00292256">
        <w:rPr>
          <w:rFonts w:eastAsia="Times New Roman" w:cs="Times New Roman"/>
          <w:b/>
          <w:bCs/>
          <w:spacing w:val="-3"/>
          <w:szCs w:val="24"/>
        </w:rPr>
        <w:t xml:space="preserve">or </w:t>
      </w:r>
      <w:r w:rsidRPr="00035B9C" w:rsidR="005B5BE6">
        <w:rPr>
          <w:rFonts w:eastAsia="Times New Roman" w:cs="Times New Roman"/>
          <w:b/>
          <w:bCs/>
          <w:spacing w:val="-3"/>
          <w:szCs w:val="24"/>
        </w:rPr>
        <w:t>FF</w:t>
      </w:r>
      <w:r w:rsidRPr="00035B9C" w:rsidR="009B22BD">
        <w:rPr>
          <w:rFonts w:eastAsia="Times New Roman" w:cs="Times New Roman"/>
          <w:b/>
          <w:bCs/>
          <w:spacing w:val="-3"/>
          <w:szCs w:val="24"/>
        </w:rPr>
        <w:t>-104-FY-21-128-</w:t>
      </w:r>
      <w:r w:rsidRPr="00035B9C" w:rsidR="00BE677A">
        <w:rPr>
          <w:rFonts w:eastAsia="Times New Roman" w:cs="Times New Roman"/>
          <w:b/>
          <w:bCs/>
          <w:spacing w:val="-3"/>
          <w:szCs w:val="24"/>
        </w:rPr>
        <w:t>A (</w:t>
      </w:r>
      <w:r w:rsidRPr="00035B9C" w:rsidR="00D722AE">
        <w:rPr>
          <w:rFonts w:eastAsia="Times New Roman" w:cs="Times New Roman"/>
          <w:b/>
          <w:bCs/>
          <w:spacing w:val="-3"/>
          <w:szCs w:val="24"/>
        </w:rPr>
        <w:t>formerly</w:t>
      </w:r>
      <w:r w:rsidRPr="00035B9C" w:rsidR="00705C45">
        <w:rPr>
          <w:rFonts w:eastAsia="Times New Roman" w:cs="Times New Roman"/>
          <w:b/>
          <w:bCs/>
          <w:spacing w:val="-3"/>
          <w:szCs w:val="24"/>
        </w:rPr>
        <w:t xml:space="preserve"> </w:t>
      </w:r>
      <w:r w:rsidRPr="00035B9C" w:rsidR="00690973">
        <w:rPr>
          <w:rFonts w:eastAsia="Times New Roman" w:cs="Times New Roman"/>
          <w:b/>
          <w:bCs/>
          <w:spacing w:val="-3"/>
          <w:szCs w:val="24"/>
        </w:rPr>
        <w:t>009-0-4</w:t>
      </w:r>
      <w:r w:rsidRPr="00035B9C" w:rsidR="00705C45">
        <w:rPr>
          <w:rFonts w:eastAsia="Times New Roman" w:cs="Times New Roman"/>
          <w:b/>
          <w:bCs/>
          <w:spacing w:val="-3"/>
          <w:szCs w:val="24"/>
        </w:rPr>
        <w:t>)</w:t>
      </w:r>
      <w:r w:rsidRPr="00035B9C" w:rsidR="00690973">
        <w:rPr>
          <w:rFonts w:eastAsia="Times New Roman" w:cs="Times New Roman"/>
          <w:b/>
          <w:bCs/>
          <w:spacing w:val="-3"/>
          <w:szCs w:val="24"/>
        </w:rPr>
        <w:t xml:space="preserve"> (Spanish)</w:t>
      </w:r>
      <w:r w:rsidRPr="00035B9C">
        <w:rPr>
          <w:rFonts w:eastAsia="Times New Roman" w:cs="Times New Roman"/>
          <w:b/>
          <w:bCs/>
          <w:spacing w:val="-3"/>
          <w:szCs w:val="24"/>
        </w:rPr>
        <w:t xml:space="preserve">, </w:t>
      </w:r>
      <w:r w:rsidRPr="003C241E">
        <w:rPr>
          <w:rFonts w:eastAsia="Times New Roman" w:cs="Times New Roman"/>
          <w:b/>
          <w:bCs/>
          <w:spacing w:val="-3"/>
          <w:szCs w:val="24"/>
        </w:rPr>
        <w:t xml:space="preserve">Declaración Y Autorización </w:t>
      </w:r>
      <w:r w:rsidRPr="00D03C8B" w:rsidR="00F8005F">
        <w:rPr>
          <w:rFonts w:eastAsia="Times New Roman" w:cs="Times New Roman"/>
          <w:spacing w:val="-3"/>
          <w:szCs w:val="24"/>
        </w:rPr>
        <w:t xml:space="preserve">to </w:t>
      </w:r>
      <w:r w:rsidRPr="00D03C8B" w:rsidR="00866A49">
        <w:rPr>
          <w:rFonts w:cs="Times New Roman"/>
          <w:szCs w:val="24"/>
        </w:rPr>
        <w:t xml:space="preserve">certify an </w:t>
      </w:r>
      <w:r w:rsidRPr="00D03C8B" w:rsidR="00292256">
        <w:rPr>
          <w:rFonts w:cs="Times New Roman"/>
          <w:szCs w:val="24"/>
        </w:rPr>
        <w:t>individual</w:t>
      </w:r>
      <w:r w:rsidRPr="00D03C8B" w:rsidR="00866A49">
        <w:rPr>
          <w:rFonts w:cs="Times New Roman"/>
          <w:szCs w:val="24"/>
        </w:rPr>
        <w:t>’s information and eligibility</w:t>
      </w:r>
      <w:r w:rsidRPr="00D03C8B" w:rsidR="00F8005F">
        <w:rPr>
          <w:rFonts w:eastAsia="Times New Roman" w:cs="Times New Roman"/>
          <w:spacing w:val="-3"/>
          <w:szCs w:val="24"/>
        </w:rPr>
        <w:t>. Th</w:t>
      </w:r>
      <w:r>
        <w:rPr>
          <w:rFonts w:eastAsia="Times New Roman" w:cs="Times New Roman"/>
          <w:spacing w:val="-3"/>
          <w:szCs w:val="24"/>
        </w:rPr>
        <w:t>ese</w:t>
      </w:r>
      <w:r w:rsidRPr="00D03C8B" w:rsidR="00F8005F">
        <w:rPr>
          <w:rFonts w:eastAsia="Times New Roman" w:cs="Times New Roman"/>
          <w:spacing w:val="-3"/>
          <w:szCs w:val="24"/>
        </w:rPr>
        <w:t xml:space="preserve"> </w:t>
      </w:r>
      <w:r>
        <w:rPr>
          <w:rFonts w:eastAsia="Times New Roman" w:cs="Times New Roman"/>
          <w:spacing w:val="-3"/>
          <w:szCs w:val="24"/>
        </w:rPr>
        <w:t>instruments are</w:t>
      </w:r>
      <w:r w:rsidRPr="00D03C8B" w:rsidR="00F8005F">
        <w:rPr>
          <w:rFonts w:eastAsia="Times New Roman" w:cs="Times New Roman"/>
          <w:spacing w:val="-3"/>
          <w:szCs w:val="24"/>
        </w:rPr>
        <w:t xml:space="preserve"> approved</w:t>
      </w:r>
      <w:r>
        <w:rPr>
          <w:rFonts w:eastAsia="Times New Roman" w:cs="Times New Roman"/>
          <w:spacing w:val="-3"/>
          <w:szCs w:val="24"/>
        </w:rPr>
        <w:t xml:space="preserve"> for use</w:t>
      </w:r>
      <w:r w:rsidRPr="00D03C8B" w:rsidR="00F8005F">
        <w:rPr>
          <w:rFonts w:eastAsia="Times New Roman" w:cs="Times New Roman"/>
          <w:spacing w:val="-3"/>
          <w:szCs w:val="24"/>
        </w:rPr>
        <w:t xml:space="preserve"> under OMB Collection 1660-0002</w:t>
      </w:r>
      <w:r>
        <w:rPr>
          <w:rFonts w:eastAsia="Times New Roman" w:cs="Times New Roman"/>
          <w:spacing w:val="-3"/>
          <w:szCs w:val="24"/>
        </w:rPr>
        <w:t xml:space="preserve"> – </w:t>
      </w:r>
      <w:r w:rsidRPr="00D03C8B" w:rsidR="00F8005F">
        <w:rPr>
          <w:rFonts w:eastAsia="Times New Roman" w:cs="Times New Roman"/>
          <w:spacing w:val="-3"/>
          <w:szCs w:val="24"/>
        </w:rPr>
        <w:t>Disaster Assistance Registration</w:t>
      </w:r>
      <w:r w:rsidRPr="00D03C8B" w:rsidR="00D84363">
        <w:rPr>
          <w:rFonts w:eastAsia="Times New Roman" w:cs="Times New Roman"/>
          <w:spacing w:val="-3"/>
          <w:szCs w:val="24"/>
        </w:rPr>
        <w:t xml:space="preserve"> </w:t>
      </w:r>
      <w:bookmarkStart w:id="0" w:name="_Hlk13827982"/>
      <w:r w:rsidR="005426B9">
        <w:rPr>
          <w:rFonts w:eastAsia="Times New Roman" w:cs="Times New Roman"/>
          <w:spacing w:val="-3"/>
          <w:szCs w:val="24"/>
        </w:rPr>
        <w:t>and are scheduled to expire</w:t>
      </w:r>
      <w:r w:rsidRPr="00D03C8B" w:rsidR="00D84363">
        <w:rPr>
          <w:rFonts w:eastAsia="Times New Roman" w:cs="Times New Roman"/>
          <w:spacing w:val="-3"/>
          <w:szCs w:val="24"/>
        </w:rPr>
        <w:t xml:space="preserve"> on</w:t>
      </w:r>
      <w:bookmarkEnd w:id="0"/>
      <w:r w:rsidRPr="00D03C8B" w:rsidR="007C2BDF">
        <w:rPr>
          <w:rFonts w:eastAsia="Times New Roman" w:cs="Times New Roman"/>
          <w:spacing w:val="-3"/>
          <w:szCs w:val="24"/>
        </w:rPr>
        <w:t xml:space="preserve"> </w:t>
      </w:r>
      <w:r>
        <w:rPr>
          <w:rFonts w:eastAsia="Times New Roman" w:cs="Times New Roman"/>
          <w:spacing w:val="-3"/>
          <w:szCs w:val="24"/>
        </w:rPr>
        <w:t xml:space="preserve">June 30, </w:t>
      </w:r>
      <w:r w:rsidRPr="00D03C8B" w:rsidR="003C5875">
        <w:rPr>
          <w:rFonts w:eastAsia="Times New Roman" w:cs="Times New Roman"/>
          <w:spacing w:val="-3"/>
          <w:szCs w:val="24"/>
        </w:rPr>
        <w:t>2026</w:t>
      </w:r>
      <w:r w:rsidRPr="00D03C8B" w:rsidR="00F155BE">
        <w:rPr>
          <w:rFonts w:eastAsia="Times New Roman" w:cs="Times New Roman"/>
          <w:spacing w:val="-3"/>
          <w:szCs w:val="24"/>
        </w:rPr>
        <w:t>.</w:t>
      </w:r>
    </w:p>
    <w:p w:rsidR="006815A4" w:rsidP="00171560" w14:paraId="794BC997" w14:textId="2C490FFF">
      <w:pPr>
        <w:tabs>
          <w:tab w:val="left" w:pos="-720"/>
        </w:tabs>
        <w:suppressAutoHyphens/>
        <w:spacing w:line="276" w:lineRule="auto"/>
        <w:contextualSpacing/>
        <w:rPr>
          <w:rFonts w:cs="Times New Roman"/>
          <w:spacing w:val="-3"/>
          <w:szCs w:val="24"/>
        </w:rPr>
      </w:pPr>
    </w:p>
    <w:p w:rsidR="0016159D" w:rsidP="00171560" w14:paraId="09F77671" w14:textId="141769DE">
      <w:pPr>
        <w:tabs>
          <w:tab w:val="left" w:pos="-720"/>
        </w:tabs>
        <w:suppressAutoHyphens/>
        <w:spacing w:line="276" w:lineRule="auto"/>
        <w:contextualSpacing/>
        <w:rPr>
          <w:rFonts w:cs="Times New Roman"/>
          <w:spacing w:val="-3"/>
          <w:szCs w:val="24"/>
        </w:rPr>
      </w:pPr>
      <w:r w:rsidRPr="00D03C8B">
        <w:rPr>
          <w:rFonts w:cs="Times New Roman"/>
          <w:b/>
          <w:szCs w:val="24"/>
        </w:rPr>
        <w:t xml:space="preserve">FEMA Form FF-206-FY-23-103 (formerly 086-0-35a) (Pages 10-11) NFIP Repetitive Loss Update Worksheet </w:t>
      </w:r>
      <w:r w:rsidRPr="00D03C8B">
        <w:rPr>
          <w:rFonts w:cs="Times New Roman"/>
          <w:szCs w:val="24"/>
        </w:rPr>
        <w:t>is used</w:t>
      </w:r>
      <w:r w:rsidRPr="00D03C8B">
        <w:rPr>
          <w:rFonts w:cs="Times New Roman"/>
          <w:b/>
          <w:szCs w:val="24"/>
        </w:rPr>
        <w:t xml:space="preserve"> </w:t>
      </w:r>
      <w:r w:rsidRPr="00D03C8B">
        <w:rPr>
          <w:rFonts w:cs="Times New Roman"/>
          <w:szCs w:val="24"/>
        </w:rPr>
        <w:t xml:space="preserve">by the state, territory or Tribe when acquiring a property to update the status of properties classified as NFIP repetitive loss to indicate if they have been acquired, retrofitted, or mitigated in another way. </w:t>
      </w:r>
      <w:r w:rsidRPr="00D03C8B">
        <w:rPr>
          <w:rFonts w:eastAsia="Times New Roman" w:cs="Times New Roman"/>
          <w:spacing w:val="-3"/>
          <w:szCs w:val="24"/>
        </w:rPr>
        <w:t xml:space="preserve">These pages are included </w:t>
      </w:r>
      <w:r>
        <w:rPr>
          <w:rFonts w:eastAsia="Times New Roman" w:cs="Times New Roman"/>
          <w:spacing w:val="-3"/>
          <w:szCs w:val="24"/>
        </w:rPr>
        <w:t>of use under</w:t>
      </w:r>
      <w:r w:rsidRPr="00D03C8B">
        <w:rPr>
          <w:rFonts w:eastAsia="Times New Roman" w:cs="Times New Roman"/>
          <w:spacing w:val="-3"/>
          <w:szCs w:val="24"/>
        </w:rPr>
        <w:t xml:space="preserve"> OMB Collection No.</w:t>
      </w:r>
      <w:r>
        <w:rPr>
          <w:rFonts w:eastAsia="Times New Roman" w:cs="Times New Roman"/>
          <w:spacing w:val="-3"/>
          <w:szCs w:val="24"/>
        </w:rPr>
        <w:t xml:space="preserve"> </w:t>
      </w:r>
      <w:r w:rsidRPr="00D03C8B">
        <w:rPr>
          <w:rFonts w:eastAsia="Times New Roman" w:cs="Times New Roman"/>
          <w:spacing w:val="-3"/>
          <w:szCs w:val="24"/>
        </w:rPr>
        <w:t>1660-0022</w:t>
      </w:r>
      <w:r>
        <w:rPr>
          <w:rFonts w:eastAsia="Times New Roman" w:cs="Times New Roman"/>
          <w:spacing w:val="-3"/>
          <w:szCs w:val="24"/>
        </w:rPr>
        <w:t xml:space="preserve"> –</w:t>
      </w:r>
      <w:r w:rsidRPr="00D03C8B">
        <w:rPr>
          <w:rFonts w:eastAsia="Times New Roman" w:cs="Times New Roman"/>
          <w:spacing w:val="-3"/>
          <w:szCs w:val="24"/>
        </w:rPr>
        <w:t xml:space="preserve"> Community Rating System (CRS) Program – Application Letter and CRS Quick Check, Community Annual Recertification</w:t>
      </w:r>
      <w:r>
        <w:rPr>
          <w:rFonts w:eastAsia="Times New Roman" w:cs="Times New Roman"/>
          <w:spacing w:val="-3"/>
          <w:szCs w:val="24"/>
        </w:rPr>
        <w:t>,</w:t>
      </w:r>
      <w:r w:rsidRPr="00D03C8B">
        <w:rPr>
          <w:rFonts w:eastAsia="Times New Roman" w:cs="Times New Roman"/>
          <w:spacing w:val="-3"/>
          <w:szCs w:val="24"/>
        </w:rPr>
        <w:t xml:space="preserve"> </w:t>
      </w:r>
      <w:r w:rsidRPr="00D03C8B">
        <w:rPr>
          <w:rFonts w:eastAsia="Times New Roman" w:cs="Times New Roman"/>
          <w:spacing w:val="-3"/>
          <w:szCs w:val="24"/>
        </w:rPr>
        <w:t>Environmental and Historic Preservation Certifications</w:t>
      </w:r>
      <w:r>
        <w:rPr>
          <w:rFonts w:eastAsia="Times New Roman" w:cs="Times New Roman"/>
          <w:spacing w:val="-3"/>
          <w:szCs w:val="24"/>
        </w:rPr>
        <w:t xml:space="preserve"> and NFIP Repetitive Loss Update Form</w:t>
      </w:r>
      <w:r w:rsidRPr="00D03C8B">
        <w:rPr>
          <w:rFonts w:eastAsia="Times New Roman" w:cs="Times New Roman"/>
          <w:spacing w:val="-3"/>
          <w:szCs w:val="24"/>
        </w:rPr>
        <w:t xml:space="preserve"> </w:t>
      </w:r>
      <w:r>
        <w:rPr>
          <w:rFonts w:eastAsia="Times New Roman" w:cs="Times New Roman"/>
          <w:spacing w:val="-3"/>
          <w:szCs w:val="24"/>
        </w:rPr>
        <w:t>and an extension for that collection was submitted to OMB on October 18, 2023, and it still pending.</w:t>
      </w:r>
    </w:p>
    <w:p w:rsidR="0016159D" w:rsidP="00171560" w14:paraId="56F20124" w14:textId="77777777">
      <w:pPr>
        <w:tabs>
          <w:tab w:val="left" w:pos="-720"/>
        </w:tabs>
        <w:suppressAutoHyphens/>
        <w:spacing w:line="276" w:lineRule="auto"/>
        <w:contextualSpacing/>
        <w:rPr>
          <w:rFonts w:cs="Times New Roman"/>
          <w:spacing w:val="-3"/>
          <w:szCs w:val="24"/>
        </w:rPr>
      </w:pPr>
    </w:p>
    <w:p w:rsidR="00171560" w:rsidRPr="0016159D" w:rsidP="0016159D" w14:paraId="56C79FAD" w14:textId="1969D0E5">
      <w:pPr>
        <w:tabs>
          <w:tab w:val="left" w:pos="-720"/>
        </w:tabs>
        <w:suppressAutoHyphens/>
        <w:spacing w:line="276" w:lineRule="auto"/>
        <w:contextualSpacing/>
        <w:rPr>
          <w:rFonts w:cs="Times New Roman"/>
          <w:szCs w:val="24"/>
        </w:rPr>
      </w:pPr>
      <w:r w:rsidRPr="00D03C8B">
        <w:rPr>
          <w:rFonts w:eastAsia="Times New Roman" w:cs="Times New Roman"/>
          <w:b/>
          <w:spacing w:val="-3"/>
          <w:szCs w:val="24"/>
        </w:rPr>
        <w:t>SF-429</w:t>
      </w:r>
      <w:r w:rsidR="0016159D">
        <w:rPr>
          <w:rFonts w:eastAsia="Times New Roman" w:cs="Times New Roman"/>
          <w:b/>
          <w:spacing w:val="-3"/>
          <w:szCs w:val="24"/>
        </w:rPr>
        <w:t>,</w:t>
      </w:r>
      <w:r w:rsidRPr="00814646">
        <w:rPr>
          <w:rFonts w:eastAsia="Times New Roman" w:cs="Times New Roman"/>
          <w:bCs/>
          <w:spacing w:val="-3"/>
          <w:szCs w:val="24"/>
        </w:rPr>
        <w:t xml:space="preserve"> </w:t>
      </w:r>
      <w:r w:rsidRPr="00D03C8B" w:rsidR="0016159D">
        <w:rPr>
          <w:rFonts w:eastAsia="Times New Roman" w:cs="Times New Roman"/>
          <w:b/>
          <w:spacing w:val="-3"/>
          <w:szCs w:val="24"/>
        </w:rPr>
        <w:t xml:space="preserve">Real Property Status Report </w:t>
      </w:r>
      <w:r w:rsidRPr="00814646">
        <w:rPr>
          <w:rFonts w:eastAsia="Times New Roman" w:cs="Times New Roman"/>
          <w:bCs/>
          <w:spacing w:val="-3"/>
          <w:szCs w:val="24"/>
        </w:rPr>
        <w:t xml:space="preserve">is </w:t>
      </w:r>
      <w:r>
        <w:rPr>
          <w:rFonts w:eastAsia="Times New Roman" w:cs="Times New Roman"/>
          <w:bCs/>
          <w:spacing w:val="-3"/>
          <w:szCs w:val="24"/>
        </w:rPr>
        <w:t xml:space="preserve">required for subrecipients to submit with the closeout documentation for all real property purchased with grant funds. </w:t>
      </w:r>
      <w:r w:rsidRPr="00D03C8B" w:rsidR="0016159D">
        <w:rPr>
          <w:rFonts w:eastAsia="Times New Roman" w:cs="Times New Roman"/>
          <w:spacing w:val="-3"/>
          <w:szCs w:val="24"/>
        </w:rPr>
        <w:t xml:space="preserve">Subrecipients are expected to use real property they have acquired or modified using mitigation grant funds for its originally authorized purpose for as long as needed for that purpose, per the </w:t>
      </w:r>
      <w:r w:rsidRPr="0016159D" w:rsidR="0016159D">
        <w:rPr>
          <w:rFonts w:eastAsia="Times New Roman" w:cs="Times New Roman"/>
          <w:spacing w:val="-3"/>
          <w:szCs w:val="24"/>
        </w:rPr>
        <w:t xml:space="preserve">requirements of 2 CFR 200.311. This instrument </w:t>
      </w:r>
      <w:r w:rsidRPr="0016159D" w:rsidR="0016159D">
        <w:rPr>
          <w:rFonts w:eastAsia="Times New Roman" w:cs="Times New Roman"/>
          <w:color w:val="333333"/>
          <w:szCs w:val="24"/>
          <w:lang w:val="en"/>
        </w:rPr>
        <w:t>must be submitted every three years by all recipients. The comments section is used to certify that the Recipients have coordinated with all subrecipients</w:t>
      </w:r>
      <w:r w:rsidRPr="0016159D" w:rsidR="0016159D">
        <w:rPr>
          <w:rFonts w:cs="Times New Roman"/>
          <w:color w:val="333333"/>
          <w:szCs w:val="24"/>
          <w:lang w:val="en"/>
        </w:rPr>
        <w:t xml:space="preserve"> </w:t>
      </w:r>
      <w:r w:rsidRPr="0016159D" w:rsidR="0016159D">
        <w:rPr>
          <w:rFonts w:eastAsia="Times New Roman" w:cs="Times New Roman"/>
          <w:color w:val="333333"/>
          <w:szCs w:val="24"/>
          <w:lang w:val="en"/>
        </w:rPr>
        <w:t xml:space="preserve">to inspect acquired property and that the properties continue to be maintained consistent with the provisions of the award/subaward. </w:t>
      </w:r>
      <w:r w:rsidRPr="0016159D">
        <w:rPr>
          <w:rFonts w:eastAsia="Times New Roman" w:cs="Times New Roman"/>
          <w:spacing w:val="-3"/>
          <w:szCs w:val="24"/>
        </w:rPr>
        <w:t>This instrument is approved for use under OMB No. 4040-0016.</w:t>
      </w:r>
    </w:p>
    <w:p w:rsidR="00171560" w:rsidRPr="0016159D" w:rsidP="0016159D" w14:paraId="0184DFB2" w14:textId="43459B12">
      <w:pPr>
        <w:tabs>
          <w:tab w:val="left" w:pos="-720"/>
        </w:tabs>
        <w:suppressAutoHyphens/>
        <w:spacing w:line="276" w:lineRule="auto"/>
        <w:contextualSpacing/>
        <w:rPr>
          <w:rFonts w:cs="Times New Roman"/>
          <w:bCs/>
          <w:spacing w:val="-3"/>
          <w:szCs w:val="24"/>
        </w:rPr>
      </w:pPr>
    </w:p>
    <w:p w:rsidR="00CC5985" w:rsidRPr="0016159D" w:rsidP="00814646" w14:paraId="631D10D9" w14:textId="03300A44">
      <w:pPr>
        <w:spacing w:line="276" w:lineRule="auto"/>
        <w:ind w:left="720"/>
        <w:contextualSpacing/>
        <w:rPr>
          <w:rFonts w:cs="Times New Roman"/>
          <w:szCs w:val="24"/>
        </w:rPr>
      </w:pPr>
      <w:r w:rsidRPr="0016159D">
        <w:rPr>
          <w:rFonts w:cs="Times New Roman"/>
          <w:b/>
          <w:szCs w:val="24"/>
        </w:rPr>
        <w:t>Form SF-429-A</w:t>
      </w:r>
      <w:r w:rsidR="0016159D">
        <w:rPr>
          <w:rFonts w:cs="Times New Roman"/>
          <w:b/>
          <w:szCs w:val="24"/>
        </w:rPr>
        <w:t>,</w:t>
      </w:r>
      <w:r w:rsidRPr="0016159D" w:rsidR="0016159D">
        <w:rPr>
          <w:rFonts w:cs="Times New Roman"/>
          <w:b/>
          <w:szCs w:val="24"/>
        </w:rPr>
        <w:t xml:space="preserve"> Attachment A </w:t>
      </w:r>
      <w:r w:rsidRPr="00814646" w:rsidR="0016159D">
        <w:rPr>
          <w:rFonts w:cs="Times New Roman"/>
          <w:b/>
          <w:szCs w:val="24"/>
        </w:rPr>
        <w:t>(General Reporting)</w:t>
      </w:r>
      <w:r w:rsidRPr="0016159D">
        <w:rPr>
          <w:rFonts w:cs="Times New Roman"/>
          <w:szCs w:val="24"/>
        </w:rPr>
        <w:t xml:space="preserve"> must be submitted by the subrecipient to the recipient every three years. A separate form for each property acquired for the purposes of open</w:t>
      </w:r>
      <w:r w:rsidRPr="0016159D" w:rsidR="0081220F">
        <w:rPr>
          <w:rFonts w:cs="Times New Roman"/>
          <w:szCs w:val="24"/>
        </w:rPr>
        <w:t xml:space="preserve"> </w:t>
      </w:r>
      <w:r w:rsidRPr="0016159D">
        <w:rPr>
          <w:rFonts w:cs="Times New Roman"/>
          <w:szCs w:val="24"/>
        </w:rPr>
        <w:t>space is completed.  Questions 15 and 18 are used to certify that the subrecipients have inspected the property and that the properties continue to be maintained consistent with the provisions of the subaward.</w:t>
      </w:r>
    </w:p>
    <w:p w:rsidR="0016159D" w:rsidRPr="0016159D" w:rsidP="00814646" w14:paraId="1493E2E1" w14:textId="77777777">
      <w:pPr>
        <w:spacing w:line="276" w:lineRule="auto"/>
        <w:contextualSpacing/>
        <w:rPr>
          <w:rFonts w:cs="Times New Roman"/>
          <w:szCs w:val="24"/>
        </w:rPr>
      </w:pPr>
    </w:p>
    <w:p w:rsidR="00CC5985" w:rsidP="00814646" w14:paraId="6D1C3FD4" w14:textId="453CB10F">
      <w:pPr>
        <w:spacing w:after="160" w:line="276" w:lineRule="auto"/>
        <w:ind w:left="720"/>
        <w:contextualSpacing/>
        <w:rPr>
          <w:rFonts w:cs="Times New Roman"/>
          <w:szCs w:val="24"/>
        </w:rPr>
      </w:pPr>
      <w:r w:rsidRPr="0016159D">
        <w:rPr>
          <w:rFonts w:cs="Times New Roman"/>
          <w:b/>
          <w:szCs w:val="24"/>
        </w:rPr>
        <w:t>Form SF-429-B</w:t>
      </w:r>
      <w:r w:rsidR="0016159D">
        <w:rPr>
          <w:rFonts w:cs="Times New Roman"/>
          <w:b/>
          <w:szCs w:val="24"/>
        </w:rPr>
        <w:t>,</w:t>
      </w:r>
      <w:r w:rsidRPr="0016159D">
        <w:rPr>
          <w:rFonts w:cs="Times New Roman"/>
          <w:szCs w:val="24"/>
        </w:rPr>
        <w:t xml:space="preserve"> </w:t>
      </w:r>
      <w:r w:rsidRPr="0016159D" w:rsidR="0016159D">
        <w:rPr>
          <w:rFonts w:cs="Times New Roman"/>
          <w:b/>
          <w:szCs w:val="24"/>
        </w:rPr>
        <w:t>Attachment B</w:t>
      </w:r>
      <w:r w:rsidRPr="00814646" w:rsidR="0016159D">
        <w:rPr>
          <w:rFonts w:cs="Times New Roman"/>
          <w:b/>
          <w:szCs w:val="24"/>
        </w:rPr>
        <w:t xml:space="preserve"> (Request to Acquire, Improve, or Furnish)</w:t>
      </w:r>
      <w:r w:rsidRPr="0016159D" w:rsidR="0016159D">
        <w:rPr>
          <w:rFonts w:cs="Times New Roman"/>
          <w:szCs w:val="24"/>
        </w:rPr>
        <w:t xml:space="preserve"> </w:t>
      </w:r>
      <w:r w:rsidRPr="0016159D">
        <w:rPr>
          <w:rFonts w:cs="Times New Roman"/>
          <w:szCs w:val="24"/>
        </w:rPr>
        <w:t>must be submitted by the subrecipient to the recipient when they seek FEMA approval to improve or develop a property acquired for open</w:t>
      </w:r>
      <w:r w:rsidRPr="0016159D" w:rsidR="0081220F">
        <w:rPr>
          <w:rFonts w:cs="Times New Roman"/>
          <w:szCs w:val="24"/>
        </w:rPr>
        <w:t xml:space="preserve"> </w:t>
      </w:r>
      <w:r w:rsidRPr="0016159D">
        <w:rPr>
          <w:rFonts w:cs="Times New Roman"/>
          <w:szCs w:val="24"/>
        </w:rPr>
        <w:t xml:space="preserve">space. Questions 14a and 15 will be used to collect data about the request and facilitate review by the recipient and FEMA.  </w:t>
      </w:r>
    </w:p>
    <w:p w:rsidR="007B663D" w:rsidRPr="00814646" w:rsidP="00814646" w14:paraId="32C78E62" w14:textId="77777777">
      <w:pPr>
        <w:spacing w:line="276" w:lineRule="auto"/>
        <w:contextualSpacing/>
        <w:rPr>
          <w:rFonts w:cs="Times New Roman"/>
          <w:szCs w:val="24"/>
        </w:rPr>
      </w:pPr>
    </w:p>
    <w:p w:rsidR="00B17A38" w:rsidRPr="00D03C8B" w:rsidP="00814646" w14:paraId="4B55D978" w14:textId="602E1481">
      <w:pPr>
        <w:spacing w:line="276" w:lineRule="auto"/>
        <w:contextualSpacing/>
        <w:rPr>
          <w:rFonts w:cs="Times New Roman"/>
          <w:b/>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3.  </w:t>
      </w:r>
      <w:r w:rsidRPr="00D03C8B">
        <w:rPr>
          <w:rFonts w:cs="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D03C8B">
        <w:rPr>
          <w:rFonts w:cs="Times New Roman"/>
          <w:b/>
          <w:color w:val="000000"/>
          <w:szCs w:val="24"/>
        </w:rPr>
        <w:t>responses</w:t>
      </w:r>
      <w:r w:rsidRPr="00D03C8B">
        <w:rPr>
          <w:rFonts w:cs="Times New Roman"/>
          <w:b/>
          <w:szCs w:val="24"/>
        </w:rPr>
        <w:t>, and the basis for the decision for adopting this means of collection.  Also describe any consideration of using information technology to reduce burden.</w:t>
      </w:r>
      <w:r w:rsidRPr="00D03C8B">
        <w:rPr>
          <w:rFonts w:cs="Times New Roman"/>
          <w:b/>
          <w:bCs/>
          <w:szCs w:val="24"/>
        </w:rPr>
        <w:t xml:space="preserve"> </w:t>
      </w:r>
    </w:p>
    <w:p w:rsidR="00174B16" w:rsidRPr="00D03C8B" w:rsidP="00814646" w14:paraId="1B324606" w14:textId="64D3D11C">
      <w:pPr>
        <w:spacing w:line="276" w:lineRule="auto"/>
        <w:contextualSpacing/>
        <w:rPr>
          <w:rFonts w:cs="Times New Roman"/>
          <w:b/>
          <w:szCs w:val="24"/>
        </w:rPr>
      </w:pPr>
    </w:p>
    <w:p w:rsidR="00BF7443" w:rsidRPr="00D03C8B" w:rsidP="00814646" w14:paraId="41F79786" w14:textId="6735E626">
      <w:pPr>
        <w:spacing w:line="276" w:lineRule="auto"/>
        <w:contextualSpacing/>
        <w:rPr>
          <w:rFonts w:eastAsia="Times New Roman" w:cs="Times New Roman"/>
          <w:szCs w:val="24"/>
        </w:rPr>
      </w:pPr>
      <w:r w:rsidRPr="00CB14F8">
        <w:rPr>
          <w:rFonts w:eastAsia="Arial Unicode MS" w:cs="Times New Roman"/>
          <w:b/>
          <w:bCs/>
          <w:szCs w:val="24"/>
        </w:rPr>
        <w:t>FEMA Form FF-206-FY-21-124 (formerly 086-0-31</w:t>
      </w:r>
      <w:r w:rsidRPr="005C5AA2">
        <w:rPr>
          <w:rFonts w:eastAsia="Arial Unicode MS" w:cs="Times New Roman"/>
          <w:b/>
          <w:bCs/>
          <w:szCs w:val="24"/>
        </w:rPr>
        <w:t>),</w:t>
      </w:r>
      <w:r w:rsidRPr="005C5AA2">
        <w:rPr>
          <w:rFonts w:eastAsia="Times New Roman" w:cs="Times New Roman"/>
          <w:b/>
          <w:bCs/>
          <w:szCs w:val="24"/>
        </w:rPr>
        <w:t xml:space="preserve"> </w:t>
      </w:r>
      <w:r w:rsidRPr="00CB14F8">
        <w:rPr>
          <w:b/>
          <w:bCs/>
        </w:rPr>
        <w:t>Statement of Voluntary Participation for Acquisition of Property for Purpose of Open Space</w:t>
      </w:r>
      <w:r>
        <w:rPr>
          <w:rFonts w:eastAsia="Arial Unicode MS" w:cs="Times New Roman"/>
          <w:szCs w:val="24"/>
        </w:rPr>
        <w:t xml:space="preserve"> </w:t>
      </w:r>
      <w:r w:rsidRPr="00D03C8B">
        <w:rPr>
          <w:rFonts w:eastAsia="Times New Roman" w:cs="Times New Roman"/>
          <w:szCs w:val="24"/>
        </w:rPr>
        <w:t xml:space="preserve">is available on FEMA’s website at </w:t>
      </w:r>
      <w:hyperlink r:id="rId10" w:history="1">
        <w:r w:rsidRPr="00D03C8B" w:rsidR="00852C8A">
          <w:rPr>
            <w:rStyle w:val="Hyperlink"/>
            <w:rFonts w:eastAsia="Times New Roman" w:cs="Times New Roman"/>
            <w:szCs w:val="24"/>
          </w:rPr>
          <w:t>https://www.fema.gov/pdf/government/grant/resources/hbf_ii_9.pdf</w:t>
        </w:r>
      </w:hyperlink>
      <w:r w:rsidRPr="00D03C8B" w:rsidR="00852C8A">
        <w:rPr>
          <w:rFonts w:eastAsia="Times New Roman" w:cs="Times New Roman"/>
          <w:szCs w:val="24"/>
        </w:rPr>
        <w:t xml:space="preserve"> </w:t>
      </w:r>
      <w:r w:rsidRPr="00D03C8B">
        <w:rPr>
          <w:rFonts w:eastAsia="Times New Roman" w:cs="Times New Roman"/>
          <w:szCs w:val="24"/>
        </w:rPr>
        <w:t>or from the appropriate FEMA Regional Office.  Signed VPS documents can be downloaded and submitted to FEMA by email.</w:t>
      </w:r>
    </w:p>
    <w:p w:rsidR="009922CB" w:rsidRPr="00814646" w:rsidP="009922CB" w14:paraId="6CFBBC79" w14:textId="77777777">
      <w:pPr>
        <w:spacing w:line="276" w:lineRule="auto"/>
        <w:contextualSpacing/>
        <w:rPr>
          <w:rFonts w:eastAsia="Times New Roman" w:cs="Times New Roman"/>
          <w:szCs w:val="24"/>
        </w:rPr>
      </w:pPr>
    </w:p>
    <w:p w:rsidR="009922CB" w:rsidRPr="00814646" w:rsidP="00814646" w14:paraId="43B2EEB6" w14:textId="4515DE0F">
      <w:pPr>
        <w:spacing w:line="276" w:lineRule="auto"/>
        <w:contextualSpacing/>
        <w:rPr>
          <w:rFonts w:eastAsia="Times New Roman" w:cs="Times New Roman"/>
          <w:szCs w:val="24"/>
        </w:rPr>
      </w:pPr>
      <w:r w:rsidRPr="00814646">
        <w:rPr>
          <w:rFonts w:eastAsia="Times New Roman" w:cs="Times New Roman"/>
          <w:szCs w:val="24"/>
        </w:rPr>
        <w:t xml:space="preserve">Usability </w:t>
      </w:r>
      <w:r w:rsidR="003A5DAB">
        <w:rPr>
          <w:rFonts w:eastAsia="Times New Roman" w:cs="Times New Roman"/>
          <w:szCs w:val="24"/>
        </w:rPr>
        <w:t>t</w:t>
      </w:r>
      <w:r w:rsidRPr="00814646">
        <w:rPr>
          <w:rFonts w:eastAsia="Times New Roman" w:cs="Times New Roman"/>
          <w:szCs w:val="24"/>
        </w:rPr>
        <w:t xml:space="preserve">esting has been conducted on this collection.  As a result, a reduction of </w:t>
      </w:r>
      <w:r w:rsidRPr="003A5DAB" w:rsidR="003A5DAB">
        <w:rPr>
          <w:rFonts w:eastAsia="Times New Roman" w:cs="Times New Roman"/>
          <w:szCs w:val="24"/>
        </w:rPr>
        <w:t>1</w:t>
      </w:r>
      <w:r w:rsidR="00FC5A53">
        <w:rPr>
          <w:rFonts w:eastAsia="Times New Roman" w:cs="Times New Roman"/>
          <w:szCs w:val="24"/>
        </w:rPr>
        <w:t>0</w:t>
      </w:r>
      <w:r w:rsidRPr="003A5DAB" w:rsidR="003A5DAB">
        <w:rPr>
          <w:rFonts w:eastAsia="Times New Roman" w:cs="Times New Roman"/>
          <w:szCs w:val="24"/>
        </w:rPr>
        <w:t>,95</w:t>
      </w:r>
      <w:r w:rsidR="00FC5A53">
        <w:rPr>
          <w:rFonts w:eastAsia="Times New Roman" w:cs="Times New Roman"/>
          <w:szCs w:val="24"/>
        </w:rPr>
        <w:t>5</w:t>
      </w:r>
      <w:r w:rsidRPr="003A5DAB" w:rsidR="003A5DAB">
        <w:rPr>
          <w:rFonts w:eastAsia="Times New Roman" w:cs="Times New Roman"/>
          <w:szCs w:val="24"/>
        </w:rPr>
        <w:t xml:space="preserve"> </w:t>
      </w:r>
      <w:r w:rsidR="003A5DAB">
        <w:rPr>
          <w:rFonts w:eastAsia="Times New Roman" w:cs="Times New Roman"/>
          <w:szCs w:val="24"/>
        </w:rPr>
        <w:t>burden</w:t>
      </w:r>
      <w:r w:rsidRPr="00814646">
        <w:rPr>
          <w:rFonts w:eastAsia="Times New Roman" w:cs="Times New Roman"/>
          <w:szCs w:val="24"/>
        </w:rPr>
        <w:t xml:space="preserve"> hours has been recognized and included as an update to the collection.</w:t>
      </w:r>
    </w:p>
    <w:p w:rsidR="00BE4C08" w:rsidRPr="00814646" w:rsidP="00814646" w14:paraId="60E1CD03" w14:textId="77777777">
      <w:pPr>
        <w:spacing w:line="276" w:lineRule="auto"/>
        <w:contextualSpacing/>
        <w:rPr>
          <w:rFonts w:eastAsia="Times New Roman" w:cs="Times New Roman"/>
          <w:szCs w:val="24"/>
        </w:rPr>
      </w:pPr>
    </w:p>
    <w:p w:rsidR="00B17A38" w:rsidRPr="00D03C8B" w:rsidP="00814646" w14:paraId="227356E5" w14:textId="62219806">
      <w:pPr>
        <w:spacing w:line="276" w:lineRule="auto"/>
        <w:contextualSpacing/>
        <w:rPr>
          <w:rFonts w:cs="Times New Roman"/>
          <w:szCs w:val="24"/>
        </w:rPr>
      </w:pPr>
      <w:r w:rsidRPr="00D03C8B">
        <w:rPr>
          <w:rFonts w:cs="Times New Roman"/>
          <w:szCs w:val="24"/>
        </w:rPr>
        <w:fldChar w:fldCharType="begin"/>
      </w:r>
      <w:r w:rsidRPr="00D03C8B">
        <w:rPr>
          <w:rFonts w:cs="Times New Roman"/>
          <w:szCs w:val="24"/>
        </w:rPr>
        <w:instrText>ADVANCE \R 0.95</w:instrText>
      </w:r>
      <w:r w:rsidRPr="00D03C8B">
        <w:rPr>
          <w:rFonts w:cs="Times New Roman"/>
          <w:szCs w:val="24"/>
        </w:rPr>
        <w:fldChar w:fldCharType="end"/>
      </w:r>
      <w:r w:rsidRPr="00D03C8B">
        <w:rPr>
          <w:rFonts w:cs="Times New Roman"/>
          <w:b/>
          <w:bCs/>
          <w:szCs w:val="24"/>
        </w:rPr>
        <w:t xml:space="preserve">4.  </w:t>
      </w:r>
      <w:r w:rsidRPr="00D03C8B" w:rsidR="00083D0C">
        <w:rPr>
          <w:rFonts w:cs="Times New Roman"/>
          <w:b/>
          <w:szCs w:val="24"/>
        </w:rPr>
        <w:t>Describe efforts to identify duplication. Show specifically why any similar information already available cannot be used or modified for use for the purposes described in Item 2 above.</w:t>
      </w:r>
      <w:r w:rsidRPr="00D03C8B">
        <w:rPr>
          <w:rFonts w:cs="Times New Roman"/>
          <w:b/>
          <w:bCs/>
          <w:szCs w:val="24"/>
        </w:rPr>
        <w:t xml:space="preserve">  </w:t>
      </w:r>
      <w:r w:rsidRPr="00D03C8B">
        <w:rPr>
          <w:rFonts w:cs="Times New Roman"/>
          <w:szCs w:val="24"/>
        </w:rPr>
        <w:fldChar w:fldCharType="begin"/>
      </w:r>
      <w:r w:rsidRPr="00D03C8B">
        <w:rPr>
          <w:rFonts w:cs="Times New Roman"/>
          <w:szCs w:val="24"/>
        </w:rPr>
        <w:instrText>ADVANCE \R 0.95</w:instrText>
      </w:r>
      <w:r w:rsidRPr="00D03C8B">
        <w:rPr>
          <w:rFonts w:cs="Times New Roman"/>
          <w:szCs w:val="24"/>
        </w:rPr>
        <w:fldChar w:fldCharType="end"/>
      </w:r>
    </w:p>
    <w:p w:rsidR="00174B16" w:rsidRPr="00D03C8B" w:rsidP="00814646" w14:paraId="4F67FD38" w14:textId="7566B609">
      <w:pPr>
        <w:spacing w:line="276" w:lineRule="auto"/>
        <w:contextualSpacing/>
        <w:rPr>
          <w:rFonts w:cs="Times New Roman"/>
          <w:szCs w:val="24"/>
        </w:rPr>
      </w:pPr>
    </w:p>
    <w:p w:rsidR="002B2B7C" w:rsidRPr="00D03C8B" w:rsidP="00814646" w14:paraId="04232F54" w14:textId="77777777">
      <w:pPr>
        <w:spacing w:line="276" w:lineRule="auto"/>
        <w:contextualSpacing/>
        <w:rPr>
          <w:rFonts w:eastAsia="Times New Roman" w:cs="Times New Roman"/>
          <w:szCs w:val="24"/>
        </w:rPr>
      </w:pPr>
      <w:r w:rsidRPr="00D03C8B">
        <w:rPr>
          <w:rFonts w:eastAsia="Times New Roman" w:cs="Times New Roman"/>
          <w:szCs w:val="24"/>
        </w:rPr>
        <w:t>The information</w:t>
      </w:r>
      <w:r w:rsidRPr="00D03C8B" w:rsidR="00520E7E">
        <w:rPr>
          <w:rFonts w:eastAsia="Times New Roman" w:cs="Times New Roman"/>
          <w:szCs w:val="24"/>
        </w:rPr>
        <w:t xml:space="preserve"> is not</w:t>
      </w:r>
      <w:r w:rsidRPr="00D03C8B">
        <w:rPr>
          <w:rFonts w:eastAsia="Times New Roman" w:cs="Times New Roman"/>
          <w:szCs w:val="24"/>
        </w:rPr>
        <w:t xml:space="preserve"> collected</w:t>
      </w:r>
      <w:r w:rsidRPr="00D03C8B" w:rsidR="00C2397B">
        <w:rPr>
          <w:rFonts w:eastAsia="Times New Roman" w:cs="Times New Roman"/>
          <w:szCs w:val="24"/>
        </w:rPr>
        <w:t xml:space="preserve"> elsewhere</w:t>
      </w:r>
      <w:r w:rsidRPr="00D03C8B" w:rsidR="003C75A8">
        <w:rPr>
          <w:rFonts w:eastAsia="Times New Roman" w:cs="Times New Roman"/>
          <w:szCs w:val="24"/>
        </w:rPr>
        <w:t xml:space="preserve"> in any form and therefore is not duplicated </w:t>
      </w:r>
      <w:r w:rsidRPr="00D03C8B" w:rsidR="002D582F">
        <w:rPr>
          <w:rFonts w:eastAsia="Times New Roman" w:cs="Times New Roman"/>
          <w:szCs w:val="24"/>
        </w:rPr>
        <w:t>elsewhere.</w:t>
      </w:r>
    </w:p>
    <w:p w:rsidR="00BE4C08" w:rsidRPr="00D03C8B" w:rsidP="00814646" w14:paraId="54DB6A1A" w14:textId="77777777">
      <w:pPr>
        <w:spacing w:line="276" w:lineRule="auto"/>
        <w:contextualSpacing/>
        <w:rPr>
          <w:rFonts w:cs="Times New Roman"/>
          <w:szCs w:val="24"/>
        </w:rPr>
      </w:pPr>
    </w:p>
    <w:p w:rsidR="00071B16" w:rsidRPr="00D03C8B" w:rsidP="00814646" w14:paraId="6213927A" w14:textId="7225CFD0">
      <w:pPr>
        <w:tabs>
          <w:tab w:val="left" w:pos="360"/>
        </w:tabs>
        <w:spacing w:line="276" w:lineRule="auto"/>
        <w:contextualSpacing/>
        <w:rPr>
          <w:rFonts w:cs="Times New Roman"/>
          <w:b/>
          <w:szCs w:val="24"/>
        </w:rPr>
      </w:pPr>
      <w:r w:rsidRPr="00D03C8B">
        <w:rPr>
          <w:rFonts w:cs="Times New Roman"/>
          <w:b/>
          <w:bCs/>
          <w:szCs w:val="24"/>
        </w:rPr>
        <w:t xml:space="preserve">5.  </w:t>
      </w:r>
      <w:r w:rsidRPr="00D03C8B">
        <w:rPr>
          <w:rFonts w:cs="Times New Roman"/>
          <w:b/>
          <w:bCs/>
          <w:szCs w:val="24"/>
        </w:rPr>
        <w:tab/>
      </w:r>
      <w:r w:rsidRPr="00D03C8B">
        <w:rPr>
          <w:rFonts w:cs="Times New Roman"/>
          <w:b/>
          <w:szCs w:val="24"/>
        </w:rPr>
        <w:t>If the collection of information impacts</w:t>
      </w:r>
      <w:r w:rsidRPr="00D03C8B">
        <w:rPr>
          <w:rFonts w:cs="Times New Roman"/>
          <w:b/>
          <w:bCs/>
          <w:szCs w:val="24"/>
        </w:rPr>
        <w:t xml:space="preserve"> small</w:t>
      </w:r>
      <w:r w:rsidRPr="00D03C8B">
        <w:rPr>
          <w:rFonts w:cs="Times New Roman"/>
          <w:b/>
          <w:szCs w:val="24"/>
        </w:rPr>
        <w:t xml:space="preserve"> businesses or other small entities (Item 5 of OMB Form 83-I), describe any methods used to minimize.</w:t>
      </w:r>
      <w:r w:rsidRPr="00D03C8B" w:rsidR="00AC54E5">
        <w:rPr>
          <w:rFonts w:eastAsia="Times New Roman" w:cs="Times New Roman"/>
          <w:spacing w:val="-3"/>
          <w:szCs w:val="24"/>
        </w:rPr>
        <w:t xml:space="preserve"> </w:t>
      </w:r>
    </w:p>
    <w:p w:rsidR="00174B16" w:rsidRPr="00D03C8B" w:rsidP="00814646" w14:paraId="1351FDB5" w14:textId="2907BA08">
      <w:pPr>
        <w:tabs>
          <w:tab w:val="left" w:pos="360"/>
        </w:tabs>
        <w:spacing w:line="276" w:lineRule="auto"/>
        <w:contextualSpacing/>
        <w:rPr>
          <w:rFonts w:cs="Times New Roman"/>
          <w:b/>
          <w:szCs w:val="24"/>
        </w:rPr>
      </w:pPr>
    </w:p>
    <w:p w:rsidR="00BE4C08" w:rsidP="00D03C8B" w14:paraId="2088B125" w14:textId="31F967C6">
      <w:pPr>
        <w:tabs>
          <w:tab w:val="left" w:pos="360"/>
        </w:tabs>
        <w:spacing w:line="276" w:lineRule="auto"/>
        <w:contextualSpacing/>
        <w:rPr>
          <w:rFonts w:cs="Times New Roman"/>
          <w:spacing w:val="-3"/>
          <w:szCs w:val="24"/>
        </w:rPr>
      </w:pPr>
      <w:r>
        <w:rPr>
          <w:rFonts w:cs="Times New Roman"/>
          <w:spacing w:val="-3"/>
          <w:szCs w:val="24"/>
        </w:rPr>
        <w:t>Small businesses or other small entities may be involved in these efforts, but the Agency will minimize the burden on them of instruments approved under this clearance by sampling, asking for readily available information, and using short, easy-to-complete information collection instruments</w:t>
      </w:r>
      <w:r w:rsidRPr="00D03C8B" w:rsidR="00AC54E5">
        <w:rPr>
          <w:rFonts w:cs="Times New Roman"/>
          <w:spacing w:val="-3"/>
          <w:szCs w:val="24"/>
        </w:rPr>
        <w:t>.</w:t>
      </w:r>
    </w:p>
    <w:p w:rsidR="0073058B" w:rsidRPr="00D03C8B" w:rsidP="00814646" w14:paraId="2B1EB4F0" w14:textId="77777777">
      <w:pPr>
        <w:tabs>
          <w:tab w:val="left" w:pos="360"/>
        </w:tabs>
        <w:spacing w:line="276" w:lineRule="auto"/>
        <w:contextualSpacing/>
        <w:rPr>
          <w:rFonts w:cs="Times New Roman"/>
          <w:spacing w:val="-3"/>
          <w:szCs w:val="24"/>
        </w:rPr>
      </w:pPr>
    </w:p>
    <w:p w:rsidR="00071B16" w:rsidRPr="00D03C8B" w:rsidP="00814646" w14:paraId="0F58FF4C" w14:textId="506106CF">
      <w:pPr>
        <w:spacing w:line="276" w:lineRule="auto"/>
        <w:contextualSpacing/>
        <w:rPr>
          <w:rFonts w:cs="Times New Roman"/>
          <w:b/>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6.  </w:t>
      </w:r>
      <w:r w:rsidRPr="00D03C8B">
        <w:rPr>
          <w:rFonts w:cs="Times New Roman"/>
          <w:b/>
          <w:szCs w:val="24"/>
        </w:rPr>
        <w:t>Describe the consequence to Federal/FEMA program or policy activities if the collection of information is not conducted, or is conducted less frequently as well as any technical or legal obstacles to reducing burden.</w:t>
      </w:r>
      <w:r w:rsidRPr="00D03C8B">
        <w:rPr>
          <w:rFonts w:cs="Times New Roman"/>
          <w:b/>
          <w:bCs/>
          <w:szCs w:val="24"/>
        </w:rPr>
        <w:t xml:space="preserve">  </w:t>
      </w:r>
    </w:p>
    <w:p w:rsidR="00174B16" w:rsidRPr="00D03C8B" w:rsidP="00814646" w14:paraId="7F724467" w14:textId="10250D35">
      <w:pPr>
        <w:spacing w:line="276" w:lineRule="auto"/>
        <w:contextualSpacing/>
        <w:rPr>
          <w:rFonts w:cs="Times New Roman"/>
          <w:b/>
          <w:szCs w:val="24"/>
        </w:rPr>
      </w:pPr>
    </w:p>
    <w:p w:rsidR="003162E1" w:rsidRPr="00D03C8B" w:rsidP="00814646" w14:paraId="354F0685" w14:textId="59BF2F6F">
      <w:pPr>
        <w:spacing w:line="276" w:lineRule="auto"/>
        <w:contextualSpacing/>
        <w:rPr>
          <w:rFonts w:eastAsia="Times New Roman" w:cs="Times New Roman"/>
          <w:szCs w:val="24"/>
        </w:rPr>
      </w:pPr>
      <w:r w:rsidRPr="00D03C8B">
        <w:rPr>
          <w:rFonts w:eastAsia="Times New Roman" w:cs="Times New Roman"/>
          <w:spacing w:val="-3"/>
          <w:szCs w:val="24"/>
        </w:rPr>
        <w:t xml:space="preserve">If the collection of information is not conducted, or is conducted less frequently, FEMA and its </w:t>
      </w:r>
      <w:r w:rsidRPr="00D03C8B" w:rsidR="007D1E5F">
        <w:rPr>
          <w:rFonts w:eastAsia="Times New Roman" w:cs="Times New Roman"/>
          <w:spacing w:val="-3"/>
          <w:szCs w:val="24"/>
        </w:rPr>
        <w:t>s</w:t>
      </w:r>
      <w:r w:rsidRPr="00D03C8B">
        <w:rPr>
          <w:rFonts w:eastAsia="Times New Roman" w:cs="Times New Roman"/>
          <w:spacing w:val="-3"/>
          <w:szCs w:val="24"/>
        </w:rPr>
        <w:t>tate</w:t>
      </w:r>
      <w:r w:rsidRPr="00D03C8B" w:rsidR="009422F4">
        <w:rPr>
          <w:rFonts w:eastAsia="Times New Roman" w:cs="Times New Roman"/>
          <w:spacing w:val="-3"/>
          <w:szCs w:val="24"/>
        </w:rPr>
        <w:t xml:space="preserve">, </w:t>
      </w:r>
      <w:r w:rsidRPr="00D03C8B" w:rsidR="007D1E5F">
        <w:rPr>
          <w:rFonts w:eastAsia="Times New Roman" w:cs="Times New Roman"/>
          <w:spacing w:val="-3"/>
          <w:szCs w:val="24"/>
        </w:rPr>
        <w:t>t</w:t>
      </w:r>
      <w:r w:rsidRPr="00D03C8B" w:rsidR="009422F4">
        <w:rPr>
          <w:rFonts w:eastAsia="Times New Roman" w:cs="Times New Roman"/>
          <w:spacing w:val="-3"/>
          <w:szCs w:val="24"/>
        </w:rPr>
        <w:t>erritory</w:t>
      </w:r>
      <w:r w:rsidRPr="00D03C8B">
        <w:rPr>
          <w:rFonts w:eastAsia="Times New Roman" w:cs="Times New Roman"/>
          <w:spacing w:val="-3"/>
          <w:szCs w:val="24"/>
        </w:rPr>
        <w:t xml:space="preserve"> </w:t>
      </w:r>
      <w:r w:rsidRPr="00D03C8B" w:rsidR="00BD24AC">
        <w:rPr>
          <w:rFonts w:eastAsia="Times New Roman" w:cs="Times New Roman"/>
          <w:spacing w:val="-3"/>
          <w:szCs w:val="24"/>
        </w:rPr>
        <w:t>and T</w:t>
      </w:r>
      <w:r w:rsidRPr="00D03C8B" w:rsidR="00070AB6">
        <w:rPr>
          <w:rFonts w:eastAsia="Times New Roman" w:cs="Times New Roman"/>
          <w:spacing w:val="-3"/>
          <w:szCs w:val="24"/>
        </w:rPr>
        <w:t xml:space="preserve">ribe grant </w:t>
      </w:r>
      <w:r w:rsidRPr="00D03C8B">
        <w:rPr>
          <w:rFonts w:eastAsia="Times New Roman" w:cs="Times New Roman"/>
          <w:spacing w:val="-3"/>
          <w:szCs w:val="24"/>
        </w:rPr>
        <w:t xml:space="preserve">recipients will </w:t>
      </w:r>
      <w:r w:rsidRPr="00D03C8B" w:rsidR="00A92EA5">
        <w:rPr>
          <w:rFonts w:eastAsia="Times New Roman" w:cs="Times New Roman"/>
          <w:spacing w:val="-3"/>
          <w:szCs w:val="24"/>
        </w:rPr>
        <w:t>be un</w:t>
      </w:r>
      <w:r w:rsidRPr="00D03C8B">
        <w:rPr>
          <w:rFonts w:eastAsia="Times New Roman" w:cs="Times New Roman"/>
          <w:spacing w:val="-3"/>
          <w:szCs w:val="24"/>
        </w:rPr>
        <w:t xml:space="preserve">able </w:t>
      </w:r>
      <w:r w:rsidRPr="00D03C8B" w:rsidR="008B7256">
        <w:rPr>
          <w:rFonts w:eastAsia="Times New Roman" w:cs="Times New Roman"/>
          <w:spacing w:val="-3"/>
          <w:szCs w:val="24"/>
        </w:rPr>
        <w:t xml:space="preserve">to ensure the voluntary nature of the property acquisitions and </w:t>
      </w:r>
      <w:r w:rsidRPr="00D03C8B" w:rsidR="00580F0A">
        <w:rPr>
          <w:rFonts w:eastAsia="Times New Roman" w:cs="Times New Roman"/>
          <w:spacing w:val="-3"/>
          <w:szCs w:val="24"/>
        </w:rPr>
        <w:t xml:space="preserve">verify </w:t>
      </w:r>
      <w:r w:rsidRPr="00D03C8B" w:rsidR="008B7256">
        <w:rPr>
          <w:rFonts w:eastAsia="Times New Roman" w:cs="Times New Roman"/>
          <w:spacing w:val="-3"/>
          <w:szCs w:val="24"/>
        </w:rPr>
        <w:t>the voluntary participation of homeowners whose property was purchased</w:t>
      </w:r>
      <w:r w:rsidRPr="00D03C8B" w:rsidR="00A92EA5">
        <w:rPr>
          <w:rFonts w:eastAsia="Times New Roman" w:cs="Times New Roman"/>
          <w:spacing w:val="-3"/>
          <w:szCs w:val="24"/>
        </w:rPr>
        <w:t>. They will be unable to</w:t>
      </w:r>
      <w:r w:rsidRPr="00D03C8B" w:rsidR="008B7256">
        <w:rPr>
          <w:rFonts w:eastAsia="Times New Roman" w:cs="Times New Roman"/>
          <w:spacing w:val="-3"/>
          <w:szCs w:val="24"/>
        </w:rPr>
        <w:t xml:space="preserve"> </w:t>
      </w:r>
      <w:r w:rsidRPr="00D03C8B">
        <w:rPr>
          <w:rFonts w:eastAsia="Times New Roman" w:cs="Times New Roman"/>
          <w:szCs w:val="24"/>
        </w:rPr>
        <w:t xml:space="preserve">enforce uniform requirements for open space land uses in perpetuity for acquisition and relocation of properties acquired </w:t>
      </w:r>
      <w:r w:rsidRPr="00D03C8B" w:rsidR="00575406">
        <w:rPr>
          <w:rFonts w:eastAsia="Times New Roman" w:cs="Times New Roman"/>
          <w:szCs w:val="24"/>
        </w:rPr>
        <w:t>under HMA</w:t>
      </w:r>
      <w:r w:rsidRPr="00D03C8B">
        <w:rPr>
          <w:rFonts w:eastAsia="Times New Roman" w:cs="Times New Roman"/>
          <w:szCs w:val="24"/>
        </w:rPr>
        <w:t xml:space="preserve"> grant programs. This may have the effect</w:t>
      </w:r>
      <w:r w:rsidRPr="00D03C8B" w:rsidR="00792393">
        <w:rPr>
          <w:rFonts w:eastAsia="Times New Roman" w:cs="Times New Roman"/>
          <w:szCs w:val="24"/>
        </w:rPr>
        <w:t xml:space="preserve"> </w:t>
      </w:r>
      <w:r w:rsidRPr="00D03C8B">
        <w:rPr>
          <w:rFonts w:eastAsia="Times New Roman" w:cs="Times New Roman"/>
          <w:szCs w:val="24"/>
        </w:rPr>
        <w:t xml:space="preserve">of </w:t>
      </w:r>
      <w:r w:rsidRPr="00D03C8B" w:rsidR="00665481">
        <w:rPr>
          <w:rFonts w:eastAsia="Times New Roman" w:cs="Times New Roman"/>
          <w:szCs w:val="24"/>
        </w:rPr>
        <w:t xml:space="preserve">not complying with the eligibility requirement for voluntary participation of property owners, and of </w:t>
      </w:r>
      <w:r w:rsidRPr="00D03C8B">
        <w:rPr>
          <w:rFonts w:eastAsia="Times New Roman" w:cs="Times New Roman"/>
          <w:szCs w:val="24"/>
        </w:rPr>
        <w:t>increasing the risk to life and property if development recurs in these parcels.</w:t>
      </w:r>
    </w:p>
    <w:p w:rsidR="00BE4C08" w:rsidRPr="00D03C8B" w:rsidP="00814646" w14:paraId="33B9F58F" w14:textId="77777777">
      <w:pPr>
        <w:spacing w:line="276" w:lineRule="auto"/>
        <w:contextualSpacing/>
        <w:rPr>
          <w:rFonts w:cs="Times New Roman"/>
          <w:spacing w:val="-3"/>
          <w:szCs w:val="24"/>
        </w:rPr>
      </w:pPr>
    </w:p>
    <w:p w:rsidR="00071B16" w:rsidP="00D03C8B" w14:paraId="245DF4BF" w14:textId="26D8F2BC">
      <w:pPr>
        <w:spacing w:line="276" w:lineRule="auto"/>
        <w:contextualSpacing/>
        <w:rPr>
          <w:rFonts w:cs="Times New Roman"/>
          <w:b/>
          <w:bCs/>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7.  </w:t>
      </w:r>
      <w:r w:rsidRPr="00D03C8B">
        <w:rPr>
          <w:rFonts w:cs="Times New Roman"/>
          <w:b/>
          <w:szCs w:val="24"/>
        </w:rPr>
        <w:t>Explain any special circumstances that would cause an information collection to be conducted in a manner</w:t>
      </w:r>
      <w:r w:rsidRPr="00D03C8B">
        <w:rPr>
          <w:rFonts w:cs="Times New Roman"/>
          <w:b/>
          <w:bCs/>
          <w:szCs w:val="24"/>
        </w:rPr>
        <w:t>:</w:t>
      </w:r>
    </w:p>
    <w:p w:rsidR="0073058B" w:rsidRPr="00D03C8B" w:rsidP="00814646" w14:paraId="6BE4DEAD" w14:textId="77777777">
      <w:pPr>
        <w:spacing w:line="276" w:lineRule="auto"/>
        <w:contextualSpacing/>
        <w:rPr>
          <w:rFonts w:cs="Times New Roman"/>
          <w:b/>
          <w:szCs w:val="24"/>
        </w:rPr>
      </w:pPr>
    </w:p>
    <w:p w:rsidR="00071B16" w:rsidP="00D03C8B" w14:paraId="17ECAC91" w14:textId="7D095312">
      <w:pPr>
        <w:numPr>
          <w:ilvl w:val="0"/>
          <w:numId w:val="10"/>
        </w:numPr>
        <w:spacing w:line="276" w:lineRule="auto"/>
        <w:contextualSpacing/>
        <w:rPr>
          <w:rFonts w:cs="Times New Roman"/>
          <w:b/>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szCs w:val="24"/>
        </w:rPr>
        <w:t>Requiring respondents to report information to the agency more often than quarterly.</w:t>
      </w:r>
    </w:p>
    <w:p w:rsidR="0073058B" w:rsidRPr="00814646" w:rsidP="0073058B" w14:paraId="69C4D64B" w14:textId="089B1C06">
      <w:pPr>
        <w:spacing w:line="276" w:lineRule="auto"/>
        <w:contextualSpacing/>
        <w:rPr>
          <w:rFonts w:eastAsia="Times New Roman" w:cs="Times New Roman"/>
          <w:szCs w:val="24"/>
        </w:rPr>
      </w:pPr>
    </w:p>
    <w:p w:rsidR="0073058B" w:rsidRPr="00814646" w:rsidP="0073058B" w14:paraId="418ED491" w14:textId="25A81822">
      <w:pPr>
        <w:spacing w:line="276" w:lineRule="auto"/>
        <w:contextualSpacing/>
        <w:rPr>
          <w:rFonts w:eastAsia="Times New Roman" w:cs="Times New Roman"/>
          <w:szCs w:val="24"/>
        </w:rPr>
      </w:pPr>
      <w:r w:rsidRPr="00814646">
        <w:rPr>
          <w:rFonts w:eastAsia="Times New Roman" w:cs="Times New Roman"/>
          <w:szCs w:val="24"/>
        </w:rPr>
        <w:t>This information collection does not require respondents to report information more than quarterly.</w:t>
      </w:r>
    </w:p>
    <w:p w:rsidR="0073058B" w:rsidRPr="00814646" w:rsidP="00814646" w14:paraId="707494DC" w14:textId="77777777">
      <w:pPr>
        <w:spacing w:line="276" w:lineRule="auto"/>
        <w:contextualSpacing/>
        <w:rPr>
          <w:rFonts w:eastAsia="Times New Roman" w:cs="Times New Roman"/>
          <w:szCs w:val="24"/>
        </w:rPr>
      </w:pPr>
    </w:p>
    <w:p w:rsidR="00071B16" w:rsidP="00D03C8B" w14:paraId="7FDB1D55" w14:textId="0E773E2B">
      <w:pPr>
        <w:numPr>
          <w:ilvl w:val="0"/>
          <w:numId w:val="10"/>
        </w:numPr>
        <w:spacing w:line="276" w:lineRule="auto"/>
        <w:contextualSpacing/>
        <w:rPr>
          <w:rFonts w:cs="Times New Roman"/>
          <w:b/>
          <w:szCs w:val="24"/>
        </w:rPr>
      </w:pPr>
      <w:r w:rsidRPr="00D03C8B">
        <w:rPr>
          <w:rFonts w:cs="Times New Roman"/>
          <w:b/>
          <w:szCs w:val="24"/>
        </w:rPr>
        <w:fldChar w:fldCharType="begin"/>
      </w:r>
      <w:r w:rsidRPr="00D03C8B">
        <w:rPr>
          <w:rFonts w:cs="Times New Roman"/>
          <w:b/>
          <w:szCs w:val="24"/>
        </w:rPr>
        <w:instrText>ADVANCE \R 0.95</w:instrText>
      </w:r>
      <w:r w:rsidRPr="00D03C8B">
        <w:rPr>
          <w:rFonts w:cs="Times New Roman"/>
          <w:b/>
          <w:szCs w:val="24"/>
        </w:rPr>
        <w:fldChar w:fldCharType="end"/>
      </w:r>
      <w:r w:rsidRPr="00D03C8B">
        <w:rPr>
          <w:rFonts w:cs="Times New Roman"/>
          <w:b/>
          <w:szCs w:val="24"/>
        </w:rPr>
        <w:fldChar w:fldCharType="begin"/>
      </w:r>
      <w:r w:rsidRPr="00D03C8B">
        <w:rPr>
          <w:rFonts w:cs="Times New Roman"/>
          <w:b/>
          <w:szCs w:val="24"/>
        </w:rPr>
        <w:instrText>ADVANCE \R 0.95</w:instrText>
      </w:r>
      <w:r w:rsidRPr="00D03C8B">
        <w:rPr>
          <w:rFonts w:cs="Times New Roman"/>
          <w:b/>
          <w:szCs w:val="24"/>
        </w:rPr>
        <w:fldChar w:fldCharType="end"/>
      </w:r>
      <w:r w:rsidRPr="00D03C8B">
        <w:rPr>
          <w:rFonts w:cs="Times New Roman"/>
          <w:b/>
          <w:szCs w:val="24"/>
        </w:rPr>
        <w:t>Requiring respondents to prepare a written response to a collection of information in fewer than 30 days after receipt of it</w:t>
      </w:r>
      <w:r w:rsidRPr="00D03C8B">
        <w:rPr>
          <w:rFonts w:cs="Times New Roman"/>
          <w:b/>
          <w:bCs/>
          <w:szCs w:val="24"/>
        </w:rPr>
        <w:t>.</w:t>
      </w:r>
      <w:r w:rsidRPr="00D03C8B">
        <w:rPr>
          <w:rFonts w:cs="Times New Roman"/>
          <w:b/>
          <w:szCs w:val="24"/>
        </w:rPr>
        <w:fldChar w:fldCharType="begin"/>
      </w:r>
      <w:r w:rsidRPr="00D03C8B">
        <w:rPr>
          <w:rFonts w:cs="Times New Roman"/>
          <w:b/>
          <w:szCs w:val="24"/>
        </w:rPr>
        <w:instrText>ADVANCE \R 0.95</w:instrText>
      </w:r>
      <w:r w:rsidRPr="00D03C8B">
        <w:rPr>
          <w:rFonts w:cs="Times New Roman"/>
          <w:b/>
          <w:szCs w:val="24"/>
        </w:rPr>
        <w:fldChar w:fldCharType="end"/>
      </w:r>
    </w:p>
    <w:p w:rsidR="0073058B" w:rsidRPr="00814646" w:rsidP="0073058B" w14:paraId="0F98C0E7" w14:textId="5EF64EAD">
      <w:pPr>
        <w:spacing w:line="276" w:lineRule="auto"/>
        <w:contextualSpacing/>
        <w:rPr>
          <w:rFonts w:eastAsia="Times New Roman" w:cs="Times New Roman"/>
          <w:szCs w:val="24"/>
        </w:rPr>
      </w:pPr>
    </w:p>
    <w:p w:rsidR="0073058B" w:rsidRPr="00814646" w:rsidP="0073058B" w14:paraId="2A3534AA" w14:textId="5B2D3EAC">
      <w:pPr>
        <w:spacing w:line="276" w:lineRule="auto"/>
        <w:contextualSpacing/>
        <w:rPr>
          <w:rFonts w:eastAsia="Times New Roman" w:cs="Times New Roman"/>
          <w:szCs w:val="24"/>
        </w:rPr>
      </w:pPr>
      <w:r w:rsidRPr="00814646">
        <w:rPr>
          <w:rFonts w:eastAsia="Times New Roman" w:cs="Times New Roman"/>
          <w:szCs w:val="24"/>
        </w:rPr>
        <w:t>This information collection does not require respondents to prepare a written response in fewer than 30 days after receipt of it.</w:t>
      </w:r>
    </w:p>
    <w:p w:rsidR="0073058B" w:rsidRPr="00814646" w:rsidP="00814646" w14:paraId="1B2D37E6" w14:textId="77777777">
      <w:pPr>
        <w:spacing w:line="276" w:lineRule="auto"/>
        <w:contextualSpacing/>
        <w:rPr>
          <w:rFonts w:eastAsia="Times New Roman" w:cs="Times New Roman"/>
          <w:szCs w:val="24"/>
        </w:rPr>
      </w:pPr>
    </w:p>
    <w:p w:rsidR="00071B16" w:rsidRPr="0073058B" w:rsidP="00D03C8B" w14:paraId="72D4D044" w14:textId="22599C7F">
      <w:pPr>
        <w:numPr>
          <w:ilvl w:val="0"/>
          <w:numId w:val="10"/>
        </w:numPr>
        <w:spacing w:line="276" w:lineRule="auto"/>
        <w:contextualSpacing/>
        <w:rPr>
          <w:rFonts w:cs="Times New Roman"/>
          <w:b/>
          <w:szCs w:val="24"/>
        </w:rPr>
      </w:pPr>
      <w:r w:rsidRPr="00D03C8B">
        <w:rPr>
          <w:rFonts w:cs="Times New Roman"/>
          <w:b/>
          <w:szCs w:val="24"/>
        </w:rPr>
        <w:fldChar w:fldCharType="begin"/>
      </w:r>
      <w:r w:rsidRPr="00D03C8B">
        <w:rPr>
          <w:rFonts w:cs="Times New Roman"/>
          <w:b/>
          <w:szCs w:val="24"/>
        </w:rPr>
        <w:instrText>ADVANCE \R 0.95</w:instrText>
      </w:r>
      <w:r w:rsidRPr="00D03C8B">
        <w:rPr>
          <w:rFonts w:cs="Times New Roman"/>
          <w:b/>
          <w:szCs w:val="24"/>
        </w:rPr>
        <w:fldChar w:fldCharType="end"/>
      </w:r>
      <w:r w:rsidRPr="00D03C8B">
        <w:rPr>
          <w:rFonts w:cs="Times New Roman"/>
          <w:b/>
          <w:szCs w:val="24"/>
        </w:rPr>
        <w:t>Requiring respondents to submit more than an original and two copies of any document</w:t>
      </w:r>
      <w:r w:rsidRPr="00D03C8B">
        <w:rPr>
          <w:rFonts w:cs="Times New Roman"/>
          <w:b/>
          <w:bCs/>
          <w:szCs w:val="24"/>
        </w:rPr>
        <w:t>.</w:t>
      </w: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p>
    <w:p w:rsidR="0073058B" w:rsidRPr="00814646" w:rsidP="0073058B" w14:paraId="62D58150" w14:textId="55180DC6">
      <w:pPr>
        <w:spacing w:line="276" w:lineRule="auto"/>
        <w:contextualSpacing/>
        <w:rPr>
          <w:rFonts w:eastAsia="Times New Roman" w:cs="Times New Roman"/>
          <w:szCs w:val="24"/>
        </w:rPr>
      </w:pPr>
    </w:p>
    <w:p w:rsidR="0073058B" w:rsidRPr="00814646" w:rsidP="0073058B" w14:paraId="16D55639" w14:textId="20E8F70A">
      <w:pPr>
        <w:spacing w:line="276" w:lineRule="auto"/>
        <w:contextualSpacing/>
        <w:rPr>
          <w:rFonts w:eastAsia="Times New Roman" w:cs="Times New Roman"/>
          <w:szCs w:val="24"/>
        </w:rPr>
      </w:pPr>
      <w:r w:rsidRPr="00814646">
        <w:rPr>
          <w:rFonts w:eastAsia="Times New Roman" w:cs="Times New Roman"/>
          <w:szCs w:val="24"/>
        </w:rPr>
        <w:t>This information collection does not require respondents to submit more than an original and two copies of any document.</w:t>
      </w:r>
    </w:p>
    <w:p w:rsidR="0073058B" w:rsidRPr="00814646" w:rsidP="00814646" w14:paraId="0AC20725" w14:textId="77777777">
      <w:pPr>
        <w:spacing w:line="276" w:lineRule="auto"/>
        <w:contextualSpacing/>
        <w:rPr>
          <w:rFonts w:eastAsia="Times New Roman" w:cs="Times New Roman"/>
          <w:szCs w:val="24"/>
        </w:rPr>
      </w:pPr>
    </w:p>
    <w:p w:rsidR="00071B16" w:rsidP="00D03C8B" w14:paraId="7102A920" w14:textId="1F0515BC">
      <w:pPr>
        <w:numPr>
          <w:ilvl w:val="0"/>
          <w:numId w:val="10"/>
        </w:numPr>
        <w:spacing w:line="276" w:lineRule="auto"/>
        <w:contextualSpacing/>
        <w:rPr>
          <w:rFonts w:cs="Times New Roman"/>
          <w:b/>
          <w:szCs w:val="24"/>
        </w:rPr>
      </w:pPr>
      <w:r w:rsidRPr="00D03C8B">
        <w:rPr>
          <w:rFonts w:cs="Times New Roman"/>
          <w:b/>
          <w:szCs w:val="24"/>
        </w:rPr>
        <w:fldChar w:fldCharType="begin"/>
      </w:r>
      <w:r w:rsidRPr="00D03C8B">
        <w:rPr>
          <w:rFonts w:cs="Times New Roman"/>
          <w:b/>
          <w:szCs w:val="24"/>
        </w:rPr>
        <w:instrText>ADVANCE \R 0.95</w:instrText>
      </w:r>
      <w:r w:rsidRPr="00D03C8B">
        <w:rPr>
          <w:rFonts w:cs="Times New Roman"/>
          <w:b/>
          <w:szCs w:val="24"/>
        </w:rPr>
        <w:fldChar w:fldCharType="end"/>
      </w:r>
      <w:r w:rsidRPr="00D03C8B">
        <w:rPr>
          <w:rFonts w:cs="Times New Roman"/>
          <w:b/>
          <w:szCs w:val="24"/>
        </w:rPr>
        <w:t>Requiring respondents to retain records, other than health, medical, government contract, grant-in-aid, or tax records for more than three years</w:t>
      </w:r>
      <w:r w:rsidRPr="00D03C8B">
        <w:rPr>
          <w:rFonts w:cs="Times New Roman"/>
          <w:b/>
          <w:szCs w:val="24"/>
        </w:rPr>
        <w:t>.</w:t>
      </w:r>
      <w:r w:rsidRPr="00D03C8B">
        <w:rPr>
          <w:rFonts w:cs="Times New Roman"/>
          <w:b/>
          <w:szCs w:val="24"/>
        </w:rPr>
        <w:fldChar w:fldCharType="begin"/>
      </w:r>
      <w:r w:rsidRPr="00D03C8B">
        <w:rPr>
          <w:rFonts w:cs="Times New Roman"/>
          <w:b/>
          <w:szCs w:val="24"/>
        </w:rPr>
        <w:instrText>ADVANCE \R 0.95</w:instrText>
      </w:r>
      <w:r w:rsidRPr="00D03C8B">
        <w:rPr>
          <w:rFonts w:cs="Times New Roman"/>
          <w:b/>
          <w:szCs w:val="24"/>
        </w:rPr>
        <w:fldChar w:fldCharType="end"/>
      </w:r>
    </w:p>
    <w:p w:rsidR="0073058B" w:rsidRPr="00814646" w:rsidP="0073058B" w14:paraId="211F9DEC" w14:textId="13DCFD2C">
      <w:pPr>
        <w:spacing w:line="276" w:lineRule="auto"/>
        <w:contextualSpacing/>
        <w:rPr>
          <w:rFonts w:eastAsia="Times New Roman" w:cs="Times New Roman"/>
          <w:szCs w:val="24"/>
        </w:rPr>
      </w:pPr>
    </w:p>
    <w:p w:rsidR="0073058B" w:rsidRPr="00814646" w:rsidP="0073058B" w14:paraId="1FE9398F" w14:textId="4E7F6ED5">
      <w:pPr>
        <w:spacing w:line="276" w:lineRule="auto"/>
        <w:contextualSpacing/>
        <w:rPr>
          <w:rFonts w:eastAsia="Times New Roman" w:cs="Times New Roman"/>
          <w:szCs w:val="24"/>
        </w:rPr>
      </w:pPr>
      <w:r w:rsidRPr="00814646">
        <w:rPr>
          <w:rFonts w:eastAsia="Times New Roman" w:cs="Times New Roman"/>
          <w:szCs w:val="24"/>
        </w:rPr>
        <w:t>This information collection does not require respondents to retain records (other than health, medical, government contract, grant-in-aid, or tax records) for more than three years.</w:t>
      </w:r>
    </w:p>
    <w:p w:rsidR="0073058B" w:rsidRPr="00814646" w:rsidP="00814646" w14:paraId="56F383E6" w14:textId="77777777">
      <w:pPr>
        <w:spacing w:line="276" w:lineRule="auto"/>
        <w:contextualSpacing/>
        <w:rPr>
          <w:rFonts w:eastAsia="Times New Roman" w:cs="Times New Roman"/>
          <w:szCs w:val="24"/>
        </w:rPr>
      </w:pPr>
    </w:p>
    <w:p w:rsidR="00174B16" w:rsidP="00D03C8B" w14:paraId="5FE1B833" w14:textId="1EB94120">
      <w:pPr>
        <w:numPr>
          <w:ilvl w:val="0"/>
          <w:numId w:val="10"/>
        </w:numPr>
        <w:spacing w:line="276" w:lineRule="auto"/>
        <w:contextualSpacing/>
        <w:rPr>
          <w:rFonts w:cs="Times New Roman"/>
          <w:b/>
          <w:szCs w:val="24"/>
        </w:rPr>
      </w:pPr>
      <w:r w:rsidRPr="00D03C8B">
        <w:rPr>
          <w:rFonts w:cs="Times New Roman"/>
          <w:b/>
          <w:szCs w:val="24"/>
        </w:rPr>
        <w:fldChar w:fldCharType="begin"/>
      </w:r>
      <w:r w:rsidRPr="00D03C8B">
        <w:rPr>
          <w:rFonts w:cs="Times New Roman"/>
          <w:b/>
          <w:szCs w:val="24"/>
        </w:rPr>
        <w:instrText>ADVANCE \R 0.95</w:instrText>
      </w:r>
      <w:r w:rsidRPr="00D03C8B">
        <w:rPr>
          <w:rFonts w:cs="Times New Roman"/>
          <w:b/>
          <w:szCs w:val="24"/>
        </w:rPr>
        <w:fldChar w:fldCharType="end"/>
      </w:r>
      <w:r w:rsidRPr="00D03C8B" w:rsidR="00071B16">
        <w:rPr>
          <w:rFonts w:cs="Times New Roman"/>
          <w:b/>
          <w:szCs w:val="24"/>
        </w:rPr>
        <w:t>In connection with a statistical survey, that is not designed to produce valid and reliable results that can be generalized to the universe of study</w:t>
      </w:r>
      <w:r w:rsidRPr="00D03C8B">
        <w:rPr>
          <w:rFonts w:cs="Times New Roman"/>
          <w:b/>
          <w:szCs w:val="24"/>
        </w:rPr>
        <w:t>.</w:t>
      </w:r>
      <w:r w:rsidRPr="00D03C8B">
        <w:rPr>
          <w:rFonts w:cs="Times New Roman"/>
          <w:b/>
          <w:szCs w:val="24"/>
        </w:rPr>
        <w:fldChar w:fldCharType="begin"/>
      </w:r>
      <w:r w:rsidRPr="00D03C8B">
        <w:rPr>
          <w:rFonts w:cs="Times New Roman"/>
          <w:b/>
          <w:szCs w:val="24"/>
        </w:rPr>
        <w:instrText>ADVANCE \R 0.95</w:instrText>
      </w:r>
      <w:r w:rsidRPr="00D03C8B">
        <w:rPr>
          <w:rFonts w:cs="Times New Roman"/>
          <w:b/>
          <w:szCs w:val="24"/>
        </w:rPr>
        <w:fldChar w:fldCharType="end"/>
      </w:r>
    </w:p>
    <w:p w:rsidR="0073058B" w:rsidRPr="00814646" w:rsidP="0073058B" w14:paraId="4404392C" w14:textId="74EA3F64">
      <w:pPr>
        <w:spacing w:line="276" w:lineRule="auto"/>
        <w:contextualSpacing/>
        <w:rPr>
          <w:rFonts w:eastAsia="Times New Roman" w:cs="Times New Roman"/>
          <w:szCs w:val="24"/>
        </w:rPr>
      </w:pPr>
    </w:p>
    <w:p w:rsidR="0073058B" w:rsidRPr="00814646" w:rsidP="0073058B" w14:paraId="598EDF61" w14:textId="512F519D">
      <w:pPr>
        <w:spacing w:line="276" w:lineRule="auto"/>
        <w:contextualSpacing/>
        <w:rPr>
          <w:rFonts w:eastAsia="Times New Roman" w:cs="Times New Roman"/>
          <w:szCs w:val="24"/>
        </w:rPr>
      </w:pPr>
      <w:r w:rsidRPr="00814646">
        <w:rPr>
          <w:rFonts w:eastAsia="Times New Roman" w:cs="Times New Roman"/>
          <w:szCs w:val="24"/>
        </w:rPr>
        <w:t>This information collection does not include a statistical survey.</w:t>
      </w:r>
    </w:p>
    <w:p w:rsidR="0073058B" w:rsidRPr="00814646" w:rsidP="00814646" w14:paraId="4729CE91" w14:textId="77777777">
      <w:pPr>
        <w:spacing w:line="276" w:lineRule="auto"/>
        <w:contextualSpacing/>
        <w:rPr>
          <w:rFonts w:eastAsia="Times New Roman" w:cs="Times New Roman"/>
          <w:szCs w:val="24"/>
        </w:rPr>
      </w:pPr>
    </w:p>
    <w:p w:rsidR="00071B16" w:rsidP="00D03C8B" w14:paraId="497FD2A9" w14:textId="7CEFEAB6">
      <w:pPr>
        <w:numPr>
          <w:ilvl w:val="0"/>
          <w:numId w:val="10"/>
        </w:numPr>
        <w:spacing w:line="276" w:lineRule="auto"/>
        <w:contextualSpacing/>
        <w:rPr>
          <w:rFonts w:cs="Times New Roman"/>
          <w:b/>
          <w:szCs w:val="24"/>
        </w:rPr>
      </w:pPr>
      <w:r w:rsidRPr="00D03C8B">
        <w:rPr>
          <w:rFonts w:cs="Times New Roman"/>
          <w:b/>
          <w:szCs w:val="24"/>
        </w:rPr>
        <w:t>Requiring the use of a statistical data classification that has not been reviewed and approved by OMB.</w:t>
      </w:r>
    </w:p>
    <w:p w:rsidR="0073058B" w:rsidRPr="00814646" w:rsidP="0073058B" w14:paraId="1B0C3C1C" w14:textId="59B150A9">
      <w:pPr>
        <w:spacing w:line="276" w:lineRule="auto"/>
        <w:contextualSpacing/>
        <w:rPr>
          <w:rFonts w:eastAsia="Times New Roman" w:cs="Times New Roman"/>
          <w:szCs w:val="24"/>
        </w:rPr>
      </w:pPr>
    </w:p>
    <w:p w:rsidR="0073058B" w:rsidRPr="00814646" w:rsidP="0073058B" w14:paraId="02704E19" w14:textId="268669AC">
      <w:pPr>
        <w:spacing w:line="276" w:lineRule="auto"/>
        <w:contextualSpacing/>
        <w:rPr>
          <w:rFonts w:eastAsia="Times New Roman" w:cs="Times New Roman"/>
          <w:szCs w:val="24"/>
        </w:rPr>
      </w:pPr>
      <w:r w:rsidRPr="00814646">
        <w:rPr>
          <w:rFonts w:eastAsia="Times New Roman" w:cs="Times New Roman"/>
          <w:szCs w:val="24"/>
        </w:rPr>
        <w:t>This information collection does not use a statistical data classification that has not been reviewed and approved by OMB.</w:t>
      </w:r>
    </w:p>
    <w:p w:rsidR="0073058B" w:rsidRPr="00814646" w:rsidP="00814646" w14:paraId="16C3D21B" w14:textId="77777777">
      <w:pPr>
        <w:spacing w:line="276" w:lineRule="auto"/>
        <w:contextualSpacing/>
        <w:rPr>
          <w:rFonts w:eastAsia="Times New Roman" w:cs="Times New Roman"/>
          <w:szCs w:val="24"/>
        </w:rPr>
      </w:pPr>
    </w:p>
    <w:p w:rsidR="0073058B" w:rsidP="004E517F" w14:paraId="14BDF58D" w14:textId="168B9FE0">
      <w:pPr>
        <w:numPr>
          <w:ilvl w:val="0"/>
          <w:numId w:val="10"/>
        </w:numPr>
        <w:spacing w:line="276" w:lineRule="auto"/>
        <w:contextualSpacing/>
        <w:rPr>
          <w:rFonts w:cs="Times New Roman"/>
          <w:b/>
          <w:szCs w:val="24"/>
        </w:rPr>
      </w:pPr>
      <w:r w:rsidRPr="0073058B">
        <w:rPr>
          <w:rFonts w:cs="Times New Roman"/>
          <w:b/>
          <w:szCs w:val="24"/>
        </w:rPr>
        <w:fldChar w:fldCharType="begin"/>
      </w:r>
      <w:r w:rsidRPr="0073058B">
        <w:rPr>
          <w:rFonts w:cs="Times New Roman"/>
          <w:b/>
          <w:bCs/>
          <w:szCs w:val="24"/>
        </w:rPr>
        <w:instrText>ADVANCE \R 0.95</w:instrText>
      </w:r>
      <w:r w:rsidRPr="0073058B">
        <w:rPr>
          <w:rFonts w:cs="Times New Roman"/>
          <w:b/>
          <w:szCs w:val="24"/>
        </w:rPr>
        <w:fldChar w:fldCharType="end"/>
      </w:r>
      <w:r w:rsidRPr="0073058B" w:rsidR="00071B16">
        <w:rPr>
          <w:rFonts w:cs="Times New Roman"/>
          <w:b/>
          <w:szCs w:val="24"/>
        </w:rPr>
        <w:t xml:space="preserve">That includes a pledge of confidentiality that is not supported by authority established in </w:t>
      </w:r>
      <w:r w:rsidRPr="0073058B">
        <w:rPr>
          <w:rFonts w:cs="Times New Roman"/>
          <w:b/>
          <w:bCs/>
          <w:szCs w:val="24"/>
        </w:rPr>
        <w:t>statute</w:t>
      </w:r>
      <w:r w:rsidRPr="0073058B" w:rsidR="00071B16">
        <w:rPr>
          <w:rFonts w:cs="Times New Roman"/>
          <w:b/>
          <w:szCs w:val="24"/>
        </w:rPr>
        <w:t xml:space="preserve"> or regulation, that is not supported by disclosure and data security policies that are consistent with the pledge, or which unnecessarily impedes sharing of data with other agencies for compatible confidential use</w:t>
      </w:r>
      <w:r w:rsidRPr="0073058B">
        <w:rPr>
          <w:rFonts w:cs="Times New Roman"/>
          <w:b/>
          <w:bCs/>
          <w:szCs w:val="24"/>
        </w:rPr>
        <w:t>.</w:t>
      </w:r>
      <w:r w:rsidRPr="0073058B">
        <w:rPr>
          <w:rFonts w:cs="Times New Roman"/>
          <w:b/>
          <w:szCs w:val="24"/>
        </w:rPr>
        <w:fldChar w:fldCharType="begin"/>
      </w:r>
      <w:r w:rsidRPr="0073058B">
        <w:rPr>
          <w:rFonts w:cs="Times New Roman"/>
          <w:b/>
          <w:szCs w:val="24"/>
        </w:rPr>
        <w:instrText>ADVANCE \R 0.95</w:instrText>
      </w:r>
      <w:r w:rsidRPr="0073058B">
        <w:rPr>
          <w:rFonts w:cs="Times New Roman"/>
          <w:b/>
          <w:szCs w:val="24"/>
        </w:rPr>
        <w:fldChar w:fldCharType="end"/>
      </w:r>
    </w:p>
    <w:p w:rsidR="005C5AA2" w:rsidP="00814646" w14:paraId="72E0A438" w14:textId="77777777">
      <w:pPr>
        <w:pStyle w:val="ListParagraph"/>
        <w:rPr>
          <w:rFonts w:eastAsia="Times New Roman" w:cs="Times New Roman"/>
          <w:szCs w:val="24"/>
        </w:rPr>
      </w:pPr>
    </w:p>
    <w:p w:rsidR="0073058B" w:rsidRPr="00814646" w:rsidP="0073058B" w14:paraId="20BF7E43" w14:textId="4F9C0A2F">
      <w:pPr>
        <w:spacing w:line="276" w:lineRule="auto"/>
        <w:contextualSpacing/>
        <w:rPr>
          <w:rFonts w:eastAsia="Times New Roman" w:cs="Times New Roman"/>
          <w:szCs w:val="24"/>
        </w:rPr>
      </w:pPr>
    </w:p>
    <w:p w:rsidR="0073058B" w:rsidRPr="00814646" w:rsidP="0073058B" w14:paraId="303F7C80" w14:textId="765BF596">
      <w:pPr>
        <w:spacing w:line="276" w:lineRule="auto"/>
        <w:contextualSpacing/>
        <w:rPr>
          <w:rFonts w:eastAsia="Times New Roman" w:cs="Times New Roman"/>
          <w:szCs w:val="24"/>
        </w:rPr>
      </w:pPr>
      <w:r w:rsidRPr="00814646">
        <w:rPr>
          <w:rFonts w:eastAsia="Times New Roman" w:cs="Times New Roman"/>
          <w:szCs w:val="24"/>
        </w:rPr>
        <w:t>This information collection does not include a pledge of confidentiality that is not supported by established authorities or policies.</w:t>
      </w:r>
    </w:p>
    <w:p w:rsidR="0073058B" w:rsidRPr="00814646" w:rsidP="00814646" w14:paraId="2834E82C" w14:textId="77777777">
      <w:pPr>
        <w:spacing w:line="276" w:lineRule="auto"/>
        <w:contextualSpacing/>
        <w:rPr>
          <w:rFonts w:eastAsia="Times New Roman" w:cs="Times New Roman"/>
          <w:szCs w:val="24"/>
        </w:rPr>
      </w:pPr>
    </w:p>
    <w:p w:rsidR="00174B16" w:rsidRPr="0073058B" w:rsidP="00814646" w14:paraId="262B928D" w14:textId="5FA363F4">
      <w:pPr>
        <w:numPr>
          <w:ilvl w:val="0"/>
          <w:numId w:val="10"/>
        </w:numPr>
        <w:spacing w:line="276" w:lineRule="auto"/>
        <w:contextualSpacing/>
        <w:rPr>
          <w:rFonts w:cs="Times New Roman"/>
          <w:szCs w:val="24"/>
        </w:rPr>
      </w:pPr>
      <w:r w:rsidRPr="0073058B">
        <w:rPr>
          <w:rFonts w:cs="Times New Roman"/>
          <w:b/>
          <w:szCs w:val="24"/>
        </w:rPr>
        <w:fldChar w:fldCharType="begin"/>
      </w:r>
      <w:r w:rsidRPr="0073058B">
        <w:rPr>
          <w:rFonts w:cs="Times New Roman"/>
          <w:b/>
          <w:szCs w:val="24"/>
        </w:rPr>
        <w:instrText>ADVANCE \R 0.95</w:instrText>
      </w:r>
      <w:r w:rsidRPr="0073058B">
        <w:rPr>
          <w:rFonts w:cs="Times New Roman"/>
          <w:b/>
          <w:szCs w:val="24"/>
        </w:rPr>
        <w:fldChar w:fldCharType="end"/>
      </w:r>
      <w:r w:rsidRPr="0073058B">
        <w:rPr>
          <w:rFonts w:cs="Times New Roman"/>
          <w:b/>
          <w:szCs w:val="24"/>
        </w:rPr>
        <w:t>Requiring respondents to submit proprietary trade secret, or other confidential information unless the agency can demonstrate that it has instituted procedures to protect the information’s confidentiality to the extent permitted by law</w:t>
      </w:r>
      <w:r w:rsidRPr="0073058B">
        <w:rPr>
          <w:rFonts w:cs="Times New Roman"/>
          <w:b/>
          <w:bCs/>
          <w:szCs w:val="24"/>
        </w:rPr>
        <w:t>.</w:t>
      </w:r>
      <w:r w:rsidRPr="0073058B">
        <w:rPr>
          <w:rFonts w:cs="Times New Roman"/>
          <w:b/>
          <w:szCs w:val="24"/>
        </w:rPr>
        <w:fldChar w:fldCharType="begin"/>
      </w:r>
      <w:r w:rsidRPr="0073058B">
        <w:rPr>
          <w:rFonts w:cs="Times New Roman"/>
          <w:b/>
          <w:szCs w:val="24"/>
        </w:rPr>
        <w:instrText>ADVANCE \R 0.95</w:instrText>
      </w:r>
      <w:r w:rsidRPr="0073058B">
        <w:rPr>
          <w:rFonts w:cs="Times New Roman"/>
          <w:b/>
          <w:szCs w:val="24"/>
        </w:rPr>
        <w:fldChar w:fldCharType="end"/>
      </w:r>
    </w:p>
    <w:p w:rsidR="0073058B" w:rsidP="00D03C8B" w14:paraId="32283C39" w14:textId="77777777">
      <w:pPr>
        <w:spacing w:line="276" w:lineRule="auto"/>
        <w:contextualSpacing/>
        <w:rPr>
          <w:rFonts w:eastAsia="Times New Roman" w:cs="Times New Roman"/>
          <w:szCs w:val="24"/>
        </w:rPr>
      </w:pPr>
    </w:p>
    <w:p w:rsidR="002B2B7C" w:rsidRPr="00D03C8B" w:rsidP="00814646" w14:paraId="738C505F" w14:textId="05811318">
      <w:pPr>
        <w:spacing w:line="276" w:lineRule="auto"/>
        <w:contextualSpacing/>
        <w:rPr>
          <w:rFonts w:eastAsia="Times New Roman" w:cs="Times New Roman"/>
          <w:szCs w:val="24"/>
        </w:rPr>
      </w:pPr>
      <w:r w:rsidRPr="00814646">
        <w:rPr>
          <w:rFonts w:eastAsia="Times New Roman" w:cs="Times New Roman"/>
          <w:szCs w:val="24"/>
        </w:rPr>
        <w:t>This information collection does not require respondents to submit trade secrets or other confidential information</w:t>
      </w:r>
      <w:r>
        <w:rPr>
          <w:rFonts w:eastAsia="Times New Roman" w:cs="Times New Roman"/>
          <w:szCs w:val="24"/>
        </w:rPr>
        <w:t>.</w:t>
      </w:r>
    </w:p>
    <w:p w:rsidR="00BE4C08" w:rsidRPr="00814646" w:rsidP="00814646" w14:paraId="68F4351C" w14:textId="77777777">
      <w:pPr>
        <w:spacing w:line="276" w:lineRule="auto"/>
        <w:contextualSpacing/>
        <w:rPr>
          <w:rFonts w:eastAsia="Times New Roman" w:cs="Times New Roman"/>
          <w:szCs w:val="24"/>
        </w:rPr>
      </w:pPr>
    </w:p>
    <w:p w:rsidR="00071B16" w:rsidP="00D03C8B" w14:paraId="4F1A2C9D" w14:textId="0C53B178">
      <w:pPr>
        <w:spacing w:line="276" w:lineRule="auto"/>
        <w:contextualSpacing/>
        <w:rPr>
          <w:rFonts w:cs="Times New Roman"/>
          <w:b/>
          <w:bCs/>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8.  </w:t>
      </w:r>
      <w:r w:rsidRPr="00D03C8B">
        <w:rPr>
          <w:rFonts w:cs="Times New Roman"/>
          <w:b/>
          <w:szCs w:val="24"/>
        </w:rPr>
        <w:t>Federal Register Notice:</w:t>
      </w:r>
      <w:r w:rsidRPr="00D03C8B">
        <w:rPr>
          <w:rFonts w:cs="Times New Roman"/>
          <w:b/>
          <w:bCs/>
          <w:szCs w:val="24"/>
        </w:rPr>
        <w:t xml:space="preserve"> </w:t>
      </w: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p>
    <w:p w:rsidR="0073058B" w:rsidRPr="00D03C8B" w:rsidP="00814646" w14:paraId="01CBF747" w14:textId="77777777">
      <w:pPr>
        <w:spacing w:line="276" w:lineRule="auto"/>
        <w:contextualSpacing/>
        <w:rPr>
          <w:rFonts w:cs="Times New Roman"/>
          <w:b/>
          <w:szCs w:val="24"/>
        </w:rPr>
      </w:pPr>
    </w:p>
    <w:p w:rsidR="00071B16" w:rsidRPr="00814646" w:rsidP="00814646" w14:paraId="402BB010" w14:textId="77AD2672">
      <w:pPr>
        <w:pStyle w:val="ListParagraph"/>
        <w:numPr>
          <w:ilvl w:val="0"/>
          <w:numId w:val="17"/>
        </w:numPr>
        <w:spacing w:line="276" w:lineRule="auto"/>
        <w:rPr>
          <w:rFonts w:cs="Times New Roman"/>
          <w:color w:val="000000" w:themeColor="text1"/>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szCs w:val="24"/>
        </w:rPr>
        <w:t xml:space="preserve">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w:t>
      </w:r>
      <w:r w:rsidRPr="00814646">
        <w:rPr>
          <w:rFonts w:cs="Times New Roman"/>
          <w:b/>
          <w:color w:val="000000" w:themeColor="text1"/>
          <w:szCs w:val="24"/>
        </w:rPr>
        <w:t>comments received on cost and hour burden</w:t>
      </w:r>
      <w:r w:rsidRPr="00814646">
        <w:rPr>
          <w:rFonts w:cs="Times New Roman"/>
          <w:b/>
          <w:bCs/>
          <w:color w:val="000000" w:themeColor="text1"/>
          <w:szCs w:val="24"/>
        </w:rPr>
        <w:t>.</w:t>
      </w:r>
      <w:r w:rsidRPr="00814646">
        <w:rPr>
          <w:rFonts w:cs="Times New Roman"/>
          <w:color w:val="000000" w:themeColor="text1"/>
          <w:szCs w:val="24"/>
        </w:rPr>
        <w:fldChar w:fldCharType="begin"/>
      </w:r>
      <w:r w:rsidRPr="00814646">
        <w:rPr>
          <w:rFonts w:cs="Times New Roman"/>
          <w:color w:val="000000" w:themeColor="text1"/>
          <w:szCs w:val="24"/>
        </w:rPr>
        <w:instrText>ADVANCE \R 0.95</w:instrText>
      </w:r>
      <w:r w:rsidRPr="00814646">
        <w:rPr>
          <w:rFonts w:cs="Times New Roman"/>
          <w:color w:val="000000" w:themeColor="text1"/>
          <w:szCs w:val="24"/>
        </w:rPr>
        <w:fldChar w:fldCharType="end"/>
      </w:r>
    </w:p>
    <w:p w:rsidR="0073058B" w:rsidRPr="00814646" w:rsidP="00814646" w14:paraId="5899E55A" w14:textId="77777777">
      <w:pPr>
        <w:spacing w:line="276" w:lineRule="auto"/>
        <w:rPr>
          <w:rFonts w:cs="Times New Roman"/>
          <w:color w:val="000000"/>
          <w:szCs w:val="24"/>
        </w:rPr>
      </w:pPr>
    </w:p>
    <w:p w:rsidR="0073058B" w:rsidP="00814646" w14:paraId="2300885C" w14:textId="1D61EE26">
      <w:pPr>
        <w:spacing w:line="276" w:lineRule="auto"/>
        <w:rPr>
          <w:rFonts w:cs="Times New Roman"/>
          <w:color w:val="000000"/>
          <w:szCs w:val="24"/>
        </w:rPr>
      </w:pPr>
      <w:r w:rsidRPr="0073058B">
        <w:rPr>
          <w:rFonts w:cs="Times New Roman"/>
          <w:color w:val="000000"/>
          <w:szCs w:val="24"/>
        </w:rPr>
        <w:t>A 60-day Federal Register Notice inviting public comments was published on</w:t>
      </w:r>
      <w:r w:rsidRPr="0004353C">
        <w:rPr>
          <w:rFonts w:cs="Times New Roman"/>
          <w:color w:val="000000"/>
          <w:szCs w:val="24"/>
        </w:rPr>
        <w:t xml:space="preserve"> </w:t>
      </w:r>
      <w:r w:rsidR="00051459">
        <w:rPr>
          <w:rFonts w:cs="Times New Roman"/>
          <w:color w:val="000000"/>
          <w:szCs w:val="24"/>
        </w:rPr>
        <w:t xml:space="preserve">February 14, 2024, at </w:t>
      </w:r>
      <w:r w:rsidRPr="0004353C" w:rsidR="009F6CE7">
        <w:rPr>
          <w:rFonts w:cs="Times New Roman"/>
          <w:color w:val="000000"/>
          <w:szCs w:val="24"/>
        </w:rPr>
        <w:t>89 FR 11310</w:t>
      </w:r>
      <w:r w:rsidRPr="0004353C">
        <w:rPr>
          <w:rFonts w:cs="Times New Roman"/>
          <w:color w:val="000000"/>
          <w:szCs w:val="24"/>
        </w:rPr>
        <w:t xml:space="preserve">.  </w:t>
      </w:r>
      <w:r w:rsidRPr="0004353C" w:rsidR="0094639D">
        <w:rPr>
          <w:rFonts w:cs="Times New Roman"/>
          <w:color w:val="000000"/>
          <w:szCs w:val="24"/>
        </w:rPr>
        <w:t>One public comment was received</w:t>
      </w:r>
      <w:r w:rsidRPr="0004353C" w:rsidR="00032999">
        <w:rPr>
          <w:rFonts w:cs="Times New Roman"/>
          <w:color w:val="000000"/>
          <w:szCs w:val="24"/>
        </w:rPr>
        <w:t xml:space="preserve"> that is not germane to this information collection</w:t>
      </w:r>
      <w:r w:rsidRPr="0004353C">
        <w:rPr>
          <w:rFonts w:cs="Times New Roman"/>
          <w:color w:val="000000"/>
          <w:szCs w:val="24"/>
        </w:rPr>
        <w:t>.</w:t>
      </w:r>
    </w:p>
    <w:p w:rsidR="00FC6FF4" w:rsidP="00814646" w14:paraId="45D80680" w14:textId="77777777">
      <w:pPr>
        <w:spacing w:line="276" w:lineRule="auto"/>
        <w:rPr>
          <w:rFonts w:cs="Times New Roman"/>
          <w:color w:val="000000"/>
          <w:szCs w:val="24"/>
        </w:rPr>
      </w:pPr>
    </w:p>
    <w:p w:rsidR="000C3C54" w:rsidP="00814646" w14:paraId="02A8EBB3" w14:textId="1B9F7212">
      <w:pPr>
        <w:spacing w:line="276" w:lineRule="auto"/>
        <w:rPr>
          <w:rFonts w:cs="Times New Roman"/>
          <w:color w:val="000000"/>
          <w:szCs w:val="24"/>
        </w:rPr>
      </w:pPr>
      <w:r w:rsidRPr="0004353C">
        <w:rPr>
          <w:rFonts w:cs="Times New Roman"/>
          <w:i/>
          <w:iCs/>
          <w:color w:val="000000"/>
          <w:szCs w:val="24"/>
        </w:rPr>
        <w:t>Comment 1 (FEMA-2024-0007-0002)</w:t>
      </w:r>
      <w:r w:rsidRPr="0004353C" w:rsidR="00630054">
        <w:rPr>
          <w:rFonts w:cs="Times New Roman"/>
          <w:i/>
          <w:iCs/>
          <w:color w:val="000000"/>
          <w:szCs w:val="24"/>
        </w:rPr>
        <w:t>:</w:t>
      </w:r>
      <w:r w:rsidR="00630054">
        <w:rPr>
          <w:rFonts w:cs="Times New Roman"/>
          <w:color w:val="000000"/>
          <w:szCs w:val="24"/>
        </w:rPr>
        <w:t xml:space="preserve">  </w:t>
      </w:r>
      <w:r w:rsidR="00093D5B">
        <w:rPr>
          <w:rFonts w:cs="Times New Roman"/>
          <w:color w:val="000000"/>
          <w:szCs w:val="24"/>
        </w:rPr>
        <w:t xml:space="preserve">The commenter </w:t>
      </w:r>
      <w:r w:rsidR="00B1671E">
        <w:rPr>
          <w:rFonts w:cs="Times New Roman"/>
          <w:color w:val="000000"/>
          <w:szCs w:val="24"/>
        </w:rPr>
        <w:t>stated,</w:t>
      </w:r>
      <w:r>
        <w:rPr>
          <w:rFonts w:cs="Times New Roman"/>
          <w:color w:val="000000"/>
          <w:szCs w:val="24"/>
        </w:rPr>
        <w:t xml:space="preserve"> “</w:t>
      </w:r>
      <w:r w:rsidR="00093D5B">
        <w:rPr>
          <w:rFonts w:cs="Times New Roman"/>
          <w:color w:val="000000"/>
          <w:szCs w:val="24"/>
        </w:rPr>
        <w:t>FEMA should halt all program until it ensures a huge decline in its internal fraud</w:t>
      </w:r>
      <w:r>
        <w:rPr>
          <w:rFonts w:cs="Times New Roman"/>
          <w:color w:val="000000"/>
          <w:szCs w:val="24"/>
        </w:rPr>
        <w:t>”</w:t>
      </w:r>
      <w:r w:rsidR="00B1671E">
        <w:rPr>
          <w:rFonts w:cs="Times New Roman"/>
          <w:color w:val="000000"/>
          <w:szCs w:val="24"/>
        </w:rPr>
        <w:t xml:space="preserve"> </w:t>
      </w:r>
      <w:r w:rsidR="009F4D3D">
        <w:rPr>
          <w:rFonts w:cs="Times New Roman"/>
          <w:color w:val="000000"/>
          <w:szCs w:val="24"/>
        </w:rPr>
        <w:t xml:space="preserve">and then provided the abstract for </w:t>
      </w:r>
      <w:r w:rsidR="00856195">
        <w:rPr>
          <w:rFonts w:cs="Times New Roman"/>
          <w:color w:val="000000"/>
          <w:szCs w:val="24"/>
        </w:rPr>
        <w:t xml:space="preserve">the Office of the Inspector General’s (OIG) </w:t>
      </w:r>
      <w:r w:rsidR="00856CBF">
        <w:rPr>
          <w:rFonts w:cs="Times New Roman"/>
          <w:color w:val="000000"/>
          <w:szCs w:val="24"/>
        </w:rPr>
        <w:t>report OIG-19-55 (</w:t>
      </w:r>
      <w:r w:rsidR="0024565F">
        <w:rPr>
          <w:rFonts w:cs="Times New Roman"/>
          <w:color w:val="000000"/>
          <w:szCs w:val="24"/>
        </w:rPr>
        <w:t>edited below for formatting)</w:t>
      </w:r>
      <w:r w:rsidR="00A62DBF">
        <w:rPr>
          <w:rFonts w:cs="Times New Roman"/>
          <w:color w:val="000000"/>
          <w:szCs w:val="24"/>
        </w:rPr>
        <w:t xml:space="preserve"> as support for their comment</w:t>
      </w:r>
      <w:r w:rsidR="0024565F">
        <w:rPr>
          <w:rFonts w:cs="Times New Roman"/>
          <w:color w:val="000000"/>
          <w:szCs w:val="24"/>
        </w:rPr>
        <w:t>.</w:t>
      </w:r>
    </w:p>
    <w:p w:rsidR="000C3C54" w:rsidP="00814646" w14:paraId="0A024ACA" w14:textId="77777777">
      <w:pPr>
        <w:spacing w:line="276" w:lineRule="auto"/>
        <w:rPr>
          <w:rFonts w:cs="Times New Roman"/>
          <w:color w:val="000000"/>
          <w:szCs w:val="24"/>
        </w:rPr>
      </w:pPr>
    </w:p>
    <w:p w:rsidR="0024565F" w:rsidRPr="0004353C" w:rsidP="0004353C" w14:paraId="0E84CACD" w14:textId="77777777">
      <w:pPr>
        <w:spacing w:line="276" w:lineRule="auto"/>
        <w:ind w:left="720"/>
        <w:rPr>
          <w:rFonts w:cs="Times New Roman"/>
          <w:b/>
          <w:bCs/>
          <w:color w:val="000000"/>
          <w:szCs w:val="24"/>
          <w:u w:val="single"/>
        </w:rPr>
      </w:pPr>
      <w:r w:rsidRPr="0004353C">
        <w:rPr>
          <w:rFonts w:cs="Times New Roman"/>
          <w:b/>
          <w:bCs/>
          <w:color w:val="000000"/>
          <w:szCs w:val="24"/>
          <w:u w:val="single"/>
        </w:rPr>
        <w:t xml:space="preserve">FEMA Must Take Additional Steps to Demonstrate </w:t>
      </w:r>
      <w:r w:rsidRPr="0004353C" w:rsidR="00C6706D">
        <w:rPr>
          <w:rFonts w:cs="Times New Roman"/>
          <w:b/>
          <w:bCs/>
          <w:color w:val="000000"/>
          <w:szCs w:val="24"/>
          <w:u w:val="single"/>
        </w:rPr>
        <w:t xml:space="preserve">the Importance of Fraud Prevention and Awareness in FEMA Disaster Assistance Programs.  </w:t>
      </w:r>
    </w:p>
    <w:p w:rsidR="0024565F" w:rsidP="0004353C" w14:paraId="4A843611" w14:textId="77777777">
      <w:pPr>
        <w:spacing w:line="276" w:lineRule="auto"/>
        <w:ind w:left="720"/>
        <w:rPr>
          <w:rFonts w:cs="Times New Roman"/>
          <w:color w:val="000000"/>
          <w:szCs w:val="24"/>
        </w:rPr>
      </w:pPr>
    </w:p>
    <w:p w:rsidR="00093D5B" w:rsidP="0004353C" w14:paraId="317245DA" w14:textId="152F16A3">
      <w:pPr>
        <w:spacing w:line="276" w:lineRule="auto"/>
        <w:ind w:left="720"/>
        <w:rPr>
          <w:rFonts w:cs="Times New Roman"/>
          <w:color w:val="000000"/>
          <w:szCs w:val="24"/>
        </w:rPr>
      </w:pPr>
      <w:r>
        <w:rPr>
          <w:rFonts w:cs="Times New Roman"/>
          <w:color w:val="000000"/>
          <w:szCs w:val="24"/>
        </w:rPr>
        <w:t xml:space="preserve">The Federal </w:t>
      </w:r>
      <w:r w:rsidR="003A0CFE">
        <w:rPr>
          <w:rFonts w:cs="Times New Roman"/>
          <w:color w:val="000000"/>
          <w:szCs w:val="24"/>
        </w:rPr>
        <w:t xml:space="preserve">Emergency Management Agency (FEMA) has </w:t>
      </w:r>
      <w:r w:rsidR="00C30D56">
        <w:rPr>
          <w:rFonts w:cs="Times New Roman"/>
          <w:color w:val="000000"/>
          <w:szCs w:val="24"/>
        </w:rPr>
        <w:t>instituted</w:t>
      </w:r>
      <w:r w:rsidR="003A0CFE">
        <w:rPr>
          <w:rFonts w:cs="Times New Roman"/>
          <w:color w:val="000000"/>
          <w:szCs w:val="24"/>
        </w:rPr>
        <w:t xml:space="preserve"> several effective mechanisms to demonstrate the </w:t>
      </w:r>
      <w:r w:rsidR="00C30D56">
        <w:rPr>
          <w:rFonts w:cs="Times New Roman"/>
          <w:color w:val="000000"/>
          <w:szCs w:val="24"/>
        </w:rPr>
        <w:t>importance</w:t>
      </w:r>
      <w:r w:rsidR="003A0CFE">
        <w:rPr>
          <w:rFonts w:cs="Times New Roman"/>
          <w:color w:val="000000"/>
          <w:szCs w:val="24"/>
        </w:rPr>
        <w:t xml:space="preserve"> of fraud prevention in its disaster assistance programs, but it needs to do more.  In line with our 2011 audit report </w:t>
      </w:r>
      <w:r w:rsidR="00C30D56">
        <w:rPr>
          <w:rFonts w:cs="Times New Roman"/>
          <w:color w:val="000000"/>
          <w:szCs w:val="24"/>
        </w:rPr>
        <w:t>recommendations</w:t>
      </w:r>
      <w:r w:rsidR="003A0CFE">
        <w:rPr>
          <w:rFonts w:cs="Times New Roman"/>
          <w:color w:val="000000"/>
          <w:szCs w:val="24"/>
        </w:rPr>
        <w:t xml:space="preserve">, FEMA now uses standard system queries and additional </w:t>
      </w:r>
      <w:r w:rsidR="00B86B14">
        <w:rPr>
          <w:rFonts w:cs="Times New Roman"/>
          <w:color w:val="000000"/>
          <w:szCs w:val="24"/>
        </w:rPr>
        <w:t>business rules to flag potentially fraudulent disaster assistance applications.  However, FEMA must take additional, proactive steps to create and sustain a culture of fraud prevention and awareness.</w:t>
      </w:r>
    </w:p>
    <w:p w:rsidR="00344141" w:rsidP="0004353C" w14:paraId="57AEB74A" w14:textId="77777777">
      <w:pPr>
        <w:spacing w:line="276" w:lineRule="auto"/>
        <w:ind w:left="720"/>
        <w:rPr>
          <w:rFonts w:cs="Times New Roman"/>
          <w:color w:val="000000"/>
          <w:szCs w:val="24"/>
        </w:rPr>
      </w:pPr>
    </w:p>
    <w:p w:rsidR="00344141" w:rsidP="0004353C" w14:paraId="49BD3218" w14:textId="0608B992">
      <w:pPr>
        <w:spacing w:line="276" w:lineRule="auto"/>
        <w:ind w:left="720"/>
        <w:rPr>
          <w:rFonts w:cs="Times New Roman"/>
          <w:color w:val="000000"/>
          <w:szCs w:val="24"/>
        </w:rPr>
      </w:pPr>
      <w:r>
        <w:rPr>
          <w:rFonts w:cs="Times New Roman"/>
          <w:color w:val="000000"/>
          <w:szCs w:val="24"/>
        </w:rPr>
        <w:t>Specifically, FEMA must –</w:t>
      </w:r>
    </w:p>
    <w:p w:rsidR="00344141" w:rsidP="0004353C" w14:paraId="098EF326" w14:textId="7584897C">
      <w:pPr>
        <w:pStyle w:val="ListParagraph"/>
        <w:numPr>
          <w:ilvl w:val="0"/>
          <w:numId w:val="27"/>
        </w:numPr>
        <w:spacing w:line="276" w:lineRule="auto"/>
        <w:ind w:left="1440"/>
        <w:rPr>
          <w:rFonts w:cs="Times New Roman"/>
          <w:color w:val="000000"/>
          <w:szCs w:val="24"/>
        </w:rPr>
      </w:pPr>
      <w:r>
        <w:rPr>
          <w:rFonts w:cs="Times New Roman"/>
          <w:color w:val="000000"/>
          <w:szCs w:val="24"/>
        </w:rPr>
        <w:t xml:space="preserve">Adequately staff the Fraud </w:t>
      </w:r>
      <w:r w:rsidR="00C30D56">
        <w:rPr>
          <w:rFonts w:cs="Times New Roman"/>
          <w:color w:val="000000"/>
          <w:szCs w:val="24"/>
        </w:rPr>
        <w:t>Prevention</w:t>
      </w:r>
      <w:r>
        <w:rPr>
          <w:rFonts w:cs="Times New Roman"/>
          <w:color w:val="000000"/>
          <w:szCs w:val="24"/>
        </w:rPr>
        <w:t xml:space="preserve"> and Investigation Branch to execute its mission effectively;</w:t>
      </w:r>
    </w:p>
    <w:p w:rsidR="00344141" w:rsidP="0004353C" w14:paraId="69AC2A00" w14:textId="4A28A05F">
      <w:pPr>
        <w:pStyle w:val="ListParagraph"/>
        <w:numPr>
          <w:ilvl w:val="0"/>
          <w:numId w:val="27"/>
        </w:numPr>
        <w:spacing w:line="276" w:lineRule="auto"/>
        <w:ind w:left="1440"/>
        <w:rPr>
          <w:rFonts w:cs="Times New Roman"/>
          <w:color w:val="000000"/>
          <w:szCs w:val="24"/>
        </w:rPr>
      </w:pPr>
      <w:r>
        <w:rPr>
          <w:rFonts w:cs="Times New Roman"/>
          <w:color w:val="000000"/>
          <w:szCs w:val="24"/>
        </w:rPr>
        <w:t xml:space="preserve">Implement </w:t>
      </w:r>
      <w:r w:rsidR="00D953BD">
        <w:rPr>
          <w:rFonts w:cs="Times New Roman"/>
          <w:color w:val="000000"/>
          <w:szCs w:val="24"/>
        </w:rPr>
        <w:t xml:space="preserve">an effective process to monitor and discourage staff noncompliance with fraud prevent and awareness training requirements; and </w:t>
      </w:r>
    </w:p>
    <w:p w:rsidR="00D953BD" w:rsidP="0004353C" w14:paraId="3474DA0F" w14:textId="4EE5159C">
      <w:pPr>
        <w:pStyle w:val="ListParagraph"/>
        <w:numPr>
          <w:ilvl w:val="0"/>
          <w:numId w:val="27"/>
        </w:numPr>
        <w:spacing w:line="276" w:lineRule="auto"/>
        <w:ind w:left="1440"/>
        <w:rPr>
          <w:rFonts w:cs="Times New Roman"/>
          <w:color w:val="000000"/>
          <w:szCs w:val="24"/>
        </w:rPr>
      </w:pPr>
      <w:r>
        <w:rPr>
          <w:rFonts w:cs="Times New Roman"/>
          <w:color w:val="000000"/>
          <w:szCs w:val="24"/>
        </w:rPr>
        <w:t xml:space="preserve">Establish a clear and consistent process for reporting </w:t>
      </w:r>
      <w:r w:rsidR="004D2C98">
        <w:rPr>
          <w:rFonts w:cs="Times New Roman"/>
          <w:color w:val="000000"/>
          <w:szCs w:val="24"/>
        </w:rPr>
        <w:t>suspected fraud.</w:t>
      </w:r>
    </w:p>
    <w:p w:rsidR="004D2C98" w:rsidP="0004353C" w14:paraId="57D69C12" w14:textId="77777777">
      <w:pPr>
        <w:spacing w:line="276" w:lineRule="auto"/>
        <w:ind w:left="720"/>
        <w:rPr>
          <w:rFonts w:cs="Times New Roman"/>
          <w:color w:val="000000"/>
          <w:szCs w:val="24"/>
        </w:rPr>
      </w:pPr>
    </w:p>
    <w:p w:rsidR="004D2C98" w:rsidRPr="0004353C" w:rsidP="0004353C" w14:paraId="617DFB00" w14:textId="5E302F8E">
      <w:pPr>
        <w:spacing w:line="276" w:lineRule="auto"/>
        <w:ind w:left="720"/>
        <w:rPr>
          <w:rFonts w:cs="Times New Roman"/>
          <w:color w:val="000000"/>
          <w:szCs w:val="24"/>
        </w:rPr>
      </w:pPr>
      <w:r>
        <w:rPr>
          <w:rFonts w:cs="Times New Roman"/>
          <w:color w:val="000000"/>
          <w:szCs w:val="24"/>
        </w:rPr>
        <w:t xml:space="preserve">See </w:t>
      </w:r>
      <w:hyperlink r:id="rId11" w:history="1">
        <w:r w:rsidR="008D2CFD">
          <w:rPr>
            <w:rStyle w:val="Hyperlink"/>
          </w:rPr>
          <w:t>https://www.oig.dhs.gov/sites/default/files/assets/2019-07/OIG-19-55-Jul19.pdf</w:t>
        </w:r>
      </w:hyperlink>
      <w:r w:rsidR="00696979">
        <w:rPr>
          <w:rFonts w:cs="Times New Roman"/>
          <w:color w:val="000000"/>
          <w:szCs w:val="24"/>
        </w:rPr>
        <w:t xml:space="preserve"> </w:t>
      </w:r>
      <w:r w:rsidR="00390878">
        <w:rPr>
          <w:rFonts w:cs="Times New Roman"/>
          <w:color w:val="000000"/>
          <w:szCs w:val="24"/>
        </w:rPr>
        <w:t>(link corrected and last accessed 4/16/2024)</w:t>
      </w:r>
      <w:r w:rsidR="008D2CFD">
        <w:rPr>
          <w:rFonts w:cs="Times New Roman"/>
          <w:color w:val="000000"/>
          <w:szCs w:val="24"/>
        </w:rPr>
        <w:t>.</w:t>
      </w:r>
    </w:p>
    <w:p w:rsidR="00630054" w:rsidP="00814646" w14:paraId="34EFF389" w14:textId="77777777">
      <w:pPr>
        <w:spacing w:line="276" w:lineRule="auto"/>
        <w:rPr>
          <w:rFonts w:cs="Times New Roman"/>
          <w:color w:val="000000"/>
          <w:szCs w:val="24"/>
        </w:rPr>
      </w:pPr>
    </w:p>
    <w:p w:rsidR="00630054" w:rsidRPr="0073058B" w:rsidP="00814646" w14:paraId="1862202A" w14:textId="1AFDA55C">
      <w:pPr>
        <w:spacing w:line="276" w:lineRule="auto"/>
        <w:rPr>
          <w:rFonts w:cs="Times New Roman"/>
        </w:rPr>
      </w:pPr>
      <w:r w:rsidRPr="085DEDAF">
        <w:rPr>
          <w:rFonts w:cs="Times New Roman"/>
          <w:i/>
          <w:iCs/>
          <w:color w:val="000000" w:themeColor="text1"/>
        </w:rPr>
        <w:t>FEMA Response to Comment 1:</w:t>
      </w:r>
      <w:r w:rsidRPr="085DEDAF" w:rsidR="00160233">
        <w:rPr>
          <w:rFonts w:cs="Times New Roman"/>
          <w:color w:val="000000" w:themeColor="text1"/>
        </w:rPr>
        <w:t xml:space="preserve">  This public comment is not germane to this information collection as </w:t>
      </w:r>
      <w:r w:rsidRPr="085DEDAF" w:rsidR="000F607A">
        <w:rPr>
          <w:rFonts w:cs="Times New Roman"/>
          <w:color w:val="000000" w:themeColor="text1"/>
        </w:rPr>
        <w:t xml:space="preserve">the comment focuses on </w:t>
      </w:r>
      <w:r w:rsidRPr="085DEDAF" w:rsidR="00A302D7">
        <w:rPr>
          <w:rFonts w:cs="Times New Roman"/>
          <w:color w:val="000000" w:themeColor="text1"/>
        </w:rPr>
        <w:t xml:space="preserve">potential fraud in </w:t>
      </w:r>
      <w:r w:rsidRPr="085DEDAF" w:rsidR="00D73F62">
        <w:rPr>
          <w:rFonts w:cs="Times New Roman"/>
          <w:color w:val="000000" w:themeColor="text1"/>
        </w:rPr>
        <w:t xml:space="preserve">FEMA programs </w:t>
      </w:r>
      <w:r w:rsidRPr="085DEDAF" w:rsidR="20D3CA7B">
        <w:rPr>
          <w:rFonts w:cs="Times New Roman"/>
          <w:color w:val="000000" w:themeColor="text1"/>
        </w:rPr>
        <w:t>which is</w:t>
      </w:r>
      <w:r w:rsidRPr="085DEDAF" w:rsidR="00D73F62">
        <w:rPr>
          <w:rFonts w:cs="Times New Roman"/>
          <w:color w:val="000000" w:themeColor="text1"/>
        </w:rPr>
        <w:t xml:space="preserve"> not </w:t>
      </w:r>
      <w:r w:rsidRPr="085DEDAF" w:rsidR="1EC6DBE9">
        <w:rPr>
          <w:rFonts w:cs="Times New Roman"/>
          <w:color w:val="000000" w:themeColor="text1"/>
        </w:rPr>
        <w:t>relevant to</w:t>
      </w:r>
      <w:r w:rsidRPr="085DEDAF" w:rsidR="00D73F62">
        <w:rPr>
          <w:rFonts w:cs="Times New Roman"/>
          <w:color w:val="000000" w:themeColor="text1"/>
        </w:rPr>
        <w:t xml:space="preserve"> </w:t>
      </w:r>
      <w:r w:rsidRPr="085DEDAF" w:rsidR="00390E93">
        <w:rPr>
          <w:rFonts w:cs="Times New Roman"/>
          <w:color w:val="000000" w:themeColor="text1"/>
        </w:rPr>
        <w:t>this information collection.</w:t>
      </w:r>
    </w:p>
    <w:p w:rsidR="0073058B" w:rsidRPr="0073058B" w:rsidP="00814646" w14:paraId="667C0304" w14:textId="77777777">
      <w:pPr>
        <w:spacing w:line="276" w:lineRule="auto"/>
        <w:rPr>
          <w:rFonts w:cs="Times New Roman"/>
        </w:rPr>
      </w:pPr>
    </w:p>
    <w:p w:rsidR="0073058B" w:rsidRPr="0073058B" w:rsidP="00814646" w14:paraId="3E8CA93D" w14:textId="29467E0F">
      <w:pPr>
        <w:spacing w:line="276" w:lineRule="auto"/>
        <w:rPr>
          <w:rFonts w:cs="Times New Roman"/>
        </w:rPr>
      </w:pPr>
      <w:r w:rsidRPr="0073058B">
        <w:rPr>
          <w:rFonts w:cs="Times New Roman"/>
          <w:color w:val="000000"/>
          <w:szCs w:val="24"/>
        </w:rPr>
        <w:t xml:space="preserve">A 30-day Federal Register </w:t>
      </w:r>
      <w:r w:rsidRPr="00A2721E">
        <w:rPr>
          <w:rFonts w:cs="Times New Roman"/>
          <w:color w:val="000000" w:themeColor="text1"/>
        </w:rPr>
        <w:t>Notice inviting public comments was published o</w:t>
      </w:r>
      <w:r w:rsidRPr="007B045E">
        <w:rPr>
          <w:rFonts w:cs="Times New Roman"/>
          <w:color w:val="000000" w:themeColor="text1"/>
        </w:rPr>
        <w:t xml:space="preserve">n </w:t>
      </w:r>
      <w:r w:rsidRPr="00A2721E" w:rsidR="00BA5B3A">
        <w:rPr>
          <w:rFonts w:cs="Times New Roman"/>
          <w:color w:val="000000" w:themeColor="text1"/>
        </w:rPr>
        <w:t xml:space="preserve">May 29, 2024, at 89 FR 46412.  The public comment period is open until </w:t>
      </w:r>
      <w:r w:rsidRPr="00A2721E" w:rsidR="007B045E">
        <w:rPr>
          <w:rFonts w:cs="Times New Roman"/>
          <w:color w:val="000000" w:themeColor="text1"/>
        </w:rPr>
        <w:t>June 28, 2024.</w:t>
      </w:r>
    </w:p>
    <w:p w:rsidR="0073058B" w:rsidRPr="0073058B" w:rsidP="00814646" w14:paraId="35455B82" w14:textId="77777777">
      <w:pPr>
        <w:spacing w:line="276" w:lineRule="auto"/>
        <w:rPr>
          <w:rFonts w:cs="Times New Roman"/>
        </w:rPr>
      </w:pPr>
    </w:p>
    <w:p w:rsidR="00071B16" w:rsidRPr="00814646" w:rsidP="00814646" w14:paraId="367C58CF" w14:textId="47C1738A">
      <w:pPr>
        <w:pStyle w:val="ListParagraph"/>
        <w:numPr>
          <w:ilvl w:val="0"/>
          <w:numId w:val="17"/>
        </w:numPr>
        <w:tabs>
          <w:tab w:val="left" w:pos="360"/>
        </w:tabs>
        <w:spacing w:line="276" w:lineRule="auto"/>
        <w:rPr>
          <w:rFonts w:cs="Times New Roman"/>
          <w:b/>
          <w:color w:val="000000" w:themeColor="text1"/>
          <w:szCs w:val="24"/>
        </w:rPr>
      </w:pPr>
      <w:r w:rsidRPr="00814646">
        <w:rPr>
          <w:rFonts w:cs="Times New Roman"/>
          <w:b/>
          <w:color w:val="000000" w:themeColor="text1"/>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1E5F" w:rsidRPr="00814646" w:rsidP="00814646" w14:paraId="6B95764E" w14:textId="77777777">
      <w:pPr>
        <w:tabs>
          <w:tab w:val="left" w:pos="360"/>
        </w:tabs>
        <w:spacing w:line="276" w:lineRule="auto"/>
        <w:contextualSpacing/>
        <w:rPr>
          <w:rFonts w:eastAsia="Times New Roman" w:cs="Times New Roman"/>
          <w:color w:val="000000" w:themeColor="text1"/>
          <w:szCs w:val="24"/>
        </w:rPr>
      </w:pPr>
    </w:p>
    <w:p w:rsidR="00877FE8" w:rsidRPr="00D03C8B" w:rsidP="00814646" w14:paraId="668A70E0" w14:textId="2D1DCEDB">
      <w:pPr>
        <w:tabs>
          <w:tab w:val="left" w:pos="360"/>
        </w:tabs>
        <w:spacing w:line="276" w:lineRule="auto"/>
        <w:contextualSpacing/>
        <w:rPr>
          <w:rFonts w:eastAsia="Times New Roman" w:cs="Times New Roman"/>
          <w:szCs w:val="24"/>
        </w:rPr>
      </w:pPr>
      <w:r w:rsidRPr="00D03C8B">
        <w:rPr>
          <w:rFonts w:eastAsia="Times New Roman" w:cs="Times New Roman"/>
          <w:szCs w:val="24"/>
        </w:rPr>
        <w:t xml:space="preserve">FEMA initiated consultations with the National Emergency Management Association (NEMA) and the Association of State Floodplain Managers (ASFPM) prior to rulemaking and/or program development for each of the grant programs. FEMA has developed the information collection requirements over time as a result of </w:t>
      </w:r>
      <w:r w:rsidRPr="00D03C8B" w:rsidR="00F851DB">
        <w:rPr>
          <w:rFonts w:eastAsia="Times New Roman" w:cs="Times New Roman"/>
          <w:szCs w:val="24"/>
        </w:rPr>
        <w:t xml:space="preserve">its </w:t>
      </w:r>
      <w:r w:rsidRPr="00D03C8B">
        <w:rPr>
          <w:rFonts w:eastAsia="Times New Roman" w:cs="Times New Roman"/>
          <w:szCs w:val="24"/>
        </w:rPr>
        <w:t>increased understanding of State</w:t>
      </w:r>
      <w:r w:rsidRPr="00D03C8B" w:rsidR="0043565E">
        <w:rPr>
          <w:rFonts w:eastAsia="Times New Roman" w:cs="Times New Roman"/>
          <w:szCs w:val="24"/>
        </w:rPr>
        <w:t xml:space="preserve"> and </w:t>
      </w:r>
      <w:r w:rsidRPr="00D03C8B" w:rsidR="00183D20">
        <w:rPr>
          <w:rFonts w:eastAsia="Times New Roman" w:cs="Times New Roman"/>
          <w:szCs w:val="24"/>
        </w:rPr>
        <w:t xml:space="preserve">Tribal </w:t>
      </w:r>
      <w:r w:rsidRPr="00D03C8B">
        <w:rPr>
          <w:rFonts w:eastAsia="Times New Roman" w:cs="Times New Roman"/>
          <w:szCs w:val="24"/>
        </w:rPr>
        <w:t xml:space="preserve">program </w:t>
      </w:r>
      <w:r w:rsidRPr="00D03C8B" w:rsidR="00081992">
        <w:rPr>
          <w:rFonts w:eastAsia="Times New Roman" w:cs="Times New Roman"/>
          <w:szCs w:val="24"/>
        </w:rPr>
        <w:t>implementation and</w:t>
      </w:r>
      <w:r w:rsidRPr="00D03C8B">
        <w:rPr>
          <w:rFonts w:eastAsia="Times New Roman" w:cs="Times New Roman"/>
          <w:szCs w:val="24"/>
        </w:rPr>
        <w:t xml:space="preserve"> has determined that </w:t>
      </w:r>
      <w:r w:rsidRPr="00D03C8B" w:rsidR="00F851DB">
        <w:rPr>
          <w:rFonts w:eastAsia="Times New Roman" w:cs="Times New Roman"/>
          <w:szCs w:val="24"/>
        </w:rPr>
        <w:t xml:space="preserve">they </w:t>
      </w:r>
      <w:r w:rsidRPr="00D03C8B">
        <w:rPr>
          <w:rFonts w:eastAsia="Times New Roman" w:cs="Times New Roman"/>
          <w:szCs w:val="24"/>
        </w:rPr>
        <w:t>are the minimum required to enforce the property acquisition and open space</w:t>
      </w:r>
      <w:r w:rsidRPr="00D03C8B" w:rsidR="007B663D">
        <w:rPr>
          <w:rFonts w:eastAsia="Times New Roman" w:cs="Times New Roman"/>
          <w:szCs w:val="24"/>
        </w:rPr>
        <w:t xml:space="preserve"> </w:t>
      </w:r>
      <w:r w:rsidRPr="00D03C8B">
        <w:rPr>
          <w:rFonts w:eastAsia="Times New Roman" w:cs="Times New Roman"/>
          <w:szCs w:val="24"/>
        </w:rPr>
        <w:t>requirements.</w:t>
      </w:r>
    </w:p>
    <w:p w:rsidR="00963978" w:rsidRPr="00814646" w:rsidP="00814646" w14:paraId="681939B5" w14:textId="77777777">
      <w:pPr>
        <w:tabs>
          <w:tab w:val="left" w:pos="360"/>
        </w:tabs>
        <w:spacing w:line="276" w:lineRule="auto"/>
        <w:contextualSpacing/>
        <w:rPr>
          <w:rFonts w:eastAsia="Times New Roman" w:cs="Times New Roman"/>
          <w:color w:val="000000" w:themeColor="text1"/>
          <w:szCs w:val="24"/>
        </w:rPr>
      </w:pPr>
    </w:p>
    <w:p w:rsidR="00963978" w:rsidRPr="00814646" w:rsidP="00814646" w14:paraId="2AC7CA05" w14:textId="77777777">
      <w:pPr>
        <w:tabs>
          <w:tab w:val="left" w:pos="360"/>
        </w:tabs>
        <w:spacing w:line="276" w:lineRule="auto"/>
        <w:contextualSpacing/>
        <w:rPr>
          <w:rFonts w:eastAsia="Times New Roman" w:cs="Times New Roman"/>
          <w:color w:val="000000" w:themeColor="text1"/>
          <w:szCs w:val="24"/>
        </w:rPr>
      </w:pPr>
      <w:bookmarkStart w:id="1" w:name="_Hlk13834043"/>
      <w:r w:rsidRPr="00814646">
        <w:rPr>
          <w:rFonts w:eastAsia="Times New Roman" w:cs="Times New Roman"/>
          <w:color w:val="000000" w:themeColor="text1"/>
          <w:szCs w:val="24"/>
        </w:rPr>
        <w:t xml:space="preserve">Additionally, FEMA considered the </w:t>
      </w:r>
      <w:r w:rsidRPr="00814646" w:rsidR="00081992">
        <w:rPr>
          <w:rFonts w:eastAsia="Times New Roman" w:cs="Times New Roman"/>
          <w:color w:val="000000" w:themeColor="text1"/>
          <w:szCs w:val="24"/>
        </w:rPr>
        <w:t xml:space="preserve">public </w:t>
      </w:r>
      <w:r w:rsidRPr="00814646">
        <w:rPr>
          <w:rFonts w:eastAsia="Times New Roman" w:cs="Times New Roman"/>
          <w:color w:val="000000" w:themeColor="text1"/>
          <w:szCs w:val="24"/>
        </w:rPr>
        <w:t xml:space="preserve">comments received during the </w:t>
      </w:r>
      <w:r w:rsidRPr="00814646" w:rsidR="00862DBF">
        <w:rPr>
          <w:rFonts w:eastAsia="Times New Roman" w:cs="Times New Roman"/>
          <w:color w:val="000000" w:themeColor="text1"/>
          <w:szCs w:val="24"/>
        </w:rPr>
        <w:t>initial</w:t>
      </w:r>
      <w:r w:rsidRPr="00814646" w:rsidR="00081992">
        <w:rPr>
          <w:rFonts w:eastAsia="Times New Roman" w:cs="Times New Roman"/>
          <w:color w:val="000000" w:themeColor="text1"/>
          <w:szCs w:val="24"/>
        </w:rPr>
        <w:t xml:space="preserve"> </w:t>
      </w:r>
      <w:r w:rsidRPr="00814646">
        <w:rPr>
          <w:rFonts w:eastAsia="Times New Roman" w:cs="Times New Roman"/>
          <w:color w:val="000000" w:themeColor="text1"/>
          <w:szCs w:val="24"/>
        </w:rPr>
        <w:t>60-day Federal Register Notice comment period from a variety of sources, including State and local government, non-profit organizations, individuals, and anonymous sources. These comments were reviewed and adjudicated to ensure that input was gathered from multiple sources and stakeholders.</w:t>
      </w:r>
    </w:p>
    <w:p w:rsidR="00174B16" w:rsidRPr="00814646" w:rsidP="00814646" w14:paraId="7767D619" w14:textId="77777777">
      <w:pPr>
        <w:tabs>
          <w:tab w:val="left" w:pos="360"/>
        </w:tabs>
        <w:spacing w:line="276" w:lineRule="auto"/>
        <w:contextualSpacing/>
        <w:rPr>
          <w:rFonts w:cs="Times New Roman"/>
          <w:color w:val="000000" w:themeColor="text1"/>
          <w:szCs w:val="24"/>
        </w:rPr>
      </w:pPr>
    </w:p>
    <w:p w:rsidR="00071B16" w:rsidRPr="00D03C8B" w:rsidP="00814646" w14:paraId="200C4876" w14:textId="61ED0F98">
      <w:pPr>
        <w:pStyle w:val="ListParagraph"/>
        <w:numPr>
          <w:ilvl w:val="0"/>
          <w:numId w:val="19"/>
        </w:numPr>
        <w:tabs>
          <w:tab w:val="left" w:pos="360"/>
        </w:tabs>
        <w:spacing w:line="276" w:lineRule="auto"/>
        <w:rPr>
          <w:rFonts w:cs="Times New Roman"/>
          <w:b/>
          <w:szCs w:val="24"/>
        </w:rPr>
      </w:pPr>
      <w:r w:rsidRPr="00D03C8B">
        <w:rPr>
          <w:rFonts w:cs="Times New Roman"/>
          <w:b/>
          <w:szCs w:val="24"/>
        </w:rPr>
        <w:t xml:space="preserve">Describe </w:t>
      </w:r>
      <w:r w:rsidRPr="00D03C8B" w:rsidR="00E655F0">
        <w:rPr>
          <w:rFonts w:cs="Times New Roman"/>
          <w:b/>
          <w:szCs w:val="24"/>
        </w:rPr>
        <w:t>consultations</w:t>
      </w:r>
      <w:r w:rsidRPr="00D03C8B">
        <w:rPr>
          <w:rFonts w:cs="Times New Roman"/>
          <w:b/>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w:t>
      </w:r>
      <w:r w:rsidRPr="00D03C8B">
        <w:rPr>
          <w:rFonts w:cs="Times New Roman"/>
          <w:b/>
          <w:szCs w:val="24"/>
        </w:rPr>
        <w:t>may preclude consultation in a specific situation. These circumstances should be explained.</w:t>
      </w:r>
    </w:p>
    <w:p w:rsidR="00174B16" w:rsidRPr="00D03C8B" w:rsidP="00814646" w14:paraId="0A3BEB5A" w14:textId="7C11B0B5">
      <w:pPr>
        <w:pStyle w:val="ListParagraph"/>
        <w:tabs>
          <w:tab w:val="left" w:pos="360"/>
        </w:tabs>
        <w:spacing w:line="276" w:lineRule="auto"/>
        <w:ind w:left="1080"/>
        <w:rPr>
          <w:rFonts w:cs="Times New Roman"/>
          <w:b/>
          <w:szCs w:val="24"/>
        </w:rPr>
      </w:pPr>
    </w:p>
    <w:p w:rsidR="00562915" w:rsidRPr="00D03C8B" w:rsidP="00814646" w14:paraId="4D9DDF8F" w14:textId="77777777">
      <w:pPr>
        <w:spacing w:line="276" w:lineRule="auto"/>
        <w:contextualSpacing/>
        <w:rPr>
          <w:rFonts w:cs="Times New Roman"/>
          <w:szCs w:val="24"/>
        </w:rPr>
      </w:pPr>
      <w:bookmarkStart w:id="2" w:name="_Hlk13833831"/>
      <w:bookmarkEnd w:id="1"/>
      <w:r w:rsidRPr="00D03C8B">
        <w:rPr>
          <w:rFonts w:eastAsia="Times New Roman" w:cs="Times New Roman"/>
          <w:szCs w:val="24"/>
        </w:rPr>
        <w:t xml:space="preserve">During grant application, award, implementation of acquisition activities, and closeout of grant awards, FEMA routinely consults with recipients to ensure that they have complied with the open space requirements. </w:t>
      </w:r>
      <w:r w:rsidRPr="00D03C8B" w:rsidR="004E27AE">
        <w:rPr>
          <w:rFonts w:eastAsia="Times New Roman" w:cs="Times New Roman"/>
          <w:szCs w:val="24"/>
        </w:rPr>
        <w:t>This occurs more frequently than once every three years.</w:t>
      </w:r>
      <w:bookmarkEnd w:id="2"/>
      <w:r w:rsidRPr="00D03C8B">
        <w:rPr>
          <w:rFonts w:cs="Times New Roman"/>
          <w:szCs w:val="24"/>
        </w:rPr>
        <w:t xml:space="preserve">         </w:t>
      </w:r>
    </w:p>
    <w:p w:rsidR="00BE4C08" w:rsidRPr="00D03C8B" w:rsidP="00814646" w14:paraId="3C963E33" w14:textId="77777777">
      <w:pPr>
        <w:spacing w:line="276" w:lineRule="auto"/>
        <w:contextualSpacing/>
        <w:rPr>
          <w:rFonts w:cs="Times New Roman"/>
          <w:szCs w:val="24"/>
        </w:rPr>
      </w:pPr>
    </w:p>
    <w:p w:rsidR="00E655F0" w:rsidRPr="00D03C8B" w:rsidP="00814646" w14:paraId="4157BB8D" w14:textId="5E7C2225">
      <w:pPr>
        <w:spacing w:line="276" w:lineRule="auto"/>
        <w:contextualSpacing/>
        <w:rPr>
          <w:rFonts w:cs="Times New Roman"/>
          <w:b/>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9.  </w:t>
      </w:r>
      <w:r w:rsidRPr="00D03C8B">
        <w:rPr>
          <w:rFonts w:cs="Times New Roman"/>
          <w:b/>
          <w:szCs w:val="24"/>
        </w:rPr>
        <w:t xml:space="preserve">Explain any decision to provide any </w:t>
      </w:r>
      <w:r w:rsidRPr="00D03C8B">
        <w:rPr>
          <w:rFonts w:cs="Times New Roman"/>
          <w:b/>
          <w:bCs/>
          <w:szCs w:val="24"/>
        </w:rPr>
        <w:t>payment</w:t>
      </w:r>
      <w:r w:rsidRPr="00D03C8B">
        <w:rPr>
          <w:rFonts w:cs="Times New Roman"/>
          <w:b/>
          <w:szCs w:val="24"/>
        </w:rPr>
        <w:t xml:space="preserve"> or gift to respondents, other than remuneration of contractors or grantees.</w:t>
      </w:r>
    </w:p>
    <w:p w:rsidR="00174B16" w:rsidRPr="00D03C8B" w:rsidP="00814646" w14:paraId="348D8AC8" w14:textId="4260079C">
      <w:pPr>
        <w:spacing w:line="276" w:lineRule="auto"/>
        <w:contextualSpacing/>
        <w:rPr>
          <w:rFonts w:cs="Times New Roman"/>
          <w:b/>
          <w:szCs w:val="24"/>
        </w:rPr>
      </w:pPr>
    </w:p>
    <w:p w:rsidR="002B2B7C" w:rsidRPr="00D03C8B" w:rsidP="00814646" w14:paraId="170B94A7" w14:textId="77777777">
      <w:pPr>
        <w:spacing w:line="276" w:lineRule="auto"/>
        <w:contextualSpacing/>
        <w:rPr>
          <w:rFonts w:eastAsia="Times New Roman" w:cs="Times New Roman"/>
          <w:szCs w:val="24"/>
        </w:rPr>
      </w:pPr>
      <w:r w:rsidRPr="00D03C8B">
        <w:rPr>
          <w:rFonts w:eastAsia="Times New Roman" w:cs="Times New Roman"/>
          <w:szCs w:val="24"/>
        </w:rPr>
        <w:t>FEMA does not provide payments or gifts to respondents in exchange for a benefit sought.</w:t>
      </w:r>
    </w:p>
    <w:p w:rsidR="00BE4C08" w:rsidRPr="00D03C8B" w:rsidP="00814646" w14:paraId="32528FE7" w14:textId="77777777">
      <w:pPr>
        <w:spacing w:line="276" w:lineRule="auto"/>
        <w:contextualSpacing/>
        <w:rPr>
          <w:rFonts w:cs="Times New Roman"/>
          <w:szCs w:val="24"/>
        </w:rPr>
      </w:pPr>
    </w:p>
    <w:p w:rsidR="00E655F0" w:rsidRPr="00D03C8B" w:rsidP="00814646" w14:paraId="30A395C2" w14:textId="601E0A43">
      <w:pPr>
        <w:tabs>
          <w:tab w:val="left" w:pos="360"/>
        </w:tabs>
        <w:spacing w:line="276" w:lineRule="auto"/>
        <w:contextualSpacing/>
        <w:rPr>
          <w:rFonts w:cs="Times New Roman"/>
          <w:b/>
          <w:szCs w:val="24"/>
        </w:rPr>
      </w:pPr>
      <w:r w:rsidRPr="00D03C8B">
        <w:rPr>
          <w:rFonts w:cs="Times New Roman"/>
          <w:b/>
          <w:bCs/>
          <w:szCs w:val="24"/>
        </w:rPr>
        <w:t xml:space="preserve">10.  </w:t>
      </w:r>
      <w:r w:rsidRPr="00D03C8B">
        <w:rPr>
          <w:rFonts w:cs="Times New Roman"/>
          <w:b/>
          <w:szCs w:val="24"/>
        </w:rPr>
        <w:t>Describe any assurance of confidentiality provided to respondents.  Present the basis for the assurance in statute, regulation, or agency policy.</w:t>
      </w:r>
      <w:r w:rsidRPr="00D03C8B">
        <w:rPr>
          <w:rFonts w:cs="Times New Roman"/>
          <w:b/>
          <w:bCs/>
          <w:szCs w:val="24"/>
        </w:rPr>
        <w:t xml:space="preserve">  </w:t>
      </w:r>
    </w:p>
    <w:p w:rsidR="00174B16" w:rsidRPr="00D03C8B" w:rsidP="00814646" w14:paraId="2221A341" w14:textId="002316C8">
      <w:pPr>
        <w:tabs>
          <w:tab w:val="left" w:pos="360"/>
        </w:tabs>
        <w:spacing w:line="276" w:lineRule="auto"/>
        <w:contextualSpacing/>
        <w:rPr>
          <w:rFonts w:cs="Times New Roman"/>
          <w:szCs w:val="24"/>
        </w:rPr>
      </w:pPr>
    </w:p>
    <w:p w:rsidR="00032F15" w:rsidRPr="00D03C8B" w:rsidP="437A25B6" w14:paraId="312FDA16" w14:textId="7E58354D">
      <w:pPr>
        <w:tabs>
          <w:tab w:val="left" w:pos="360"/>
        </w:tabs>
        <w:spacing w:line="276" w:lineRule="auto"/>
        <w:contextualSpacing/>
        <w:rPr>
          <w:rFonts w:eastAsia="Times New Roman" w:cs="Times New Roman"/>
        </w:rPr>
      </w:pPr>
      <w:r w:rsidRPr="0F4E0733">
        <w:rPr>
          <w:rFonts w:cs="Times New Roman"/>
        </w:rPr>
        <w:t xml:space="preserve">A Privacy Threshold Analysis (PTA) </w:t>
      </w:r>
      <w:r w:rsidRPr="0F4E0733">
        <w:rPr>
          <w:rFonts w:eastAsia="Times New Roman" w:cs="Times New Roman"/>
        </w:rPr>
        <w:t xml:space="preserve">was </w:t>
      </w:r>
      <w:r w:rsidR="00D67284">
        <w:rPr>
          <w:rFonts w:eastAsia="Times New Roman" w:cs="Times New Roman"/>
        </w:rPr>
        <w:t>approved by DHS</w:t>
      </w:r>
      <w:r w:rsidRPr="0F4E0733">
        <w:rPr>
          <w:rFonts w:eastAsia="Times New Roman" w:cs="Times New Roman"/>
        </w:rPr>
        <w:t xml:space="preserve"> for the Statement of Voluntary Participation for Acquisition of Property for Purpose of Open Space (FEMA Form</w:t>
      </w:r>
      <w:r w:rsidRPr="0F4E0733" w:rsidR="000D5CFC">
        <w:rPr>
          <w:rFonts w:eastAsia="Times New Roman" w:cs="Times New Roman"/>
        </w:rPr>
        <w:t xml:space="preserve"> FF-206-</w:t>
      </w:r>
      <w:r w:rsidRPr="0F4E0733" w:rsidR="00FE22BD">
        <w:rPr>
          <w:rFonts w:eastAsia="Times New Roman" w:cs="Times New Roman"/>
        </w:rPr>
        <w:t>FY-21-124</w:t>
      </w:r>
      <w:r w:rsidRPr="0F4E0733">
        <w:rPr>
          <w:rFonts w:eastAsia="Times New Roman" w:cs="Times New Roman"/>
        </w:rPr>
        <w:t xml:space="preserve"> </w:t>
      </w:r>
      <w:r w:rsidRPr="0F4E0733" w:rsidR="00FF4699">
        <w:rPr>
          <w:rFonts w:eastAsia="Times New Roman" w:cs="Times New Roman"/>
        </w:rPr>
        <w:t xml:space="preserve">(formerly </w:t>
      </w:r>
      <w:r w:rsidRPr="0F4E0733">
        <w:rPr>
          <w:rFonts w:eastAsia="Times New Roman" w:cs="Times New Roman"/>
        </w:rPr>
        <w:t>086-0-31)</w:t>
      </w:r>
      <w:r w:rsidR="00D67284">
        <w:rPr>
          <w:rFonts w:eastAsia="Times New Roman" w:cs="Times New Roman"/>
        </w:rPr>
        <w:t xml:space="preserve"> on March 29, 2024,</w:t>
      </w:r>
      <w:r w:rsidRPr="0F4E0733">
        <w:rPr>
          <w:rFonts w:eastAsia="Times New Roman" w:cs="Times New Roman"/>
        </w:rPr>
        <w:t xml:space="preserve"> and </w:t>
      </w:r>
      <w:r w:rsidRPr="0F4E0733" w:rsidR="00B82C9A">
        <w:rPr>
          <w:rFonts w:eastAsia="Times New Roman" w:cs="Times New Roman"/>
        </w:rPr>
        <w:t>will expire</w:t>
      </w:r>
      <w:r w:rsidRPr="0F4E0733">
        <w:rPr>
          <w:rFonts w:eastAsia="Times New Roman" w:cs="Times New Roman"/>
        </w:rPr>
        <w:t xml:space="preserve"> on</w:t>
      </w:r>
      <w:r w:rsidRPr="0F4E0733" w:rsidR="0094257E">
        <w:rPr>
          <w:rFonts w:eastAsia="Times New Roman" w:cs="Times New Roman"/>
        </w:rPr>
        <w:t xml:space="preserve"> </w:t>
      </w:r>
      <w:r w:rsidR="004E5B41">
        <w:rPr>
          <w:rFonts w:eastAsia="Times New Roman" w:cs="Times New Roman"/>
        </w:rPr>
        <w:t xml:space="preserve">March </w:t>
      </w:r>
      <w:r w:rsidR="00453D5A">
        <w:rPr>
          <w:rFonts w:eastAsia="Times New Roman" w:cs="Times New Roman"/>
        </w:rPr>
        <w:t>29</w:t>
      </w:r>
      <w:r w:rsidR="00433F7F">
        <w:rPr>
          <w:rFonts w:eastAsia="Times New Roman" w:cs="Times New Roman"/>
        </w:rPr>
        <w:t xml:space="preserve">, </w:t>
      </w:r>
      <w:r w:rsidRPr="0F4E0733" w:rsidR="0094257E">
        <w:rPr>
          <w:rFonts w:eastAsia="Times New Roman" w:cs="Times New Roman"/>
        </w:rPr>
        <w:t>202</w:t>
      </w:r>
      <w:r w:rsidR="00D67284">
        <w:rPr>
          <w:rFonts w:eastAsia="Times New Roman" w:cs="Times New Roman"/>
        </w:rPr>
        <w:t>7</w:t>
      </w:r>
      <w:r w:rsidRPr="0F4E0733">
        <w:rPr>
          <w:rFonts w:eastAsia="Times New Roman" w:cs="Times New Roman"/>
        </w:rPr>
        <w:t xml:space="preserve">.  </w:t>
      </w:r>
    </w:p>
    <w:p w:rsidR="00032F15" w:rsidRPr="00D03C8B" w:rsidP="00814646" w14:paraId="13CE4E78" w14:textId="77777777">
      <w:pPr>
        <w:tabs>
          <w:tab w:val="left" w:pos="360"/>
        </w:tabs>
        <w:spacing w:line="276" w:lineRule="auto"/>
        <w:contextualSpacing/>
        <w:rPr>
          <w:rFonts w:eastAsia="Times New Roman" w:cs="Times New Roman"/>
          <w:szCs w:val="24"/>
        </w:rPr>
      </w:pPr>
    </w:p>
    <w:p w:rsidR="00174B16" w:rsidRPr="00D03C8B" w:rsidP="00814646" w14:paraId="5D2DB119" w14:textId="302AD899">
      <w:pPr>
        <w:tabs>
          <w:tab w:val="left" w:pos="360"/>
        </w:tabs>
        <w:spacing w:line="276" w:lineRule="auto"/>
        <w:contextualSpacing/>
        <w:rPr>
          <w:rFonts w:cs="Times New Roman"/>
          <w:szCs w:val="24"/>
        </w:rPr>
      </w:pPr>
      <w:r w:rsidRPr="00D03C8B">
        <w:rPr>
          <w:rFonts w:cs="Times New Roman"/>
          <w:szCs w:val="24"/>
        </w:rPr>
        <w:t>A</w:t>
      </w:r>
      <w:r w:rsidRPr="00D03C8B" w:rsidR="00910958">
        <w:rPr>
          <w:rFonts w:cs="Times New Roman"/>
          <w:szCs w:val="24"/>
        </w:rPr>
        <w:t xml:space="preserve"> </w:t>
      </w:r>
      <w:r w:rsidRPr="00D03C8B">
        <w:rPr>
          <w:rFonts w:cs="Times New Roman"/>
          <w:szCs w:val="24"/>
        </w:rPr>
        <w:t>Privacy Impact Assessment (</w:t>
      </w:r>
      <w:r w:rsidRPr="00D03C8B">
        <w:rPr>
          <w:rFonts w:cs="Times New Roman"/>
          <w:szCs w:val="24"/>
        </w:rPr>
        <w:t>PIA</w:t>
      </w:r>
      <w:r w:rsidRPr="00D03C8B">
        <w:rPr>
          <w:rFonts w:cs="Times New Roman"/>
          <w:szCs w:val="24"/>
        </w:rPr>
        <w:t>)</w:t>
      </w:r>
      <w:r w:rsidRPr="00D03C8B">
        <w:rPr>
          <w:rFonts w:cs="Times New Roman"/>
          <w:szCs w:val="24"/>
        </w:rPr>
        <w:t xml:space="preserve"> for this collection was determined to be needed and </w:t>
      </w:r>
      <w:r w:rsidRPr="00D03C8B" w:rsidR="00032F15">
        <w:rPr>
          <w:rFonts w:cs="Times New Roman"/>
          <w:szCs w:val="24"/>
        </w:rPr>
        <w:t xml:space="preserve">provided by </w:t>
      </w:r>
      <w:r w:rsidRPr="00D03C8B" w:rsidR="00A634E0">
        <w:rPr>
          <w:rFonts w:cs="Times New Roman"/>
          <w:szCs w:val="24"/>
        </w:rPr>
        <w:t xml:space="preserve">two existing PIA’s: the </w:t>
      </w:r>
      <w:r w:rsidRPr="00D03C8B" w:rsidR="00032F15">
        <w:rPr>
          <w:rFonts w:cs="Times New Roman"/>
          <w:szCs w:val="24"/>
        </w:rPr>
        <w:t>DHS/FEMA/PIA-006 FEMA National Emergency Management Information System Mitigation Electronic Grants Management System</w:t>
      </w:r>
      <w:r w:rsidRPr="00D03C8B" w:rsidR="00A634E0">
        <w:rPr>
          <w:rFonts w:cs="Times New Roman"/>
          <w:szCs w:val="24"/>
        </w:rPr>
        <w:t>,</w:t>
      </w:r>
      <w:r w:rsidRPr="00D03C8B" w:rsidR="00032F15">
        <w:rPr>
          <w:rFonts w:cs="Times New Roman"/>
          <w:szCs w:val="24"/>
        </w:rPr>
        <w:t xml:space="preserve"> and DHS/FEMA/PIA-025 Hazard Mitigation Grant Program (HMGP) System</w:t>
      </w:r>
      <w:r w:rsidRPr="00D03C8B" w:rsidR="00562915">
        <w:rPr>
          <w:rFonts w:cs="Times New Roman"/>
          <w:szCs w:val="24"/>
        </w:rPr>
        <w:t>.</w:t>
      </w:r>
      <w:r w:rsidRPr="00D03C8B" w:rsidR="00562915">
        <w:rPr>
          <w:rFonts w:cs="Times New Roman"/>
          <w:color w:val="0000FF"/>
          <w:szCs w:val="24"/>
        </w:rPr>
        <w:t xml:space="preserve">  </w:t>
      </w:r>
      <w:r w:rsidRPr="00D03C8B" w:rsidR="00562915">
        <w:rPr>
          <w:rFonts w:cs="Times New Roman"/>
          <w:szCs w:val="24"/>
        </w:rPr>
        <w:fldChar w:fldCharType="begin"/>
      </w:r>
      <w:r w:rsidRPr="00D03C8B" w:rsidR="00562915">
        <w:rPr>
          <w:rFonts w:cs="Times New Roman"/>
          <w:szCs w:val="24"/>
        </w:rPr>
        <w:instrText>ADVANCE \R 0.95</w:instrText>
      </w:r>
      <w:r w:rsidRPr="00D03C8B" w:rsidR="00562915">
        <w:rPr>
          <w:rFonts w:cs="Times New Roman"/>
          <w:szCs w:val="24"/>
        </w:rPr>
        <w:fldChar w:fldCharType="end"/>
      </w:r>
    </w:p>
    <w:p w:rsidR="00174B16" w:rsidRPr="00D03C8B" w:rsidP="00814646" w14:paraId="5E3CC1C9" w14:textId="77777777">
      <w:pPr>
        <w:tabs>
          <w:tab w:val="left" w:pos="360"/>
        </w:tabs>
        <w:spacing w:line="276" w:lineRule="auto"/>
        <w:contextualSpacing/>
        <w:rPr>
          <w:rFonts w:cs="Times New Roman"/>
          <w:szCs w:val="24"/>
        </w:rPr>
      </w:pPr>
    </w:p>
    <w:p w:rsidR="009F1EE5" w:rsidRPr="00D03C8B" w:rsidP="437A25B6" w14:paraId="643DA69A" w14:textId="480EE54E">
      <w:pPr>
        <w:tabs>
          <w:tab w:val="left" w:pos="360"/>
        </w:tabs>
        <w:spacing w:line="276" w:lineRule="auto"/>
        <w:contextualSpacing/>
        <w:rPr>
          <w:rFonts w:cs="Times New Roman"/>
        </w:rPr>
      </w:pPr>
      <w:r w:rsidRPr="437A25B6">
        <w:rPr>
          <w:rFonts w:cs="Times New Roman"/>
        </w:rPr>
        <w:t xml:space="preserve">While System of Record Notice (SORN) coverage is not required for either form in this collection, </w:t>
      </w:r>
      <w:r w:rsidRPr="437A25B6">
        <w:rPr>
          <w:rFonts w:cs="Times New Roman"/>
        </w:rPr>
        <w:t>cover</w:t>
      </w:r>
      <w:r w:rsidRPr="437A25B6">
        <w:rPr>
          <w:rFonts w:cs="Times New Roman"/>
        </w:rPr>
        <w:t xml:space="preserve">age is provided by an existing </w:t>
      </w:r>
      <w:r w:rsidRPr="437A25B6">
        <w:rPr>
          <w:rFonts w:cs="Times New Roman"/>
        </w:rPr>
        <w:t xml:space="preserve">SORN, DHS/FEMA-009 </w:t>
      </w:r>
      <w:r w:rsidRPr="437A25B6" w:rsidR="00AD0551">
        <w:rPr>
          <w:rFonts w:cs="Times New Roman"/>
        </w:rPr>
        <w:t>–</w:t>
      </w:r>
      <w:r w:rsidRPr="437A25B6">
        <w:rPr>
          <w:rFonts w:cs="Times New Roman"/>
        </w:rPr>
        <w:t xml:space="preserve"> Hazard Mitigation Disaster Public Assistance and Disaster Loan Programs, 79 FR 16015 approved by DHS on March 24, 2014. </w:t>
      </w:r>
      <w:r w:rsidRPr="437A25B6">
        <w:rPr>
          <w:rFonts w:cs="Times New Roman"/>
        </w:rPr>
        <w:fldChar w:fldCharType="begin"/>
      </w:r>
      <w:r w:rsidRPr="437A25B6">
        <w:rPr>
          <w:rFonts w:cs="Times New Roman"/>
        </w:rPr>
        <w:instrText>ADVANCE \R 0.95</w:instrText>
      </w:r>
      <w:r w:rsidRPr="437A25B6">
        <w:rPr>
          <w:rFonts w:cs="Times New Roman"/>
        </w:rPr>
        <w:fldChar w:fldCharType="end"/>
      </w:r>
    </w:p>
    <w:p w:rsidR="00F90F82" w:rsidRPr="00D03C8B" w:rsidP="00814646" w14:paraId="2C2D412E" w14:textId="77777777">
      <w:pPr>
        <w:tabs>
          <w:tab w:val="left" w:pos="360"/>
        </w:tabs>
        <w:spacing w:line="276" w:lineRule="auto"/>
        <w:contextualSpacing/>
        <w:rPr>
          <w:rFonts w:cs="Times New Roman"/>
          <w:szCs w:val="24"/>
        </w:rPr>
      </w:pPr>
    </w:p>
    <w:p w:rsidR="009F1EE5" w:rsidRPr="00D03C8B" w:rsidP="00814646" w14:paraId="5F2A5661" w14:textId="77777777">
      <w:pPr>
        <w:tabs>
          <w:tab w:val="left" w:pos="360"/>
        </w:tabs>
        <w:spacing w:line="276" w:lineRule="auto"/>
        <w:contextualSpacing/>
        <w:rPr>
          <w:rFonts w:cs="Times New Roman"/>
          <w:szCs w:val="24"/>
        </w:rPr>
      </w:pPr>
      <w:r w:rsidRPr="00D03C8B">
        <w:rPr>
          <w:rFonts w:cs="Times New Roman"/>
          <w:szCs w:val="24"/>
        </w:rPr>
        <w:t>There are no assurances of confidentiality provided to the respondents for this information collection.</w:t>
      </w:r>
    </w:p>
    <w:p w:rsidR="00BE4C08" w:rsidRPr="00D03C8B" w:rsidP="00814646" w14:paraId="7640AAD1" w14:textId="77777777">
      <w:pPr>
        <w:tabs>
          <w:tab w:val="left" w:pos="360"/>
        </w:tabs>
        <w:spacing w:line="276" w:lineRule="auto"/>
        <w:contextualSpacing/>
        <w:rPr>
          <w:rFonts w:cs="Times New Roman"/>
          <w:szCs w:val="24"/>
        </w:rPr>
      </w:pPr>
    </w:p>
    <w:p w:rsidR="00B3312A" w:rsidRPr="00D03C8B" w:rsidP="00814646" w14:paraId="17A5CA01" w14:textId="76C4372D">
      <w:pPr>
        <w:tabs>
          <w:tab w:val="left" w:pos="360"/>
        </w:tabs>
        <w:spacing w:line="276" w:lineRule="auto"/>
        <w:contextualSpacing/>
        <w:rPr>
          <w:rFonts w:cs="Times New Roman"/>
          <w:b/>
          <w:szCs w:val="24"/>
        </w:rPr>
      </w:pPr>
      <w:r w:rsidRPr="00D03C8B">
        <w:rPr>
          <w:rFonts w:cs="Times New Roman"/>
          <w:b/>
          <w:bCs/>
          <w:szCs w:val="24"/>
        </w:rPr>
        <w:t xml:space="preserve">11.  </w:t>
      </w:r>
      <w:r w:rsidRPr="00D03C8B">
        <w:rPr>
          <w:rFonts w:cs="Times New Roman"/>
          <w:b/>
          <w:szCs w:val="24"/>
        </w:rPr>
        <w:t>Provide additional justification for any question of a sensitive nature (such as sexual behavior and attitudes, religious beliefs and other matters that are commonly considered private).  This</w:t>
      </w:r>
      <w:r w:rsidRPr="00D03C8B">
        <w:rPr>
          <w:rFonts w:cs="Times New Roman"/>
          <w:b/>
          <w:bCs/>
          <w:szCs w:val="24"/>
        </w:rPr>
        <w:t xml:space="preserve"> justification</w:t>
      </w:r>
      <w:r w:rsidRPr="00D03C8B">
        <w:rPr>
          <w:rFonts w:cs="Times New Roman"/>
          <w:b/>
          <w:szCs w:val="24"/>
        </w:rPr>
        <w:t xml:space="preserve"> should include the reasons why the agency considers the questions necessary, the specific uses to be made of the information, </w:t>
      </w:r>
      <w:r w:rsidRPr="00D03C8B">
        <w:rPr>
          <w:rFonts w:cs="Times New Roman"/>
          <w:b/>
          <w:szCs w:val="24"/>
        </w:rPr>
        <w:t xml:space="preserve">the explanation to be given to persons from whom the information is requested, and any steps </w:t>
      </w:r>
      <w:r w:rsidRPr="00D03C8B" w:rsidR="009B2B7F">
        <w:rPr>
          <w:rFonts w:cs="Times New Roman"/>
          <w:b/>
          <w:szCs w:val="24"/>
        </w:rPr>
        <w:t>to</w:t>
      </w:r>
      <w:r w:rsidRPr="00D03C8B">
        <w:rPr>
          <w:rFonts w:cs="Times New Roman"/>
          <w:b/>
          <w:szCs w:val="24"/>
        </w:rPr>
        <w:t xml:space="preserve"> be taken to obtain their consent.</w:t>
      </w:r>
      <w:r w:rsidRPr="00D03C8B">
        <w:rPr>
          <w:rFonts w:cs="Times New Roman"/>
          <w:b/>
          <w:bCs/>
          <w:szCs w:val="24"/>
        </w:rPr>
        <w:t xml:space="preserve"> </w:t>
      </w:r>
    </w:p>
    <w:p w:rsidR="00EE0EFD" w:rsidRPr="00D03C8B" w:rsidP="00814646" w14:paraId="1450DC3E" w14:textId="0AFEBAA3">
      <w:pPr>
        <w:spacing w:line="276" w:lineRule="auto"/>
        <w:contextualSpacing/>
        <w:rPr>
          <w:rFonts w:cs="Times New Roman"/>
          <w:szCs w:val="24"/>
        </w:rPr>
      </w:pPr>
    </w:p>
    <w:p w:rsidR="00F92C3F" w:rsidRPr="00D03C8B" w:rsidP="00814646" w14:paraId="73429BD3" w14:textId="5B153C47">
      <w:pPr>
        <w:spacing w:line="276" w:lineRule="auto"/>
        <w:contextualSpacing/>
        <w:rPr>
          <w:rFonts w:cs="Times New Roman"/>
          <w:szCs w:val="24"/>
        </w:rPr>
      </w:pPr>
      <w:r w:rsidRPr="00D03C8B">
        <w:rPr>
          <w:rFonts w:cs="Times New Roman"/>
          <w:szCs w:val="24"/>
        </w:rPr>
        <w:t>There are no questions of a sensitive nature</w:t>
      </w:r>
      <w:r w:rsidRPr="00D03C8B" w:rsidR="0083377E">
        <w:rPr>
          <w:rFonts w:eastAsia="Times New Roman" w:cs="Times New Roman"/>
          <w:szCs w:val="24"/>
        </w:rPr>
        <w:t>.</w:t>
      </w:r>
    </w:p>
    <w:p w:rsidR="00EE0EFD" w:rsidRPr="00D03C8B" w:rsidP="00814646" w14:paraId="694AB6CF" w14:textId="72541ADB">
      <w:pPr>
        <w:spacing w:line="276" w:lineRule="auto"/>
        <w:contextualSpacing/>
        <w:rPr>
          <w:rFonts w:cs="Times New Roman"/>
          <w:szCs w:val="24"/>
        </w:rPr>
      </w:pPr>
    </w:p>
    <w:p w:rsidR="00B3312A" w:rsidRPr="00814646" w:rsidP="00814646" w14:paraId="4AD7CC8E" w14:textId="43C63478">
      <w:pPr>
        <w:spacing w:line="276" w:lineRule="auto"/>
        <w:contextualSpacing/>
        <w:rPr>
          <w:rFonts w:cs="Times New Roman"/>
          <w:b/>
          <w:color w:val="000000" w:themeColor="text1"/>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12.  </w:t>
      </w:r>
      <w:r w:rsidRPr="00D03C8B">
        <w:rPr>
          <w:rFonts w:cs="Times New Roman"/>
          <w:b/>
          <w:szCs w:val="24"/>
        </w:rPr>
        <w:t>Provide estimates of the hour burden of the collection of information.  The stat</w:t>
      </w:r>
      <w:r w:rsidRPr="00D03C8B" w:rsidR="006B5A7B">
        <w:rPr>
          <w:rFonts w:cs="Times New Roman"/>
          <w:b/>
          <w:szCs w:val="24"/>
        </w:rPr>
        <w:t>ement</w:t>
      </w:r>
      <w:r w:rsidRPr="00D03C8B">
        <w:rPr>
          <w:rFonts w:cs="Times New Roman"/>
          <w:b/>
          <w:szCs w:val="24"/>
        </w:rPr>
        <w:t xml:space="preserve"> </w:t>
      </w:r>
      <w:r w:rsidRPr="00814646">
        <w:rPr>
          <w:rFonts w:cs="Times New Roman"/>
          <w:b/>
          <w:color w:val="000000" w:themeColor="text1"/>
          <w:szCs w:val="24"/>
        </w:rPr>
        <w:t>should</w:t>
      </w:r>
      <w:r w:rsidRPr="00814646">
        <w:rPr>
          <w:rFonts w:cs="Times New Roman"/>
          <w:b/>
          <w:bCs/>
          <w:color w:val="000000" w:themeColor="text1"/>
          <w:szCs w:val="24"/>
        </w:rPr>
        <w:t>:</w:t>
      </w:r>
      <w:r w:rsidRPr="00814646">
        <w:rPr>
          <w:rFonts w:cs="Times New Roman"/>
          <w:b/>
          <w:bCs/>
          <w:color w:val="000000" w:themeColor="text1"/>
          <w:szCs w:val="24"/>
        </w:rPr>
        <w:fldChar w:fldCharType="begin"/>
      </w:r>
      <w:r w:rsidRPr="00814646">
        <w:rPr>
          <w:rFonts w:cs="Times New Roman"/>
          <w:b/>
          <w:bCs/>
          <w:color w:val="000000" w:themeColor="text1"/>
          <w:szCs w:val="24"/>
        </w:rPr>
        <w:instrText>ADVANCE \R 0.95</w:instrText>
      </w:r>
      <w:r w:rsidRPr="00814646">
        <w:rPr>
          <w:rFonts w:cs="Times New Roman"/>
          <w:b/>
          <w:bCs/>
          <w:color w:val="000000" w:themeColor="text1"/>
          <w:szCs w:val="24"/>
        </w:rPr>
        <w:fldChar w:fldCharType="end"/>
      </w:r>
      <w:r w:rsidRPr="00814646">
        <w:rPr>
          <w:rFonts w:cs="Times New Roman"/>
          <w:b/>
          <w:bCs/>
          <w:color w:val="000000" w:themeColor="text1"/>
          <w:szCs w:val="24"/>
        </w:rPr>
        <w:t xml:space="preserve">                                             </w:t>
      </w:r>
    </w:p>
    <w:p w:rsidR="007D1E5F" w:rsidRPr="00814646" w:rsidP="00814646" w14:paraId="31220450" w14:textId="77777777">
      <w:pPr>
        <w:spacing w:line="276" w:lineRule="auto"/>
        <w:contextualSpacing/>
        <w:rPr>
          <w:rFonts w:cs="Times New Roman"/>
          <w:b/>
          <w:bCs/>
          <w:color w:val="000000" w:themeColor="text1"/>
          <w:szCs w:val="24"/>
        </w:rPr>
      </w:pPr>
      <w:r w:rsidRPr="00814646">
        <w:rPr>
          <w:rFonts w:cs="Times New Roman"/>
          <w:b/>
          <w:bCs/>
          <w:color w:val="000000" w:themeColor="text1"/>
          <w:szCs w:val="24"/>
        </w:rPr>
        <w:fldChar w:fldCharType="begin"/>
      </w:r>
      <w:r w:rsidRPr="00814646">
        <w:rPr>
          <w:rFonts w:cs="Times New Roman"/>
          <w:b/>
          <w:bCs/>
          <w:color w:val="000000" w:themeColor="text1"/>
          <w:szCs w:val="24"/>
        </w:rPr>
        <w:instrText>ADVANCE \R 0.95</w:instrText>
      </w:r>
      <w:r w:rsidRPr="00814646">
        <w:rPr>
          <w:rFonts w:cs="Times New Roman"/>
          <w:b/>
          <w:bCs/>
          <w:color w:val="000000" w:themeColor="text1"/>
          <w:szCs w:val="24"/>
        </w:rPr>
        <w:fldChar w:fldCharType="end"/>
      </w:r>
    </w:p>
    <w:p w:rsidR="00B3312A" w:rsidRPr="00D03C8B" w:rsidP="00814646" w14:paraId="2982763D" w14:textId="0716FA78">
      <w:pPr>
        <w:spacing w:line="276" w:lineRule="auto"/>
        <w:contextualSpacing/>
        <w:rPr>
          <w:rFonts w:cs="Times New Roman"/>
          <w:b/>
          <w:szCs w:val="24"/>
        </w:rPr>
      </w:pPr>
      <w:r w:rsidRPr="00814646">
        <w:rPr>
          <w:rFonts w:cs="Times New Roman"/>
          <w:b/>
          <w:bCs/>
          <w:color w:val="000000" w:themeColor="text1"/>
          <w:szCs w:val="24"/>
        </w:rPr>
        <w:tab/>
      </w:r>
      <w:r w:rsidRPr="00814646" w:rsidR="0083377E">
        <w:rPr>
          <w:rFonts w:cs="Times New Roman"/>
          <w:b/>
          <w:bCs/>
          <w:color w:val="000000" w:themeColor="text1"/>
          <w:szCs w:val="24"/>
        </w:rPr>
        <w:t xml:space="preserve">a. </w:t>
      </w:r>
      <w:r w:rsidRPr="00814646">
        <w:rPr>
          <w:rFonts w:cs="Times New Roman"/>
          <w:b/>
          <w:color w:val="000000" w:themeColor="text1"/>
          <w:szCs w:val="24"/>
        </w:rPr>
        <w:t xml:space="preserve">Indicate the number of respondents, frequency of response, annual hour burden, and an explanation </w:t>
      </w:r>
      <w:r w:rsidRPr="00D03C8B">
        <w:rPr>
          <w:rFonts w:cs="Times New Roman"/>
          <w:b/>
          <w:szCs w:val="24"/>
        </w:rPr>
        <w:t>of how the burden was estimated for each collection instrument (separately list each instrument and describe information as requested).  Unless</w:t>
      </w:r>
      <w:r w:rsidRPr="00D03C8B">
        <w:rPr>
          <w:rFonts w:cs="Times New Roman"/>
          <w:b/>
          <w:bCs/>
          <w:szCs w:val="24"/>
        </w:rPr>
        <w:tab/>
      </w:r>
      <w:r w:rsidRPr="00D03C8B">
        <w:rPr>
          <w:rFonts w:cs="Times New Roman"/>
          <w:b/>
          <w:szCs w:val="24"/>
        </w:rPr>
        <w:t xml:space="preserve">directed to do so, agencies should not conduct special surveys to obtain information on which to base hour burden estimates.  </w:t>
      </w:r>
      <w:r w:rsidRPr="00D03C8B">
        <w:rPr>
          <w:rFonts w:cs="Times New Roman"/>
          <w:b/>
          <w:bCs/>
          <w:szCs w:val="24"/>
        </w:rPr>
        <w:t>Consultation</w:t>
      </w:r>
      <w:r w:rsidRPr="00D03C8B">
        <w:rPr>
          <w:rFonts w:cs="Times New Roman"/>
          <w:b/>
          <w:szCs w:val="24"/>
        </w:rPr>
        <w:t xml:space="preserve"> with a sample (fewer than 10) of potential respondents is desired.  If the hour</w:t>
      </w:r>
      <w:r w:rsidRPr="00D03C8B">
        <w:rPr>
          <w:rFonts w:cs="Times New Roman"/>
          <w:b/>
          <w:bCs/>
          <w:szCs w:val="24"/>
        </w:rPr>
        <w:tab/>
      </w:r>
      <w:r w:rsidRPr="00D03C8B">
        <w:rPr>
          <w:rFonts w:cs="Times New Roman"/>
          <w:b/>
          <w:szCs w:val="24"/>
        </w:rPr>
        <w:t>burden on respondents is expected to vary widely because of differences in activity, size, or complexity, show the range of estimated hour burden, and explain the reasons for the variance.  Generally, estimates should not include</w:t>
      </w:r>
      <w:r w:rsidRPr="00D03C8B" w:rsidR="005C5AA2">
        <w:rPr>
          <w:rFonts w:cs="Times New Roman"/>
          <w:b/>
          <w:szCs w:val="24"/>
        </w:rPr>
        <w:t xml:space="preserve"> </w:t>
      </w:r>
      <w:r w:rsidRPr="00D03C8B">
        <w:rPr>
          <w:rFonts w:cs="Times New Roman"/>
          <w:b/>
          <w:szCs w:val="24"/>
        </w:rPr>
        <w:t>burden hours for customary and usual business practices.</w:t>
      </w:r>
    </w:p>
    <w:p w:rsidR="00741935" w:rsidRPr="00D03C8B" w:rsidP="00814646" w14:paraId="1B357E3D" w14:textId="71216AC0">
      <w:pPr>
        <w:spacing w:line="276" w:lineRule="auto"/>
        <w:contextualSpacing/>
        <w:rPr>
          <w:rFonts w:eastAsia="Times New Roman" w:cs="Times New Roman"/>
          <w:szCs w:val="24"/>
        </w:rPr>
      </w:pPr>
    </w:p>
    <w:p w:rsidR="00782792" w:rsidRPr="00D03C8B" w:rsidP="00814646" w14:paraId="6E38AA4C" w14:textId="20596027">
      <w:pPr>
        <w:spacing w:line="276" w:lineRule="auto"/>
        <w:contextualSpacing/>
        <w:rPr>
          <w:rFonts w:eastAsia="Times New Roman" w:cs="Times New Roman"/>
          <w:szCs w:val="24"/>
        </w:rPr>
      </w:pPr>
      <w:r w:rsidRPr="00D03C8B">
        <w:rPr>
          <w:rFonts w:eastAsia="Times New Roman" w:cs="Times New Roman"/>
          <w:szCs w:val="24"/>
        </w:rPr>
        <w:t xml:space="preserve">FEMA may </w:t>
      </w:r>
      <w:r w:rsidRPr="00D03C8B" w:rsidR="00F74EC3">
        <w:rPr>
          <w:rFonts w:eastAsia="Times New Roman" w:cs="Times New Roman"/>
          <w:szCs w:val="24"/>
        </w:rPr>
        <w:t xml:space="preserve">provide mitigation assistance for </w:t>
      </w:r>
      <w:r w:rsidRPr="00D03C8B" w:rsidR="00D819C9">
        <w:rPr>
          <w:rFonts w:eastAsia="Times New Roman" w:cs="Times New Roman"/>
          <w:szCs w:val="24"/>
        </w:rPr>
        <w:t>s</w:t>
      </w:r>
      <w:r w:rsidRPr="00D03C8B" w:rsidR="00F74EC3">
        <w:rPr>
          <w:rFonts w:eastAsia="Times New Roman" w:cs="Times New Roman"/>
          <w:szCs w:val="24"/>
        </w:rPr>
        <w:t xml:space="preserve">tates and </w:t>
      </w:r>
      <w:r w:rsidRPr="00D03C8B" w:rsidR="00D819C9">
        <w:rPr>
          <w:rFonts w:eastAsia="Times New Roman" w:cs="Times New Roman"/>
          <w:szCs w:val="24"/>
        </w:rPr>
        <w:t>t</w:t>
      </w:r>
      <w:r w:rsidRPr="00D03C8B" w:rsidR="00F447F8">
        <w:rPr>
          <w:rFonts w:eastAsia="Times New Roman" w:cs="Times New Roman"/>
          <w:szCs w:val="24"/>
        </w:rPr>
        <w:t>ribes</w:t>
      </w:r>
      <w:r w:rsidRPr="00D03C8B" w:rsidR="00F74EC3">
        <w:rPr>
          <w:rFonts w:eastAsia="Times New Roman" w:cs="Times New Roman"/>
          <w:szCs w:val="24"/>
        </w:rPr>
        <w:t xml:space="preserve"> to </w:t>
      </w:r>
      <w:r w:rsidRPr="00D03C8B">
        <w:rPr>
          <w:rFonts w:eastAsia="Times New Roman" w:cs="Times New Roman"/>
          <w:szCs w:val="24"/>
        </w:rPr>
        <w:t xml:space="preserve">acquire as many as </w:t>
      </w:r>
      <w:r w:rsidRPr="00D03C8B" w:rsidR="0087301D">
        <w:rPr>
          <w:rFonts w:eastAsia="Times New Roman" w:cs="Times New Roman"/>
          <w:szCs w:val="24"/>
        </w:rPr>
        <w:t>573</w:t>
      </w:r>
      <w:r w:rsidRPr="00D03C8B" w:rsidR="00D819C9">
        <w:rPr>
          <w:rFonts w:eastAsia="Times New Roman" w:cs="Times New Roman"/>
          <w:szCs w:val="24"/>
        </w:rPr>
        <w:t xml:space="preserve"> </w:t>
      </w:r>
      <w:r w:rsidRPr="00D03C8B">
        <w:rPr>
          <w:rFonts w:eastAsia="Times New Roman" w:cs="Times New Roman"/>
          <w:szCs w:val="24"/>
        </w:rPr>
        <w:t xml:space="preserve">properties nationally each year among </w:t>
      </w:r>
      <w:r w:rsidRPr="00D03C8B" w:rsidR="00D819C9">
        <w:rPr>
          <w:rFonts w:eastAsia="Times New Roman" w:cs="Times New Roman"/>
          <w:szCs w:val="24"/>
        </w:rPr>
        <w:t>s</w:t>
      </w:r>
      <w:r w:rsidRPr="00D03C8B">
        <w:rPr>
          <w:rFonts w:eastAsia="Times New Roman" w:cs="Times New Roman"/>
          <w:szCs w:val="24"/>
        </w:rPr>
        <w:t>tates</w:t>
      </w:r>
      <w:r w:rsidRPr="00D03C8B" w:rsidR="00757874">
        <w:rPr>
          <w:rFonts w:eastAsia="Times New Roman" w:cs="Times New Roman"/>
          <w:szCs w:val="24"/>
        </w:rPr>
        <w:t xml:space="preserve">, </w:t>
      </w:r>
      <w:r w:rsidRPr="00D03C8B" w:rsidR="00D819C9">
        <w:rPr>
          <w:rFonts w:eastAsia="Times New Roman" w:cs="Times New Roman"/>
          <w:szCs w:val="24"/>
        </w:rPr>
        <w:t>t</w:t>
      </w:r>
      <w:r w:rsidRPr="00D03C8B" w:rsidR="00757874">
        <w:rPr>
          <w:rFonts w:eastAsia="Times New Roman" w:cs="Times New Roman"/>
          <w:szCs w:val="24"/>
        </w:rPr>
        <w:t>erritories</w:t>
      </w:r>
      <w:r w:rsidRPr="00D03C8B" w:rsidR="00B53375">
        <w:rPr>
          <w:rFonts w:eastAsia="Times New Roman" w:cs="Times New Roman"/>
          <w:szCs w:val="24"/>
        </w:rPr>
        <w:t xml:space="preserve"> </w:t>
      </w:r>
      <w:r w:rsidRPr="00D03C8B" w:rsidR="000127F8">
        <w:rPr>
          <w:rFonts w:eastAsia="Times New Roman" w:cs="Times New Roman"/>
          <w:szCs w:val="24"/>
        </w:rPr>
        <w:t>and Tribes</w:t>
      </w:r>
      <w:r w:rsidRPr="00D03C8B" w:rsidR="00574392">
        <w:rPr>
          <w:rFonts w:eastAsia="Times New Roman" w:cs="Times New Roman"/>
          <w:szCs w:val="24"/>
        </w:rPr>
        <w:t xml:space="preserve"> </w:t>
      </w:r>
      <w:r w:rsidRPr="00D03C8B" w:rsidR="00757874">
        <w:rPr>
          <w:rFonts w:eastAsia="Times New Roman" w:cs="Times New Roman"/>
          <w:szCs w:val="24"/>
        </w:rPr>
        <w:t xml:space="preserve">under </w:t>
      </w:r>
      <w:r w:rsidRPr="00D03C8B" w:rsidR="00CB2448">
        <w:rPr>
          <w:rFonts w:eastAsia="Times New Roman" w:cs="Times New Roman"/>
          <w:szCs w:val="24"/>
        </w:rPr>
        <w:t xml:space="preserve">HMA </w:t>
      </w:r>
      <w:r w:rsidRPr="00D03C8B" w:rsidR="00733641">
        <w:rPr>
          <w:rFonts w:eastAsia="Times New Roman" w:cs="Times New Roman"/>
          <w:szCs w:val="24"/>
        </w:rPr>
        <w:t>p</w:t>
      </w:r>
      <w:r w:rsidRPr="00D03C8B" w:rsidR="00574392">
        <w:rPr>
          <w:rFonts w:eastAsia="Times New Roman" w:cs="Times New Roman"/>
          <w:szCs w:val="24"/>
        </w:rPr>
        <w:t>rogram</w:t>
      </w:r>
      <w:r w:rsidRPr="00D03C8B" w:rsidR="00CB2448">
        <w:rPr>
          <w:rFonts w:eastAsia="Times New Roman" w:cs="Times New Roman"/>
          <w:szCs w:val="24"/>
        </w:rPr>
        <w:t>s</w:t>
      </w:r>
      <w:r w:rsidRPr="00D03C8B">
        <w:rPr>
          <w:rFonts w:eastAsia="Times New Roman" w:cs="Times New Roman"/>
          <w:szCs w:val="24"/>
        </w:rPr>
        <w:t>.</w:t>
      </w:r>
      <w:r w:rsidRPr="00D03C8B" w:rsidR="00F851DB">
        <w:rPr>
          <w:rFonts w:eastAsia="Times New Roman" w:cs="Times New Roman"/>
          <w:szCs w:val="24"/>
        </w:rPr>
        <w:t xml:space="preserve"> </w:t>
      </w:r>
      <w:r w:rsidRPr="00814646" w:rsidR="00745E2C">
        <w:rPr>
          <w:rFonts w:eastAsia="Times New Roman" w:cs="Times New Roman"/>
          <w:szCs w:val="24"/>
        </w:rPr>
        <w:t xml:space="preserve">Between </w:t>
      </w:r>
      <w:r w:rsidRPr="00814646" w:rsidR="00BD503A">
        <w:rPr>
          <w:rFonts w:eastAsia="Times New Roman" w:cs="Times New Roman"/>
          <w:szCs w:val="24"/>
        </w:rPr>
        <w:t>2017</w:t>
      </w:r>
      <w:r w:rsidRPr="00814646" w:rsidR="00745E2C">
        <w:rPr>
          <w:rFonts w:eastAsia="Times New Roman" w:cs="Times New Roman"/>
          <w:szCs w:val="24"/>
        </w:rPr>
        <w:t xml:space="preserve"> and</w:t>
      </w:r>
      <w:r w:rsidRPr="00814646" w:rsidR="003E5561">
        <w:rPr>
          <w:rFonts w:eastAsia="Times New Roman" w:cs="Times New Roman"/>
          <w:szCs w:val="24"/>
        </w:rPr>
        <w:t xml:space="preserve"> </w:t>
      </w:r>
      <w:r w:rsidRPr="00814646" w:rsidR="00BD503A">
        <w:rPr>
          <w:rFonts w:eastAsia="Times New Roman" w:cs="Times New Roman"/>
          <w:szCs w:val="24"/>
        </w:rPr>
        <w:t>202</w:t>
      </w:r>
      <w:r w:rsidRPr="00814646" w:rsidR="00EF061D">
        <w:rPr>
          <w:rFonts w:eastAsia="Times New Roman" w:cs="Times New Roman"/>
          <w:szCs w:val="24"/>
        </w:rPr>
        <w:t>2</w:t>
      </w:r>
      <w:r w:rsidRPr="00814646" w:rsidR="00745E2C">
        <w:rPr>
          <w:rFonts w:eastAsia="Times New Roman" w:cs="Times New Roman"/>
          <w:szCs w:val="24"/>
        </w:rPr>
        <w:t>,</w:t>
      </w:r>
      <w:r w:rsidRPr="00D03C8B" w:rsidR="00745E2C">
        <w:rPr>
          <w:rFonts w:eastAsia="Times New Roman" w:cs="Times New Roman"/>
          <w:szCs w:val="24"/>
        </w:rPr>
        <w:t xml:space="preserve"> there were </w:t>
      </w:r>
      <w:r w:rsidRPr="00D03C8B" w:rsidR="00EF061D">
        <w:rPr>
          <w:rFonts w:eastAsia="Times New Roman" w:cs="Times New Roman"/>
          <w:szCs w:val="24"/>
        </w:rPr>
        <w:t>3</w:t>
      </w:r>
      <w:r w:rsidR="005C5AA2">
        <w:rPr>
          <w:rFonts w:eastAsia="Times New Roman" w:cs="Times New Roman"/>
          <w:szCs w:val="24"/>
        </w:rPr>
        <w:t>,</w:t>
      </w:r>
      <w:r w:rsidRPr="00D03C8B" w:rsidR="00EF061D">
        <w:rPr>
          <w:rFonts w:eastAsia="Times New Roman" w:cs="Times New Roman"/>
          <w:szCs w:val="24"/>
        </w:rPr>
        <w:t>139</w:t>
      </w:r>
      <w:r w:rsidR="00A55C83">
        <w:rPr>
          <w:rFonts w:eastAsia="Times New Roman" w:cs="Times New Roman"/>
          <w:szCs w:val="24"/>
        </w:rPr>
        <w:t xml:space="preserve"> </w:t>
      </w:r>
      <w:r w:rsidRPr="00D03C8B" w:rsidR="00745E2C">
        <w:rPr>
          <w:rFonts w:eastAsia="Times New Roman" w:cs="Times New Roman"/>
          <w:szCs w:val="24"/>
        </w:rPr>
        <w:t xml:space="preserve">properties acquired. </w:t>
      </w:r>
      <w:r w:rsidRPr="00D03C8B" w:rsidR="00FB3439">
        <w:rPr>
          <w:rFonts w:eastAsia="Times New Roman" w:cs="Times New Roman"/>
          <w:szCs w:val="24"/>
        </w:rPr>
        <w:t xml:space="preserve">The average number of </w:t>
      </w:r>
      <w:r w:rsidRPr="00D03C8B" w:rsidR="003F5970">
        <w:rPr>
          <w:rFonts w:eastAsia="Times New Roman" w:cs="Times New Roman"/>
          <w:szCs w:val="24"/>
        </w:rPr>
        <w:t>properties</w:t>
      </w:r>
      <w:r w:rsidRPr="00D03C8B" w:rsidR="00FB3439">
        <w:rPr>
          <w:rFonts w:eastAsia="Times New Roman" w:cs="Times New Roman"/>
          <w:szCs w:val="24"/>
        </w:rPr>
        <w:t xml:space="preserve"> acquired by </w:t>
      </w:r>
      <w:r w:rsidRPr="00D03C8B" w:rsidR="00D819C9">
        <w:rPr>
          <w:rFonts w:eastAsia="Times New Roman" w:cs="Times New Roman"/>
          <w:szCs w:val="24"/>
        </w:rPr>
        <w:t>s</w:t>
      </w:r>
      <w:r w:rsidRPr="00D03C8B" w:rsidR="00FB3439">
        <w:rPr>
          <w:rFonts w:eastAsia="Times New Roman" w:cs="Times New Roman"/>
          <w:szCs w:val="24"/>
        </w:rPr>
        <w:t>tates</w:t>
      </w:r>
      <w:r w:rsidRPr="00D03C8B" w:rsidR="00733641">
        <w:rPr>
          <w:rFonts w:eastAsia="Times New Roman" w:cs="Times New Roman"/>
          <w:szCs w:val="24"/>
        </w:rPr>
        <w:t xml:space="preserve"> or </w:t>
      </w:r>
      <w:r w:rsidRPr="00D03C8B" w:rsidR="00D819C9">
        <w:rPr>
          <w:rFonts w:eastAsia="Times New Roman" w:cs="Times New Roman"/>
          <w:szCs w:val="24"/>
        </w:rPr>
        <w:t>t</w:t>
      </w:r>
      <w:r w:rsidRPr="00D03C8B" w:rsidR="00733641">
        <w:rPr>
          <w:rFonts w:eastAsia="Times New Roman" w:cs="Times New Roman"/>
          <w:szCs w:val="24"/>
        </w:rPr>
        <w:t>erritories</w:t>
      </w:r>
      <w:r w:rsidRPr="00D03C8B" w:rsidR="00FB3439">
        <w:rPr>
          <w:rFonts w:eastAsia="Times New Roman" w:cs="Times New Roman"/>
          <w:szCs w:val="24"/>
        </w:rPr>
        <w:t xml:space="preserve"> in a year </w:t>
      </w:r>
      <w:r w:rsidRPr="00D03C8B" w:rsidR="00FA2ACC">
        <w:rPr>
          <w:rFonts w:eastAsia="Times New Roman" w:cs="Times New Roman"/>
          <w:szCs w:val="24"/>
        </w:rPr>
        <w:t>has been</w:t>
      </w:r>
      <w:r w:rsidRPr="00D03C8B" w:rsidR="00FB3439">
        <w:rPr>
          <w:rFonts w:eastAsia="Times New Roman" w:cs="Times New Roman"/>
          <w:szCs w:val="24"/>
        </w:rPr>
        <w:t xml:space="preserve"> </w:t>
      </w:r>
      <w:r w:rsidRPr="00D03C8B" w:rsidR="0087301D">
        <w:rPr>
          <w:rFonts w:eastAsia="Times New Roman" w:cs="Times New Roman"/>
          <w:szCs w:val="24"/>
        </w:rPr>
        <w:t>523</w:t>
      </w:r>
      <w:r w:rsidRPr="00D03C8B" w:rsidR="00FB3439">
        <w:rPr>
          <w:rFonts w:eastAsia="Times New Roman" w:cs="Times New Roman"/>
          <w:szCs w:val="24"/>
        </w:rPr>
        <w:t xml:space="preserve">. Because </w:t>
      </w:r>
      <w:r w:rsidRPr="00D03C8B" w:rsidR="00BE677A">
        <w:rPr>
          <w:rFonts w:eastAsia="Times New Roman" w:cs="Times New Roman"/>
          <w:szCs w:val="24"/>
        </w:rPr>
        <w:t>federally</w:t>
      </w:r>
      <w:r w:rsidR="00A55C83">
        <w:rPr>
          <w:rFonts w:eastAsia="Times New Roman" w:cs="Times New Roman"/>
          <w:szCs w:val="24"/>
        </w:rPr>
        <w:t>-</w:t>
      </w:r>
      <w:r w:rsidRPr="00D03C8B" w:rsidR="00BE677A">
        <w:rPr>
          <w:rFonts w:eastAsia="Times New Roman" w:cs="Times New Roman"/>
          <w:szCs w:val="24"/>
        </w:rPr>
        <w:t>recognized</w:t>
      </w:r>
      <w:r w:rsidRPr="00D03C8B" w:rsidR="0081220F">
        <w:rPr>
          <w:rFonts w:eastAsia="Times New Roman" w:cs="Times New Roman"/>
          <w:szCs w:val="24"/>
        </w:rPr>
        <w:t xml:space="preserve"> </w:t>
      </w:r>
      <w:r w:rsidRPr="00D03C8B" w:rsidR="00FB3439">
        <w:rPr>
          <w:rFonts w:eastAsia="Times New Roman" w:cs="Times New Roman"/>
          <w:szCs w:val="24"/>
        </w:rPr>
        <w:t>Tribes are now eligible to apply directly for</w:t>
      </w:r>
      <w:r w:rsidRPr="00D03C8B" w:rsidR="00757874">
        <w:rPr>
          <w:rFonts w:eastAsia="Times New Roman" w:cs="Times New Roman"/>
          <w:szCs w:val="24"/>
        </w:rPr>
        <w:t xml:space="preserve"> a </w:t>
      </w:r>
      <w:r w:rsidRPr="00D03C8B" w:rsidR="00ED7C29">
        <w:rPr>
          <w:rFonts w:eastAsia="Times New Roman" w:cs="Times New Roman"/>
          <w:szCs w:val="24"/>
        </w:rPr>
        <w:t xml:space="preserve">presidential </w:t>
      </w:r>
      <w:r w:rsidRPr="00D03C8B" w:rsidR="00757874">
        <w:rPr>
          <w:rFonts w:eastAsia="Times New Roman" w:cs="Times New Roman"/>
          <w:szCs w:val="24"/>
        </w:rPr>
        <w:t xml:space="preserve">disaster </w:t>
      </w:r>
      <w:r w:rsidRPr="00D03C8B" w:rsidR="00F447F8">
        <w:rPr>
          <w:rFonts w:eastAsia="Times New Roman" w:cs="Times New Roman"/>
          <w:szCs w:val="24"/>
        </w:rPr>
        <w:t xml:space="preserve">declaration independent of </w:t>
      </w:r>
      <w:r w:rsidRPr="00D03C8B" w:rsidR="00ED7C29">
        <w:rPr>
          <w:rFonts w:eastAsia="Times New Roman" w:cs="Times New Roman"/>
          <w:szCs w:val="24"/>
        </w:rPr>
        <w:t xml:space="preserve">the </w:t>
      </w:r>
      <w:r w:rsidRPr="00D03C8B" w:rsidR="00D819C9">
        <w:rPr>
          <w:rFonts w:eastAsia="Times New Roman" w:cs="Times New Roman"/>
          <w:szCs w:val="24"/>
        </w:rPr>
        <w:t>s</w:t>
      </w:r>
      <w:r w:rsidRPr="00D03C8B" w:rsidR="00F447F8">
        <w:rPr>
          <w:rFonts w:eastAsia="Times New Roman" w:cs="Times New Roman"/>
          <w:szCs w:val="24"/>
        </w:rPr>
        <w:t>tate</w:t>
      </w:r>
      <w:r w:rsidRPr="00D03C8B" w:rsidR="00ED7C29">
        <w:rPr>
          <w:rFonts w:eastAsia="Times New Roman" w:cs="Times New Roman"/>
          <w:szCs w:val="24"/>
        </w:rPr>
        <w:t>’</w:t>
      </w:r>
      <w:r w:rsidRPr="00D03C8B" w:rsidR="00F447F8">
        <w:rPr>
          <w:rFonts w:eastAsia="Times New Roman" w:cs="Times New Roman"/>
          <w:szCs w:val="24"/>
        </w:rPr>
        <w:t>s</w:t>
      </w:r>
      <w:r w:rsidRPr="00D03C8B" w:rsidR="00FA2ACC">
        <w:rPr>
          <w:rFonts w:eastAsia="Times New Roman" w:cs="Times New Roman"/>
          <w:szCs w:val="24"/>
        </w:rPr>
        <w:t xml:space="preserve"> </w:t>
      </w:r>
      <w:r w:rsidRPr="00D03C8B" w:rsidR="00757874">
        <w:rPr>
          <w:rFonts w:eastAsia="Times New Roman" w:cs="Times New Roman"/>
          <w:szCs w:val="24"/>
        </w:rPr>
        <w:t xml:space="preserve">declaration and </w:t>
      </w:r>
      <w:r w:rsidRPr="00D03C8B" w:rsidR="00ED7C29">
        <w:rPr>
          <w:rFonts w:eastAsia="Times New Roman" w:cs="Times New Roman"/>
          <w:szCs w:val="24"/>
        </w:rPr>
        <w:t xml:space="preserve">apply </w:t>
      </w:r>
      <w:r w:rsidRPr="00D03C8B" w:rsidR="001D3D50">
        <w:rPr>
          <w:rFonts w:eastAsia="Times New Roman" w:cs="Times New Roman"/>
          <w:szCs w:val="24"/>
        </w:rPr>
        <w:t xml:space="preserve">directly </w:t>
      </w:r>
      <w:r w:rsidRPr="00D03C8B" w:rsidR="00ED7C29">
        <w:rPr>
          <w:rFonts w:eastAsia="Times New Roman" w:cs="Times New Roman"/>
          <w:szCs w:val="24"/>
        </w:rPr>
        <w:t>to FEMA</w:t>
      </w:r>
      <w:r w:rsidRPr="00D03C8B" w:rsidR="00FB3439">
        <w:rPr>
          <w:rFonts w:eastAsia="Times New Roman" w:cs="Times New Roman"/>
          <w:szCs w:val="24"/>
        </w:rPr>
        <w:t xml:space="preserve"> </w:t>
      </w:r>
      <w:r w:rsidRPr="00D03C8B" w:rsidR="00ED7C29">
        <w:rPr>
          <w:rFonts w:eastAsia="Times New Roman" w:cs="Times New Roman"/>
          <w:szCs w:val="24"/>
        </w:rPr>
        <w:t xml:space="preserve">for </w:t>
      </w:r>
      <w:r w:rsidRPr="00D03C8B" w:rsidR="00FB3439">
        <w:rPr>
          <w:rFonts w:eastAsia="Times New Roman" w:cs="Times New Roman"/>
          <w:szCs w:val="24"/>
        </w:rPr>
        <w:t>Hazard Mitigation Grant Program</w:t>
      </w:r>
      <w:r w:rsidRPr="00D03C8B" w:rsidR="00757874">
        <w:rPr>
          <w:rFonts w:eastAsia="Times New Roman" w:cs="Times New Roman"/>
          <w:szCs w:val="24"/>
        </w:rPr>
        <w:t xml:space="preserve"> funding</w:t>
      </w:r>
      <w:r w:rsidRPr="00D03C8B" w:rsidR="00FB3439">
        <w:rPr>
          <w:rFonts w:eastAsia="Times New Roman" w:cs="Times New Roman"/>
          <w:szCs w:val="24"/>
        </w:rPr>
        <w:t xml:space="preserve">, we </w:t>
      </w:r>
      <w:r w:rsidRPr="00D03C8B" w:rsidR="00FA2ACC">
        <w:rPr>
          <w:rFonts w:eastAsia="Times New Roman" w:cs="Times New Roman"/>
          <w:szCs w:val="24"/>
        </w:rPr>
        <w:t xml:space="preserve">have </w:t>
      </w:r>
      <w:r w:rsidRPr="00D03C8B" w:rsidR="00FB3439">
        <w:rPr>
          <w:rFonts w:eastAsia="Times New Roman" w:cs="Times New Roman"/>
          <w:szCs w:val="24"/>
        </w:rPr>
        <w:t>increased our estimate to</w:t>
      </w:r>
      <w:r w:rsidRPr="00D03C8B" w:rsidR="00EF061D">
        <w:rPr>
          <w:rFonts w:eastAsia="Times New Roman" w:cs="Times New Roman"/>
          <w:szCs w:val="24"/>
        </w:rPr>
        <w:t xml:space="preserve"> 573</w:t>
      </w:r>
      <w:r w:rsidRPr="00814646" w:rsidR="00FB3439">
        <w:rPr>
          <w:rFonts w:eastAsia="Times New Roman" w:cs="Times New Roman"/>
          <w:szCs w:val="24"/>
        </w:rPr>
        <w:t>.</w:t>
      </w:r>
      <w:r w:rsidRPr="00D03C8B" w:rsidR="00FB3439">
        <w:rPr>
          <w:rFonts w:eastAsia="Times New Roman" w:cs="Times New Roman"/>
          <w:szCs w:val="24"/>
        </w:rPr>
        <w:t xml:space="preserve"> </w:t>
      </w:r>
      <w:bookmarkStart w:id="3" w:name="_Hlk23334279"/>
      <w:r w:rsidRPr="00D03C8B" w:rsidR="00FB3439">
        <w:rPr>
          <w:rFonts w:eastAsia="Times New Roman" w:cs="Times New Roman"/>
          <w:szCs w:val="24"/>
        </w:rPr>
        <w:t xml:space="preserve">Tribal participation in property acquisition activities </w:t>
      </w:r>
      <w:r w:rsidRPr="00D03C8B" w:rsidR="00151AFC">
        <w:rPr>
          <w:rFonts w:eastAsia="Times New Roman" w:cs="Times New Roman"/>
          <w:szCs w:val="24"/>
        </w:rPr>
        <w:t xml:space="preserve">has been </w:t>
      </w:r>
      <w:r w:rsidRPr="00D03C8B" w:rsidR="00FB3439">
        <w:rPr>
          <w:rFonts w:eastAsia="Times New Roman" w:cs="Times New Roman"/>
          <w:szCs w:val="24"/>
        </w:rPr>
        <w:t xml:space="preserve">lower than </w:t>
      </w:r>
      <w:r w:rsidRPr="00D03C8B" w:rsidR="00D819C9">
        <w:rPr>
          <w:rFonts w:eastAsia="Times New Roman" w:cs="Times New Roman"/>
          <w:szCs w:val="24"/>
        </w:rPr>
        <w:t>s</w:t>
      </w:r>
      <w:r w:rsidRPr="00D03C8B" w:rsidR="00FB3439">
        <w:rPr>
          <w:rFonts w:eastAsia="Times New Roman" w:cs="Times New Roman"/>
          <w:szCs w:val="24"/>
        </w:rPr>
        <w:t>tates</w:t>
      </w:r>
      <w:r w:rsidRPr="00D03C8B" w:rsidR="00733641">
        <w:rPr>
          <w:rFonts w:eastAsia="Times New Roman" w:cs="Times New Roman"/>
          <w:szCs w:val="24"/>
        </w:rPr>
        <w:t xml:space="preserve"> or </w:t>
      </w:r>
      <w:r w:rsidRPr="00D03C8B" w:rsidR="00D819C9">
        <w:rPr>
          <w:rFonts w:eastAsia="Times New Roman" w:cs="Times New Roman"/>
          <w:szCs w:val="24"/>
        </w:rPr>
        <w:t>t</w:t>
      </w:r>
      <w:r w:rsidRPr="00D03C8B" w:rsidR="00733641">
        <w:rPr>
          <w:rFonts w:eastAsia="Times New Roman" w:cs="Times New Roman"/>
          <w:szCs w:val="24"/>
        </w:rPr>
        <w:t>erritories</w:t>
      </w:r>
      <w:r w:rsidRPr="00D03C8B" w:rsidR="00FB3439">
        <w:rPr>
          <w:rFonts w:eastAsia="Times New Roman" w:cs="Times New Roman"/>
          <w:szCs w:val="24"/>
        </w:rPr>
        <w:t xml:space="preserve"> because </w:t>
      </w:r>
      <w:r w:rsidRPr="00D03C8B" w:rsidR="00F92E4A">
        <w:rPr>
          <w:rFonts w:eastAsia="Times New Roman" w:cs="Times New Roman"/>
          <w:szCs w:val="24"/>
        </w:rPr>
        <w:t xml:space="preserve">some </w:t>
      </w:r>
      <w:r w:rsidRPr="00D03C8B" w:rsidR="00151AFC">
        <w:rPr>
          <w:rFonts w:eastAsia="Times New Roman" w:cs="Times New Roman"/>
          <w:szCs w:val="24"/>
        </w:rPr>
        <w:t>interested tribes have not been able to address eligibility requirements to demolish a structure on a property they already own</w:t>
      </w:r>
      <w:r w:rsidRPr="00D03C8B" w:rsidR="00F92E4A">
        <w:rPr>
          <w:rFonts w:eastAsia="Times New Roman" w:cs="Times New Roman"/>
          <w:szCs w:val="24"/>
        </w:rPr>
        <w:t>ed</w:t>
      </w:r>
      <w:r w:rsidRPr="00D03C8B" w:rsidR="00151AFC">
        <w:rPr>
          <w:rFonts w:eastAsia="Times New Roman" w:cs="Times New Roman"/>
          <w:szCs w:val="24"/>
        </w:rPr>
        <w:t xml:space="preserve">. In </w:t>
      </w:r>
      <w:r w:rsidRPr="00D03C8B" w:rsidR="003E5561">
        <w:rPr>
          <w:rFonts w:eastAsia="Times New Roman" w:cs="Times New Roman"/>
          <w:szCs w:val="24"/>
        </w:rPr>
        <w:t>addition, relocation</w:t>
      </w:r>
      <w:r w:rsidRPr="00D03C8B" w:rsidR="001C4973">
        <w:rPr>
          <w:rFonts w:eastAsia="Times New Roman" w:cs="Times New Roman"/>
          <w:szCs w:val="24"/>
        </w:rPr>
        <w:t xml:space="preserve"> of</w:t>
      </w:r>
      <w:r w:rsidRPr="00D03C8B" w:rsidR="00CA18C4">
        <w:rPr>
          <w:rFonts w:eastAsia="Times New Roman" w:cs="Times New Roman"/>
          <w:szCs w:val="24"/>
        </w:rPr>
        <w:t xml:space="preserve"> </w:t>
      </w:r>
      <w:bookmarkStart w:id="4" w:name="_Hlk23335943"/>
      <w:r w:rsidRPr="00D03C8B" w:rsidR="00CA18C4">
        <w:rPr>
          <w:rFonts w:eastAsia="Times New Roman" w:cs="Times New Roman"/>
          <w:szCs w:val="24"/>
        </w:rPr>
        <w:t>tribal rent</w:t>
      </w:r>
      <w:r w:rsidRPr="00D03C8B" w:rsidR="002F6F13">
        <w:rPr>
          <w:rFonts w:eastAsia="Times New Roman" w:cs="Times New Roman"/>
          <w:szCs w:val="24"/>
        </w:rPr>
        <w:t>al structures</w:t>
      </w:r>
      <w:bookmarkEnd w:id="4"/>
      <w:r w:rsidRPr="00D03C8B" w:rsidR="00CA18C4">
        <w:rPr>
          <w:rFonts w:eastAsia="Times New Roman" w:cs="Times New Roman"/>
          <w:szCs w:val="24"/>
        </w:rPr>
        <w:t xml:space="preserve"> </w:t>
      </w:r>
      <w:r w:rsidRPr="00D03C8B" w:rsidR="00515232">
        <w:rPr>
          <w:rFonts w:eastAsia="Times New Roman" w:cs="Times New Roman"/>
          <w:szCs w:val="24"/>
        </w:rPr>
        <w:t xml:space="preserve">and occupants </w:t>
      </w:r>
      <w:r w:rsidRPr="00D03C8B" w:rsidR="008B21BE">
        <w:rPr>
          <w:rFonts w:eastAsia="Times New Roman" w:cs="Times New Roman"/>
          <w:szCs w:val="24"/>
        </w:rPr>
        <w:t>from properties acquired by FEMA</w:t>
      </w:r>
      <w:r w:rsidRPr="00D03C8B" w:rsidR="00F92E4A">
        <w:rPr>
          <w:rFonts w:eastAsia="Times New Roman" w:cs="Times New Roman"/>
          <w:szCs w:val="24"/>
        </w:rPr>
        <w:t xml:space="preserve"> </w:t>
      </w:r>
      <w:r w:rsidRPr="00D03C8B" w:rsidR="00CA18C4">
        <w:rPr>
          <w:rFonts w:eastAsia="Times New Roman" w:cs="Times New Roman"/>
          <w:szCs w:val="24"/>
        </w:rPr>
        <w:t xml:space="preserve">has shown to be </w:t>
      </w:r>
      <w:r w:rsidRPr="00D03C8B" w:rsidR="008B21BE">
        <w:rPr>
          <w:rFonts w:eastAsia="Times New Roman" w:cs="Times New Roman"/>
          <w:szCs w:val="24"/>
        </w:rPr>
        <w:t>comparatively</w:t>
      </w:r>
      <w:r w:rsidRPr="00D03C8B" w:rsidR="00CA18C4">
        <w:rPr>
          <w:rFonts w:eastAsia="Times New Roman" w:cs="Times New Roman"/>
          <w:szCs w:val="24"/>
        </w:rPr>
        <w:t xml:space="preserve"> difficult and </w:t>
      </w:r>
      <w:r w:rsidRPr="00D03C8B" w:rsidR="002F6F13">
        <w:rPr>
          <w:rFonts w:eastAsia="Times New Roman" w:cs="Times New Roman"/>
          <w:szCs w:val="24"/>
        </w:rPr>
        <w:t>expensive and</w:t>
      </w:r>
      <w:r w:rsidRPr="00D03C8B" w:rsidR="00F92E4A">
        <w:rPr>
          <w:rFonts w:eastAsia="Times New Roman" w:cs="Times New Roman"/>
          <w:szCs w:val="24"/>
        </w:rPr>
        <w:t xml:space="preserve"> has </w:t>
      </w:r>
      <w:r w:rsidRPr="00D03C8B" w:rsidR="00151AFC">
        <w:rPr>
          <w:rFonts w:eastAsia="Times New Roman" w:cs="Times New Roman"/>
          <w:szCs w:val="24"/>
        </w:rPr>
        <w:t>deterr</w:t>
      </w:r>
      <w:r w:rsidRPr="00D03C8B" w:rsidR="00F92E4A">
        <w:rPr>
          <w:rFonts w:eastAsia="Times New Roman" w:cs="Times New Roman"/>
          <w:szCs w:val="24"/>
        </w:rPr>
        <w:t>ed</w:t>
      </w:r>
      <w:r w:rsidRPr="00D03C8B" w:rsidR="008B21BE">
        <w:rPr>
          <w:rFonts w:eastAsia="Times New Roman" w:cs="Times New Roman"/>
          <w:szCs w:val="24"/>
        </w:rPr>
        <w:t xml:space="preserve"> </w:t>
      </w:r>
      <w:r w:rsidRPr="00D03C8B" w:rsidR="001C4973">
        <w:rPr>
          <w:rFonts w:eastAsia="Times New Roman" w:cs="Times New Roman"/>
          <w:szCs w:val="24"/>
        </w:rPr>
        <w:t xml:space="preserve">tribal owners from </w:t>
      </w:r>
      <w:r w:rsidRPr="00D03C8B" w:rsidR="008B21BE">
        <w:rPr>
          <w:rFonts w:eastAsia="Times New Roman" w:cs="Times New Roman"/>
          <w:szCs w:val="24"/>
        </w:rPr>
        <w:t>participati</w:t>
      </w:r>
      <w:r w:rsidRPr="00D03C8B" w:rsidR="001C4973">
        <w:rPr>
          <w:rFonts w:eastAsia="Times New Roman" w:cs="Times New Roman"/>
          <w:szCs w:val="24"/>
        </w:rPr>
        <w:t>ng</w:t>
      </w:r>
      <w:r w:rsidRPr="00D03C8B" w:rsidR="008B21BE">
        <w:rPr>
          <w:rFonts w:eastAsia="Times New Roman" w:cs="Times New Roman"/>
          <w:szCs w:val="24"/>
        </w:rPr>
        <w:t xml:space="preserve"> in a property acquisition project.</w:t>
      </w:r>
      <w:bookmarkEnd w:id="3"/>
      <w:r w:rsidRPr="00D03C8B" w:rsidR="008B21BE">
        <w:rPr>
          <w:rFonts w:eastAsia="Times New Roman" w:cs="Times New Roman"/>
          <w:szCs w:val="24"/>
        </w:rPr>
        <w:t xml:space="preserve"> </w:t>
      </w:r>
    </w:p>
    <w:p w:rsidR="009F6CE7" w14:paraId="49CBBE66" w14:textId="77777777">
      <w:pPr>
        <w:rPr>
          <w:rFonts w:eastAsia="Times New Roman" w:cs="Times New Roman"/>
          <w:szCs w:val="24"/>
        </w:rPr>
      </w:pPr>
    </w:p>
    <w:p w:rsidR="009F6CE7" w14:paraId="44C29074" w14:textId="0A4D1282">
      <w:pPr>
        <w:rPr>
          <w:rFonts w:eastAsia="Times New Roman" w:cs="Times New Roman"/>
          <w:szCs w:val="24"/>
        </w:rPr>
      </w:pPr>
      <w:r>
        <w:rPr>
          <w:rFonts w:eastAsia="Times New Roman" w:cs="Times New Roman"/>
          <w:szCs w:val="24"/>
        </w:rPr>
        <w:br w:type="page"/>
      </w:r>
    </w:p>
    <w:tbl>
      <w:tblPr>
        <w:tblStyle w:val="TableGrid"/>
        <w:tblW w:w="0" w:type="auto"/>
        <w:jc w:val="center"/>
        <w:tblLook w:val="04A0"/>
      </w:tblPr>
      <w:tblGrid>
        <w:gridCol w:w="5755"/>
        <w:gridCol w:w="2430"/>
      </w:tblGrid>
      <w:tr w14:paraId="004E2D07" w14:textId="77777777" w:rsidTr="00814646">
        <w:tblPrEx>
          <w:tblW w:w="0" w:type="auto"/>
          <w:jc w:val="center"/>
          <w:tblLook w:val="04A0"/>
        </w:tblPrEx>
        <w:trPr>
          <w:trHeight w:val="480"/>
          <w:jc w:val="center"/>
        </w:trPr>
        <w:tc>
          <w:tcPr>
            <w:tcW w:w="8185" w:type="dxa"/>
            <w:gridSpan w:val="2"/>
            <w:shd w:val="clear" w:color="auto" w:fill="8EAADB" w:themeFill="accent1" w:themeFillTint="99"/>
          </w:tcPr>
          <w:p w:rsidR="00450CCD" w:rsidRPr="00745E2C" w:rsidP="00450CCD" w14:paraId="772C79EB" w14:textId="77777777">
            <w:pPr>
              <w:jc w:val="center"/>
              <w:rPr>
                <w:rFonts w:eastAsia="Times New Roman" w:cs="Times New Roman"/>
                <w:b/>
                <w:bCs/>
                <w:szCs w:val="24"/>
              </w:rPr>
            </w:pPr>
            <w:r w:rsidRPr="00FB3439">
              <w:rPr>
                <w:rFonts w:eastAsia="Times New Roman" w:cs="Times New Roman"/>
                <w:b/>
                <w:szCs w:val="24"/>
              </w:rPr>
              <w:t>Properties Acquired Under Hazard Mitigation Assistance Programs</w:t>
            </w:r>
          </w:p>
        </w:tc>
      </w:tr>
      <w:tr w14:paraId="0DC04BF8" w14:textId="77777777" w:rsidTr="00814646">
        <w:tblPrEx>
          <w:tblW w:w="0" w:type="auto"/>
          <w:jc w:val="center"/>
          <w:tblLook w:val="04A0"/>
        </w:tblPrEx>
        <w:trPr>
          <w:trHeight w:val="480"/>
          <w:jc w:val="center"/>
        </w:trPr>
        <w:tc>
          <w:tcPr>
            <w:tcW w:w="5755" w:type="dxa"/>
            <w:shd w:val="clear" w:color="auto" w:fill="8EAADB" w:themeFill="accent1" w:themeFillTint="99"/>
            <w:vAlign w:val="center"/>
          </w:tcPr>
          <w:p w:rsidR="00745E2C" w:rsidRPr="005C5AA2" w:rsidP="00814646" w14:paraId="5222145F" w14:textId="094BED64">
            <w:pPr>
              <w:jc w:val="center"/>
              <w:rPr>
                <w:rFonts w:eastAsia="Times New Roman" w:cs="Times New Roman"/>
                <w:b/>
                <w:bCs/>
                <w:szCs w:val="24"/>
              </w:rPr>
            </w:pPr>
            <w:r>
              <w:rPr>
                <w:rFonts w:eastAsia="Times New Roman" w:cs="Times New Roman"/>
                <w:b/>
                <w:bCs/>
                <w:szCs w:val="24"/>
              </w:rPr>
              <w:t>Calendar Year Approved/Awarded</w:t>
            </w:r>
          </w:p>
        </w:tc>
        <w:tc>
          <w:tcPr>
            <w:tcW w:w="2430" w:type="dxa"/>
            <w:shd w:val="clear" w:color="auto" w:fill="8EAADB" w:themeFill="accent1" w:themeFillTint="99"/>
            <w:vAlign w:val="center"/>
          </w:tcPr>
          <w:p w:rsidR="00745E2C" w:rsidRPr="00745E2C" w:rsidP="00814646" w14:paraId="00746E83" w14:textId="0348BBDF">
            <w:pPr>
              <w:jc w:val="center"/>
              <w:rPr>
                <w:rFonts w:eastAsia="Times New Roman" w:cs="Times New Roman"/>
                <w:b/>
                <w:bCs/>
                <w:szCs w:val="24"/>
              </w:rPr>
            </w:pPr>
            <w:r>
              <w:rPr>
                <w:rFonts w:eastAsia="Times New Roman" w:cs="Times New Roman"/>
                <w:b/>
                <w:bCs/>
                <w:szCs w:val="24"/>
              </w:rPr>
              <w:t>Final Number of Properties Acquired</w:t>
            </w:r>
          </w:p>
        </w:tc>
      </w:tr>
      <w:tr w14:paraId="29E3F984" w14:textId="77777777" w:rsidTr="00814646">
        <w:tblPrEx>
          <w:tblW w:w="0" w:type="auto"/>
          <w:jc w:val="center"/>
          <w:tblLook w:val="04A0"/>
        </w:tblPrEx>
        <w:trPr>
          <w:trHeight w:val="393"/>
          <w:jc w:val="center"/>
        </w:trPr>
        <w:tc>
          <w:tcPr>
            <w:tcW w:w="5755" w:type="dxa"/>
            <w:noWrap/>
            <w:vAlign w:val="center"/>
          </w:tcPr>
          <w:p w:rsidR="00745E2C" w:rsidRPr="00FC5A53" w:rsidP="005C5AA2" w14:paraId="252F1B4D" w14:textId="77777777">
            <w:pPr>
              <w:rPr>
                <w:rFonts w:eastAsia="Times New Roman" w:cs="Times New Roman"/>
                <w:szCs w:val="24"/>
              </w:rPr>
            </w:pPr>
            <w:r w:rsidRPr="00FC5A53">
              <w:rPr>
                <w:rFonts w:eastAsia="Times New Roman" w:cs="Times New Roman"/>
                <w:szCs w:val="24"/>
              </w:rPr>
              <w:t>2017</w:t>
            </w:r>
          </w:p>
        </w:tc>
        <w:tc>
          <w:tcPr>
            <w:tcW w:w="2430" w:type="dxa"/>
            <w:noWrap/>
            <w:vAlign w:val="center"/>
          </w:tcPr>
          <w:p w:rsidR="00745E2C" w:rsidRPr="00745E2C" w:rsidP="00450CCD" w14:paraId="1B370C6A" w14:textId="0776EF62">
            <w:pPr>
              <w:jc w:val="right"/>
              <w:rPr>
                <w:rFonts w:eastAsia="Times New Roman" w:cs="Times New Roman"/>
                <w:szCs w:val="24"/>
              </w:rPr>
            </w:pPr>
            <w:r>
              <w:rPr>
                <w:rFonts w:eastAsia="Times New Roman" w:cs="Times New Roman"/>
                <w:szCs w:val="24"/>
              </w:rPr>
              <w:t>2</w:t>
            </w:r>
            <w:r w:rsidR="005C5AA2">
              <w:rPr>
                <w:rFonts w:eastAsia="Times New Roman" w:cs="Times New Roman"/>
                <w:szCs w:val="24"/>
              </w:rPr>
              <w:t>,</w:t>
            </w:r>
            <w:r>
              <w:rPr>
                <w:rFonts w:eastAsia="Times New Roman" w:cs="Times New Roman"/>
                <w:szCs w:val="24"/>
              </w:rPr>
              <w:t>4</w:t>
            </w:r>
            <w:r w:rsidR="004D7398">
              <w:rPr>
                <w:rFonts w:eastAsia="Times New Roman" w:cs="Times New Roman"/>
                <w:szCs w:val="24"/>
              </w:rPr>
              <w:t>83</w:t>
            </w:r>
          </w:p>
        </w:tc>
      </w:tr>
      <w:tr w14:paraId="0AD751E7" w14:textId="77777777" w:rsidTr="00814646">
        <w:tblPrEx>
          <w:tblW w:w="0" w:type="auto"/>
          <w:jc w:val="center"/>
          <w:tblLook w:val="04A0"/>
        </w:tblPrEx>
        <w:trPr>
          <w:trHeight w:val="393"/>
          <w:jc w:val="center"/>
        </w:trPr>
        <w:tc>
          <w:tcPr>
            <w:tcW w:w="5755" w:type="dxa"/>
            <w:noWrap/>
            <w:vAlign w:val="center"/>
          </w:tcPr>
          <w:p w:rsidR="00745E2C" w:rsidRPr="00FC5A53" w:rsidP="005C5AA2" w14:paraId="29E80539" w14:textId="77777777">
            <w:pPr>
              <w:rPr>
                <w:rFonts w:eastAsia="Times New Roman" w:cs="Times New Roman"/>
                <w:szCs w:val="24"/>
              </w:rPr>
            </w:pPr>
            <w:r w:rsidRPr="00FC5A53">
              <w:rPr>
                <w:rFonts w:eastAsia="Times New Roman" w:cs="Times New Roman"/>
                <w:szCs w:val="24"/>
              </w:rPr>
              <w:t>2018</w:t>
            </w:r>
          </w:p>
        </w:tc>
        <w:tc>
          <w:tcPr>
            <w:tcW w:w="2430" w:type="dxa"/>
            <w:noWrap/>
            <w:vAlign w:val="center"/>
          </w:tcPr>
          <w:p w:rsidR="00745E2C" w:rsidRPr="00745E2C" w:rsidP="00450CCD" w14:paraId="451D29BF" w14:textId="77777777">
            <w:pPr>
              <w:jc w:val="right"/>
              <w:rPr>
                <w:rFonts w:eastAsia="Times New Roman" w:cs="Times New Roman"/>
                <w:szCs w:val="24"/>
              </w:rPr>
            </w:pPr>
            <w:r>
              <w:rPr>
                <w:rFonts w:eastAsia="Times New Roman" w:cs="Times New Roman"/>
                <w:szCs w:val="24"/>
              </w:rPr>
              <w:t>623</w:t>
            </w:r>
          </w:p>
        </w:tc>
      </w:tr>
      <w:tr w14:paraId="08670E54" w14:textId="77777777" w:rsidTr="00814646">
        <w:tblPrEx>
          <w:tblW w:w="0" w:type="auto"/>
          <w:jc w:val="center"/>
          <w:tblLook w:val="04A0"/>
        </w:tblPrEx>
        <w:trPr>
          <w:trHeight w:val="393"/>
          <w:jc w:val="center"/>
        </w:trPr>
        <w:tc>
          <w:tcPr>
            <w:tcW w:w="5755" w:type="dxa"/>
            <w:noWrap/>
            <w:vAlign w:val="center"/>
          </w:tcPr>
          <w:p w:rsidR="00745E2C" w:rsidRPr="00FC5A53" w:rsidP="005C5AA2" w14:paraId="016DCE0F" w14:textId="77777777">
            <w:pPr>
              <w:rPr>
                <w:rFonts w:eastAsia="Times New Roman" w:cs="Times New Roman"/>
                <w:szCs w:val="24"/>
              </w:rPr>
            </w:pPr>
            <w:r w:rsidRPr="00FC5A53">
              <w:rPr>
                <w:rFonts w:eastAsia="Times New Roman" w:cs="Times New Roman"/>
                <w:szCs w:val="24"/>
              </w:rPr>
              <w:t>2019</w:t>
            </w:r>
          </w:p>
        </w:tc>
        <w:tc>
          <w:tcPr>
            <w:tcW w:w="2430" w:type="dxa"/>
            <w:noWrap/>
            <w:vAlign w:val="center"/>
          </w:tcPr>
          <w:p w:rsidR="00745E2C" w:rsidRPr="00745E2C" w:rsidP="00450CCD" w14:paraId="6C86BF55" w14:textId="73FAF687">
            <w:pPr>
              <w:jc w:val="right"/>
              <w:rPr>
                <w:rFonts w:eastAsia="Times New Roman" w:cs="Times New Roman"/>
                <w:szCs w:val="24"/>
              </w:rPr>
            </w:pPr>
            <w:r>
              <w:rPr>
                <w:rFonts w:eastAsia="Times New Roman" w:cs="Times New Roman"/>
                <w:szCs w:val="24"/>
              </w:rPr>
              <w:t>1</w:t>
            </w:r>
            <w:r w:rsidR="005C5AA2">
              <w:rPr>
                <w:rFonts w:eastAsia="Times New Roman" w:cs="Times New Roman"/>
                <w:szCs w:val="24"/>
              </w:rPr>
              <w:t>,</w:t>
            </w:r>
            <w:r>
              <w:rPr>
                <w:rFonts w:eastAsia="Times New Roman" w:cs="Times New Roman"/>
                <w:szCs w:val="24"/>
              </w:rPr>
              <w:t>017</w:t>
            </w:r>
          </w:p>
        </w:tc>
      </w:tr>
      <w:tr w14:paraId="4745B744" w14:textId="77777777" w:rsidTr="00814646">
        <w:tblPrEx>
          <w:tblW w:w="0" w:type="auto"/>
          <w:jc w:val="center"/>
          <w:tblLook w:val="04A0"/>
        </w:tblPrEx>
        <w:trPr>
          <w:trHeight w:val="393"/>
          <w:jc w:val="center"/>
        </w:trPr>
        <w:tc>
          <w:tcPr>
            <w:tcW w:w="5755" w:type="dxa"/>
            <w:noWrap/>
            <w:vAlign w:val="center"/>
          </w:tcPr>
          <w:p w:rsidR="00745E2C" w:rsidRPr="00FC5A53" w:rsidP="005C5AA2" w14:paraId="749D617D" w14:textId="77777777">
            <w:pPr>
              <w:rPr>
                <w:rFonts w:eastAsia="Times New Roman" w:cs="Times New Roman"/>
                <w:szCs w:val="24"/>
              </w:rPr>
            </w:pPr>
            <w:r w:rsidRPr="00FC5A53">
              <w:rPr>
                <w:rFonts w:eastAsia="Times New Roman" w:cs="Times New Roman"/>
                <w:szCs w:val="24"/>
              </w:rPr>
              <w:t>2020</w:t>
            </w:r>
          </w:p>
        </w:tc>
        <w:tc>
          <w:tcPr>
            <w:tcW w:w="2430" w:type="dxa"/>
            <w:noWrap/>
            <w:vAlign w:val="center"/>
          </w:tcPr>
          <w:p w:rsidR="00745E2C" w:rsidRPr="00745E2C" w:rsidP="00450CCD" w14:paraId="54B1E25C" w14:textId="77777777">
            <w:pPr>
              <w:jc w:val="right"/>
              <w:rPr>
                <w:rFonts w:eastAsia="Times New Roman" w:cs="Times New Roman"/>
                <w:szCs w:val="24"/>
              </w:rPr>
            </w:pPr>
            <w:r>
              <w:rPr>
                <w:rFonts w:eastAsia="Times New Roman" w:cs="Times New Roman"/>
                <w:szCs w:val="24"/>
              </w:rPr>
              <w:t>259</w:t>
            </w:r>
          </w:p>
        </w:tc>
      </w:tr>
      <w:tr w14:paraId="50C635B0" w14:textId="77777777" w:rsidTr="00814646">
        <w:tblPrEx>
          <w:tblW w:w="0" w:type="auto"/>
          <w:jc w:val="center"/>
          <w:tblLook w:val="04A0"/>
        </w:tblPrEx>
        <w:trPr>
          <w:trHeight w:val="393"/>
          <w:jc w:val="center"/>
        </w:trPr>
        <w:tc>
          <w:tcPr>
            <w:tcW w:w="5755" w:type="dxa"/>
            <w:noWrap/>
            <w:vAlign w:val="center"/>
          </w:tcPr>
          <w:p w:rsidR="00745E2C" w:rsidRPr="00FC5A53" w:rsidP="005C5AA2" w14:paraId="58948F5B" w14:textId="77777777">
            <w:pPr>
              <w:rPr>
                <w:rFonts w:eastAsia="Times New Roman" w:cs="Times New Roman"/>
                <w:szCs w:val="24"/>
              </w:rPr>
            </w:pPr>
            <w:r w:rsidRPr="00FC5A53">
              <w:rPr>
                <w:rFonts w:eastAsia="Times New Roman" w:cs="Times New Roman"/>
                <w:szCs w:val="24"/>
              </w:rPr>
              <w:t>2021</w:t>
            </w:r>
          </w:p>
        </w:tc>
        <w:tc>
          <w:tcPr>
            <w:tcW w:w="2430" w:type="dxa"/>
            <w:noWrap/>
            <w:vAlign w:val="center"/>
          </w:tcPr>
          <w:p w:rsidR="00745E2C" w:rsidRPr="00745E2C" w:rsidP="00450CCD" w14:paraId="564C863A" w14:textId="77777777">
            <w:pPr>
              <w:jc w:val="right"/>
              <w:rPr>
                <w:rFonts w:eastAsia="Times New Roman" w:cs="Times New Roman"/>
                <w:szCs w:val="24"/>
              </w:rPr>
            </w:pPr>
            <w:r>
              <w:rPr>
                <w:rFonts w:eastAsia="Times New Roman" w:cs="Times New Roman"/>
                <w:szCs w:val="24"/>
              </w:rPr>
              <w:t>65</w:t>
            </w:r>
          </w:p>
        </w:tc>
      </w:tr>
      <w:tr w14:paraId="0CBBE76F" w14:textId="77777777" w:rsidTr="00814646">
        <w:tblPrEx>
          <w:tblW w:w="0" w:type="auto"/>
          <w:jc w:val="center"/>
          <w:tblLook w:val="04A0"/>
        </w:tblPrEx>
        <w:trPr>
          <w:trHeight w:val="393"/>
          <w:jc w:val="center"/>
        </w:trPr>
        <w:tc>
          <w:tcPr>
            <w:tcW w:w="5755" w:type="dxa"/>
            <w:noWrap/>
            <w:vAlign w:val="center"/>
          </w:tcPr>
          <w:p w:rsidR="00745E2C" w:rsidRPr="00FC5A53" w:rsidP="005C5AA2" w14:paraId="5F0679E0" w14:textId="77777777">
            <w:pPr>
              <w:rPr>
                <w:rFonts w:eastAsia="Times New Roman" w:cs="Times New Roman"/>
                <w:szCs w:val="24"/>
              </w:rPr>
            </w:pPr>
            <w:r w:rsidRPr="00FC5A53">
              <w:rPr>
                <w:rFonts w:eastAsia="Times New Roman" w:cs="Times New Roman"/>
                <w:szCs w:val="24"/>
              </w:rPr>
              <w:t>2022</w:t>
            </w:r>
          </w:p>
        </w:tc>
        <w:tc>
          <w:tcPr>
            <w:tcW w:w="2430" w:type="dxa"/>
            <w:noWrap/>
            <w:vAlign w:val="center"/>
          </w:tcPr>
          <w:p w:rsidR="00745E2C" w:rsidRPr="00745E2C" w:rsidP="00450CCD" w14:paraId="167E7785" w14:textId="77777777">
            <w:pPr>
              <w:jc w:val="right"/>
              <w:rPr>
                <w:rFonts w:eastAsia="Times New Roman" w:cs="Times New Roman"/>
                <w:szCs w:val="24"/>
              </w:rPr>
            </w:pPr>
            <w:r>
              <w:rPr>
                <w:rFonts w:eastAsia="Times New Roman" w:cs="Times New Roman"/>
                <w:szCs w:val="24"/>
              </w:rPr>
              <w:t>21</w:t>
            </w:r>
          </w:p>
        </w:tc>
      </w:tr>
      <w:tr w14:paraId="2DFCA05C" w14:textId="77777777" w:rsidTr="00814646">
        <w:tblPrEx>
          <w:tblW w:w="0" w:type="auto"/>
          <w:jc w:val="center"/>
          <w:tblLook w:val="04A0"/>
        </w:tblPrEx>
        <w:trPr>
          <w:trHeight w:val="393"/>
          <w:jc w:val="center"/>
        </w:trPr>
        <w:tc>
          <w:tcPr>
            <w:tcW w:w="5755" w:type="dxa"/>
            <w:noWrap/>
            <w:vAlign w:val="center"/>
          </w:tcPr>
          <w:p w:rsidR="00D722AE" w:rsidRPr="00814646" w:rsidP="005C5AA2" w14:paraId="1FAA570E" w14:textId="77777777">
            <w:pPr>
              <w:rPr>
                <w:rFonts w:eastAsia="Times New Roman" w:cs="Times New Roman"/>
                <w:b/>
                <w:bCs/>
                <w:szCs w:val="24"/>
              </w:rPr>
            </w:pPr>
            <w:r w:rsidRPr="005C5AA2">
              <w:rPr>
                <w:rFonts w:eastAsia="Times New Roman" w:cs="Times New Roman"/>
                <w:b/>
                <w:bCs/>
                <w:szCs w:val="24"/>
              </w:rPr>
              <w:t>Total</w:t>
            </w:r>
          </w:p>
        </w:tc>
        <w:tc>
          <w:tcPr>
            <w:tcW w:w="2430" w:type="dxa"/>
            <w:noWrap/>
            <w:vAlign w:val="center"/>
          </w:tcPr>
          <w:p w:rsidR="00D722AE" w:rsidRPr="00814646" w:rsidP="00450CCD" w14:paraId="64DA83BC" w14:textId="4E0814CF">
            <w:pPr>
              <w:jc w:val="right"/>
              <w:rPr>
                <w:rFonts w:eastAsia="Times New Roman" w:cs="Times New Roman"/>
                <w:b/>
                <w:bCs/>
                <w:szCs w:val="24"/>
              </w:rPr>
            </w:pPr>
            <w:r w:rsidRPr="00814646">
              <w:rPr>
                <w:rFonts w:eastAsia="Times New Roman" w:cs="Times New Roman"/>
                <w:b/>
                <w:bCs/>
                <w:szCs w:val="24"/>
              </w:rPr>
              <w:t>3</w:t>
            </w:r>
            <w:r w:rsidRPr="00814646" w:rsidR="005C5AA2">
              <w:rPr>
                <w:rFonts w:eastAsia="Times New Roman" w:cs="Times New Roman"/>
                <w:b/>
                <w:bCs/>
                <w:szCs w:val="24"/>
              </w:rPr>
              <w:t>,</w:t>
            </w:r>
            <w:r w:rsidRPr="00814646">
              <w:rPr>
                <w:rFonts w:eastAsia="Times New Roman" w:cs="Times New Roman"/>
                <w:b/>
                <w:bCs/>
                <w:szCs w:val="24"/>
              </w:rPr>
              <w:t>139</w:t>
            </w:r>
          </w:p>
        </w:tc>
      </w:tr>
      <w:tr w14:paraId="4C8A1E01" w14:textId="77777777" w:rsidTr="00814646">
        <w:tblPrEx>
          <w:tblW w:w="0" w:type="auto"/>
          <w:jc w:val="center"/>
          <w:tblLook w:val="04A0"/>
        </w:tblPrEx>
        <w:trPr>
          <w:trHeight w:val="393"/>
          <w:jc w:val="center"/>
        </w:trPr>
        <w:tc>
          <w:tcPr>
            <w:tcW w:w="5755" w:type="dxa"/>
            <w:noWrap/>
            <w:vAlign w:val="center"/>
          </w:tcPr>
          <w:p w:rsidR="00D722AE" w:rsidRPr="00FC5A53" w:rsidP="005C5AA2" w14:paraId="4FA0B3D3" w14:textId="13BEB413">
            <w:pPr>
              <w:rPr>
                <w:rFonts w:eastAsia="Times New Roman" w:cs="Times New Roman"/>
                <w:szCs w:val="24"/>
              </w:rPr>
            </w:pPr>
            <w:r w:rsidRPr="00814646">
              <w:rPr>
                <w:rFonts w:eastAsia="Times New Roman" w:cs="Times New Roman"/>
                <w:szCs w:val="24"/>
              </w:rPr>
              <w:t>States and Territories Project Projections</w:t>
            </w:r>
          </w:p>
        </w:tc>
        <w:tc>
          <w:tcPr>
            <w:tcW w:w="2430" w:type="dxa"/>
            <w:noWrap/>
            <w:vAlign w:val="center"/>
          </w:tcPr>
          <w:p w:rsidR="00D722AE" w:rsidRPr="00745E2C" w:rsidP="00450CCD" w14:paraId="631F8DA7" w14:textId="77777777">
            <w:pPr>
              <w:jc w:val="right"/>
              <w:rPr>
                <w:rFonts w:eastAsia="Times New Roman" w:cs="Times New Roman"/>
                <w:szCs w:val="24"/>
              </w:rPr>
            </w:pPr>
            <w:r>
              <w:rPr>
                <w:rFonts w:eastAsia="Times New Roman" w:cs="Times New Roman"/>
                <w:szCs w:val="24"/>
              </w:rPr>
              <w:t>523</w:t>
            </w:r>
          </w:p>
        </w:tc>
      </w:tr>
      <w:tr w14:paraId="1CD6174F" w14:textId="77777777" w:rsidTr="00814646">
        <w:tblPrEx>
          <w:tblW w:w="0" w:type="auto"/>
          <w:jc w:val="center"/>
          <w:tblLook w:val="04A0"/>
        </w:tblPrEx>
        <w:trPr>
          <w:trHeight w:val="393"/>
          <w:jc w:val="center"/>
        </w:trPr>
        <w:tc>
          <w:tcPr>
            <w:tcW w:w="5755" w:type="dxa"/>
            <w:noWrap/>
            <w:vAlign w:val="center"/>
          </w:tcPr>
          <w:p w:rsidR="00D722AE" w:rsidRPr="00FC5A53" w:rsidP="005C5AA2" w14:paraId="69ADDA23" w14:textId="77777777">
            <w:pPr>
              <w:rPr>
                <w:rFonts w:eastAsia="Times New Roman" w:cs="Times New Roman"/>
                <w:szCs w:val="24"/>
              </w:rPr>
            </w:pPr>
            <w:r w:rsidRPr="00FC5A53">
              <w:rPr>
                <w:rFonts w:eastAsia="Times New Roman" w:cs="Times New Roman"/>
                <w:szCs w:val="24"/>
              </w:rPr>
              <w:t>Tribal annual projection</w:t>
            </w:r>
          </w:p>
        </w:tc>
        <w:tc>
          <w:tcPr>
            <w:tcW w:w="2430" w:type="dxa"/>
            <w:noWrap/>
            <w:vAlign w:val="center"/>
          </w:tcPr>
          <w:p w:rsidR="00D722AE" w:rsidRPr="00745E2C" w:rsidP="00450CCD" w14:paraId="4D965F62" w14:textId="77777777">
            <w:pPr>
              <w:jc w:val="right"/>
              <w:rPr>
                <w:rFonts w:eastAsia="Times New Roman" w:cs="Times New Roman"/>
                <w:szCs w:val="24"/>
              </w:rPr>
            </w:pPr>
            <w:r>
              <w:rPr>
                <w:rFonts w:eastAsia="Times New Roman" w:cs="Times New Roman"/>
                <w:szCs w:val="24"/>
              </w:rPr>
              <w:t>50</w:t>
            </w:r>
          </w:p>
        </w:tc>
      </w:tr>
      <w:tr w14:paraId="0B702F36" w14:textId="77777777" w:rsidTr="00814646">
        <w:tblPrEx>
          <w:tblW w:w="0" w:type="auto"/>
          <w:jc w:val="center"/>
          <w:tblLook w:val="04A0"/>
        </w:tblPrEx>
        <w:trPr>
          <w:trHeight w:val="393"/>
          <w:jc w:val="center"/>
        </w:trPr>
        <w:tc>
          <w:tcPr>
            <w:tcW w:w="5755" w:type="dxa"/>
            <w:noWrap/>
            <w:vAlign w:val="center"/>
          </w:tcPr>
          <w:p w:rsidR="00D722AE" w:rsidRPr="00814646" w:rsidP="005C5AA2" w14:paraId="5C48E9F8" w14:textId="77777777">
            <w:pPr>
              <w:rPr>
                <w:rFonts w:eastAsia="Times New Roman" w:cs="Times New Roman"/>
                <w:b/>
                <w:bCs/>
                <w:szCs w:val="24"/>
              </w:rPr>
            </w:pPr>
            <w:r w:rsidRPr="005C5AA2">
              <w:rPr>
                <w:rFonts w:eastAsia="Times New Roman" w:cs="Times New Roman"/>
                <w:b/>
                <w:bCs/>
                <w:szCs w:val="24"/>
              </w:rPr>
              <w:t>Combined Average for States, Territories and Tribes</w:t>
            </w:r>
          </w:p>
        </w:tc>
        <w:tc>
          <w:tcPr>
            <w:tcW w:w="2430" w:type="dxa"/>
            <w:noWrap/>
            <w:vAlign w:val="center"/>
          </w:tcPr>
          <w:p w:rsidR="00D722AE" w:rsidRPr="00814646" w:rsidP="00450CCD" w14:paraId="7444B8BD" w14:textId="77777777">
            <w:pPr>
              <w:jc w:val="right"/>
              <w:rPr>
                <w:rFonts w:eastAsia="Times New Roman" w:cs="Times New Roman"/>
                <w:b/>
                <w:bCs/>
                <w:szCs w:val="24"/>
              </w:rPr>
            </w:pPr>
            <w:bookmarkStart w:id="5" w:name="_Hlk14962144"/>
            <w:r w:rsidRPr="00814646">
              <w:rPr>
                <w:rFonts w:eastAsia="Times New Roman" w:cs="Times New Roman"/>
                <w:b/>
                <w:bCs/>
                <w:szCs w:val="24"/>
              </w:rPr>
              <w:t>573</w:t>
            </w:r>
            <w:bookmarkEnd w:id="5"/>
          </w:p>
        </w:tc>
      </w:tr>
    </w:tbl>
    <w:p w:rsidR="00745E2C" w:rsidRPr="006702D3" w:rsidP="00814646" w14:paraId="0CB8541F" w14:textId="77777777">
      <w:pPr>
        <w:spacing w:line="276" w:lineRule="auto"/>
        <w:contextualSpacing/>
        <w:rPr>
          <w:rFonts w:eastAsia="Times New Roman" w:cs="Times New Roman"/>
          <w:szCs w:val="24"/>
        </w:rPr>
      </w:pPr>
    </w:p>
    <w:p w:rsidR="0083377E" w14:paraId="167FEFEC" w14:textId="5FDC9E23">
      <w:pPr>
        <w:spacing w:line="276" w:lineRule="auto"/>
        <w:contextualSpacing/>
        <w:rPr>
          <w:rFonts w:eastAsia="Times New Roman" w:cs="Times New Roman"/>
          <w:szCs w:val="24"/>
        </w:rPr>
      </w:pPr>
      <w:r w:rsidRPr="00CB14F8">
        <w:rPr>
          <w:rFonts w:eastAsia="Arial Unicode MS" w:cs="Times New Roman"/>
          <w:b/>
          <w:bCs/>
          <w:szCs w:val="24"/>
        </w:rPr>
        <w:t>FEMA Form FF-206-FY-21-124 (formerly 086-0-31</w:t>
      </w:r>
      <w:r w:rsidRPr="005C5AA2">
        <w:rPr>
          <w:rFonts w:eastAsia="Arial Unicode MS" w:cs="Times New Roman"/>
          <w:b/>
          <w:bCs/>
          <w:szCs w:val="24"/>
        </w:rPr>
        <w:t>),</w:t>
      </w:r>
      <w:r w:rsidRPr="005C5AA2">
        <w:rPr>
          <w:rFonts w:eastAsia="Times New Roman" w:cs="Times New Roman"/>
          <w:b/>
          <w:bCs/>
          <w:szCs w:val="24"/>
        </w:rPr>
        <w:t xml:space="preserve"> </w:t>
      </w:r>
      <w:r w:rsidRPr="00CB14F8">
        <w:rPr>
          <w:b/>
          <w:bCs/>
        </w:rPr>
        <w:t>Statement of Voluntary Participation for Acquisition of Property for Purpose of Open Space</w:t>
      </w:r>
      <w:r>
        <w:rPr>
          <w:rFonts w:eastAsia="Arial Unicode MS" w:cs="Times New Roman"/>
          <w:szCs w:val="24"/>
        </w:rPr>
        <w:t xml:space="preserve"> </w:t>
      </w:r>
      <w:r w:rsidRPr="006702D3">
        <w:rPr>
          <w:rFonts w:eastAsia="Times New Roman" w:cs="Times New Roman"/>
          <w:szCs w:val="24"/>
        </w:rPr>
        <w:t xml:space="preserve">is </w:t>
      </w:r>
      <w:r>
        <w:rPr>
          <w:rFonts w:eastAsia="Times New Roman" w:cs="Times New Roman"/>
          <w:szCs w:val="24"/>
        </w:rPr>
        <w:t xml:space="preserve">submitted by 573 respondents once per year for a total of 573 total annual responses (573 responses x 1 response per year = 573 total responses). Each response is </w:t>
      </w:r>
      <w:r w:rsidRPr="006702D3">
        <w:rPr>
          <w:rFonts w:eastAsia="Times New Roman" w:cs="Times New Roman"/>
          <w:szCs w:val="24"/>
        </w:rPr>
        <w:t xml:space="preserve">estimated to </w:t>
      </w:r>
      <w:r>
        <w:rPr>
          <w:rFonts w:eastAsia="Times New Roman" w:cs="Times New Roman"/>
          <w:szCs w:val="24"/>
        </w:rPr>
        <w:t>require</w:t>
      </w:r>
      <w:r w:rsidRPr="006702D3">
        <w:rPr>
          <w:rFonts w:eastAsia="Times New Roman" w:cs="Times New Roman"/>
          <w:szCs w:val="24"/>
        </w:rPr>
        <w:t xml:space="preserve"> 1 </w:t>
      </w:r>
      <w:r>
        <w:rPr>
          <w:rFonts w:eastAsia="Times New Roman" w:cs="Times New Roman"/>
          <w:szCs w:val="24"/>
        </w:rPr>
        <w:t xml:space="preserve">burden </w:t>
      </w:r>
      <w:r w:rsidRPr="006702D3">
        <w:rPr>
          <w:rFonts w:eastAsia="Times New Roman" w:cs="Times New Roman"/>
          <w:szCs w:val="24"/>
        </w:rPr>
        <w:t>hour</w:t>
      </w:r>
      <w:r>
        <w:rPr>
          <w:rFonts w:eastAsia="Times New Roman" w:cs="Times New Roman"/>
          <w:szCs w:val="24"/>
        </w:rPr>
        <w:t xml:space="preserve"> to complete for a total of 573 total burden hours (</w:t>
      </w:r>
      <w:r w:rsidRPr="006702D3" w:rsidR="006E30F0">
        <w:rPr>
          <w:rFonts w:eastAsia="Times New Roman" w:cs="Times New Roman"/>
          <w:szCs w:val="24"/>
        </w:rPr>
        <w:t>573</w:t>
      </w:r>
      <w:r>
        <w:rPr>
          <w:rFonts w:eastAsia="Times New Roman" w:cs="Times New Roman"/>
          <w:szCs w:val="24"/>
        </w:rPr>
        <w:t xml:space="preserve"> </w:t>
      </w:r>
      <w:r w:rsidRPr="006702D3">
        <w:rPr>
          <w:rFonts w:eastAsia="Times New Roman" w:cs="Times New Roman"/>
          <w:szCs w:val="24"/>
        </w:rPr>
        <w:t xml:space="preserve">responses x 1 hour per response = </w:t>
      </w:r>
      <w:r w:rsidRPr="006702D3" w:rsidR="00DA4526">
        <w:rPr>
          <w:rFonts w:eastAsia="Times New Roman" w:cs="Times New Roman"/>
          <w:szCs w:val="24"/>
        </w:rPr>
        <w:t>573</w:t>
      </w:r>
      <w:r w:rsidR="00A55C83">
        <w:rPr>
          <w:rFonts w:eastAsia="Times New Roman" w:cs="Times New Roman"/>
          <w:szCs w:val="24"/>
        </w:rPr>
        <w:t xml:space="preserve"> </w:t>
      </w:r>
      <w:r>
        <w:rPr>
          <w:rFonts w:eastAsia="Times New Roman" w:cs="Times New Roman"/>
          <w:szCs w:val="24"/>
        </w:rPr>
        <w:t xml:space="preserve">total </w:t>
      </w:r>
      <w:r w:rsidRPr="006702D3">
        <w:rPr>
          <w:rFonts w:eastAsia="Times New Roman" w:cs="Times New Roman"/>
          <w:szCs w:val="24"/>
        </w:rPr>
        <w:t>burden hours</w:t>
      </w:r>
      <w:r>
        <w:rPr>
          <w:rFonts w:eastAsia="Times New Roman" w:cs="Times New Roman"/>
          <w:szCs w:val="24"/>
        </w:rPr>
        <w:t>)</w:t>
      </w:r>
      <w:r w:rsidRPr="006702D3">
        <w:rPr>
          <w:rFonts w:eastAsia="Times New Roman" w:cs="Times New Roman"/>
          <w:szCs w:val="24"/>
        </w:rPr>
        <w:t>.</w:t>
      </w:r>
    </w:p>
    <w:p w:rsidR="003A5DAB" w:rsidRPr="006702D3" w:rsidP="00814646" w14:paraId="0EAE1796" w14:textId="77777777">
      <w:pPr>
        <w:spacing w:line="276" w:lineRule="auto"/>
        <w:contextualSpacing/>
        <w:rPr>
          <w:rFonts w:eastAsia="Times New Roman" w:cs="Times New Roman"/>
          <w:szCs w:val="24"/>
        </w:rPr>
      </w:pPr>
    </w:p>
    <w:p w:rsidR="00A55C83" w:rsidRPr="00814646" w:rsidP="00814646" w14:paraId="695E95FC" w14:textId="3CFB5A44">
      <w:pPr>
        <w:rPr>
          <w:rFonts w:eastAsia="Times New Roman" w:cs="Times New Roman"/>
          <w:szCs w:val="24"/>
        </w:rPr>
      </w:pPr>
      <w:r w:rsidRPr="00814646">
        <w:rPr>
          <w:rFonts w:eastAsia="Times New Roman" w:cs="Times New Roman"/>
          <w:szCs w:val="24"/>
        </w:rPr>
        <w:t xml:space="preserve">After conducting usability testing there is a </w:t>
      </w:r>
      <w:r w:rsidRPr="00814646" w:rsidR="003A5DAB">
        <w:rPr>
          <w:rFonts w:eastAsia="Times New Roman" w:cs="Times New Roman"/>
          <w:szCs w:val="24"/>
        </w:rPr>
        <w:t>1</w:t>
      </w:r>
      <w:r w:rsidR="00FC5A53">
        <w:rPr>
          <w:rFonts w:eastAsia="Times New Roman" w:cs="Times New Roman"/>
          <w:szCs w:val="24"/>
        </w:rPr>
        <w:t>0</w:t>
      </w:r>
      <w:r w:rsidRPr="00814646" w:rsidR="003A5DAB">
        <w:rPr>
          <w:rFonts w:eastAsia="Times New Roman" w:cs="Times New Roman"/>
          <w:szCs w:val="24"/>
        </w:rPr>
        <w:t>,95</w:t>
      </w:r>
      <w:r w:rsidR="00FC5A53">
        <w:rPr>
          <w:rFonts w:eastAsia="Times New Roman" w:cs="Times New Roman"/>
          <w:szCs w:val="24"/>
        </w:rPr>
        <w:t>5</w:t>
      </w:r>
      <w:r w:rsidRPr="00814646" w:rsidR="003A5DAB">
        <w:rPr>
          <w:rFonts w:eastAsia="Times New Roman" w:cs="Times New Roman"/>
          <w:szCs w:val="24"/>
        </w:rPr>
        <w:t xml:space="preserve"> </w:t>
      </w:r>
      <w:r w:rsidR="006C7425">
        <w:rPr>
          <w:rFonts w:eastAsia="Times New Roman" w:cs="Times New Roman"/>
          <w:szCs w:val="24"/>
        </w:rPr>
        <w:t xml:space="preserve">burden hour </w:t>
      </w:r>
      <w:r w:rsidRPr="00814646" w:rsidR="003A5DAB">
        <w:rPr>
          <w:rFonts w:eastAsia="Times New Roman" w:cs="Times New Roman"/>
          <w:szCs w:val="24"/>
        </w:rPr>
        <w:t xml:space="preserve">reduction </w:t>
      </w:r>
      <w:r w:rsidRPr="00814646">
        <w:rPr>
          <w:rFonts w:eastAsia="Times New Roman" w:cs="Times New Roman"/>
          <w:szCs w:val="24"/>
        </w:rPr>
        <w:t>on the OMB inventory.</w:t>
      </w:r>
    </w:p>
    <w:p w:rsidR="00A55C83" w:rsidRPr="002A6107" w:rsidP="00A55C83" w14:paraId="7E72EB6B" w14:textId="77777777">
      <w:pPr>
        <w:spacing w:line="276" w:lineRule="auto"/>
        <w:contextualSpacing/>
        <w:rPr>
          <w:rFonts w:cs="Times New Roman"/>
        </w:rPr>
      </w:pPr>
    </w:p>
    <w:p w:rsidR="00B3312A" w:rsidRPr="00035B9C" w:rsidP="00814646" w14:paraId="3101610B" w14:textId="52B2BDB0">
      <w:pPr>
        <w:pStyle w:val="ListParagraph"/>
        <w:numPr>
          <w:ilvl w:val="0"/>
          <w:numId w:val="26"/>
        </w:numPr>
        <w:spacing w:line="276" w:lineRule="auto"/>
        <w:rPr>
          <w:rFonts w:cs="Times New Roman"/>
          <w:b/>
        </w:rPr>
      </w:pPr>
      <w:r w:rsidRPr="006702D3">
        <w:rPr>
          <w:rFonts w:cs="Times New Roman"/>
          <w:szCs w:val="24"/>
        </w:rPr>
        <w:fldChar w:fldCharType="begin"/>
      </w:r>
      <w:r w:rsidRPr="006702D3">
        <w:rPr>
          <w:rFonts w:cs="Times New Roman"/>
          <w:szCs w:val="24"/>
        </w:rPr>
        <w:instrText>ADVANCE \R 0.95</w:instrText>
      </w:r>
      <w:r w:rsidRPr="006702D3">
        <w:rPr>
          <w:rFonts w:cs="Times New Roman"/>
          <w:szCs w:val="24"/>
        </w:rPr>
        <w:fldChar w:fldCharType="end"/>
      </w:r>
      <w:r w:rsidRPr="00035B9C">
        <w:rPr>
          <w:rFonts w:cs="Times New Roman"/>
          <w:b/>
        </w:rPr>
        <w:t>If this request for approval covers more than one form, provide separate hour burden estimates for each form and aggregate the hour burdens in Item 13 of OMB Form 83-I.</w:t>
      </w:r>
    </w:p>
    <w:p w:rsidR="007D1E5F" w:rsidRPr="00035B9C" w:rsidP="00814646" w14:paraId="02141B95" w14:textId="358A6D24">
      <w:pPr>
        <w:spacing w:line="276" w:lineRule="auto"/>
        <w:contextualSpacing/>
        <w:rPr>
          <w:rFonts w:cs="Times New Roman"/>
          <w:bCs/>
        </w:rPr>
      </w:pPr>
    </w:p>
    <w:p w:rsidR="007C427B" w:rsidRPr="002A6107" w:rsidP="007C427B" w14:paraId="0D8AB269" w14:textId="77777777">
      <w:pPr>
        <w:spacing w:line="276" w:lineRule="auto"/>
        <w:contextualSpacing/>
        <w:rPr>
          <w:rFonts w:cs="Times New Roman"/>
        </w:rPr>
      </w:pPr>
      <w:r w:rsidRPr="002A6107">
        <w:rPr>
          <w:rFonts w:cs="Times New Roman"/>
        </w:rPr>
        <w:t>Please see our response for 12a above and 12c below.</w:t>
      </w:r>
    </w:p>
    <w:p w:rsidR="007D1E5F" w:rsidRPr="006702D3" w:rsidP="00814646" w14:paraId="00CE9CD1" w14:textId="77777777">
      <w:pPr>
        <w:spacing w:line="276" w:lineRule="auto"/>
        <w:contextualSpacing/>
        <w:rPr>
          <w:rFonts w:cs="Times New Roman"/>
          <w:bCs/>
        </w:rPr>
      </w:pPr>
    </w:p>
    <w:p w:rsidR="003165CC" w:rsidRPr="006702D3" w:rsidP="00814646" w14:paraId="3D22BBC1" w14:textId="7A5369E7">
      <w:pPr>
        <w:pStyle w:val="ListParagraph"/>
        <w:numPr>
          <w:ilvl w:val="1"/>
          <w:numId w:val="18"/>
        </w:numPr>
        <w:spacing w:line="276" w:lineRule="auto"/>
        <w:ind w:left="1080"/>
        <w:rPr>
          <w:rFonts w:cs="Times New Roman"/>
          <w:b/>
        </w:rPr>
      </w:pPr>
      <w:r w:rsidRPr="006702D3">
        <w:rPr>
          <w:rFonts w:cs="Times New Roman"/>
          <w:b/>
        </w:rPr>
        <w:t>Provide an estimate of annualized cost to respondents for the hour burdens for collections of information, identifying and using appropriate wage rate categories.  NOTE: The wage-rate category for each respondent must be multiplied by 1.</w:t>
      </w:r>
      <w:r w:rsidRPr="006702D3" w:rsidR="001E00BB">
        <w:rPr>
          <w:rFonts w:cs="Times New Roman"/>
          <w:b/>
          <w:bCs/>
          <w:szCs w:val="24"/>
        </w:rPr>
        <w:t>61</w:t>
      </w:r>
      <w:r w:rsidRPr="006702D3" w:rsidR="00562915">
        <w:rPr>
          <w:rFonts w:cs="Times New Roman"/>
          <w:b/>
          <w:bCs/>
          <w:szCs w:val="24"/>
        </w:rPr>
        <w:t>and</w:t>
      </w:r>
      <w:r w:rsidRPr="006702D3">
        <w:rPr>
          <w:rFonts w:cs="Times New Roman"/>
          <w:b/>
        </w:rPr>
        <w:t xml:space="preserve"> this total should be entered in the cell for “Avg. Hourly Wage Rate</w:t>
      </w:r>
      <w:r w:rsidRPr="006702D3" w:rsidR="00562915">
        <w:rPr>
          <w:rFonts w:cs="Times New Roman"/>
          <w:b/>
          <w:bCs/>
          <w:szCs w:val="24"/>
        </w:rPr>
        <w:t>”.</w:t>
      </w:r>
      <w:r w:rsidRPr="006702D3">
        <w:rPr>
          <w:rFonts w:cs="Times New Roman"/>
          <w:b/>
        </w:rPr>
        <w:t xml:space="preserve">  The cost to the respondents of contracting </w:t>
      </w:r>
      <w:r w:rsidRPr="006702D3" w:rsidR="009B2B7F">
        <w:rPr>
          <w:rFonts w:cs="Times New Roman"/>
          <w:b/>
        </w:rPr>
        <w:t>out</w:t>
      </w:r>
      <w:r w:rsidRPr="006702D3">
        <w:rPr>
          <w:rFonts w:cs="Times New Roman"/>
          <w:b/>
        </w:rPr>
        <w:t xml:space="preserve"> </w:t>
      </w:r>
      <w:r w:rsidRPr="006702D3" w:rsidR="00562915">
        <w:rPr>
          <w:rFonts w:cs="Times New Roman"/>
          <w:b/>
          <w:bCs/>
          <w:szCs w:val="24"/>
        </w:rPr>
        <w:t>or</w:t>
      </w:r>
      <w:r w:rsidRPr="006702D3">
        <w:rPr>
          <w:rFonts w:cs="Times New Roman"/>
          <w:b/>
        </w:rPr>
        <w:t xml:space="preserve"> paying outside parties for information collection activities should not be included here.  Instead</w:t>
      </w:r>
      <w:r w:rsidRPr="006702D3" w:rsidR="001E00BB">
        <w:rPr>
          <w:rFonts w:cs="Times New Roman"/>
          <w:b/>
          <w:bCs/>
          <w:szCs w:val="24"/>
        </w:rPr>
        <w:t>,</w:t>
      </w:r>
      <w:r w:rsidRPr="006702D3">
        <w:rPr>
          <w:rFonts w:cs="Times New Roman"/>
          <w:b/>
        </w:rPr>
        <w:t xml:space="preserve"> this cost should be included in Item 13.</w:t>
      </w:r>
    </w:p>
    <w:p w:rsidR="00926982" w:rsidRPr="00814646" w:rsidP="006702D3" w14:paraId="3BA43249" w14:textId="2E9A8C32">
      <w:pPr>
        <w:spacing w:line="276" w:lineRule="auto"/>
        <w:contextualSpacing/>
        <w:rPr>
          <w:rFonts w:cs="Times New Roman"/>
          <w:bCs/>
        </w:rPr>
      </w:pPr>
    </w:p>
    <w:tbl>
      <w:tblPr>
        <w:tblW w:w="10800" w:type="dxa"/>
        <w:jc w:val="center"/>
        <w:tblLayout w:type="fixed"/>
        <w:tblLook w:val="04A0"/>
      </w:tblPr>
      <w:tblGrid>
        <w:gridCol w:w="1260"/>
        <w:gridCol w:w="1620"/>
        <w:gridCol w:w="1260"/>
        <w:gridCol w:w="1170"/>
        <w:gridCol w:w="1170"/>
        <w:gridCol w:w="990"/>
        <w:gridCol w:w="1080"/>
        <w:gridCol w:w="1080"/>
        <w:gridCol w:w="1170"/>
      </w:tblGrid>
      <w:tr w14:paraId="2D989F86" w14:textId="77777777" w:rsidTr="004E517F">
        <w:tblPrEx>
          <w:tblW w:w="10800" w:type="dxa"/>
          <w:jc w:val="center"/>
          <w:tblLayout w:type="fixed"/>
          <w:tblLook w:val="04A0"/>
        </w:tblPrEx>
        <w:trPr>
          <w:trHeight w:val="315"/>
          <w:jc w:val="center"/>
        </w:trPr>
        <w:tc>
          <w:tcPr>
            <w:tcW w:w="10800" w:type="dxa"/>
            <w:gridSpan w:val="9"/>
            <w:tcBorders>
              <w:top w:val="single" w:sz="8" w:space="0" w:color="auto"/>
              <w:left w:val="single" w:sz="8" w:space="0" w:color="auto"/>
              <w:bottom w:val="single" w:sz="8" w:space="0" w:color="auto"/>
              <w:right w:val="single" w:sz="8" w:space="0" w:color="000000"/>
            </w:tcBorders>
            <w:shd w:val="clear" w:color="auto" w:fill="8EAADB" w:themeFill="accent1" w:themeFillTint="99"/>
            <w:noWrap/>
            <w:vAlign w:val="center"/>
            <w:hideMark/>
          </w:tcPr>
          <w:p w:rsidR="007C427B" w:rsidRPr="008D7CC6" w:rsidP="004E517F" w14:paraId="230FBB7E" w14:textId="77777777">
            <w:pPr>
              <w:jc w:val="center"/>
              <w:rPr>
                <w:rFonts w:cs="Times New Roman"/>
                <w:b/>
                <w:color w:val="000000"/>
                <w:sz w:val="20"/>
                <w:szCs w:val="20"/>
              </w:rPr>
            </w:pPr>
            <w:r w:rsidRPr="008D7CC6">
              <w:rPr>
                <w:rFonts w:cs="Times New Roman"/>
                <w:b/>
                <w:color w:val="000000"/>
                <w:sz w:val="20"/>
                <w:szCs w:val="20"/>
              </w:rPr>
              <w:t>Estimated Annualized Burden Hours and Costs</w:t>
            </w:r>
          </w:p>
        </w:tc>
      </w:tr>
      <w:tr w14:paraId="58BCD752" w14:textId="77777777" w:rsidTr="004E517F">
        <w:tblPrEx>
          <w:tblW w:w="10800" w:type="dxa"/>
          <w:jc w:val="center"/>
          <w:tblLayout w:type="fixed"/>
          <w:tblLook w:val="04A0"/>
        </w:tblPrEx>
        <w:trPr>
          <w:trHeight w:val="1215"/>
          <w:jc w:val="center"/>
        </w:trPr>
        <w:tc>
          <w:tcPr>
            <w:tcW w:w="1260" w:type="dxa"/>
            <w:tcBorders>
              <w:top w:val="nil"/>
              <w:left w:val="single" w:sz="8" w:space="0" w:color="auto"/>
              <w:bottom w:val="single" w:sz="8" w:space="0" w:color="auto"/>
              <w:right w:val="single" w:sz="8" w:space="0" w:color="auto"/>
            </w:tcBorders>
            <w:shd w:val="clear" w:color="auto" w:fill="8EAADB" w:themeFill="accent1" w:themeFillTint="99"/>
            <w:vAlign w:val="center"/>
            <w:hideMark/>
          </w:tcPr>
          <w:p w:rsidR="007C427B" w:rsidRPr="008D7CC6" w:rsidP="004E517F" w14:paraId="532CADD9"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Type of Respondent</w:t>
            </w:r>
          </w:p>
        </w:tc>
        <w:tc>
          <w:tcPr>
            <w:tcW w:w="1620" w:type="dxa"/>
            <w:tcBorders>
              <w:top w:val="nil"/>
              <w:left w:val="nil"/>
              <w:bottom w:val="single" w:sz="8" w:space="0" w:color="auto"/>
              <w:right w:val="single" w:sz="8" w:space="0" w:color="auto"/>
            </w:tcBorders>
            <w:shd w:val="clear" w:color="auto" w:fill="8EAADB" w:themeFill="accent1" w:themeFillTint="99"/>
            <w:vAlign w:val="center"/>
            <w:hideMark/>
          </w:tcPr>
          <w:p w:rsidR="007C427B" w:rsidRPr="008D7CC6" w:rsidP="004E517F" w14:paraId="74163353"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Form Name / Form Number</w:t>
            </w:r>
          </w:p>
        </w:tc>
        <w:tc>
          <w:tcPr>
            <w:tcW w:w="1260" w:type="dxa"/>
            <w:tcBorders>
              <w:top w:val="nil"/>
              <w:left w:val="nil"/>
              <w:bottom w:val="single" w:sz="8" w:space="0" w:color="auto"/>
              <w:right w:val="single" w:sz="8" w:space="0" w:color="auto"/>
            </w:tcBorders>
            <w:shd w:val="clear" w:color="auto" w:fill="8EAADB" w:themeFill="accent1" w:themeFillTint="99"/>
            <w:vAlign w:val="center"/>
            <w:hideMark/>
          </w:tcPr>
          <w:p w:rsidR="007C427B" w:rsidRPr="008D7CC6" w:rsidP="004E517F" w14:paraId="12BBDAA9"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No. of Respondents</w:t>
            </w:r>
          </w:p>
        </w:tc>
        <w:tc>
          <w:tcPr>
            <w:tcW w:w="1170" w:type="dxa"/>
            <w:tcBorders>
              <w:top w:val="nil"/>
              <w:left w:val="nil"/>
              <w:bottom w:val="single" w:sz="8" w:space="0" w:color="auto"/>
              <w:right w:val="single" w:sz="8" w:space="0" w:color="auto"/>
            </w:tcBorders>
            <w:shd w:val="clear" w:color="auto" w:fill="8EAADB" w:themeFill="accent1" w:themeFillTint="99"/>
            <w:vAlign w:val="center"/>
            <w:hideMark/>
          </w:tcPr>
          <w:p w:rsidR="007C427B" w:rsidRPr="008D7CC6" w:rsidP="004E517F" w14:paraId="4BC04143"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No. of Responses per Respondent</w:t>
            </w:r>
          </w:p>
        </w:tc>
        <w:tc>
          <w:tcPr>
            <w:tcW w:w="1170" w:type="dxa"/>
            <w:tcBorders>
              <w:top w:val="nil"/>
              <w:left w:val="nil"/>
              <w:bottom w:val="single" w:sz="8" w:space="0" w:color="auto"/>
              <w:right w:val="single" w:sz="8" w:space="0" w:color="auto"/>
            </w:tcBorders>
            <w:shd w:val="clear" w:color="auto" w:fill="8EAADB" w:themeFill="accent1" w:themeFillTint="99"/>
            <w:vAlign w:val="center"/>
            <w:hideMark/>
          </w:tcPr>
          <w:p w:rsidR="007C427B" w:rsidRPr="008D7CC6" w:rsidP="004E517F" w14:paraId="29948633"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Total No. of Responses</w:t>
            </w:r>
          </w:p>
        </w:tc>
        <w:tc>
          <w:tcPr>
            <w:tcW w:w="990" w:type="dxa"/>
            <w:tcBorders>
              <w:top w:val="nil"/>
              <w:left w:val="nil"/>
              <w:bottom w:val="single" w:sz="8" w:space="0" w:color="auto"/>
              <w:right w:val="single" w:sz="8" w:space="0" w:color="auto"/>
            </w:tcBorders>
            <w:shd w:val="clear" w:color="auto" w:fill="8EAADB" w:themeFill="accent1" w:themeFillTint="99"/>
            <w:vAlign w:val="center"/>
            <w:hideMark/>
          </w:tcPr>
          <w:p w:rsidR="007C427B" w:rsidRPr="008D7CC6" w:rsidP="004E517F" w14:paraId="41ED2AB8"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Avg. Burden per Response</w:t>
            </w:r>
          </w:p>
        </w:tc>
        <w:tc>
          <w:tcPr>
            <w:tcW w:w="1080" w:type="dxa"/>
            <w:tcBorders>
              <w:top w:val="nil"/>
              <w:left w:val="nil"/>
              <w:bottom w:val="single" w:sz="8" w:space="0" w:color="auto"/>
              <w:right w:val="single" w:sz="8" w:space="0" w:color="auto"/>
            </w:tcBorders>
            <w:shd w:val="clear" w:color="auto" w:fill="8EAADB" w:themeFill="accent1" w:themeFillTint="99"/>
            <w:vAlign w:val="center"/>
            <w:hideMark/>
          </w:tcPr>
          <w:p w:rsidR="007C427B" w:rsidRPr="008D7CC6" w:rsidP="004E517F" w14:paraId="428CA6AA"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Total Annual Burden (in hours)</w:t>
            </w:r>
          </w:p>
        </w:tc>
        <w:tc>
          <w:tcPr>
            <w:tcW w:w="1080" w:type="dxa"/>
            <w:tcBorders>
              <w:top w:val="nil"/>
              <w:left w:val="nil"/>
              <w:bottom w:val="single" w:sz="8" w:space="0" w:color="auto"/>
              <w:right w:val="single" w:sz="8" w:space="0" w:color="auto"/>
            </w:tcBorders>
            <w:shd w:val="clear" w:color="auto" w:fill="8EAADB" w:themeFill="accent1" w:themeFillTint="99"/>
            <w:vAlign w:val="center"/>
            <w:hideMark/>
          </w:tcPr>
          <w:p w:rsidR="007C427B" w:rsidRPr="008D7CC6" w:rsidP="004E517F" w14:paraId="28E2AF16"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Avg. Hourly Wage Rate</w:t>
            </w:r>
          </w:p>
        </w:tc>
        <w:tc>
          <w:tcPr>
            <w:tcW w:w="1170" w:type="dxa"/>
            <w:tcBorders>
              <w:top w:val="nil"/>
              <w:left w:val="nil"/>
              <w:bottom w:val="single" w:sz="8" w:space="0" w:color="auto"/>
              <w:right w:val="single" w:sz="8" w:space="0" w:color="auto"/>
            </w:tcBorders>
            <w:shd w:val="clear" w:color="auto" w:fill="8EAADB" w:themeFill="accent1" w:themeFillTint="99"/>
            <w:vAlign w:val="center"/>
            <w:hideMark/>
          </w:tcPr>
          <w:p w:rsidR="007C427B" w:rsidRPr="008D7CC6" w:rsidP="004E517F" w14:paraId="1B63A4FA" w14:textId="77777777">
            <w:pPr>
              <w:jc w:val="center"/>
              <w:rPr>
                <w:rFonts w:eastAsia="Times New Roman" w:cs="Times New Roman"/>
                <w:b/>
                <w:color w:val="000000"/>
                <w:sz w:val="18"/>
                <w:szCs w:val="18"/>
              </w:rPr>
            </w:pPr>
            <w:r w:rsidRPr="008D7CC6">
              <w:rPr>
                <w:rFonts w:eastAsia="Times New Roman" w:cs="Times New Roman"/>
                <w:b/>
                <w:color w:val="000000"/>
                <w:sz w:val="18"/>
                <w:szCs w:val="18"/>
              </w:rPr>
              <w:t>Total Annual Respondent Cost</w:t>
            </w:r>
          </w:p>
        </w:tc>
      </w:tr>
      <w:tr w14:paraId="4A492863" w14:textId="77777777" w:rsidTr="004E517F">
        <w:tblPrEx>
          <w:tblW w:w="10800" w:type="dxa"/>
          <w:jc w:val="center"/>
          <w:tblLayout w:type="fixed"/>
          <w:tblLook w:val="04A0"/>
        </w:tblPrEx>
        <w:trPr>
          <w:trHeight w:val="315"/>
          <w:jc w:val="center"/>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7C427B" w:rsidRPr="008D7CC6" w:rsidP="004E517F" w14:paraId="5F9D5016" w14:textId="1E6C7F4B">
            <w:pPr>
              <w:rPr>
                <w:rFonts w:eastAsia="Times New Roman" w:cs="Times New Roman"/>
                <w:color w:val="000000"/>
                <w:sz w:val="18"/>
                <w:szCs w:val="18"/>
              </w:rPr>
            </w:pPr>
            <w:r>
              <w:rPr>
                <w:rFonts w:eastAsia="Arial Unicode MS" w:cs="Times New Roman"/>
                <w:sz w:val="18"/>
                <w:szCs w:val="18"/>
              </w:rPr>
              <w:t>State, Local or Tribal Governments</w:t>
            </w:r>
            <w:r w:rsidRPr="008D7CC6">
              <w:rPr>
                <w:rFonts w:eastAsia="Arial Unicode MS" w:cs="Times New Roman"/>
                <w:sz w:val="18"/>
                <w:szCs w:val="18"/>
              </w:rPr>
              <w:t xml:space="preserve"> </w:t>
            </w:r>
          </w:p>
        </w:tc>
        <w:tc>
          <w:tcPr>
            <w:tcW w:w="1620" w:type="dxa"/>
            <w:tcBorders>
              <w:top w:val="nil"/>
              <w:left w:val="nil"/>
              <w:bottom w:val="single" w:sz="8" w:space="0" w:color="auto"/>
              <w:right w:val="single" w:sz="8" w:space="0" w:color="auto"/>
            </w:tcBorders>
            <w:shd w:val="clear" w:color="auto" w:fill="auto"/>
            <w:vAlign w:val="center"/>
            <w:hideMark/>
          </w:tcPr>
          <w:p w:rsidR="007C427B" w:rsidRPr="008D7CC6" w:rsidP="004E517F" w14:paraId="31163A07" w14:textId="77777777">
            <w:pPr>
              <w:rPr>
                <w:rFonts w:eastAsia="Times New Roman" w:cs="Times New Roman"/>
                <w:color w:val="000000"/>
                <w:sz w:val="18"/>
                <w:szCs w:val="18"/>
              </w:rPr>
            </w:pPr>
            <w:r w:rsidRPr="008D7CC6">
              <w:rPr>
                <w:rFonts w:eastAsia="Arial Unicode MS" w:cs="Times New Roman"/>
                <w:sz w:val="18"/>
                <w:szCs w:val="18"/>
              </w:rPr>
              <w:t xml:space="preserve">Property Owners Voluntary Participation Statements / FEMA Form FF-206-FY-21-124 </w:t>
            </w:r>
          </w:p>
        </w:tc>
        <w:tc>
          <w:tcPr>
            <w:tcW w:w="1260" w:type="dxa"/>
            <w:tcBorders>
              <w:top w:val="nil"/>
              <w:left w:val="nil"/>
              <w:bottom w:val="single" w:sz="8" w:space="0" w:color="auto"/>
              <w:right w:val="single" w:sz="8" w:space="0" w:color="auto"/>
            </w:tcBorders>
            <w:shd w:val="clear" w:color="auto" w:fill="auto"/>
            <w:vAlign w:val="center"/>
            <w:hideMark/>
          </w:tcPr>
          <w:p w:rsidR="007C427B" w:rsidRPr="008D7CC6" w:rsidP="004E517F" w14:paraId="3CBCF6CF" w14:textId="77777777">
            <w:pPr>
              <w:jc w:val="center"/>
              <w:rPr>
                <w:rFonts w:eastAsia="Times New Roman" w:cs="Times New Roman"/>
                <w:color w:val="000000"/>
                <w:sz w:val="18"/>
                <w:szCs w:val="18"/>
              </w:rPr>
            </w:pPr>
            <w:r w:rsidRPr="008D7CC6">
              <w:rPr>
                <w:rFonts w:eastAsia="Times New Roman" w:cs="Times New Roman"/>
                <w:color w:val="000000"/>
                <w:sz w:val="18"/>
                <w:szCs w:val="18"/>
              </w:rPr>
              <w:t>573</w:t>
            </w:r>
          </w:p>
        </w:tc>
        <w:tc>
          <w:tcPr>
            <w:tcW w:w="1170" w:type="dxa"/>
            <w:tcBorders>
              <w:top w:val="nil"/>
              <w:left w:val="nil"/>
              <w:bottom w:val="single" w:sz="8" w:space="0" w:color="auto"/>
              <w:right w:val="single" w:sz="8" w:space="0" w:color="auto"/>
            </w:tcBorders>
            <w:shd w:val="clear" w:color="auto" w:fill="auto"/>
            <w:vAlign w:val="center"/>
            <w:hideMark/>
          </w:tcPr>
          <w:p w:rsidR="007C427B" w:rsidRPr="008D7CC6" w:rsidP="004E517F" w14:paraId="38553BFD" w14:textId="77777777">
            <w:pPr>
              <w:jc w:val="center"/>
              <w:rPr>
                <w:rFonts w:eastAsia="Times New Roman" w:cs="Times New Roman"/>
                <w:color w:val="000000"/>
                <w:sz w:val="18"/>
                <w:szCs w:val="18"/>
              </w:rPr>
            </w:pPr>
            <w:r w:rsidRPr="008D7CC6">
              <w:rPr>
                <w:rFonts w:eastAsia="Times New Roman" w:cs="Times New Roman"/>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7C427B" w:rsidRPr="008D7CC6" w:rsidP="004E517F" w14:paraId="38EB3C1E" w14:textId="77777777">
            <w:pPr>
              <w:jc w:val="center"/>
              <w:rPr>
                <w:rFonts w:eastAsia="Times New Roman" w:cs="Times New Roman"/>
                <w:color w:val="000000"/>
                <w:sz w:val="18"/>
                <w:szCs w:val="18"/>
              </w:rPr>
            </w:pPr>
            <w:r w:rsidRPr="008D7CC6">
              <w:rPr>
                <w:rFonts w:eastAsia="Times New Roman" w:cs="Times New Roman"/>
                <w:color w:val="000000"/>
                <w:sz w:val="18"/>
                <w:szCs w:val="18"/>
              </w:rPr>
              <w:t>573</w:t>
            </w:r>
          </w:p>
        </w:tc>
        <w:tc>
          <w:tcPr>
            <w:tcW w:w="990" w:type="dxa"/>
            <w:tcBorders>
              <w:top w:val="nil"/>
              <w:left w:val="nil"/>
              <w:bottom w:val="single" w:sz="8" w:space="0" w:color="auto"/>
              <w:right w:val="single" w:sz="8" w:space="0" w:color="auto"/>
            </w:tcBorders>
            <w:shd w:val="clear" w:color="auto" w:fill="auto"/>
            <w:vAlign w:val="center"/>
            <w:hideMark/>
          </w:tcPr>
          <w:p w:rsidR="007C427B" w:rsidRPr="008D7CC6" w:rsidP="004E517F" w14:paraId="336E1142" w14:textId="77777777">
            <w:pPr>
              <w:jc w:val="center"/>
              <w:rPr>
                <w:rFonts w:eastAsia="Times New Roman" w:cs="Times New Roman"/>
                <w:color w:val="000000"/>
                <w:sz w:val="18"/>
                <w:szCs w:val="18"/>
              </w:rPr>
            </w:pPr>
            <w:r w:rsidRPr="008D7CC6">
              <w:rPr>
                <w:rFonts w:eastAsia="Times New Roman" w:cs="Times New Roman"/>
                <w:color w:val="000000"/>
                <w:sz w:val="18"/>
                <w:szCs w:val="18"/>
              </w:rPr>
              <w:t>1 hour</w:t>
            </w:r>
          </w:p>
        </w:tc>
        <w:tc>
          <w:tcPr>
            <w:tcW w:w="1080" w:type="dxa"/>
            <w:tcBorders>
              <w:top w:val="nil"/>
              <w:left w:val="nil"/>
              <w:bottom w:val="single" w:sz="8" w:space="0" w:color="auto"/>
              <w:right w:val="single" w:sz="8" w:space="0" w:color="auto"/>
            </w:tcBorders>
            <w:shd w:val="clear" w:color="auto" w:fill="auto"/>
            <w:vAlign w:val="center"/>
            <w:hideMark/>
          </w:tcPr>
          <w:p w:rsidR="007C427B" w:rsidRPr="008D7CC6" w:rsidP="004E517F" w14:paraId="2098D9F5" w14:textId="77777777">
            <w:pPr>
              <w:jc w:val="center"/>
              <w:rPr>
                <w:rFonts w:eastAsia="Times New Roman" w:cs="Times New Roman"/>
                <w:color w:val="000000"/>
                <w:sz w:val="18"/>
                <w:szCs w:val="18"/>
              </w:rPr>
            </w:pPr>
            <w:r w:rsidRPr="008D7CC6">
              <w:rPr>
                <w:rFonts w:eastAsia="Times New Roman" w:cs="Times New Roman"/>
                <w:color w:val="000000"/>
                <w:sz w:val="18"/>
                <w:szCs w:val="18"/>
              </w:rPr>
              <w:t>573</w:t>
            </w:r>
          </w:p>
        </w:tc>
        <w:tc>
          <w:tcPr>
            <w:tcW w:w="1080" w:type="dxa"/>
            <w:tcBorders>
              <w:top w:val="nil"/>
              <w:left w:val="nil"/>
              <w:bottom w:val="single" w:sz="8" w:space="0" w:color="auto"/>
              <w:right w:val="single" w:sz="8" w:space="0" w:color="auto"/>
            </w:tcBorders>
            <w:shd w:val="clear" w:color="auto" w:fill="auto"/>
            <w:vAlign w:val="center"/>
          </w:tcPr>
          <w:p w:rsidR="007C427B" w:rsidRPr="008D7CC6" w:rsidP="004E517F" w14:paraId="22EE62B3" w14:textId="1901C2B6">
            <w:pPr>
              <w:jc w:val="center"/>
              <w:rPr>
                <w:rFonts w:eastAsia="Times New Roman" w:cs="Times New Roman"/>
                <w:color w:val="000000"/>
                <w:sz w:val="18"/>
                <w:szCs w:val="18"/>
                <w:highlight w:val="cyan"/>
              </w:rPr>
            </w:pPr>
            <w:r w:rsidRPr="008D7CC6">
              <w:rPr>
                <w:rFonts w:eastAsia="Times New Roman" w:cs="Times New Roman"/>
                <w:color w:val="000000"/>
                <w:sz w:val="18"/>
                <w:szCs w:val="18"/>
              </w:rPr>
              <w:t>$</w:t>
            </w:r>
            <w:r w:rsidR="00597781">
              <w:rPr>
                <w:rFonts w:eastAsia="Times New Roman" w:cs="Times New Roman"/>
                <w:color w:val="000000"/>
                <w:sz w:val="18"/>
                <w:szCs w:val="18"/>
              </w:rPr>
              <w:t>59.78</w:t>
            </w:r>
          </w:p>
        </w:tc>
        <w:tc>
          <w:tcPr>
            <w:tcW w:w="1170" w:type="dxa"/>
            <w:tcBorders>
              <w:top w:val="nil"/>
              <w:left w:val="nil"/>
              <w:bottom w:val="single" w:sz="8" w:space="0" w:color="auto"/>
              <w:right w:val="single" w:sz="8" w:space="0" w:color="auto"/>
            </w:tcBorders>
            <w:shd w:val="clear" w:color="auto" w:fill="auto"/>
            <w:vAlign w:val="center"/>
          </w:tcPr>
          <w:p w:rsidR="007C427B" w:rsidRPr="008D7CC6" w:rsidP="004E517F" w14:paraId="2E4D2693" w14:textId="17763AA6">
            <w:pPr>
              <w:jc w:val="center"/>
              <w:rPr>
                <w:rFonts w:eastAsia="Times New Roman" w:cs="Times New Roman"/>
                <w:color w:val="000000"/>
                <w:sz w:val="18"/>
                <w:szCs w:val="18"/>
              </w:rPr>
            </w:pPr>
            <w:r>
              <w:rPr>
                <w:rFonts w:cs="Times New Roman"/>
                <w:sz w:val="18"/>
                <w:szCs w:val="18"/>
              </w:rPr>
              <w:t>$34,254</w:t>
            </w:r>
          </w:p>
        </w:tc>
      </w:tr>
      <w:tr w14:paraId="48CDE715" w14:textId="77777777" w:rsidTr="004E517F">
        <w:tblPrEx>
          <w:tblW w:w="10800" w:type="dxa"/>
          <w:jc w:val="center"/>
          <w:tblLayout w:type="fixed"/>
          <w:tblLook w:val="04A0"/>
        </w:tblPrEx>
        <w:trPr>
          <w:trHeight w:val="315"/>
          <w:jc w:val="center"/>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7C427B" w:rsidRPr="008D7CC6" w:rsidP="004E517F" w14:paraId="4AE8D04D" w14:textId="77777777">
            <w:pPr>
              <w:jc w:val="center"/>
              <w:rPr>
                <w:rFonts w:eastAsia="Times New Roman" w:cs="Times New Roman"/>
                <w:b/>
                <w:bCs/>
                <w:color w:val="000000"/>
                <w:sz w:val="18"/>
                <w:szCs w:val="18"/>
              </w:rPr>
            </w:pPr>
            <w:r w:rsidRPr="008D7CC6">
              <w:rPr>
                <w:rFonts w:eastAsia="Times New Roman" w:cs="Times New Roman"/>
                <w:b/>
                <w:bCs/>
                <w:color w:val="000000"/>
                <w:sz w:val="18"/>
                <w:szCs w:val="18"/>
              </w:rPr>
              <w:t>Total</w:t>
            </w:r>
          </w:p>
        </w:tc>
        <w:tc>
          <w:tcPr>
            <w:tcW w:w="1620" w:type="dxa"/>
            <w:tcBorders>
              <w:top w:val="nil"/>
              <w:left w:val="nil"/>
              <w:bottom w:val="single" w:sz="8" w:space="0" w:color="auto"/>
              <w:right w:val="single" w:sz="8" w:space="0" w:color="auto"/>
            </w:tcBorders>
            <w:shd w:val="clear" w:color="auto" w:fill="000000" w:themeFill="text1"/>
            <w:vAlign w:val="center"/>
            <w:hideMark/>
          </w:tcPr>
          <w:p w:rsidR="007C427B" w:rsidRPr="008D7CC6" w:rsidP="004E517F" w14:paraId="608C068B" w14:textId="77777777">
            <w:pPr>
              <w:jc w:val="center"/>
              <w:rPr>
                <w:rFonts w:eastAsia="Times New Roman" w:cs="Times New Roman"/>
                <w:color w:val="000000"/>
                <w:sz w:val="18"/>
                <w:szCs w:val="18"/>
              </w:rPr>
            </w:pPr>
            <w:r w:rsidRPr="008D7CC6">
              <w:rPr>
                <w:rFonts w:eastAsia="Times New Roman" w:cs="Times New Roman"/>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7C427B" w:rsidRPr="008D7CC6" w:rsidP="004E517F" w14:paraId="76E3E3E6" w14:textId="77777777">
            <w:pPr>
              <w:jc w:val="center"/>
              <w:rPr>
                <w:rFonts w:cs="Times New Roman"/>
                <w:b/>
                <w:sz w:val="18"/>
                <w:szCs w:val="18"/>
              </w:rPr>
            </w:pPr>
            <w:r w:rsidRPr="008D7CC6">
              <w:rPr>
                <w:rFonts w:eastAsia="Times New Roman" w:cs="Times New Roman"/>
                <w:b/>
                <w:bCs/>
                <w:sz w:val="18"/>
                <w:szCs w:val="18"/>
              </w:rPr>
              <w:t>573</w:t>
            </w:r>
          </w:p>
        </w:tc>
        <w:tc>
          <w:tcPr>
            <w:tcW w:w="1170" w:type="dxa"/>
            <w:tcBorders>
              <w:top w:val="nil"/>
              <w:left w:val="nil"/>
              <w:bottom w:val="single" w:sz="8" w:space="0" w:color="auto"/>
              <w:right w:val="single" w:sz="8" w:space="0" w:color="auto"/>
            </w:tcBorders>
            <w:shd w:val="clear" w:color="000000" w:fill="000000"/>
            <w:vAlign w:val="center"/>
            <w:hideMark/>
          </w:tcPr>
          <w:p w:rsidR="007C427B" w:rsidRPr="008D7CC6" w:rsidP="004E517F" w14:paraId="1FAAF3DB" w14:textId="77777777">
            <w:pPr>
              <w:jc w:val="center"/>
              <w:rPr>
                <w:rFonts w:cs="Times New Roman"/>
                <w:b/>
                <w:sz w:val="18"/>
                <w:szCs w:val="18"/>
              </w:rPr>
            </w:pPr>
          </w:p>
        </w:tc>
        <w:tc>
          <w:tcPr>
            <w:tcW w:w="1170" w:type="dxa"/>
            <w:tcBorders>
              <w:top w:val="nil"/>
              <w:left w:val="nil"/>
              <w:bottom w:val="single" w:sz="8" w:space="0" w:color="auto"/>
              <w:right w:val="single" w:sz="8" w:space="0" w:color="auto"/>
            </w:tcBorders>
            <w:shd w:val="clear" w:color="000000" w:fill="FFFFFF"/>
            <w:vAlign w:val="center"/>
            <w:hideMark/>
          </w:tcPr>
          <w:p w:rsidR="007C427B" w:rsidRPr="008D7CC6" w:rsidP="004E517F" w14:paraId="7C59D16D" w14:textId="77777777">
            <w:pPr>
              <w:jc w:val="center"/>
              <w:rPr>
                <w:rFonts w:cs="Times New Roman"/>
                <w:b/>
                <w:sz w:val="18"/>
                <w:szCs w:val="18"/>
              </w:rPr>
            </w:pPr>
            <w:r w:rsidRPr="008D7CC6">
              <w:rPr>
                <w:rFonts w:eastAsia="Times New Roman" w:cs="Times New Roman"/>
                <w:b/>
                <w:bCs/>
                <w:sz w:val="18"/>
                <w:szCs w:val="18"/>
              </w:rPr>
              <w:t>573</w:t>
            </w:r>
          </w:p>
        </w:tc>
        <w:tc>
          <w:tcPr>
            <w:tcW w:w="990" w:type="dxa"/>
            <w:tcBorders>
              <w:top w:val="nil"/>
              <w:left w:val="nil"/>
              <w:bottom w:val="single" w:sz="8" w:space="0" w:color="auto"/>
              <w:right w:val="single" w:sz="8" w:space="0" w:color="auto"/>
            </w:tcBorders>
            <w:shd w:val="clear" w:color="000000" w:fill="000000"/>
            <w:vAlign w:val="center"/>
            <w:hideMark/>
          </w:tcPr>
          <w:p w:rsidR="007C427B" w:rsidRPr="008D7CC6" w:rsidP="004E517F" w14:paraId="1CC43DA2" w14:textId="77777777">
            <w:pPr>
              <w:jc w:val="center"/>
              <w:rPr>
                <w:rFonts w:cs="Times New Roman"/>
                <w:b/>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rsidR="007C427B" w:rsidRPr="008D7CC6" w:rsidP="004E517F" w14:paraId="2F7D2D38" w14:textId="77777777">
            <w:pPr>
              <w:jc w:val="center"/>
              <w:rPr>
                <w:rFonts w:cs="Times New Roman"/>
                <w:b/>
                <w:sz w:val="18"/>
                <w:szCs w:val="18"/>
              </w:rPr>
            </w:pPr>
            <w:r w:rsidRPr="008D7CC6">
              <w:rPr>
                <w:rFonts w:eastAsia="Times New Roman" w:cs="Times New Roman"/>
                <w:b/>
                <w:bCs/>
                <w:sz w:val="18"/>
                <w:szCs w:val="18"/>
              </w:rPr>
              <w:t>573</w:t>
            </w:r>
          </w:p>
        </w:tc>
        <w:tc>
          <w:tcPr>
            <w:tcW w:w="1080" w:type="dxa"/>
            <w:tcBorders>
              <w:top w:val="nil"/>
              <w:left w:val="nil"/>
              <w:bottom w:val="single" w:sz="8" w:space="0" w:color="auto"/>
              <w:right w:val="single" w:sz="8" w:space="0" w:color="auto"/>
            </w:tcBorders>
            <w:shd w:val="clear" w:color="000000" w:fill="000000"/>
            <w:vAlign w:val="center"/>
          </w:tcPr>
          <w:p w:rsidR="007C427B" w:rsidRPr="008D7CC6" w:rsidP="004E517F" w14:paraId="703C8E1D" w14:textId="77777777">
            <w:pPr>
              <w:jc w:val="center"/>
              <w:rPr>
                <w:rFonts w:cs="Times New Roman"/>
                <w:b/>
                <w:sz w:val="18"/>
                <w:szCs w:val="18"/>
              </w:rPr>
            </w:pPr>
          </w:p>
        </w:tc>
        <w:tc>
          <w:tcPr>
            <w:tcW w:w="1170" w:type="dxa"/>
            <w:tcBorders>
              <w:top w:val="nil"/>
              <w:left w:val="nil"/>
              <w:bottom w:val="single" w:sz="8" w:space="0" w:color="auto"/>
              <w:right w:val="single" w:sz="8" w:space="0" w:color="auto"/>
            </w:tcBorders>
            <w:shd w:val="clear" w:color="auto" w:fill="auto"/>
            <w:vAlign w:val="center"/>
          </w:tcPr>
          <w:p w:rsidR="007C427B" w:rsidRPr="008D7CC6" w:rsidP="004E517F" w14:paraId="5E24E765" w14:textId="2DB4A7E1">
            <w:pPr>
              <w:jc w:val="center"/>
              <w:rPr>
                <w:rFonts w:cs="Times New Roman"/>
                <w:b/>
                <w:sz w:val="18"/>
                <w:szCs w:val="18"/>
              </w:rPr>
            </w:pPr>
            <w:r>
              <w:rPr>
                <w:rFonts w:eastAsia="Times New Roman" w:cs="Times New Roman"/>
                <w:b/>
                <w:bCs/>
                <w:sz w:val="18"/>
                <w:szCs w:val="18"/>
              </w:rPr>
              <w:t>$</w:t>
            </w:r>
            <w:r w:rsidRPr="004D0172" w:rsidR="004D0172">
              <w:rPr>
                <w:rFonts w:eastAsia="Times New Roman" w:cs="Times New Roman"/>
                <w:b/>
                <w:bCs/>
                <w:sz w:val="18"/>
                <w:szCs w:val="18"/>
              </w:rPr>
              <w:t>34,254</w:t>
            </w:r>
          </w:p>
        </w:tc>
      </w:tr>
    </w:tbl>
    <w:p w:rsidR="007C427B" w:rsidRPr="00814646" w:rsidP="006702D3" w14:paraId="7A012C5B" w14:textId="51C744B6">
      <w:pPr>
        <w:spacing w:line="276" w:lineRule="auto"/>
        <w:contextualSpacing/>
        <w:rPr>
          <w:rFonts w:cs="Times New Roman"/>
          <w:bCs/>
        </w:rPr>
      </w:pPr>
    </w:p>
    <w:p w:rsidR="007C427B" w:rsidRPr="00814646" w:rsidP="00814646" w14:paraId="64A3DC59" w14:textId="77777777">
      <w:pPr>
        <w:spacing w:line="276" w:lineRule="auto"/>
        <w:contextualSpacing/>
        <w:rPr>
          <w:rFonts w:cs="Times New Roman"/>
          <w:bCs/>
        </w:rPr>
      </w:pPr>
    </w:p>
    <w:p w:rsidR="00AC49FB" w:rsidRPr="006702D3" w:rsidP="00814646" w14:paraId="1073A33C" w14:textId="7389992B">
      <w:pPr>
        <w:tabs>
          <w:tab w:val="left" w:pos="-720"/>
        </w:tabs>
        <w:suppressAutoHyphens/>
        <w:spacing w:line="276" w:lineRule="auto"/>
        <w:contextualSpacing/>
        <w:rPr>
          <w:rFonts w:cs="Times New Roman"/>
        </w:rPr>
      </w:pPr>
      <w:r w:rsidRPr="006702D3">
        <w:rPr>
          <w:rFonts w:cs="Times New Roman"/>
          <w:b/>
        </w:rPr>
        <w:t>Instruction for Wage-rate category multiplier:  Take each non-loaded “Avg. Hourly Wage Rate” from the BLS website table and multiply that number by 1.</w:t>
      </w:r>
      <w:r w:rsidRPr="006702D3" w:rsidR="007B5AC1">
        <w:rPr>
          <w:rFonts w:cs="Times New Roman"/>
          <w:b/>
          <w:szCs w:val="24"/>
        </w:rPr>
        <w:t>61</w:t>
      </w:r>
      <w:r w:rsidRPr="006702D3">
        <w:rPr>
          <w:rFonts w:cs="Times New Roman"/>
          <w:b/>
        </w:rPr>
        <w:t xml:space="preserve">.  For example, a non-loaded </w:t>
      </w:r>
      <w:r w:rsidRPr="006702D3">
        <w:rPr>
          <w:rFonts w:cs="Times New Roman"/>
          <w:b/>
          <w:u w:val="single"/>
        </w:rPr>
        <w:t>BLS table wage rate of $</w:t>
      </w:r>
      <w:r w:rsidRPr="006702D3" w:rsidR="007B5AC1">
        <w:rPr>
          <w:rFonts w:cs="Times New Roman"/>
          <w:b/>
          <w:szCs w:val="24"/>
          <w:u w:val="single"/>
        </w:rPr>
        <w:t>38.24</w:t>
      </w:r>
      <w:r w:rsidRPr="006702D3">
        <w:rPr>
          <w:rFonts w:cs="Times New Roman"/>
          <w:b/>
        </w:rPr>
        <w:t xml:space="preserve"> would be multiplied by 1.</w:t>
      </w:r>
      <w:r w:rsidRPr="006702D3" w:rsidR="0028302C">
        <w:rPr>
          <w:rFonts w:cs="Times New Roman"/>
          <w:b/>
          <w:szCs w:val="24"/>
        </w:rPr>
        <w:t>61</w:t>
      </w:r>
      <w:r w:rsidRPr="006702D3">
        <w:rPr>
          <w:rFonts w:cs="Times New Roman"/>
          <w:b/>
        </w:rPr>
        <w:t>, and the entry for the “Avg. Hourly Wage Rate” would be $61.</w:t>
      </w:r>
      <w:r w:rsidR="006C7425">
        <w:rPr>
          <w:rFonts w:cs="Times New Roman"/>
          <w:b/>
          <w:szCs w:val="24"/>
        </w:rPr>
        <w:t>20</w:t>
      </w:r>
      <w:r w:rsidRPr="006702D3">
        <w:rPr>
          <w:rFonts w:cs="Times New Roman"/>
          <w:b/>
        </w:rPr>
        <w:t>.</w:t>
      </w:r>
    </w:p>
    <w:p w:rsidR="00926982" w:rsidRPr="006702D3" w:rsidP="00814646" w14:paraId="65D23EAE" w14:textId="44C6A899">
      <w:pPr>
        <w:tabs>
          <w:tab w:val="left" w:pos="-720"/>
        </w:tabs>
        <w:suppressAutoHyphens/>
        <w:spacing w:line="276" w:lineRule="auto"/>
        <w:contextualSpacing/>
        <w:rPr>
          <w:rFonts w:cs="Times New Roman"/>
        </w:rPr>
      </w:pPr>
    </w:p>
    <w:p w:rsidR="00926982" w:rsidRPr="006702D3" w:rsidP="00814646" w14:paraId="143ECDB3" w14:textId="57ACF99B">
      <w:pPr>
        <w:tabs>
          <w:tab w:val="left" w:pos="-720"/>
        </w:tabs>
        <w:suppressAutoHyphens/>
        <w:spacing w:line="276" w:lineRule="auto"/>
        <w:contextualSpacing/>
        <w:rPr>
          <w:rFonts w:cs="Times New Roman"/>
        </w:rPr>
      </w:pPr>
      <w:r w:rsidRPr="006702D3">
        <w:rPr>
          <w:rFonts w:cs="Times New Roman"/>
        </w:rPr>
        <w:t>According to the U.S. Department of Labor, Bureau of Labor Statistics</w:t>
      </w:r>
      <w:r>
        <w:rPr>
          <w:rStyle w:val="FootnoteReference"/>
          <w:rFonts w:cs="Times New Roman"/>
        </w:rPr>
        <w:footnoteReference w:id="3"/>
      </w:r>
      <w:r w:rsidRPr="006702D3" w:rsidR="00450CCD">
        <w:rPr>
          <w:rFonts w:cs="Times New Roman"/>
        </w:rPr>
        <w:t>,</w:t>
      </w:r>
      <w:r w:rsidRPr="006702D3">
        <w:rPr>
          <w:rFonts w:cs="Times New Roman"/>
        </w:rPr>
        <w:t xml:space="preserve"> the </w:t>
      </w:r>
      <w:r w:rsidRPr="006702D3" w:rsidR="00450CCD">
        <w:rPr>
          <w:rFonts w:cs="Times New Roman"/>
        </w:rPr>
        <w:t>May 20</w:t>
      </w:r>
      <w:r w:rsidRPr="006702D3" w:rsidR="00835DA7">
        <w:rPr>
          <w:rFonts w:cs="Times New Roman"/>
        </w:rPr>
        <w:t>22</w:t>
      </w:r>
      <w:r w:rsidRPr="006702D3" w:rsidR="00450CCD">
        <w:rPr>
          <w:rFonts w:cs="Times New Roman"/>
        </w:rPr>
        <w:t xml:space="preserve"> Occupational Employment and Wage Estimates </w:t>
      </w:r>
      <w:r w:rsidRPr="006702D3">
        <w:rPr>
          <w:rFonts w:cs="Times New Roman"/>
        </w:rPr>
        <w:t xml:space="preserve">wage rate for </w:t>
      </w:r>
      <w:r w:rsidRPr="006702D3" w:rsidR="0039531B">
        <w:rPr>
          <w:rFonts w:cs="Times New Roman"/>
        </w:rPr>
        <w:t>Urban and Regi</w:t>
      </w:r>
      <w:r w:rsidR="00E02CD0">
        <w:rPr>
          <w:rFonts w:cs="Times New Roman"/>
        </w:rPr>
        <w:t>o</w:t>
      </w:r>
      <w:r w:rsidRPr="006702D3" w:rsidR="0039531B">
        <w:rPr>
          <w:rFonts w:cs="Times New Roman"/>
        </w:rPr>
        <w:t>nal Planners</w:t>
      </w:r>
      <w:r w:rsidRPr="006702D3" w:rsidR="00D12F94">
        <w:rPr>
          <w:rFonts w:cs="Times New Roman"/>
        </w:rPr>
        <w:t xml:space="preserve"> </w:t>
      </w:r>
      <w:r w:rsidR="003B7F48">
        <w:rPr>
          <w:rFonts w:cs="Times New Roman"/>
        </w:rPr>
        <w:t>(</w:t>
      </w:r>
      <w:r w:rsidRPr="006702D3" w:rsidR="00D12F94">
        <w:rPr>
          <w:rFonts w:cs="Times New Roman"/>
        </w:rPr>
        <w:t xml:space="preserve">Occupational Code </w:t>
      </w:r>
      <w:r w:rsidRPr="006702D3" w:rsidR="0039531B">
        <w:rPr>
          <w:rFonts w:cs="Times New Roman"/>
        </w:rPr>
        <w:t>19</w:t>
      </w:r>
      <w:r w:rsidRPr="006702D3" w:rsidR="00D12F94">
        <w:rPr>
          <w:rFonts w:cs="Times New Roman"/>
        </w:rPr>
        <w:t>-</w:t>
      </w:r>
      <w:r w:rsidRPr="006702D3" w:rsidR="00DF7D20">
        <w:rPr>
          <w:rFonts w:cs="Times New Roman"/>
        </w:rPr>
        <w:t>3051</w:t>
      </w:r>
      <w:r w:rsidRPr="006702D3" w:rsidR="00D12F94">
        <w:rPr>
          <w:rFonts w:cs="Times New Roman"/>
        </w:rPr>
        <w:t xml:space="preserve">) </w:t>
      </w:r>
      <w:r w:rsidR="003B7F48">
        <w:rPr>
          <w:rFonts w:cs="Times New Roman"/>
        </w:rPr>
        <w:t xml:space="preserve">employed by State Governments </w:t>
      </w:r>
      <w:r w:rsidRPr="006702D3" w:rsidR="00D12F94">
        <w:rPr>
          <w:rFonts w:cs="Times New Roman"/>
        </w:rPr>
        <w:t>is</w:t>
      </w:r>
      <w:r w:rsidRPr="006702D3" w:rsidR="007D1E5F">
        <w:rPr>
          <w:rFonts w:cs="Times New Roman"/>
        </w:rPr>
        <w:t xml:space="preserve"> $</w:t>
      </w:r>
      <w:r w:rsidRPr="00663FB5" w:rsidR="00663FB5">
        <w:rPr>
          <w:rFonts w:cs="Times New Roman"/>
        </w:rPr>
        <w:t>37.13</w:t>
      </w:r>
      <w:r w:rsidRPr="006702D3" w:rsidR="00D12F94">
        <w:rPr>
          <w:rFonts w:cs="Times New Roman"/>
        </w:rPr>
        <w:t>.</w:t>
      </w:r>
      <w:r w:rsidRPr="006702D3">
        <w:rPr>
          <w:rFonts w:cs="Times New Roman"/>
        </w:rPr>
        <w:t xml:space="preserve"> </w:t>
      </w:r>
      <w:r w:rsidRPr="006702D3" w:rsidR="00A73CD7">
        <w:rPr>
          <w:rFonts w:cs="Times New Roman"/>
        </w:rPr>
        <w:t>I</w:t>
      </w:r>
      <w:r w:rsidRPr="006702D3">
        <w:rPr>
          <w:rFonts w:cs="Times New Roman"/>
        </w:rPr>
        <w:t>ncluding the wage rate multiplier</w:t>
      </w:r>
      <w:r w:rsidRPr="006702D3" w:rsidR="00A73CD7">
        <w:rPr>
          <w:rFonts w:cs="Times New Roman"/>
        </w:rPr>
        <w:t xml:space="preserve"> of 1.</w:t>
      </w:r>
      <w:r w:rsidRPr="006702D3" w:rsidR="00A722AC">
        <w:rPr>
          <w:rFonts w:cs="Times New Roman"/>
        </w:rPr>
        <w:t>61</w:t>
      </w:r>
      <w:r>
        <w:rPr>
          <w:rStyle w:val="FootnoteReference"/>
          <w:rFonts w:cs="Times New Roman"/>
        </w:rPr>
        <w:footnoteReference w:id="4"/>
      </w:r>
      <w:r w:rsidRPr="006702D3">
        <w:rPr>
          <w:rFonts w:cs="Times New Roman"/>
        </w:rPr>
        <w:t xml:space="preserve">, </w:t>
      </w:r>
      <w:r w:rsidRPr="006702D3" w:rsidR="00A73CD7">
        <w:rPr>
          <w:rFonts w:cs="Times New Roman"/>
        </w:rPr>
        <w:t>the fully loaded wage rate is $</w:t>
      </w:r>
      <w:r w:rsidR="00BB31C7">
        <w:rPr>
          <w:rFonts w:cs="Times New Roman"/>
        </w:rPr>
        <w:t>59.78</w:t>
      </w:r>
      <w:r w:rsidRPr="006702D3" w:rsidR="00D12F94">
        <w:rPr>
          <w:rFonts w:cs="Times New Roman"/>
        </w:rPr>
        <w:t xml:space="preserve"> per hour. </w:t>
      </w:r>
      <w:r w:rsidRPr="00035B9C" w:rsidR="00A73CD7">
        <w:rPr>
          <w:rFonts w:cs="Times New Roman"/>
        </w:rPr>
        <w:t>Therefore,</w:t>
      </w:r>
      <w:r w:rsidRPr="00035B9C">
        <w:rPr>
          <w:rFonts w:cs="Times New Roman"/>
        </w:rPr>
        <w:t xml:space="preserve"> the estimated </w:t>
      </w:r>
      <w:r w:rsidRPr="00035B9C" w:rsidR="00450CCD">
        <w:rPr>
          <w:rFonts w:cs="Times New Roman"/>
        </w:rPr>
        <w:t xml:space="preserve">annual </w:t>
      </w:r>
      <w:r w:rsidRPr="00035B9C">
        <w:rPr>
          <w:rFonts w:cs="Times New Roman"/>
        </w:rPr>
        <w:t xml:space="preserve">burden hour cost is estimated to be </w:t>
      </w:r>
      <w:r w:rsidRPr="00035B9C" w:rsidR="00450CCD">
        <w:rPr>
          <w:rFonts w:cs="Times New Roman"/>
        </w:rPr>
        <w:t>$</w:t>
      </w:r>
      <w:r w:rsidR="00E02CD0">
        <w:rPr>
          <w:rFonts w:cs="Times New Roman"/>
        </w:rPr>
        <w:t>35,068</w:t>
      </w:r>
      <w:r w:rsidRPr="00035B9C" w:rsidR="00E02CD0">
        <w:rPr>
          <w:rFonts w:cs="Times New Roman"/>
        </w:rPr>
        <w:t xml:space="preserve"> </w:t>
      </w:r>
      <w:r w:rsidRPr="00035B9C" w:rsidR="00450CCD">
        <w:rPr>
          <w:rFonts w:cs="Times New Roman"/>
        </w:rPr>
        <w:t>($</w:t>
      </w:r>
      <w:r w:rsidR="00BB31C7">
        <w:rPr>
          <w:rFonts w:cs="Times New Roman"/>
        </w:rPr>
        <w:t>59.78</w:t>
      </w:r>
      <w:r w:rsidRPr="00814646" w:rsidR="00450CCD">
        <w:rPr>
          <w:rFonts w:cs="Times New Roman"/>
        </w:rPr>
        <w:t xml:space="preserve"> x </w:t>
      </w:r>
      <w:r w:rsidR="005C5AA2">
        <w:rPr>
          <w:rFonts w:cs="Times New Roman"/>
        </w:rPr>
        <w:t>573</w:t>
      </w:r>
      <w:r w:rsidRPr="00814646" w:rsidR="00935D0A">
        <w:rPr>
          <w:rFonts w:cs="Times New Roman"/>
        </w:rPr>
        <w:t xml:space="preserve"> hours </w:t>
      </w:r>
      <w:r w:rsidR="00E02CD0">
        <w:rPr>
          <w:rFonts w:cs="Times New Roman"/>
        </w:rPr>
        <w:t>= $</w:t>
      </w:r>
      <w:r w:rsidR="00597781">
        <w:rPr>
          <w:rFonts w:cs="Times New Roman"/>
        </w:rPr>
        <w:t>34,253.94</w:t>
      </w:r>
      <w:r w:rsidR="00E02CD0">
        <w:rPr>
          <w:rFonts w:cs="Times New Roman"/>
        </w:rPr>
        <w:t xml:space="preserve">, rounded </w:t>
      </w:r>
      <w:r w:rsidR="00597781">
        <w:rPr>
          <w:rFonts w:cs="Times New Roman"/>
        </w:rPr>
        <w:t xml:space="preserve">up </w:t>
      </w:r>
      <w:r w:rsidR="00E02CD0">
        <w:rPr>
          <w:rFonts w:cs="Times New Roman"/>
        </w:rPr>
        <w:t>to $</w:t>
      </w:r>
      <w:r w:rsidR="00597781">
        <w:rPr>
          <w:rFonts w:cs="Times New Roman"/>
        </w:rPr>
        <w:t>34</w:t>
      </w:r>
      <w:r w:rsidR="004D0172">
        <w:rPr>
          <w:rFonts w:cs="Times New Roman"/>
        </w:rPr>
        <w:t>,</w:t>
      </w:r>
      <w:r w:rsidR="00597781">
        <w:rPr>
          <w:rFonts w:cs="Times New Roman"/>
        </w:rPr>
        <w:t>254</w:t>
      </w:r>
      <w:r w:rsidRPr="00814646" w:rsidR="00450CCD">
        <w:rPr>
          <w:rFonts w:cs="Times New Roman"/>
        </w:rPr>
        <w:t>).</w:t>
      </w:r>
    </w:p>
    <w:p w:rsidR="006C7425" w14:paraId="23120A61" w14:textId="6FCF5D39">
      <w:pPr>
        <w:rPr>
          <w:rFonts w:cs="Times New Roman"/>
        </w:rPr>
      </w:pPr>
      <w:r>
        <w:rPr>
          <w:rFonts w:cs="Times New Roman"/>
        </w:rPr>
        <w:br w:type="page"/>
      </w:r>
    </w:p>
    <w:p w:rsidR="007D1E5F" w14:paraId="01385929" w14:textId="77777777">
      <w:pPr>
        <w:tabs>
          <w:tab w:val="left" w:pos="-720"/>
        </w:tabs>
        <w:suppressAutoHyphens/>
        <w:spacing w:line="276" w:lineRule="auto"/>
        <w:contextualSpacing/>
        <w:rPr>
          <w:rFonts w:cs="Times New Roman"/>
        </w:rPr>
      </w:pPr>
    </w:p>
    <w:tbl>
      <w:tblPr>
        <w:tblStyle w:val="TableGrid"/>
        <w:tblW w:w="9355" w:type="dxa"/>
        <w:jc w:val="center"/>
        <w:tblLook w:val="04A0"/>
      </w:tblPr>
      <w:tblGrid>
        <w:gridCol w:w="1345"/>
        <w:gridCol w:w="2429"/>
        <w:gridCol w:w="1239"/>
        <w:gridCol w:w="1161"/>
        <w:gridCol w:w="1061"/>
        <w:gridCol w:w="983"/>
        <w:gridCol w:w="1137"/>
      </w:tblGrid>
      <w:tr w14:paraId="57D31C90" w14:textId="77777777" w:rsidTr="004E517F">
        <w:tblPrEx>
          <w:tblW w:w="9355" w:type="dxa"/>
          <w:jc w:val="center"/>
          <w:tblLook w:val="04A0"/>
        </w:tblPrEx>
        <w:trPr>
          <w:jc w:val="center"/>
        </w:trPr>
        <w:tc>
          <w:tcPr>
            <w:tcW w:w="9355" w:type="dxa"/>
            <w:gridSpan w:val="7"/>
            <w:shd w:val="clear" w:color="auto" w:fill="8EAADB" w:themeFill="accent1" w:themeFillTint="99"/>
          </w:tcPr>
          <w:p w:rsidR="006C7425" w:rsidP="004E517F" w14:paraId="0FDF825C" w14:textId="77777777">
            <w:pPr>
              <w:jc w:val="center"/>
              <w:rPr>
                <w:rFonts w:eastAsia="Calibri"/>
                <w:b/>
                <w:sz w:val="20"/>
                <w:szCs w:val="20"/>
              </w:rPr>
            </w:pPr>
            <w:r w:rsidRPr="00593904">
              <w:rPr>
                <w:bCs/>
                <w:i/>
                <w:iCs/>
                <w:color w:val="000000" w:themeColor="text1"/>
                <w:sz w:val="18"/>
                <w:szCs w:val="18"/>
              </w:rPr>
              <w:t>The following Standard Forms (SF) are utilized for the FEMA grant programs.  Approval for the collection of this information is provided under a government-wide OMB control number used throughout the Federal government; burden hours specific to these forms are not submitted for approval of this collection:</w:t>
            </w:r>
          </w:p>
          <w:p w:rsidR="006C7425" w:rsidRPr="00C54100" w:rsidP="004E517F" w14:paraId="0C98AA8A" w14:textId="77777777">
            <w:pPr>
              <w:jc w:val="center"/>
              <w:rPr>
                <w:rFonts w:eastAsia="Calibri"/>
                <w:b/>
                <w:sz w:val="20"/>
                <w:szCs w:val="20"/>
              </w:rPr>
            </w:pPr>
            <w:r w:rsidRPr="00C54100">
              <w:rPr>
                <w:rFonts w:eastAsia="Calibri"/>
                <w:b/>
                <w:sz w:val="20"/>
                <w:szCs w:val="20"/>
              </w:rPr>
              <w:t>Estimated Annualized Burden Hours and Costs</w:t>
            </w:r>
          </w:p>
        </w:tc>
      </w:tr>
      <w:tr w14:paraId="264BB8D1" w14:textId="77777777" w:rsidTr="00814646">
        <w:tblPrEx>
          <w:tblW w:w="9355" w:type="dxa"/>
          <w:jc w:val="center"/>
          <w:tblLook w:val="04A0"/>
        </w:tblPrEx>
        <w:trPr>
          <w:jc w:val="center"/>
        </w:trPr>
        <w:tc>
          <w:tcPr>
            <w:tcW w:w="1345" w:type="dxa"/>
            <w:shd w:val="clear" w:color="auto" w:fill="8EAADB" w:themeFill="accent1" w:themeFillTint="99"/>
          </w:tcPr>
          <w:p w:rsidR="006C7425" w:rsidRPr="005E2BB2" w:rsidP="00814646" w14:paraId="58FBB580" w14:textId="77777777">
            <w:pPr>
              <w:jc w:val="center"/>
              <w:rPr>
                <w:rFonts w:eastAsia="Calibri"/>
                <w:sz w:val="20"/>
                <w:szCs w:val="20"/>
              </w:rPr>
            </w:pPr>
            <w:r w:rsidRPr="005E2BB2">
              <w:rPr>
                <w:sz w:val="20"/>
                <w:szCs w:val="20"/>
              </w:rPr>
              <w:t>Type of Respondent</w:t>
            </w:r>
          </w:p>
        </w:tc>
        <w:tc>
          <w:tcPr>
            <w:tcW w:w="2429" w:type="dxa"/>
            <w:shd w:val="clear" w:color="auto" w:fill="8EAADB" w:themeFill="accent1" w:themeFillTint="99"/>
          </w:tcPr>
          <w:p w:rsidR="006C7425" w:rsidRPr="005E2BB2" w:rsidP="00814646" w14:paraId="4B6ECCA3" w14:textId="77777777">
            <w:pPr>
              <w:jc w:val="center"/>
              <w:rPr>
                <w:rFonts w:eastAsia="Calibri"/>
                <w:sz w:val="20"/>
                <w:szCs w:val="20"/>
              </w:rPr>
            </w:pPr>
            <w:r w:rsidRPr="005E2BB2">
              <w:rPr>
                <w:rFonts w:eastAsia="Calibri"/>
                <w:sz w:val="20"/>
                <w:szCs w:val="20"/>
              </w:rPr>
              <w:t>Form Name / Form No.</w:t>
            </w:r>
          </w:p>
        </w:tc>
        <w:tc>
          <w:tcPr>
            <w:tcW w:w="1239" w:type="dxa"/>
            <w:shd w:val="clear" w:color="auto" w:fill="8EAADB" w:themeFill="accent1" w:themeFillTint="99"/>
          </w:tcPr>
          <w:p w:rsidR="006C7425" w:rsidRPr="005E2BB2" w:rsidP="00814646" w14:paraId="74AD5A96" w14:textId="77777777">
            <w:pPr>
              <w:jc w:val="center"/>
              <w:rPr>
                <w:rFonts w:eastAsia="Calibri"/>
                <w:sz w:val="20"/>
                <w:szCs w:val="20"/>
              </w:rPr>
            </w:pPr>
            <w:r w:rsidRPr="005E2BB2">
              <w:rPr>
                <w:rFonts w:eastAsia="Calibri"/>
                <w:sz w:val="20"/>
                <w:szCs w:val="20"/>
              </w:rPr>
              <w:t>No. of Respondents</w:t>
            </w:r>
          </w:p>
        </w:tc>
        <w:tc>
          <w:tcPr>
            <w:tcW w:w="1161" w:type="dxa"/>
            <w:shd w:val="clear" w:color="auto" w:fill="8EAADB" w:themeFill="accent1" w:themeFillTint="99"/>
          </w:tcPr>
          <w:p w:rsidR="006C7425" w:rsidRPr="005E2BB2" w:rsidP="00814646" w14:paraId="3979105F" w14:textId="77777777">
            <w:pPr>
              <w:jc w:val="center"/>
              <w:rPr>
                <w:rFonts w:eastAsia="Calibri"/>
                <w:sz w:val="20"/>
                <w:szCs w:val="20"/>
              </w:rPr>
            </w:pPr>
            <w:r w:rsidRPr="005E2BB2">
              <w:rPr>
                <w:rFonts w:eastAsia="Calibri"/>
                <w:sz w:val="20"/>
                <w:szCs w:val="20"/>
              </w:rPr>
              <w:t>No. of Responses per Respondent</w:t>
            </w:r>
          </w:p>
        </w:tc>
        <w:tc>
          <w:tcPr>
            <w:tcW w:w="1061" w:type="dxa"/>
            <w:shd w:val="clear" w:color="auto" w:fill="8EAADB" w:themeFill="accent1" w:themeFillTint="99"/>
          </w:tcPr>
          <w:p w:rsidR="006C7425" w:rsidRPr="005E2BB2" w:rsidP="00814646" w14:paraId="7475EB4B" w14:textId="77777777">
            <w:pPr>
              <w:jc w:val="center"/>
              <w:rPr>
                <w:rFonts w:eastAsia="Calibri"/>
                <w:sz w:val="20"/>
                <w:szCs w:val="20"/>
              </w:rPr>
            </w:pPr>
            <w:r w:rsidRPr="005E2BB2">
              <w:rPr>
                <w:rFonts w:eastAsia="Calibri"/>
                <w:sz w:val="20"/>
                <w:szCs w:val="20"/>
              </w:rPr>
              <w:t>Total No. of Responses</w:t>
            </w:r>
          </w:p>
        </w:tc>
        <w:tc>
          <w:tcPr>
            <w:tcW w:w="983" w:type="dxa"/>
            <w:shd w:val="clear" w:color="auto" w:fill="8EAADB" w:themeFill="accent1" w:themeFillTint="99"/>
          </w:tcPr>
          <w:p w:rsidR="006C7425" w:rsidRPr="005E2BB2" w:rsidP="00814646" w14:paraId="6AD093D4" w14:textId="77777777">
            <w:pPr>
              <w:jc w:val="center"/>
              <w:rPr>
                <w:rFonts w:eastAsia="Calibri"/>
                <w:sz w:val="20"/>
                <w:szCs w:val="20"/>
              </w:rPr>
            </w:pPr>
            <w:r w:rsidRPr="005E2BB2">
              <w:rPr>
                <w:rFonts w:eastAsia="Calibri"/>
                <w:sz w:val="20"/>
                <w:szCs w:val="20"/>
              </w:rPr>
              <w:t>Avg. Burden per Response (in hours)</w:t>
            </w:r>
          </w:p>
        </w:tc>
        <w:tc>
          <w:tcPr>
            <w:tcW w:w="1137" w:type="dxa"/>
            <w:shd w:val="clear" w:color="auto" w:fill="8EAADB" w:themeFill="accent1" w:themeFillTint="99"/>
          </w:tcPr>
          <w:p w:rsidR="006C7425" w:rsidRPr="005E2BB2" w:rsidP="00814646" w14:paraId="5EC42852" w14:textId="77777777">
            <w:pPr>
              <w:jc w:val="center"/>
              <w:rPr>
                <w:rFonts w:eastAsia="Calibri"/>
                <w:sz w:val="20"/>
                <w:szCs w:val="20"/>
              </w:rPr>
            </w:pPr>
            <w:r w:rsidRPr="005E2BB2">
              <w:rPr>
                <w:rFonts w:eastAsia="Calibri"/>
                <w:sz w:val="20"/>
                <w:szCs w:val="20"/>
              </w:rPr>
              <w:t>Total Annual Burden (in hours)</w:t>
            </w:r>
          </w:p>
        </w:tc>
      </w:tr>
      <w:tr w14:paraId="47F2F92F" w14:textId="77777777" w:rsidTr="00814646">
        <w:tblPrEx>
          <w:tblW w:w="9355" w:type="dxa"/>
          <w:jc w:val="center"/>
          <w:tblLook w:val="04A0"/>
        </w:tblPrEx>
        <w:trPr>
          <w:jc w:val="center"/>
        </w:trPr>
        <w:tc>
          <w:tcPr>
            <w:tcW w:w="1345" w:type="dxa"/>
            <w:vAlign w:val="center"/>
          </w:tcPr>
          <w:p w:rsidR="006C7425" w:rsidRPr="00283C13" w:rsidP="006C7425" w14:paraId="6E640546" w14:textId="77777777">
            <w:r w:rsidRPr="004C6264">
              <w:rPr>
                <w:color w:val="000000" w:themeColor="text1"/>
                <w:sz w:val="18"/>
                <w:szCs w:val="18"/>
              </w:rPr>
              <w:t xml:space="preserve">State, </w:t>
            </w:r>
            <w:r>
              <w:rPr>
                <w:color w:val="000000" w:themeColor="text1"/>
                <w:sz w:val="18"/>
                <w:szCs w:val="18"/>
              </w:rPr>
              <w:t>Local,</w:t>
            </w:r>
            <w:r w:rsidRPr="004C6264">
              <w:rPr>
                <w:color w:val="000000" w:themeColor="text1"/>
                <w:sz w:val="18"/>
                <w:szCs w:val="18"/>
              </w:rPr>
              <w:t xml:space="preserve"> </w:t>
            </w:r>
            <w:r>
              <w:rPr>
                <w:color w:val="000000" w:themeColor="text1"/>
                <w:sz w:val="18"/>
                <w:szCs w:val="18"/>
              </w:rPr>
              <w:t>and</w:t>
            </w:r>
            <w:r w:rsidRPr="004C6264">
              <w:rPr>
                <w:color w:val="000000" w:themeColor="text1"/>
                <w:sz w:val="18"/>
                <w:szCs w:val="18"/>
              </w:rPr>
              <w:t xml:space="preserve"> Tribal </w:t>
            </w:r>
            <w:r>
              <w:rPr>
                <w:color w:val="000000" w:themeColor="text1"/>
                <w:sz w:val="18"/>
                <w:szCs w:val="18"/>
              </w:rPr>
              <w:t>G</w:t>
            </w:r>
            <w:r w:rsidRPr="004C6264">
              <w:rPr>
                <w:color w:val="000000" w:themeColor="text1"/>
                <w:sz w:val="18"/>
                <w:szCs w:val="18"/>
              </w:rPr>
              <w:t>overnment</w:t>
            </w:r>
            <w:r>
              <w:rPr>
                <w:color w:val="000000" w:themeColor="text1"/>
                <w:sz w:val="18"/>
                <w:szCs w:val="18"/>
              </w:rPr>
              <w:t>s</w:t>
            </w:r>
          </w:p>
        </w:tc>
        <w:tc>
          <w:tcPr>
            <w:tcW w:w="2429" w:type="dxa"/>
            <w:vAlign w:val="bottom"/>
          </w:tcPr>
          <w:p w:rsidR="006C7425" w:rsidRPr="00814646" w:rsidP="006C7425" w14:paraId="0E2B40A0" w14:textId="7A5FB4DD">
            <w:pPr>
              <w:rPr>
                <w:color w:val="000000" w:themeColor="text1"/>
                <w:sz w:val="18"/>
                <w:szCs w:val="18"/>
              </w:rPr>
            </w:pPr>
            <w:r w:rsidRPr="00814646">
              <w:rPr>
                <w:color w:val="000000" w:themeColor="text1"/>
                <w:sz w:val="18"/>
                <w:szCs w:val="18"/>
              </w:rPr>
              <w:t xml:space="preserve">FEMA Form FF-206-FY-22-157, FEMA Model Deed Restriction </w:t>
            </w:r>
            <w:r>
              <w:rPr>
                <w:color w:val="000000" w:themeColor="text1"/>
                <w:sz w:val="18"/>
                <w:szCs w:val="18"/>
              </w:rPr>
              <w:br/>
            </w:r>
            <w:r>
              <w:rPr>
                <w:color w:val="000000" w:themeColor="text1"/>
                <w:sz w:val="18"/>
                <w:szCs w:val="18"/>
              </w:rPr>
              <w:t>(OMB No. 1660-0072)</w:t>
            </w:r>
          </w:p>
        </w:tc>
        <w:tc>
          <w:tcPr>
            <w:tcW w:w="1239" w:type="dxa"/>
            <w:vAlign w:val="center"/>
          </w:tcPr>
          <w:p w:rsidR="006C7425" w:rsidRPr="00283C13" w:rsidP="006C7425" w14:paraId="2C5AE6B5" w14:textId="084D709C">
            <w:pPr>
              <w:jc w:val="center"/>
            </w:pPr>
            <w:r>
              <w:rPr>
                <w:color w:val="000000" w:themeColor="text1"/>
                <w:sz w:val="18"/>
                <w:szCs w:val="18"/>
              </w:rPr>
              <w:t>59</w:t>
            </w:r>
          </w:p>
        </w:tc>
        <w:tc>
          <w:tcPr>
            <w:tcW w:w="1161" w:type="dxa"/>
            <w:shd w:val="clear" w:color="auto" w:fill="auto"/>
            <w:vAlign w:val="center"/>
          </w:tcPr>
          <w:p w:rsidR="006C7425" w:rsidRPr="00283C13" w:rsidP="006C7425" w14:paraId="36518A84" w14:textId="3B75618C">
            <w:pPr>
              <w:jc w:val="center"/>
            </w:pPr>
            <w:r>
              <w:rPr>
                <w:color w:val="000000" w:themeColor="text1"/>
                <w:sz w:val="18"/>
                <w:szCs w:val="18"/>
              </w:rPr>
              <w:t>21</w:t>
            </w:r>
          </w:p>
        </w:tc>
        <w:tc>
          <w:tcPr>
            <w:tcW w:w="1061" w:type="dxa"/>
            <w:shd w:val="clear" w:color="auto" w:fill="auto"/>
            <w:vAlign w:val="center"/>
          </w:tcPr>
          <w:p w:rsidR="006C7425" w:rsidRPr="00283C13" w:rsidP="006C7425" w14:paraId="713BBED8" w14:textId="3F49EE1A">
            <w:pPr>
              <w:jc w:val="center"/>
            </w:pPr>
            <w:r>
              <w:rPr>
                <w:color w:val="000000" w:themeColor="text1"/>
                <w:sz w:val="18"/>
                <w:szCs w:val="18"/>
              </w:rPr>
              <w:t>1,239</w:t>
            </w:r>
          </w:p>
        </w:tc>
        <w:tc>
          <w:tcPr>
            <w:tcW w:w="983" w:type="dxa"/>
            <w:shd w:val="clear" w:color="auto" w:fill="auto"/>
            <w:vAlign w:val="center"/>
          </w:tcPr>
          <w:p w:rsidR="006C7425" w:rsidRPr="00283C13" w:rsidP="006C7425" w14:paraId="1C155CF5" w14:textId="0B1E53EF">
            <w:pPr>
              <w:jc w:val="center"/>
            </w:pPr>
            <w:r>
              <w:rPr>
                <w:color w:val="000000" w:themeColor="text1"/>
                <w:sz w:val="18"/>
                <w:szCs w:val="18"/>
              </w:rPr>
              <w:t>4</w:t>
            </w:r>
          </w:p>
        </w:tc>
        <w:tc>
          <w:tcPr>
            <w:tcW w:w="1137" w:type="dxa"/>
            <w:shd w:val="clear" w:color="auto" w:fill="auto"/>
            <w:vAlign w:val="center"/>
          </w:tcPr>
          <w:p w:rsidR="006C7425" w:rsidRPr="00283C13" w:rsidP="006C7425" w14:paraId="7A9BD979" w14:textId="45A0B470">
            <w:pPr>
              <w:jc w:val="right"/>
            </w:pPr>
            <w:r>
              <w:rPr>
                <w:color w:val="000000" w:themeColor="text1"/>
                <w:sz w:val="18"/>
                <w:szCs w:val="18"/>
              </w:rPr>
              <w:t>4,956</w:t>
            </w:r>
          </w:p>
        </w:tc>
      </w:tr>
      <w:tr w14:paraId="3A952357" w14:textId="77777777" w:rsidTr="00814646">
        <w:tblPrEx>
          <w:tblW w:w="9355" w:type="dxa"/>
          <w:jc w:val="center"/>
          <w:tblLook w:val="04A0"/>
        </w:tblPrEx>
        <w:trPr>
          <w:jc w:val="center"/>
        </w:trPr>
        <w:tc>
          <w:tcPr>
            <w:tcW w:w="1345" w:type="dxa"/>
            <w:shd w:val="clear" w:color="auto" w:fill="FFFFFF" w:themeFill="background1"/>
            <w:vAlign w:val="center"/>
          </w:tcPr>
          <w:p w:rsidR="006C7425" w:rsidRPr="00283C13" w:rsidP="006C7425" w14:paraId="4F4E4E39" w14:textId="77777777">
            <w:pPr>
              <w:rPr>
                <w:rFonts w:eastAsia="Calibri"/>
                <w:b/>
                <w:bCs/>
                <w:color w:val="000000" w:themeColor="text1"/>
              </w:rPr>
            </w:pPr>
            <w:r w:rsidRPr="004C6264">
              <w:rPr>
                <w:color w:val="000000" w:themeColor="text1"/>
                <w:sz w:val="18"/>
                <w:szCs w:val="18"/>
              </w:rPr>
              <w:t xml:space="preserve">State, </w:t>
            </w:r>
            <w:r>
              <w:rPr>
                <w:color w:val="000000" w:themeColor="text1"/>
                <w:sz w:val="18"/>
                <w:szCs w:val="18"/>
              </w:rPr>
              <w:t>Local,</w:t>
            </w:r>
            <w:r w:rsidRPr="004C6264">
              <w:rPr>
                <w:color w:val="000000" w:themeColor="text1"/>
                <w:sz w:val="18"/>
                <w:szCs w:val="18"/>
              </w:rPr>
              <w:t xml:space="preserve"> </w:t>
            </w:r>
            <w:r>
              <w:rPr>
                <w:color w:val="000000" w:themeColor="text1"/>
                <w:sz w:val="18"/>
                <w:szCs w:val="18"/>
              </w:rPr>
              <w:t>and</w:t>
            </w:r>
            <w:r w:rsidRPr="004C6264">
              <w:rPr>
                <w:color w:val="000000" w:themeColor="text1"/>
                <w:sz w:val="18"/>
                <w:szCs w:val="18"/>
              </w:rPr>
              <w:t xml:space="preserve"> Tribal </w:t>
            </w:r>
            <w:r>
              <w:rPr>
                <w:color w:val="000000" w:themeColor="text1"/>
                <w:sz w:val="18"/>
                <w:szCs w:val="18"/>
              </w:rPr>
              <w:t>G</w:t>
            </w:r>
            <w:r w:rsidRPr="004C6264">
              <w:rPr>
                <w:color w:val="000000" w:themeColor="text1"/>
                <w:sz w:val="18"/>
                <w:szCs w:val="18"/>
              </w:rPr>
              <w:t>overnment</w:t>
            </w:r>
            <w:r>
              <w:rPr>
                <w:color w:val="000000" w:themeColor="text1"/>
                <w:sz w:val="18"/>
                <w:szCs w:val="18"/>
              </w:rPr>
              <w:t>s</w:t>
            </w:r>
          </w:p>
        </w:tc>
        <w:tc>
          <w:tcPr>
            <w:tcW w:w="2429" w:type="dxa"/>
            <w:shd w:val="clear" w:color="auto" w:fill="FFFFFF" w:themeFill="background1"/>
            <w:vAlign w:val="bottom"/>
          </w:tcPr>
          <w:p w:rsidR="006C7425" w:rsidRPr="00814646" w:rsidP="006C7425" w14:paraId="0A1BCBDC" w14:textId="54F37454">
            <w:pPr>
              <w:rPr>
                <w:color w:val="000000" w:themeColor="text1"/>
                <w:sz w:val="18"/>
                <w:szCs w:val="18"/>
              </w:rPr>
            </w:pPr>
            <w:r w:rsidRPr="00814646">
              <w:rPr>
                <w:color w:val="000000" w:themeColor="text1"/>
                <w:sz w:val="18"/>
                <w:szCs w:val="18"/>
              </w:rPr>
              <w:t xml:space="preserve">FEMA Form FF-104-FY-21-128 (formerly 009-0-3) (English), Declaration and Release or FF-104-FY-21-128-A (formerly 009-0-4) (Spanish), Declaración Y Autorización </w:t>
            </w:r>
            <w:r>
              <w:rPr>
                <w:color w:val="000000" w:themeColor="text1"/>
                <w:sz w:val="18"/>
                <w:szCs w:val="18"/>
              </w:rPr>
              <w:br/>
            </w:r>
            <w:r>
              <w:rPr>
                <w:color w:val="000000" w:themeColor="text1"/>
                <w:sz w:val="18"/>
                <w:szCs w:val="18"/>
              </w:rPr>
              <w:t>(OMB No. 1660-0002)</w:t>
            </w:r>
          </w:p>
        </w:tc>
        <w:tc>
          <w:tcPr>
            <w:tcW w:w="1239" w:type="dxa"/>
            <w:vAlign w:val="center"/>
          </w:tcPr>
          <w:p w:rsidR="006C7425" w:rsidRPr="00283C13" w:rsidP="006C7425" w14:paraId="676860A8" w14:textId="24B4282B">
            <w:pPr>
              <w:jc w:val="center"/>
              <w:rPr>
                <w:rFonts w:eastAsia="Calibri"/>
              </w:rPr>
            </w:pPr>
            <w:r>
              <w:rPr>
                <w:color w:val="000000" w:themeColor="text1"/>
                <w:sz w:val="18"/>
                <w:szCs w:val="18"/>
              </w:rPr>
              <w:t>2,478</w:t>
            </w:r>
          </w:p>
        </w:tc>
        <w:tc>
          <w:tcPr>
            <w:tcW w:w="1161" w:type="dxa"/>
            <w:shd w:val="clear" w:color="auto" w:fill="auto"/>
            <w:vAlign w:val="center"/>
          </w:tcPr>
          <w:p w:rsidR="006C7425" w:rsidRPr="00283C13" w:rsidP="006C7425" w14:paraId="2A50ED8A" w14:textId="07FCB5E3">
            <w:pPr>
              <w:jc w:val="center"/>
              <w:rPr>
                <w:rFonts w:eastAsia="Calibri"/>
              </w:rPr>
            </w:pPr>
            <w:r>
              <w:rPr>
                <w:color w:val="000000" w:themeColor="text1"/>
                <w:sz w:val="18"/>
                <w:szCs w:val="18"/>
              </w:rPr>
              <w:t>1</w:t>
            </w:r>
          </w:p>
        </w:tc>
        <w:tc>
          <w:tcPr>
            <w:tcW w:w="1061" w:type="dxa"/>
            <w:shd w:val="clear" w:color="auto" w:fill="auto"/>
            <w:vAlign w:val="center"/>
          </w:tcPr>
          <w:p w:rsidR="006C7425" w:rsidRPr="00283C13" w:rsidP="006C7425" w14:paraId="7DB59F2C" w14:textId="025C323F">
            <w:pPr>
              <w:jc w:val="center"/>
              <w:rPr>
                <w:rFonts w:eastAsia="Calibri"/>
              </w:rPr>
            </w:pPr>
            <w:r>
              <w:rPr>
                <w:color w:val="000000" w:themeColor="text1"/>
                <w:sz w:val="18"/>
                <w:szCs w:val="18"/>
              </w:rPr>
              <w:t>2,478</w:t>
            </w:r>
          </w:p>
        </w:tc>
        <w:tc>
          <w:tcPr>
            <w:tcW w:w="983" w:type="dxa"/>
            <w:shd w:val="clear" w:color="auto" w:fill="auto"/>
            <w:vAlign w:val="center"/>
          </w:tcPr>
          <w:p w:rsidR="006C7425" w:rsidRPr="00283C13" w:rsidP="006C7425" w14:paraId="3BA8453C" w14:textId="1E09B6BA">
            <w:pPr>
              <w:jc w:val="center"/>
              <w:rPr>
                <w:rFonts w:eastAsia="Calibri"/>
              </w:rPr>
            </w:pPr>
            <w:r>
              <w:rPr>
                <w:color w:val="000000" w:themeColor="text1"/>
                <w:sz w:val="18"/>
                <w:szCs w:val="18"/>
              </w:rPr>
              <w:t>0.08</w:t>
            </w:r>
          </w:p>
        </w:tc>
        <w:tc>
          <w:tcPr>
            <w:tcW w:w="1137" w:type="dxa"/>
            <w:shd w:val="clear" w:color="auto" w:fill="auto"/>
            <w:vAlign w:val="center"/>
          </w:tcPr>
          <w:p w:rsidR="006C7425" w:rsidRPr="00283C13" w:rsidP="006C7425" w14:paraId="4174D827" w14:textId="0200BF8C">
            <w:pPr>
              <w:jc w:val="right"/>
              <w:rPr>
                <w:rFonts w:eastAsia="Calibri"/>
              </w:rPr>
            </w:pPr>
            <w:r>
              <w:rPr>
                <w:color w:val="000000" w:themeColor="text1"/>
                <w:sz w:val="18"/>
                <w:szCs w:val="18"/>
              </w:rPr>
              <w:t>198</w:t>
            </w:r>
          </w:p>
        </w:tc>
      </w:tr>
      <w:tr w14:paraId="0852D30C" w14:textId="77777777" w:rsidTr="00814646">
        <w:tblPrEx>
          <w:tblW w:w="9355" w:type="dxa"/>
          <w:jc w:val="center"/>
          <w:tblLook w:val="04A0"/>
        </w:tblPrEx>
        <w:trPr>
          <w:jc w:val="center"/>
        </w:trPr>
        <w:tc>
          <w:tcPr>
            <w:tcW w:w="1345" w:type="dxa"/>
            <w:shd w:val="clear" w:color="auto" w:fill="FFFFFF" w:themeFill="background1"/>
            <w:vAlign w:val="center"/>
          </w:tcPr>
          <w:p w:rsidR="006C7425" w:rsidRPr="004C6264" w:rsidP="006C7425" w14:paraId="06798BEA" w14:textId="77777777">
            <w:pPr>
              <w:rPr>
                <w:color w:val="000000"/>
                <w:sz w:val="18"/>
                <w:szCs w:val="18"/>
              </w:rPr>
            </w:pPr>
            <w:r w:rsidRPr="004C6264">
              <w:rPr>
                <w:color w:val="000000" w:themeColor="text1"/>
                <w:sz w:val="18"/>
                <w:szCs w:val="18"/>
              </w:rPr>
              <w:t xml:space="preserve">State, </w:t>
            </w:r>
            <w:r>
              <w:rPr>
                <w:color w:val="000000" w:themeColor="text1"/>
                <w:sz w:val="18"/>
                <w:szCs w:val="18"/>
              </w:rPr>
              <w:t>Local,</w:t>
            </w:r>
            <w:r w:rsidRPr="004C6264">
              <w:rPr>
                <w:color w:val="000000" w:themeColor="text1"/>
                <w:sz w:val="18"/>
                <w:szCs w:val="18"/>
              </w:rPr>
              <w:t xml:space="preserve"> </w:t>
            </w:r>
            <w:r>
              <w:rPr>
                <w:color w:val="000000" w:themeColor="text1"/>
                <w:sz w:val="18"/>
                <w:szCs w:val="18"/>
              </w:rPr>
              <w:t>and</w:t>
            </w:r>
            <w:r w:rsidRPr="004C6264">
              <w:rPr>
                <w:color w:val="000000" w:themeColor="text1"/>
                <w:sz w:val="18"/>
                <w:szCs w:val="18"/>
              </w:rPr>
              <w:t xml:space="preserve"> Tribal </w:t>
            </w:r>
            <w:r>
              <w:rPr>
                <w:color w:val="000000" w:themeColor="text1"/>
                <w:sz w:val="18"/>
                <w:szCs w:val="18"/>
              </w:rPr>
              <w:t>G</w:t>
            </w:r>
            <w:r w:rsidRPr="004C6264">
              <w:rPr>
                <w:color w:val="000000" w:themeColor="text1"/>
                <w:sz w:val="18"/>
                <w:szCs w:val="18"/>
              </w:rPr>
              <w:t>overnment</w:t>
            </w:r>
            <w:r>
              <w:rPr>
                <w:color w:val="000000" w:themeColor="text1"/>
                <w:sz w:val="18"/>
                <w:szCs w:val="18"/>
              </w:rPr>
              <w:t>s</w:t>
            </w:r>
          </w:p>
        </w:tc>
        <w:tc>
          <w:tcPr>
            <w:tcW w:w="2429" w:type="dxa"/>
            <w:shd w:val="clear" w:color="auto" w:fill="FFFFFF" w:themeFill="background1"/>
            <w:vAlign w:val="bottom"/>
          </w:tcPr>
          <w:p w:rsidR="006C7425" w:rsidRPr="00814646" w:rsidP="006C7425" w14:paraId="7FF9322C" w14:textId="13AF68DB">
            <w:pPr>
              <w:rPr>
                <w:color w:val="000000" w:themeColor="text1"/>
                <w:sz w:val="18"/>
                <w:szCs w:val="18"/>
              </w:rPr>
            </w:pPr>
            <w:r w:rsidRPr="00814646">
              <w:rPr>
                <w:color w:val="000000" w:themeColor="text1"/>
                <w:sz w:val="18"/>
                <w:szCs w:val="18"/>
              </w:rPr>
              <w:t>FEMA Form FF-206-FY-23-103 (formerly 086-0-35a)</w:t>
            </w:r>
            <w:r>
              <w:rPr>
                <w:color w:val="000000" w:themeColor="text1"/>
                <w:sz w:val="18"/>
                <w:szCs w:val="18"/>
              </w:rPr>
              <w:t>,</w:t>
            </w:r>
            <w:r w:rsidRPr="00814646">
              <w:rPr>
                <w:color w:val="000000" w:themeColor="text1"/>
                <w:sz w:val="18"/>
                <w:szCs w:val="18"/>
              </w:rPr>
              <w:t xml:space="preserve"> NFIP Repetitive Loss Update Worksheet</w:t>
            </w:r>
            <w:r>
              <w:rPr>
                <w:color w:val="000000" w:themeColor="text1"/>
                <w:sz w:val="18"/>
                <w:szCs w:val="18"/>
              </w:rPr>
              <w:t xml:space="preserve"> </w:t>
            </w:r>
            <w:r>
              <w:rPr>
                <w:color w:val="000000" w:themeColor="text1"/>
                <w:sz w:val="18"/>
                <w:szCs w:val="18"/>
              </w:rPr>
              <w:br/>
            </w:r>
            <w:r>
              <w:rPr>
                <w:color w:val="000000" w:themeColor="text1"/>
                <w:sz w:val="18"/>
                <w:szCs w:val="18"/>
              </w:rPr>
              <w:t>(OMB No. 1660-0022)</w:t>
            </w:r>
          </w:p>
        </w:tc>
        <w:tc>
          <w:tcPr>
            <w:tcW w:w="1239" w:type="dxa"/>
            <w:vAlign w:val="center"/>
          </w:tcPr>
          <w:p w:rsidR="006C7425" w:rsidRPr="004C6264" w:rsidP="006C7425" w14:paraId="1606BB99" w14:textId="703CA6C9">
            <w:pPr>
              <w:jc w:val="center"/>
              <w:rPr>
                <w:color w:val="000000" w:themeColor="text1"/>
                <w:sz w:val="18"/>
                <w:szCs w:val="18"/>
              </w:rPr>
            </w:pPr>
            <w:r>
              <w:rPr>
                <w:color w:val="000000" w:themeColor="text1"/>
                <w:sz w:val="18"/>
                <w:szCs w:val="18"/>
              </w:rPr>
              <w:t>59</w:t>
            </w:r>
          </w:p>
        </w:tc>
        <w:tc>
          <w:tcPr>
            <w:tcW w:w="1161" w:type="dxa"/>
            <w:shd w:val="clear" w:color="auto" w:fill="auto"/>
            <w:vAlign w:val="center"/>
          </w:tcPr>
          <w:p w:rsidR="006C7425" w:rsidRPr="004C6264" w:rsidP="006C7425" w14:paraId="1B578891" w14:textId="2D57EB5F">
            <w:pPr>
              <w:jc w:val="center"/>
              <w:rPr>
                <w:color w:val="000000" w:themeColor="text1"/>
                <w:sz w:val="18"/>
                <w:szCs w:val="18"/>
              </w:rPr>
            </w:pPr>
            <w:r>
              <w:rPr>
                <w:color w:val="000000" w:themeColor="text1"/>
                <w:sz w:val="18"/>
                <w:szCs w:val="18"/>
              </w:rPr>
              <w:t>21</w:t>
            </w:r>
          </w:p>
        </w:tc>
        <w:tc>
          <w:tcPr>
            <w:tcW w:w="1061" w:type="dxa"/>
            <w:shd w:val="clear" w:color="auto" w:fill="auto"/>
            <w:vAlign w:val="center"/>
          </w:tcPr>
          <w:p w:rsidR="006C7425" w:rsidRPr="004C6264" w:rsidP="006C7425" w14:paraId="081EEE0F" w14:textId="33A498C6">
            <w:pPr>
              <w:jc w:val="center"/>
              <w:rPr>
                <w:color w:val="000000" w:themeColor="text1"/>
                <w:sz w:val="18"/>
                <w:szCs w:val="18"/>
              </w:rPr>
            </w:pPr>
            <w:r>
              <w:rPr>
                <w:color w:val="000000" w:themeColor="text1"/>
                <w:sz w:val="18"/>
                <w:szCs w:val="18"/>
              </w:rPr>
              <w:t>1,239</w:t>
            </w:r>
          </w:p>
        </w:tc>
        <w:tc>
          <w:tcPr>
            <w:tcW w:w="983" w:type="dxa"/>
            <w:shd w:val="clear" w:color="auto" w:fill="auto"/>
            <w:vAlign w:val="center"/>
          </w:tcPr>
          <w:p w:rsidR="006C7425" w:rsidRPr="004C6264" w:rsidP="006C7425" w14:paraId="259F5E96" w14:textId="22308B72">
            <w:pPr>
              <w:jc w:val="center"/>
              <w:rPr>
                <w:color w:val="000000" w:themeColor="text1"/>
                <w:sz w:val="18"/>
                <w:szCs w:val="18"/>
              </w:rPr>
            </w:pPr>
            <w:r>
              <w:rPr>
                <w:color w:val="000000" w:themeColor="text1"/>
                <w:sz w:val="18"/>
                <w:szCs w:val="18"/>
              </w:rPr>
              <w:t>0.08</w:t>
            </w:r>
          </w:p>
        </w:tc>
        <w:tc>
          <w:tcPr>
            <w:tcW w:w="1137" w:type="dxa"/>
            <w:shd w:val="clear" w:color="auto" w:fill="auto"/>
            <w:vAlign w:val="center"/>
          </w:tcPr>
          <w:p w:rsidR="006C7425" w:rsidRPr="004C6264" w:rsidP="006C7425" w14:paraId="6DFC6F9D" w14:textId="63E8D3F2">
            <w:pPr>
              <w:jc w:val="right"/>
              <w:rPr>
                <w:color w:val="000000" w:themeColor="text1"/>
                <w:sz w:val="18"/>
                <w:szCs w:val="18"/>
              </w:rPr>
            </w:pPr>
            <w:r>
              <w:rPr>
                <w:color w:val="000000" w:themeColor="text1"/>
                <w:sz w:val="18"/>
                <w:szCs w:val="18"/>
              </w:rPr>
              <w:t>99</w:t>
            </w:r>
          </w:p>
        </w:tc>
      </w:tr>
      <w:tr w14:paraId="0D848303" w14:textId="77777777" w:rsidTr="00814646">
        <w:tblPrEx>
          <w:tblW w:w="9355" w:type="dxa"/>
          <w:jc w:val="center"/>
          <w:tblLook w:val="04A0"/>
        </w:tblPrEx>
        <w:trPr>
          <w:jc w:val="center"/>
        </w:trPr>
        <w:tc>
          <w:tcPr>
            <w:tcW w:w="1345" w:type="dxa"/>
            <w:shd w:val="clear" w:color="auto" w:fill="FFFFFF" w:themeFill="background1"/>
            <w:vAlign w:val="center"/>
          </w:tcPr>
          <w:p w:rsidR="006C7425" w:rsidRPr="004C6264" w:rsidP="006C7425" w14:paraId="6C773452" w14:textId="77777777">
            <w:pPr>
              <w:rPr>
                <w:color w:val="000000"/>
                <w:sz w:val="18"/>
                <w:szCs w:val="18"/>
              </w:rPr>
            </w:pPr>
            <w:r w:rsidRPr="004C6264">
              <w:rPr>
                <w:color w:val="000000" w:themeColor="text1"/>
                <w:sz w:val="18"/>
                <w:szCs w:val="18"/>
              </w:rPr>
              <w:t xml:space="preserve">State, </w:t>
            </w:r>
            <w:r>
              <w:rPr>
                <w:color w:val="000000" w:themeColor="text1"/>
                <w:sz w:val="18"/>
                <w:szCs w:val="18"/>
              </w:rPr>
              <w:t>Local,</w:t>
            </w:r>
            <w:r w:rsidRPr="004C6264">
              <w:rPr>
                <w:color w:val="000000" w:themeColor="text1"/>
                <w:sz w:val="18"/>
                <w:szCs w:val="18"/>
              </w:rPr>
              <w:t xml:space="preserve"> </w:t>
            </w:r>
            <w:r>
              <w:rPr>
                <w:color w:val="000000" w:themeColor="text1"/>
                <w:sz w:val="18"/>
                <w:szCs w:val="18"/>
              </w:rPr>
              <w:t>and</w:t>
            </w:r>
            <w:r w:rsidRPr="004C6264">
              <w:rPr>
                <w:color w:val="000000" w:themeColor="text1"/>
                <w:sz w:val="18"/>
                <w:szCs w:val="18"/>
              </w:rPr>
              <w:t xml:space="preserve"> Tribal </w:t>
            </w:r>
            <w:r>
              <w:rPr>
                <w:color w:val="000000" w:themeColor="text1"/>
                <w:sz w:val="18"/>
                <w:szCs w:val="18"/>
              </w:rPr>
              <w:t>G</w:t>
            </w:r>
            <w:r w:rsidRPr="004C6264">
              <w:rPr>
                <w:color w:val="000000" w:themeColor="text1"/>
                <w:sz w:val="18"/>
                <w:szCs w:val="18"/>
              </w:rPr>
              <w:t>overnment</w:t>
            </w:r>
            <w:r>
              <w:rPr>
                <w:color w:val="000000" w:themeColor="text1"/>
                <w:sz w:val="18"/>
                <w:szCs w:val="18"/>
              </w:rPr>
              <w:t>s</w:t>
            </w:r>
          </w:p>
        </w:tc>
        <w:tc>
          <w:tcPr>
            <w:tcW w:w="2429" w:type="dxa"/>
            <w:shd w:val="clear" w:color="auto" w:fill="FFFFFF" w:themeFill="background1"/>
            <w:vAlign w:val="bottom"/>
          </w:tcPr>
          <w:p w:rsidR="006C7425" w:rsidRPr="00814646" w:rsidP="006C7425" w14:paraId="341F1A23" w14:textId="4B1D3448">
            <w:pPr>
              <w:rPr>
                <w:color w:val="000000" w:themeColor="text1"/>
                <w:sz w:val="18"/>
                <w:szCs w:val="18"/>
              </w:rPr>
            </w:pPr>
            <w:r w:rsidRPr="00814646">
              <w:rPr>
                <w:color w:val="000000" w:themeColor="text1"/>
                <w:sz w:val="18"/>
                <w:szCs w:val="18"/>
              </w:rPr>
              <w:t>Form SF-429</w:t>
            </w:r>
            <w:r>
              <w:rPr>
                <w:color w:val="000000" w:themeColor="text1"/>
                <w:sz w:val="18"/>
                <w:szCs w:val="18"/>
              </w:rPr>
              <w:t>-A</w:t>
            </w:r>
            <w:r w:rsidRPr="00814646">
              <w:rPr>
                <w:color w:val="000000" w:themeColor="text1"/>
                <w:sz w:val="18"/>
                <w:szCs w:val="18"/>
              </w:rPr>
              <w:t xml:space="preserve">, Real Property Status Report - Attachment A (General Reporting) </w:t>
            </w:r>
            <w:r>
              <w:rPr>
                <w:color w:val="000000" w:themeColor="text1"/>
                <w:sz w:val="18"/>
                <w:szCs w:val="18"/>
              </w:rPr>
              <w:br/>
            </w:r>
            <w:r>
              <w:rPr>
                <w:color w:val="000000" w:themeColor="text1"/>
                <w:sz w:val="18"/>
                <w:szCs w:val="18"/>
              </w:rPr>
              <w:t>(OMB No. 4040-0016)</w:t>
            </w:r>
          </w:p>
        </w:tc>
        <w:tc>
          <w:tcPr>
            <w:tcW w:w="1239" w:type="dxa"/>
            <w:vAlign w:val="center"/>
          </w:tcPr>
          <w:p w:rsidR="006C7425" w:rsidRPr="004C6264" w:rsidP="006C7425" w14:paraId="283A7D5E" w14:textId="7676A867">
            <w:pPr>
              <w:jc w:val="center"/>
              <w:rPr>
                <w:color w:val="000000" w:themeColor="text1"/>
                <w:sz w:val="18"/>
                <w:szCs w:val="18"/>
              </w:rPr>
            </w:pPr>
            <w:r>
              <w:rPr>
                <w:color w:val="000000" w:themeColor="text1"/>
                <w:sz w:val="18"/>
                <w:szCs w:val="18"/>
              </w:rPr>
              <w:t>59</w:t>
            </w:r>
          </w:p>
        </w:tc>
        <w:tc>
          <w:tcPr>
            <w:tcW w:w="1161" w:type="dxa"/>
            <w:shd w:val="clear" w:color="auto" w:fill="auto"/>
            <w:vAlign w:val="center"/>
          </w:tcPr>
          <w:p w:rsidR="006C7425" w:rsidRPr="004C6264" w:rsidP="006C7425" w14:paraId="66E85204" w14:textId="53F110C7">
            <w:pPr>
              <w:jc w:val="center"/>
              <w:rPr>
                <w:color w:val="000000" w:themeColor="text1"/>
                <w:sz w:val="18"/>
                <w:szCs w:val="18"/>
              </w:rPr>
            </w:pPr>
            <w:r>
              <w:rPr>
                <w:color w:val="000000" w:themeColor="text1"/>
                <w:sz w:val="18"/>
                <w:szCs w:val="18"/>
              </w:rPr>
              <w:t>21</w:t>
            </w:r>
          </w:p>
        </w:tc>
        <w:tc>
          <w:tcPr>
            <w:tcW w:w="1061" w:type="dxa"/>
            <w:shd w:val="clear" w:color="auto" w:fill="auto"/>
            <w:vAlign w:val="center"/>
          </w:tcPr>
          <w:p w:rsidR="006C7425" w:rsidRPr="004C6264" w:rsidP="006C7425" w14:paraId="799F5F9B" w14:textId="2F60E05E">
            <w:pPr>
              <w:jc w:val="center"/>
              <w:rPr>
                <w:color w:val="000000" w:themeColor="text1"/>
                <w:sz w:val="18"/>
                <w:szCs w:val="18"/>
              </w:rPr>
            </w:pPr>
            <w:r>
              <w:rPr>
                <w:color w:val="000000" w:themeColor="text1"/>
                <w:sz w:val="18"/>
                <w:szCs w:val="18"/>
              </w:rPr>
              <w:t>1,239</w:t>
            </w:r>
          </w:p>
        </w:tc>
        <w:tc>
          <w:tcPr>
            <w:tcW w:w="983" w:type="dxa"/>
            <w:shd w:val="clear" w:color="auto" w:fill="auto"/>
            <w:vAlign w:val="center"/>
          </w:tcPr>
          <w:p w:rsidR="006C7425" w:rsidRPr="004C6264" w:rsidP="006C7425" w14:paraId="7223BCAF" w14:textId="4FAFB135">
            <w:pPr>
              <w:jc w:val="center"/>
              <w:rPr>
                <w:color w:val="000000" w:themeColor="text1"/>
                <w:sz w:val="18"/>
                <w:szCs w:val="18"/>
              </w:rPr>
            </w:pPr>
            <w:r>
              <w:rPr>
                <w:color w:val="000000" w:themeColor="text1"/>
                <w:sz w:val="18"/>
                <w:szCs w:val="18"/>
              </w:rPr>
              <w:t>4</w:t>
            </w:r>
          </w:p>
        </w:tc>
        <w:tc>
          <w:tcPr>
            <w:tcW w:w="1137" w:type="dxa"/>
            <w:shd w:val="clear" w:color="auto" w:fill="auto"/>
            <w:vAlign w:val="center"/>
          </w:tcPr>
          <w:p w:rsidR="006C7425" w:rsidRPr="004C6264" w:rsidP="006C7425" w14:paraId="600A7DAF" w14:textId="47B16C4A">
            <w:pPr>
              <w:jc w:val="right"/>
              <w:rPr>
                <w:color w:val="000000" w:themeColor="text1"/>
                <w:sz w:val="18"/>
                <w:szCs w:val="18"/>
              </w:rPr>
            </w:pPr>
            <w:r>
              <w:rPr>
                <w:color w:val="000000" w:themeColor="text1"/>
                <w:sz w:val="18"/>
                <w:szCs w:val="18"/>
              </w:rPr>
              <w:t>4,956</w:t>
            </w:r>
          </w:p>
        </w:tc>
      </w:tr>
      <w:tr w14:paraId="0DE2EEAE" w14:textId="77777777" w:rsidTr="00814646">
        <w:tblPrEx>
          <w:tblW w:w="9355" w:type="dxa"/>
          <w:jc w:val="center"/>
          <w:tblLook w:val="04A0"/>
        </w:tblPrEx>
        <w:trPr>
          <w:jc w:val="center"/>
        </w:trPr>
        <w:tc>
          <w:tcPr>
            <w:tcW w:w="1345" w:type="dxa"/>
            <w:shd w:val="clear" w:color="auto" w:fill="FFFFFF" w:themeFill="background1"/>
            <w:vAlign w:val="center"/>
          </w:tcPr>
          <w:p w:rsidR="006C7425" w:rsidRPr="004C6264" w:rsidP="006C7425" w14:paraId="2FA2B4CD" w14:textId="77777777">
            <w:pPr>
              <w:rPr>
                <w:color w:val="000000"/>
                <w:sz w:val="18"/>
                <w:szCs w:val="18"/>
              </w:rPr>
            </w:pPr>
            <w:r w:rsidRPr="004C6264">
              <w:rPr>
                <w:color w:val="000000" w:themeColor="text1"/>
                <w:sz w:val="18"/>
                <w:szCs w:val="18"/>
              </w:rPr>
              <w:t xml:space="preserve">State, </w:t>
            </w:r>
            <w:r>
              <w:rPr>
                <w:color w:val="000000" w:themeColor="text1"/>
                <w:sz w:val="18"/>
                <w:szCs w:val="18"/>
              </w:rPr>
              <w:t>Local,</w:t>
            </w:r>
            <w:r w:rsidRPr="004C6264">
              <w:rPr>
                <w:color w:val="000000" w:themeColor="text1"/>
                <w:sz w:val="18"/>
                <w:szCs w:val="18"/>
              </w:rPr>
              <w:t xml:space="preserve"> </w:t>
            </w:r>
            <w:r>
              <w:rPr>
                <w:color w:val="000000" w:themeColor="text1"/>
                <w:sz w:val="18"/>
                <w:szCs w:val="18"/>
              </w:rPr>
              <w:t>and</w:t>
            </w:r>
            <w:r w:rsidRPr="004C6264">
              <w:rPr>
                <w:color w:val="000000" w:themeColor="text1"/>
                <w:sz w:val="18"/>
                <w:szCs w:val="18"/>
              </w:rPr>
              <w:t xml:space="preserve"> Tribal </w:t>
            </w:r>
            <w:r>
              <w:rPr>
                <w:color w:val="000000" w:themeColor="text1"/>
                <w:sz w:val="18"/>
                <w:szCs w:val="18"/>
              </w:rPr>
              <w:t>G</w:t>
            </w:r>
            <w:r w:rsidRPr="004C6264">
              <w:rPr>
                <w:color w:val="000000" w:themeColor="text1"/>
                <w:sz w:val="18"/>
                <w:szCs w:val="18"/>
              </w:rPr>
              <w:t>overnment</w:t>
            </w:r>
            <w:r>
              <w:rPr>
                <w:color w:val="000000" w:themeColor="text1"/>
                <w:sz w:val="18"/>
                <w:szCs w:val="18"/>
              </w:rPr>
              <w:t>s</w:t>
            </w:r>
          </w:p>
        </w:tc>
        <w:tc>
          <w:tcPr>
            <w:tcW w:w="2429" w:type="dxa"/>
            <w:shd w:val="clear" w:color="auto" w:fill="FFFFFF" w:themeFill="background1"/>
            <w:vAlign w:val="bottom"/>
          </w:tcPr>
          <w:p w:rsidR="006C7425" w:rsidRPr="00814646" w:rsidP="006C7425" w14:paraId="40900B84" w14:textId="025D0FF3">
            <w:pPr>
              <w:rPr>
                <w:color w:val="000000" w:themeColor="text1"/>
                <w:sz w:val="18"/>
                <w:szCs w:val="18"/>
              </w:rPr>
            </w:pPr>
            <w:r w:rsidRPr="00CB14F8">
              <w:rPr>
                <w:color w:val="000000" w:themeColor="text1"/>
                <w:sz w:val="18"/>
                <w:szCs w:val="18"/>
              </w:rPr>
              <w:t>Form SF-429</w:t>
            </w:r>
            <w:r>
              <w:rPr>
                <w:color w:val="000000" w:themeColor="text1"/>
                <w:sz w:val="18"/>
                <w:szCs w:val="18"/>
              </w:rPr>
              <w:t>-B</w:t>
            </w:r>
            <w:r w:rsidRPr="00CB14F8">
              <w:rPr>
                <w:color w:val="000000" w:themeColor="text1"/>
                <w:sz w:val="18"/>
                <w:szCs w:val="18"/>
              </w:rPr>
              <w:t xml:space="preserve">, Real Property Status Report - </w:t>
            </w:r>
            <w:r w:rsidRPr="00814646">
              <w:rPr>
                <w:color w:val="000000" w:themeColor="text1"/>
                <w:sz w:val="18"/>
                <w:szCs w:val="18"/>
              </w:rPr>
              <w:t xml:space="preserve">Attachment B (Request to Acquire, Improve, or Furnish) </w:t>
            </w:r>
            <w:r w:rsidRPr="00814646">
              <w:rPr>
                <w:color w:val="000000" w:themeColor="text1"/>
                <w:sz w:val="18"/>
                <w:szCs w:val="18"/>
              </w:rPr>
              <w:t>(OMB No. 4040-0016)</w:t>
            </w:r>
          </w:p>
        </w:tc>
        <w:tc>
          <w:tcPr>
            <w:tcW w:w="1239" w:type="dxa"/>
            <w:vAlign w:val="center"/>
          </w:tcPr>
          <w:p w:rsidR="006C7425" w:rsidRPr="004C6264" w:rsidP="006C7425" w14:paraId="71168FB5" w14:textId="5839D3DA">
            <w:pPr>
              <w:jc w:val="center"/>
              <w:rPr>
                <w:color w:val="000000" w:themeColor="text1"/>
                <w:sz w:val="18"/>
                <w:szCs w:val="18"/>
              </w:rPr>
            </w:pPr>
            <w:r>
              <w:rPr>
                <w:color w:val="000000" w:themeColor="text1"/>
                <w:sz w:val="18"/>
                <w:szCs w:val="18"/>
              </w:rPr>
              <w:t>59</w:t>
            </w:r>
          </w:p>
        </w:tc>
        <w:tc>
          <w:tcPr>
            <w:tcW w:w="1161" w:type="dxa"/>
            <w:shd w:val="clear" w:color="auto" w:fill="auto"/>
            <w:vAlign w:val="center"/>
          </w:tcPr>
          <w:p w:rsidR="006C7425" w:rsidRPr="004C6264" w:rsidP="006C7425" w14:paraId="0993FAE8" w14:textId="4AB24B92">
            <w:pPr>
              <w:jc w:val="center"/>
              <w:rPr>
                <w:color w:val="000000" w:themeColor="text1"/>
                <w:sz w:val="18"/>
                <w:szCs w:val="18"/>
              </w:rPr>
            </w:pPr>
            <w:r>
              <w:rPr>
                <w:color w:val="000000" w:themeColor="text1"/>
                <w:sz w:val="18"/>
                <w:szCs w:val="18"/>
              </w:rPr>
              <w:t>0.33</w:t>
            </w:r>
          </w:p>
        </w:tc>
        <w:tc>
          <w:tcPr>
            <w:tcW w:w="1061" w:type="dxa"/>
            <w:shd w:val="clear" w:color="auto" w:fill="auto"/>
            <w:vAlign w:val="center"/>
          </w:tcPr>
          <w:p w:rsidR="006C7425" w:rsidRPr="004C6264" w:rsidP="006C7425" w14:paraId="0D0D5C58" w14:textId="38F7B592">
            <w:pPr>
              <w:jc w:val="center"/>
              <w:rPr>
                <w:color w:val="000000" w:themeColor="text1"/>
                <w:sz w:val="18"/>
                <w:szCs w:val="18"/>
              </w:rPr>
            </w:pPr>
            <w:r>
              <w:rPr>
                <w:color w:val="000000" w:themeColor="text1"/>
                <w:sz w:val="18"/>
                <w:szCs w:val="18"/>
              </w:rPr>
              <w:t>20</w:t>
            </w:r>
          </w:p>
        </w:tc>
        <w:tc>
          <w:tcPr>
            <w:tcW w:w="983" w:type="dxa"/>
            <w:shd w:val="clear" w:color="auto" w:fill="auto"/>
            <w:vAlign w:val="center"/>
          </w:tcPr>
          <w:p w:rsidR="006C7425" w:rsidRPr="004C6264" w:rsidP="006C7425" w14:paraId="549C4913" w14:textId="52FCDA1B">
            <w:pPr>
              <w:jc w:val="center"/>
              <w:rPr>
                <w:color w:val="000000" w:themeColor="text1"/>
                <w:sz w:val="18"/>
                <w:szCs w:val="18"/>
              </w:rPr>
            </w:pPr>
            <w:r>
              <w:rPr>
                <w:color w:val="000000" w:themeColor="text1"/>
                <w:sz w:val="18"/>
                <w:szCs w:val="18"/>
              </w:rPr>
              <w:t>4</w:t>
            </w:r>
          </w:p>
        </w:tc>
        <w:tc>
          <w:tcPr>
            <w:tcW w:w="1137" w:type="dxa"/>
            <w:shd w:val="clear" w:color="auto" w:fill="auto"/>
            <w:vAlign w:val="center"/>
          </w:tcPr>
          <w:p w:rsidR="006C7425" w:rsidRPr="004C6264" w:rsidP="006C7425" w14:paraId="0AAC4515" w14:textId="1F9E5F0C">
            <w:pPr>
              <w:jc w:val="right"/>
              <w:rPr>
                <w:color w:val="000000" w:themeColor="text1"/>
                <w:sz w:val="18"/>
                <w:szCs w:val="18"/>
              </w:rPr>
            </w:pPr>
            <w:r>
              <w:rPr>
                <w:color w:val="000000" w:themeColor="text1"/>
                <w:sz w:val="18"/>
                <w:szCs w:val="18"/>
              </w:rPr>
              <w:t>80</w:t>
            </w:r>
          </w:p>
        </w:tc>
      </w:tr>
    </w:tbl>
    <w:p w:rsidR="006C7425" w:rsidRPr="006702D3" w:rsidP="00814646" w14:paraId="453F7282" w14:textId="77777777">
      <w:pPr>
        <w:tabs>
          <w:tab w:val="left" w:pos="-720"/>
        </w:tabs>
        <w:suppressAutoHyphens/>
        <w:spacing w:line="276" w:lineRule="auto"/>
        <w:contextualSpacing/>
        <w:rPr>
          <w:rFonts w:cs="Times New Roman"/>
        </w:rPr>
      </w:pPr>
    </w:p>
    <w:p w:rsidR="003165CC" w:rsidRPr="006702D3" w:rsidP="00814646" w14:paraId="24EB33A3" w14:textId="7B35EFA2">
      <w:pPr>
        <w:spacing w:line="276" w:lineRule="auto"/>
        <w:contextualSpacing/>
        <w:rPr>
          <w:rFonts w:cs="Times New Roman"/>
          <w:b/>
        </w:rPr>
      </w:pPr>
      <w:r w:rsidRPr="006702D3">
        <w:rPr>
          <w:rFonts w:cs="Times New Roman"/>
          <w:szCs w:val="24"/>
        </w:rPr>
        <w:fldChar w:fldCharType="begin"/>
      </w:r>
      <w:r w:rsidRPr="006702D3">
        <w:rPr>
          <w:rFonts w:cs="Times New Roman"/>
          <w:szCs w:val="24"/>
        </w:rPr>
        <w:instrText>ADVANCE \R 0.95</w:instrText>
      </w:r>
      <w:r w:rsidRPr="006702D3">
        <w:rPr>
          <w:rFonts w:cs="Times New Roman"/>
          <w:szCs w:val="24"/>
        </w:rPr>
        <w:fldChar w:fldCharType="end"/>
      </w:r>
      <w:r w:rsidRPr="006702D3">
        <w:rPr>
          <w:rFonts w:cs="Times New Roman"/>
          <w:b/>
          <w:szCs w:val="24"/>
        </w:rPr>
        <w:t>13.</w:t>
      </w:r>
      <w:r w:rsidRPr="006702D3">
        <w:rPr>
          <w:rFonts w:cs="Times New Roman"/>
          <w:szCs w:val="24"/>
        </w:rPr>
        <w:t xml:space="preserve">  </w:t>
      </w:r>
      <w:r w:rsidRPr="006702D3">
        <w:rPr>
          <w:rFonts w:cs="Times New Roman"/>
          <w:b/>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7D1E5F" w:rsidRPr="006702D3" w:rsidP="00814646" w14:paraId="29192BBC" w14:textId="77777777">
      <w:pPr>
        <w:spacing w:line="276" w:lineRule="auto"/>
        <w:contextualSpacing/>
        <w:rPr>
          <w:rFonts w:cs="Times New Roman"/>
          <w:b/>
        </w:rPr>
      </w:pPr>
    </w:p>
    <w:p w:rsidR="00AC49FB" w:rsidP="00814646" w14:paraId="02AC0342" w14:textId="0E7B3E7E">
      <w:pPr>
        <w:spacing w:line="276" w:lineRule="auto"/>
        <w:contextualSpacing/>
        <w:rPr>
          <w:rFonts w:cs="Times New Roman"/>
          <w:b/>
          <w:color w:val="000000" w:themeColor="text1"/>
        </w:rPr>
      </w:pPr>
      <w:r w:rsidRPr="006702D3">
        <w:rPr>
          <w:rFonts w:cs="Times New Roman"/>
          <w:b/>
        </w:rPr>
        <w:t xml:space="preserve">The cost </w:t>
      </w:r>
      <w:r w:rsidRPr="00814646">
        <w:rPr>
          <w:rFonts w:cs="Times New Roman"/>
          <w:b/>
          <w:color w:val="000000" w:themeColor="text1"/>
        </w:rPr>
        <w:t>estimates should be split into two components:</w:t>
      </w:r>
    </w:p>
    <w:p w:rsidR="007A6001" w:rsidP="00814646" w14:paraId="7B0A40EF" w14:textId="77777777">
      <w:pPr>
        <w:spacing w:line="276" w:lineRule="auto"/>
        <w:contextualSpacing/>
        <w:rPr>
          <w:rFonts w:cs="Times New Roman"/>
          <w:b/>
          <w:color w:val="000000" w:themeColor="text1"/>
        </w:rPr>
      </w:pPr>
    </w:p>
    <w:tbl>
      <w:tblPr>
        <w:tblStyle w:val="TableGrid1"/>
        <w:tblW w:w="0" w:type="auto"/>
        <w:tblLook w:val="04A0"/>
      </w:tblPr>
      <w:tblGrid>
        <w:gridCol w:w="1835"/>
        <w:gridCol w:w="1618"/>
        <w:gridCol w:w="1971"/>
        <w:gridCol w:w="1618"/>
        <w:gridCol w:w="1588"/>
      </w:tblGrid>
      <w:tr w14:paraId="2A621F21" w14:textId="77777777" w:rsidTr="0003378A">
        <w:tblPrEx>
          <w:tblW w:w="0" w:type="auto"/>
          <w:tblLook w:val="04A0"/>
        </w:tblPrEx>
        <w:tc>
          <w:tcPr>
            <w:tcW w:w="9350" w:type="dxa"/>
            <w:gridSpan w:val="5"/>
            <w:shd w:val="clear" w:color="auto" w:fill="8EAADB" w:themeFill="accent1" w:themeFillTint="99"/>
          </w:tcPr>
          <w:p w:rsidR="007A6001" w:rsidRPr="007A6001" w:rsidP="007A6001" w14:paraId="79F0EA86" w14:textId="77777777">
            <w:pPr>
              <w:keepNext/>
              <w:jc w:val="center"/>
              <w:rPr>
                <w:rFonts w:ascii="Times New Roman" w:eastAsia="Calibri" w:hAnsi="Times New Roman" w:cs="Times New Roman"/>
                <w:b/>
                <w:sz w:val="20"/>
                <w:szCs w:val="20"/>
              </w:rPr>
            </w:pPr>
            <w:bookmarkStart w:id="6" w:name="_Hlk30754312"/>
            <w:r w:rsidRPr="007A6001">
              <w:rPr>
                <w:rFonts w:ascii="Times New Roman" w:eastAsia="Calibri" w:hAnsi="Times New Roman" w:cs="Times New Roman"/>
                <w:b/>
                <w:sz w:val="20"/>
                <w:szCs w:val="20"/>
              </w:rPr>
              <w:t>Annual Cost Burden to Respondents or Recordkeepers</w:t>
            </w:r>
          </w:p>
        </w:tc>
      </w:tr>
      <w:tr w14:paraId="32F5B1A9" w14:textId="77777777" w:rsidTr="003A112B">
        <w:tblPrEx>
          <w:tblW w:w="0" w:type="auto"/>
          <w:tblLook w:val="04A0"/>
        </w:tblPrEx>
        <w:tc>
          <w:tcPr>
            <w:tcW w:w="1866" w:type="dxa"/>
            <w:shd w:val="clear" w:color="auto" w:fill="8EAADB" w:themeFill="accent1" w:themeFillTint="99"/>
            <w:vAlign w:val="center"/>
          </w:tcPr>
          <w:p w:rsidR="007A6001" w:rsidRPr="007A6001" w:rsidP="007A6001" w14:paraId="1150F68E" w14:textId="77777777">
            <w:pPr>
              <w:keepNext/>
              <w:rPr>
                <w:rFonts w:ascii="Times New Roman" w:eastAsia="Calibri" w:hAnsi="Times New Roman" w:cs="Times New Roman"/>
                <w:sz w:val="20"/>
                <w:szCs w:val="20"/>
              </w:rPr>
            </w:pPr>
            <w:r w:rsidRPr="007A6001">
              <w:rPr>
                <w:rFonts w:ascii="Times New Roman" w:eastAsia="Calibri" w:hAnsi="Times New Roman" w:cs="Times New Roman"/>
                <w:sz w:val="20"/>
                <w:szCs w:val="20"/>
              </w:rPr>
              <w:t>Data Collection Activity/Instrument</w:t>
            </w:r>
          </w:p>
        </w:tc>
        <w:tc>
          <w:tcPr>
            <w:tcW w:w="1839" w:type="dxa"/>
            <w:shd w:val="clear" w:color="auto" w:fill="8EAADB" w:themeFill="accent1" w:themeFillTint="99"/>
            <w:vAlign w:val="center"/>
          </w:tcPr>
          <w:p w:rsidR="007A6001" w:rsidRPr="007A6001" w:rsidP="007A6001" w14:paraId="6A0F5696" w14:textId="77777777">
            <w:pPr>
              <w:keepNext/>
              <w:rPr>
                <w:rFonts w:ascii="Times New Roman" w:eastAsia="Calibri" w:hAnsi="Times New Roman" w:cs="Times New Roman"/>
                <w:sz w:val="20"/>
                <w:szCs w:val="20"/>
              </w:rPr>
            </w:pPr>
            <w:r w:rsidRPr="007A6001">
              <w:rPr>
                <w:rFonts w:ascii="Times New Roman" w:eastAsia="Calibri" w:hAnsi="Times New Roman" w:cs="Times New Roman"/>
                <w:sz w:val="20"/>
                <w:szCs w:val="20"/>
              </w:rPr>
              <w:t>*Annual Capital Start-Up Cost (investments in overhead, equipment, and other one-time expenditures)</w:t>
            </w:r>
          </w:p>
        </w:tc>
        <w:tc>
          <w:tcPr>
            <w:tcW w:w="1971" w:type="dxa"/>
            <w:shd w:val="clear" w:color="auto" w:fill="8EAADB" w:themeFill="accent1" w:themeFillTint="99"/>
            <w:vAlign w:val="center"/>
          </w:tcPr>
          <w:p w:rsidR="007A6001" w:rsidRPr="007A6001" w:rsidP="007A6001" w14:paraId="6979B0C0" w14:textId="77777777">
            <w:pPr>
              <w:keepNext/>
              <w:rPr>
                <w:rFonts w:ascii="Times New Roman" w:eastAsia="Calibri" w:hAnsi="Times New Roman" w:cs="Times New Roman"/>
                <w:sz w:val="20"/>
                <w:szCs w:val="20"/>
              </w:rPr>
            </w:pPr>
            <w:r w:rsidRPr="007A6001">
              <w:rPr>
                <w:rFonts w:ascii="Times New Roman" w:eastAsia="Calibri" w:hAnsi="Times New Roman" w:cs="Times New Roman"/>
                <w:sz w:val="20"/>
                <w:szCs w:val="20"/>
              </w:rPr>
              <w:t>*Annual Operations and Maintenance Costs (such as recordkeeping, technical/professional services, etc.)</w:t>
            </w:r>
          </w:p>
        </w:tc>
        <w:tc>
          <w:tcPr>
            <w:tcW w:w="1839" w:type="dxa"/>
            <w:shd w:val="clear" w:color="auto" w:fill="8EAADB" w:themeFill="accent1" w:themeFillTint="99"/>
            <w:vAlign w:val="center"/>
          </w:tcPr>
          <w:p w:rsidR="007A6001" w:rsidRPr="007A6001" w:rsidP="007A6001" w14:paraId="7C7EA40B" w14:textId="77777777">
            <w:pPr>
              <w:keepNext/>
              <w:rPr>
                <w:rFonts w:ascii="Times New Roman" w:eastAsia="Calibri" w:hAnsi="Times New Roman" w:cs="Times New Roman"/>
                <w:sz w:val="20"/>
                <w:szCs w:val="20"/>
              </w:rPr>
            </w:pPr>
            <w:r w:rsidRPr="007A6001">
              <w:rPr>
                <w:rFonts w:ascii="Times New Roman" w:eastAsia="Calibri" w:hAnsi="Times New Roman" w:cs="Times New Roman"/>
                <w:sz w:val="20"/>
                <w:szCs w:val="20"/>
              </w:rPr>
              <w:t>Annual Non-Labor Cost (expenditures on training, travel, and other resources)</w:t>
            </w:r>
          </w:p>
        </w:tc>
        <w:tc>
          <w:tcPr>
            <w:tcW w:w="1835" w:type="dxa"/>
            <w:shd w:val="clear" w:color="auto" w:fill="8EAADB" w:themeFill="accent1" w:themeFillTint="99"/>
            <w:vAlign w:val="center"/>
          </w:tcPr>
          <w:p w:rsidR="007A6001" w:rsidRPr="007A6001" w:rsidP="007A6001" w14:paraId="21682239" w14:textId="77777777">
            <w:pPr>
              <w:keepNext/>
              <w:rPr>
                <w:rFonts w:ascii="Times New Roman" w:eastAsia="Calibri" w:hAnsi="Times New Roman" w:cs="Times New Roman"/>
                <w:sz w:val="20"/>
                <w:szCs w:val="20"/>
              </w:rPr>
            </w:pPr>
            <w:r w:rsidRPr="007A6001">
              <w:rPr>
                <w:rFonts w:ascii="Times New Roman" w:eastAsia="Calibri" w:hAnsi="Times New Roman" w:cs="Times New Roman"/>
                <w:sz w:val="20"/>
                <w:szCs w:val="20"/>
              </w:rPr>
              <w:t>Total Annual Cost to Respondents</w:t>
            </w:r>
          </w:p>
        </w:tc>
      </w:tr>
      <w:tr w14:paraId="2D6F495A" w14:textId="77777777" w:rsidTr="003A112B">
        <w:tblPrEx>
          <w:tblW w:w="0" w:type="auto"/>
          <w:tblLook w:val="04A0"/>
        </w:tblPrEx>
        <w:tc>
          <w:tcPr>
            <w:tcW w:w="1866" w:type="dxa"/>
          </w:tcPr>
          <w:p w:rsidR="007A6001" w:rsidRPr="007A6001" w:rsidP="007A6001" w14:paraId="16AD68C7" w14:textId="77777777">
            <w:pPr>
              <w:keepNext/>
              <w:rPr>
                <w:rFonts w:ascii="Times New Roman" w:eastAsia="Calibri" w:hAnsi="Times New Roman" w:cs="Times New Roman"/>
                <w:sz w:val="20"/>
                <w:szCs w:val="20"/>
              </w:rPr>
            </w:pPr>
            <w:r w:rsidRPr="007A6001">
              <w:rPr>
                <w:rFonts w:ascii="Times New Roman" w:eastAsia="Calibri" w:hAnsi="Times New Roman" w:cs="Times New Roman"/>
                <w:sz w:val="20"/>
                <w:szCs w:val="20"/>
              </w:rPr>
              <w:t>[Form Name/#]</w:t>
            </w:r>
          </w:p>
        </w:tc>
        <w:tc>
          <w:tcPr>
            <w:tcW w:w="1839" w:type="dxa"/>
            <w:vAlign w:val="center"/>
          </w:tcPr>
          <w:p w:rsidR="007A6001" w:rsidRPr="007A6001" w:rsidP="007A6001" w14:paraId="15995F9B" w14:textId="77777777">
            <w:pPr>
              <w:keepNext/>
              <w:jc w:val="right"/>
              <w:rPr>
                <w:rFonts w:ascii="Times New Roman" w:eastAsia="Calibri" w:hAnsi="Times New Roman" w:cs="Times New Roman"/>
                <w:sz w:val="20"/>
                <w:szCs w:val="20"/>
              </w:rPr>
            </w:pPr>
          </w:p>
        </w:tc>
        <w:tc>
          <w:tcPr>
            <w:tcW w:w="1971" w:type="dxa"/>
            <w:vAlign w:val="center"/>
          </w:tcPr>
          <w:p w:rsidR="007A6001" w:rsidRPr="007A6001" w:rsidP="007A6001" w14:paraId="37F57176" w14:textId="77777777">
            <w:pPr>
              <w:keepNext/>
              <w:jc w:val="right"/>
              <w:rPr>
                <w:rFonts w:ascii="Times New Roman" w:eastAsia="Calibri" w:hAnsi="Times New Roman" w:cs="Times New Roman"/>
                <w:sz w:val="20"/>
                <w:szCs w:val="20"/>
              </w:rPr>
            </w:pPr>
          </w:p>
        </w:tc>
        <w:tc>
          <w:tcPr>
            <w:tcW w:w="1839" w:type="dxa"/>
            <w:vAlign w:val="center"/>
          </w:tcPr>
          <w:p w:rsidR="007A6001" w:rsidRPr="007A6001" w:rsidP="007A6001" w14:paraId="5E0E7F87" w14:textId="77777777">
            <w:pPr>
              <w:keepNext/>
              <w:jc w:val="right"/>
              <w:rPr>
                <w:rFonts w:ascii="Times New Roman" w:eastAsia="Calibri" w:hAnsi="Times New Roman" w:cs="Times New Roman"/>
                <w:sz w:val="20"/>
                <w:szCs w:val="20"/>
              </w:rPr>
            </w:pPr>
          </w:p>
        </w:tc>
        <w:tc>
          <w:tcPr>
            <w:tcW w:w="1835" w:type="dxa"/>
            <w:vAlign w:val="center"/>
          </w:tcPr>
          <w:p w:rsidR="007A6001" w:rsidRPr="007A6001" w:rsidP="007A6001" w14:paraId="6D3F38B4" w14:textId="77777777">
            <w:pPr>
              <w:keepNext/>
              <w:jc w:val="right"/>
              <w:rPr>
                <w:rFonts w:ascii="Times New Roman" w:eastAsia="Calibri" w:hAnsi="Times New Roman" w:cs="Times New Roman"/>
                <w:sz w:val="20"/>
                <w:szCs w:val="20"/>
              </w:rPr>
            </w:pPr>
          </w:p>
        </w:tc>
      </w:tr>
      <w:tr w14:paraId="77713214" w14:textId="77777777" w:rsidTr="003A112B">
        <w:tblPrEx>
          <w:tblW w:w="0" w:type="auto"/>
          <w:tblLook w:val="04A0"/>
        </w:tblPrEx>
        <w:tc>
          <w:tcPr>
            <w:tcW w:w="1866" w:type="dxa"/>
          </w:tcPr>
          <w:p w:rsidR="007A6001" w:rsidRPr="007A6001" w:rsidP="007A6001" w14:paraId="215DD432" w14:textId="77777777">
            <w:pPr>
              <w:keepNext/>
              <w:rPr>
                <w:rFonts w:ascii="Times New Roman" w:eastAsia="Calibri" w:hAnsi="Times New Roman" w:cs="Times New Roman"/>
                <w:b/>
                <w:sz w:val="20"/>
                <w:szCs w:val="20"/>
              </w:rPr>
            </w:pPr>
            <w:r w:rsidRPr="007A6001">
              <w:rPr>
                <w:rFonts w:ascii="Times New Roman" w:eastAsia="Calibri" w:hAnsi="Times New Roman" w:cs="Times New Roman"/>
                <w:b/>
                <w:sz w:val="20"/>
                <w:szCs w:val="20"/>
              </w:rPr>
              <w:t>Total</w:t>
            </w:r>
          </w:p>
        </w:tc>
        <w:tc>
          <w:tcPr>
            <w:tcW w:w="1839" w:type="dxa"/>
            <w:vAlign w:val="center"/>
          </w:tcPr>
          <w:p w:rsidR="007A6001" w:rsidRPr="007A6001" w:rsidP="007A6001" w14:paraId="27A2351E" w14:textId="77777777">
            <w:pPr>
              <w:keepNext/>
              <w:jc w:val="right"/>
              <w:rPr>
                <w:rFonts w:ascii="Times New Roman" w:eastAsia="Calibri" w:hAnsi="Times New Roman" w:cs="Times New Roman"/>
                <w:sz w:val="20"/>
                <w:szCs w:val="20"/>
              </w:rPr>
            </w:pPr>
            <w:r w:rsidRPr="007A6001">
              <w:rPr>
                <w:rFonts w:ascii="Times New Roman" w:eastAsia="Calibri" w:hAnsi="Times New Roman" w:cs="Times New Roman"/>
                <w:sz w:val="20"/>
                <w:szCs w:val="20"/>
              </w:rPr>
              <w:t>$0</w:t>
            </w:r>
          </w:p>
        </w:tc>
        <w:tc>
          <w:tcPr>
            <w:tcW w:w="1971" w:type="dxa"/>
            <w:vAlign w:val="center"/>
          </w:tcPr>
          <w:p w:rsidR="007A6001" w:rsidRPr="007A6001" w:rsidP="007A6001" w14:paraId="14DC8729" w14:textId="77777777">
            <w:pPr>
              <w:keepNext/>
              <w:jc w:val="right"/>
              <w:rPr>
                <w:rFonts w:ascii="Times New Roman" w:eastAsia="Calibri" w:hAnsi="Times New Roman" w:cs="Times New Roman"/>
                <w:sz w:val="20"/>
                <w:szCs w:val="20"/>
              </w:rPr>
            </w:pPr>
            <w:r w:rsidRPr="007A6001">
              <w:rPr>
                <w:rFonts w:ascii="Times New Roman" w:eastAsia="Calibri" w:hAnsi="Times New Roman" w:cs="Times New Roman"/>
                <w:sz w:val="20"/>
                <w:szCs w:val="20"/>
              </w:rPr>
              <w:t>$0</w:t>
            </w:r>
          </w:p>
        </w:tc>
        <w:tc>
          <w:tcPr>
            <w:tcW w:w="1839" w:type="dxa"/>
            <w:vAlign w:val="center"/>
          </w:tcPr>
          <w:p w:rsidR="007A6001" w:rsidRPr="007A6001" w:rsidP="007A6001" w14:paraId="6B39D967" w14:textId="77777777">
            <w:pPr>
              <w:keepNext/>
              <w:jc w:val="right"/>
              <w:rPr>
                <w:rFonts w:ascii="Times New Roman" w:eastAsia="Calibri" w:hAnsi="Times New Roman" w:cs="Times New Roman"/>
                <w:sz w:val="20"/>
                <w:szCs w:val="20"/>
              </w:rPr>
            </w:pPr>
            <w:r w:rsidRPr="007A6001">
              <w:rPr>
                <w:rFonts w:ascii="Times New Roman" w:eastAsia="Calibri" w:hAnsi="Times New Roman" w:cs="Times New Roman"/>
                <w:sz w:val="20"/>
                <w:szCs w:val="20"/>
              </w:rPr>
              <w:t>$0</w:t>
            </w:r>
          </w:p>
        </w:tc>
        <w:tc>
          <w:tcPr>
            <w:tcW w:w="1835" w:type="dxa"/>
            <w:vAlign w:val="center"/>
          </w:tcPr>
          <w:p w:rsidR="007A6001" w:rsidRPr="007A6001" w:rsidP="007A6001" w14:paraId="25563663" w14:textId="77777777">
            <w:pPr>
              <w:keepNext/>
              <w:jc w:val="right"/>
              <w:rPr>
                <w:rFonts w:ascii="Times New Roman" w:eastAsia="Calibri" w:hAnsi="Times New Roman" w:cs="Times New Roman"/>
                <w:sz w:val="20"/>
                <w:szCs w:val="20"/>
              </w:rPr>
            </w:pPr>
            <w:r w:rsidRPr="007A6001">
              <w:rPr>
                <w:rFonts w:ascii="Times New Roman" w:eastAsia="Calibri" w:hAnsi="Times New Roman" w:cs="Times New Roman"/>
                <w:sz w:val="20"/>
                <w:szCs w:val="20"/>
              </w:rPr>
              <w:t>$0</w:t>
            </w:r>
          </w:p>
        </w:tc>
      </w:tr>
      <w:bookmarkEnd w:id="6"/>
    </w:tbl>
    <w:p w:rsidR="007A6001" w:rsidRPr="00814646" w:rsidP="00814646" w14:paraId="5DF0AC96" w14:textId="77777777">
      <w:pPr>
        <w:spacing w:line="276" w:lineRule="auto"/>
        <w:contextualSpacing/>
        <w:rPr>
          <w:rFonts w:cs="Times New Roman"/>
          <w:b/>
          <w:color w:val="000000" w:themeColor="text1"/>
        </w:rPr>
      </w:pPr>
    </w:p>
    <w:p w:rsidR="007C427B" w:rsidRPr="006702D3" w:rsidP="00814646" w14:paraId="4424DCCD" w14:textId="77777777">
      <w:pPr>
        <w:spacing w:line="276" w:lineRule="auto"/>
        <w:contextualSpacing/>
        <w:rPr>
          <w:rFonts w:cs="Times New Roman"/>
          <w:color w:val="000000" w:themeColor="text1"/>
          <w:szCs w:val="24"/>
        </w:rPr>
      </w:pPr>
    </w:p>
    <w:p w:rsidR="00AC49FB" w:rsidRPr="00814646" w:rsidP="00814646" w14:paraId="4E598FF2" w14:textId="58452C34">
      <w:pPr>
        <w:spacing w:line="276" w:lineRule="auto"/>
        <w:contextualSpacing/>
        <w:rPr>
          <w:rFonts w:cs="Times New Roman"/>
          <w:b/>
          <w:color w:val="000000" w:themeColor="text1"/>
        </w:rPr>
      </w:pPr>
      <w:r w:rsidRPr="00814646">
        <w:rPr>
          <w:rFonts w:cs="Times New Roman"/>
          <w:b/>
          <w:bCs/>
          <w:color w:val="000000" w:themeColor="text1"/>
          <w:szCs w:val="24"/>
        </w:rPr>
        <w:tab/>
      </w:r>
      <w:r w:rsidRPr="00814646" w:rsidR="009B4C56">
        <w:rPr>
          <w:rFonts w:cs="Times New Roman"/>
          <w:b/>
          <w:bCs/>
          <w:color w:val="000000" w:themeColor="text1"/>
          <w:szCs w:val="24"/>
        </w:rPr>
        <w:t xml:space="preserve">a. </w:t>
      </w:r>
      <w:r w:rsidRPr="00814646">
        <w:rPr>
          <w:rFonts w:cs="Times New Roman"/>
          <w:b/>
          <w:color w:val="000000" w:themeColor="text1"/>
        </w:rPr>
        <w:t xml:space="preserve">Operation and Maintenance and purchase of services component.  These estimates should take into account cost associated with generating, maintaining, and disclosing or providing information.  Include descriptions of methods used to estimate major cost factors including </w:t>
      </w:r>
      <w:r w:rsidRPr="00814646">
        <w:rPr>
          <w:rFonts w:cs="Times New Roman"/>
          <w:b/>
          <w:bCs/>
          <w:color w:val="000000" w:themeColor="text1"/>
          <w:szCs w:val="24"/>
        </w:rPr>
        <w:t>system</w:t>
      </w:r>
      <w:r w:rsidRPr="00814646">
        <w:rPr>
          <w:rFonts w:cs="Times New Roman"/>
          <w:b/>
          <w:color w:val="000000" w:themeColor="text1"/>
        </w:rPr>
        <w:t xml:space="preserve"> and technology acquisition, expected useful life of capital equipment, the discount rate(s), and the time period over which costs will be incurred.</w:t>
      </w:r>
    </w:p>
    <w:p w:rsidR="007D1E5F" w:rsidRPr="00814646" w:rsidP="00814646" w14:paraId="27F41D8E" w14:textId="77777777">
      <w:pPr>
        <w:spacing w:line="276" w:lineRule="auto"/>
        <w:contextualSpacing/>
        <w:rPr>
          <w:rFonts w:cs="Times New Roman"/>
          <w:color w:val="000000" w:themeColor="text1"/>
          <w:szCs w:val="24"/>
        </w:rPr>
      </w:pPr>
    </w:p>
    <w:p w:rsidR="007D1E5F" w:rsidRPr="006702D3" w:rsidP="00814646" w14:paraId="15F006DB" w14:textId="4F797150">
      <w:pPr>
        <w:spacing w:line="276" w:lineRule="auto"/>
        <w:contextualSpacing/>
        <w:rPr>
          <w:rFonts w:eastAsia="Times New Roman" w:cs="Times New Roman"/>
          <w:szCs w:val="24"/>
        </w:rPr>
      </w:pPr>
      <w:r w:rsidRPr="006702D3">
        <w:rPr>
          <w:rFonts w:eastAsia="Times New Roman" w:cs="Times New Roman"/>
          <w:szCs w:val="24"/>
        </w:rPr>
        <w:t>There are no operations and maintenance associated with this information collection.</w:t>
      </w:r>
    </w:p>
    <w:p w:rsidR="007D1E5F" w:rsidRPr="00814646" w:rsidP="00814646" w14:paraId="3150B2A9" w14:textId="77777777">
      <w:pPr>
        <w:spacing w:line="276" w:lineRule="auto"/>
        <w:contextualSpacing/>
        <w:rPr>
          <w:rFonts w:cs="Times New Roman"/>
          <w:color w:val="000000" w:themeColor="text1"/>
          <w:szCs w:val="24"/>
        </w:rPr>
      </w:pPr>
    </w:p>
    <w:p w:rsidR="00AC49FB" w:rsidRPr="00814646" w:rsidP="00814646" w14:paraId="29914388" w14:textId="34F83687">
      <w:pPr>
        <w:spacing w:line="276" w:lineRule="auto"/>
        <w:contextualSpacing/>
        <w:rPr>
          <w:rFonts w:cs="Times New Roman"/>
          <w:b/>
          <w:color w:val="000000" w:themeColor="text1"/>
        </w:rPr>
      </w:pPr>
      <w:r w:rsidRPr="00814646">
        <w:rPr>
          <w:rFonts w:cs="Times New Roman"/>
          <w:b/>
          <w:bCs/>
          <w:color w:val="000000" w:themeColor="text1"/>
          <w:szCs w:val="24"/>
        </w:rPr>
        <w:tab/>
      </w:r>
      <w:r w:rsidRPr="00814646" w:rsidR="009B4C56">
        <w:rPr>
          <w:rFonts w:cs="Times New Roman"/>
          <w:b/>
          <w:bCs/>
          <w:color w:val="000000" w:themeColor="text1"/>
          <w:szCs w:val="24"/>
        </w:rPr>
        <w:t xml:space="preserve">b. </w:t>
      </w:r>
      <w:r w:rsidRPr="00814646">
        <w:rPr>
          <w:rFonts w:cs="Times New Roman"/>
          <w:b/>
          <w:color w:val="000000" w:themeColor="text1"/>
        </w:rPr>
        <w:t>Capital and Start-</w:t>
      </w:r>
      <w:r w:rsidRPr="00814646">
        <w:rPr>
          <w:rFonts w:cs="Times New Roman"/>
          <w:b/>
          <w:bCs/>
          <w:color w:val="000000" w:themeColor="text1"/>
          <w:szCs w:val="24"/>
        </w:rPr>
        <w:t>up-</w:t>
      </w:r>
      <w:r w:rsidRPr="00814646">
        <w:rPr>
          <w:rFonts w:cs="Times New Roman"/>
          <w:b/>
          <w:color w:val="000000" w:themeColor="text1"/>
        </w:rPr>
        <w:t xml:space="preserve">Cost should include, among other items, preparations for collecting information such as purchasing computers and software, monitoring sampling, drilling and testing equipment, and record </w:t>
      </w:r>
      <w:r w:rsidRPr="00814646">
        <w:rPr>
          <w:rFonts w:cs="Times New Roman"/>
          <w:b/>
          <w:bCs/>
          <w:color w:val="000000" w:themeColor="text1"/>
          <w:szCs w:val="24"/>
        </w:rPr>
        <w:t>storage</w:t>
      </w:r>
      <w:r w:rsidRPr="00814646">
        <w:rPr>
          <w:rFonts w:cs="Times New Roman"/>
          <w:b/>
          <w:color w:val="000000" w:themeColor="text1"/>
        </w:rPr>
        <w:t xml:space="preserve"> facilities.</w:t>
      </w:r>
      <w:r w:rsidRPr="00814646">
        <w:rPr>
          <w:rFonts w:cs="Times New Roman"/>
          <w:b/>
          <w:bCs/>
          <w:color w:val="000000" w:themeColor="text1"/>
          <w:szCs w:val="24"/>
        </w:rPr>
        <w:t xml:space="preserve">  </w:t>
      </w:r>
    </w:p>
    <w:p w:rsidR="00926982" w:rsidRPr="00814646" w:rsidP="00814646" w14:paraId="12B0F770" w14:textId="381A70E3">
      <w:pPr>
        <w:spacing w:line="276" w:lineRule="auto"/>
        <w:contextualSpacing/>
        <w:rPr>
          <w:rFonts w:cs="Times New Roman"/>
          <w:color w:val="000000" w:themeColor="text1"/>
        </w:rPr>
      </w:pPr>
    </w:p>
    <w:p w:rsidR="00562915" w:rsidRPr="00814646" w:rsidP="00814646" w14:paraId="05A55F36" w14:textId="7B121D36">
      <w:pPr>
        <w:spacing w:line="276" w:lineRule="auto"/>
        <w:contextualSpacing/>
        <w:rPr>
          <w:rFonts w:eastAsia="Times New Roman" w:cs="Times New Roman"/>
          <w:color w:val="000000" w:themeColor="text1"/>
          <w:szCs w:val="24"/>
        </w:rPr>
      </w:pPr>
      <w:r w:rsidRPr="00814646">
        <w:rPr>
          <w:rFonts w:eastAsia="Times New Roman" w:cs="Times New Roman"/>
          <w:color w:val="000000" w:themeColor="text1"/>
          <w:szCs w:val="24"/>
        </w:rPr>
        <w:t xml:space="preserve">There are no </w:t>
      </w:r>
      <w:r w:rsidRPr="00814646" w:rsidR="00A557EA">
        <w:rPr>
          <w:rFonts w:eastAsia="Times New Roman" w:cs="Times New Roman"/>
          <w:color w:val="000000" w:themeColor="text1"/>
          <w:szCs w:val="24"/>
        </w:rPr>
        <w:t xml:space="preserve">annual </w:t>
      </w:r>
      <w:r w:rsidRPr="00814646">
        <w:rPr>
          <w:rFonts w:eastAsia="Times New Roman" w:cs="Times New Roman"/>
          <w:color w:val="000000" w:themeColor="text1"/>
          <w:szCs w:val="24"/>
        </w:rPr>
        <w:t>capital</w:t>
      </w:r>
      <w:r w:rsidRPr="00814646" w:rsidR="007D1E5F">
        <w:rPr>
          <w:rFonts w:eastAsia="Times New Roman" w:cs="Times New Roman"/>
          <w:color w:val="000000" w:themeColor="text1"/>
          <w:szCs w:val="24"/>
        </w:rPr>
        <w:t xml:space="preserve"> or</w:t>
      </w:r>
      <w:r w:rsidRPr="00814646">
        <w:rPr>
          <w:rFonts w:eastAsia="Times New Roman" w:cs="Times New Roman"/>
          <w:color w:val="000000" w:themeColor="text1"/>
          <w:szCs w:val="24"/>
        </w:rPr>
        <w:t xml:space="preserve"> start-up</w:t>
      </w:r>
      <w:r w:rsidRPr="00814646" w:rsidR="007D1E5F">
        <w:rPr>
          <w:rFonts w:eastAsia="Times New Roman" w:cs="Times New Roman"/>
          <w:color w:val="000000" w:themeColor="text1"/>
          <w:szCs w:val="24"/>
        </w:rPr>
        <w:t xml:space="preserve"> </w:t>
      </w:r>
      <w:r w:rsidRPr="00814646">
        <w:rPr>
          <w:rFonts w:eastAsia="Times New Roman" w:cs="Times New Roman"/>
          <w:color w:val="000000" w:themeColor="text1"/>
          <w:szCs w:val="24"/>
        </w:rPr>
        <w:t>costs associated with this information collection.</w:t>
      </w:r>
    </w:p>
    <w:p w:rsidR="00BE4C08" w:rsidRPr="006702D3" w:rsidP="00814646" w14:paraId="34423CDC" w14:textId="77777777">
      <w:pPr>
        <w:spacing w:line="276" w:lineRule="auto"/>
        <w:contextualSpacing/>
        <w:rPr>
          <w:rFonts w:cs="Times New Roman"/>
          <w:szCs w:val="24"/>
        </w:rPr>
      </w:pPr>
    </w:p>
    <w:p w:rsidR="00AC49FB" w:rsidRPr="006702D3" w:rsidP="00814646" w14:paraId="798B4846" w14:textId="3817DC12">
      <w:pPr>
        <w:spacing w:line="276" w:lineRule="auto"/>
        <w:contextualSpacing/>
        <w:rPr>
          <w:rFonts w:cs="Times New Roman"/>
          <w:b/>
          <w:bCs/>
        </w:rPr>
      </w:pPr>
      <w:r w:rsidRPr="006702D3">
        <w:rPr>
          <w:rFonts w:cs="Times New Roman"/>
          <w:b/>
          <w:bCs/>
          <w:szCs w:val="24"/>
        </w:rPr>
        <w:t xml:space="preserve">14. </w:t>
      </w:r>
      <w:r w:rsidRPr="006702D3">
        <w:rPr>
          <w:rFonts w:cs="Times New Roman"/>
          <w:b/>
        </w:rPr>
        <w:t xml:space="preserve">Provide estimates of annualized cost to the </w:t>
      </w:r>
      <w:r w:rsidR="00FC5A53">
        <w:rPr>
          <w:rFonts w:cs="Times New Roman"/>
          <w:b/>
          <w:bCs/>
          <w:szCs w:val="24"/>
        </w:rPr>
        <w:t>F</w:t>
      </w:r>
      <w:r w:rsidRPr="006702D3" w:rsidR="00FC5A53">
        <w:rPr>
          <w:rFonts w:cs="Times New Roman"/>
          <w:b/>
          <w:bCs/>
          <w:szCs w:val="24"/>
        </w:rPr>
        <w:t xml:space="preserve">ederal </w:t>
      </w:r>
      <w:r w:rsidR="00FC5A53">
        <w:rPr>
          <w:rFonts w:cs="Times New Roman"/>
          <w:b/>
          <w:bCs/>
          <w:szCs w:val="24"/>
        </w:rPr>
        <w:t>G</w:t>
      </w:r>
      <w:r w:rsidRPr="006702D3" w:rsidR="00FC5A53">
        <w:rPr>
          <w:rFonts w:cs="Times New Roman"/>
          <w:b/>
          <w:bCs/>
          <w:szCs w:val="24"/>
        </w:rPr>
        <w:t>overnment</w:t>
      </w:r>
      <w:r w:rsidRPr="006702D3">
        <w:rPr>
          <w:rFonts w:cs="Times New Roman"/>
          <w:b/>
        </w:rPr>
        <w: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C7425" w14:paraId="0836A44E" w14:textId="7E426402">
      <w:pPr>
        <w:rPr>
          <w:b/>
        </w:rPr>
      </w:pPr>
      <w:r>
        <w:rPr>
          <w:b/>
        </w:rPr>
        <w:br w:type="page"/>
      </w:r>
    </w:p>
    <w:p w:rsidR="001D3D89" w:rsidRPr="009E0976" w:rsidP="00814646" w14:paraId="5403A74C" w14:textId="77777777">
      <w:pPr>
        <w:tabs>
          <w:tab w:val="left" w:pos="360"/>
        </w:tabs>
        <w:rPr>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0856EAFA" w14:textId="77777777" w:rsidTr="00814646">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9198" w:type="dxa"/>
            <w:gridSpan w:val="2"/>
            <w:shd w:val="clear" w:color="auto" w:fill="8EAADB" w:themeFill="accent1" w:themeFillTint="99"/>
            <w:noWrap/>
            <w:vAlign w:val="center"/>
          </w:tcPr>
          <w:p w:rsidR="009A4214" w:rsidRPr="00814646" w:rsidP="009E0976" w14:paraId="0CBEA1EE" w14:textId="77777777">
            <w:pPr>
              <w:jc w:val="center"/>
              <w:rPr>
                <w:rFonts w:cs="Times New Roman"/>
                <w:b/>
                <w:sz w:val="20"/>
                <w:szCs w:val="20"/>
              </w:rPr>
            </w:pPr>
            <w:bookmarkStart w:id="7" w:name="_Hlk51849777"/>
            <w:r w:rsidRPr="00814646">
              <w:rPr>
                <w:rFonts w:cs="Times New Roman"/>
                <w:b/>
                <w:sz w:val="20"/>
                <w:szCs w:val="20"/>
              </w:rPr>
              <w:t>Annual Cost to the Federal Government</w:t>
            </w:r>
          </w:p>
        </w:tc>
      </w:tr>
      <w:tr w14:paraId="50860DAE" w14:textId="77777777" w:rsidTr="00814646">
        <w:tblPrEx>
          <w:tblW w:w="9198" w:type="dxa"/>
          <w:tblLook w:val="0000"/>
        </w:tblPrEx>
        <w:trPr>
          <w:trHeight w:val="20"/>
        </w:trPr>
        <w:tc>
          <w:tcPr>
            <w:tcW w:w="7680" w:type="dxa"/>
            <w:shd w:val="clear" w:color="auto" w:fill="8EAADB" w:themeFill="accent1" w:themeFillTint="99"/>
            <w:noWrap/>
            <w:vAlign w:val="center"/>
          </w:tcPr>
          <w:p w:rsidR="009A4214" w:rsidRPr="00814646" w:rsidP="00814646" w14:paraId="09811F30" w14:textId="77777777">
            <w:pPr>
              <w:jc w:val="center"/>
              <w:rPr>
                <w:rFonts w:cs="Times New Roman"/>
                <w:b/>
                <w:sz w:val="18"/>
                <w:szCs w:val="18"/>
              </w:rPr>
            </w:pPr>
            <w:r w:rsidRPr="00814646">
              <w:rPr>
                <w:rFonts w:cs="Times New Roman"/>
                <w:b/>
                <w:sz w:val="18"/>
                <w:szCs w:val="18"/>
              </w:rPr>
              <w:t>Item</w:t>
            </w:r>
          </w:p>
        </w:tc>
        <w:tc>
          <w:tcPr>
            <w:tcW w:w="1518" w:type="dxa"/>
            <w:shd w:val="clear" w:color="auto" w:fill="8EAADB" w:themeFill="accent1" w:themeFillTint="99"/>
            <w:noWrap/>
          </w:tcPr>
          <w:p w:rsidR="009A4214" w:rsidRPr="00814646" w:rsidP="00814646" w14:paraId="399627EA" w14:textId="77777777">
            <w:pPr>
              <w:jc w:val="center"/>
              <w:rPr>
                <w:rFonts w:cs="Times New Roman"/>
                <w:b/>
                <w:sz w:val="18"/>
                <w:szCs w:val="18"/>
              </w:rPr>
            </w:pPr>
            <w:r w:rsidRPr="00814646">
              <w:rPr>
                <w:rFonts w:cs="Times New Roman"/>
                <w:b/>
                <w:sz w:val="18"/>
                <w:szCs w:val="18"/>
              </w:rPr>
              <w:t>Cost ($)</w:t>
            </w:r>
          </w:p>
        </w:tc>
      </w:tr>
      <w:tr w14:paraId="5898696B" w14:textId="77777777" w:rsidTr="009E0976">
        <w:tblPrEx>
          <w:tblW w:w="9198" w:type="dxa"/>
          <w:tblLook w:val="0000"/>
        </w:tblPrEx>
        <w:trPr>
          <w:trHeight w:val="20"/>
        </w:trPr>
        <w:tc>
          <w:tcPr>
            <w:tcW w:w="7680" w:type="dxa"/>
            <w:vAlign w:val="center"/>
          </w:tcPr>
          <w:p w:rsidR="009A4214" w:rsidRPr="00814646" w:rsidP="009E0976" w14:paraId="7DBAC0A2" w14:textId="12463432">
            <w:pPr>
              <w:rPr>
                <w:rFonts w:cs="Times New Roman"/>
                <w:sz w:val="18"/>
                <w:szCs w:val="18"/>
              </w:rPr>
            </w:pPr>
            <w:r w:rsidRPr="00814646">
              <w:rPr>
                <w:rFonts w:cs="Times New Roman"/>
                <w:sz w:val="18"/>
                <w:szCs w:val="18"/>
              </w:rPr>
              <w:t>Contract Costs</w:t>
            </w:r>
            <w:r w:rsidRPr="00814646" w:rsidR="00562915">
              <w:rPr>
                <w:rFonts w:cs="Times New Roman"/>
                <w:sz w:val="18"/>
                <w:szCs w:val="18"/>
              </w:rPr>
              <w:t xml:space="preserve"> [Describe] </w:t>
            </w:r>
          </w:p>
        </w:tc>
        <w:tc>
          <w:tcPr>
            <w:tcW w:w="1518" w:type="dxa"/>
            <w:vAlign w:val="center"/>
          </w:tcPr>
          <w:p w:rsidR="009A4214" w:rsidRPr="00814646" w:rsidP="009E0976" w14:paraId="007D0E40" w14:textId="2A4D1CC2">
            <w:pPr>
              <w:jc w:val="center"/>
              <w:rPr>
                <w:rFonts w:cs="Times New Roman"/>
                <w:sz w:val="18"/>
                <w:szCs w:val="18"/>
              </w:rPr>
            </w:pPr>
            <w:r w:rsidRPr="00814646">
              <w:rPr>
                <w:rFonts w:cs="Times New Roman"/>
                <w:sz w:val="18"/>
                <w:szCs w:val="18"/>
              </w:rPr>
              <w:t>0</w:t>
            </w:r>
          </w:p>
        </w:tc>
      </w:tr>
      <w:tr w14:paraId="08D45960" w14:textId="77777777" w:rsidTr="009E0976">
        <w:tblPrEx>
          <w:tblW w:w="9198" w:type="dxa"/>
          <w:tblLook w:val="0000"/>
        </w:tblPrEx>
        <w:trPr>
          <w:trHeight w:val="20"/>
        </w:trPr>
        <w:tc>
          <w:tcPr>
            <w:tcW w:w="7680" w:type="dxa"/>
            <w:vAlign w:val="center"/>
          </w:tcPr>
          <w:p w:rsidR="009A4214" w:rsidRPr="00814646" w:rsidP="009E0976" w14:paraId="6A11023D" w14:textId="6B5519F6">
            <w:pPr>
              <w:rPr>
                <w:rFonts w:cs="Times New Roman"/>
                <w:sz w:val="18"/>
                <w:szCs w:val="18"/>
              </w:rPr>
            </w:pPr>
            <w:r w:rsidRPr="00814646">
              <w:rPr>
                <w:rFonts w:cs="Times New Roman"/>
                <w:sz w:val="18"/>
                <w:szCs w:val="18"/>
              </w:rPr>
              <w:t>Staff Salaries</w:t>
            </w:r>
            <w:r w:rsidRPr="00814646" w:rsidR="00562915">
              <w:rPr>
                <w:rFonts w:cs="Times New Roman"/>
                <w:sz w:val="18"/>
                <w:szCs w:val="18"/>
              </w:rPr>
              <w:t>*</w:t>
            </w:r>
            <w:r w:rsidRPr="00814646">
              <w:rPr>
                <w:rFonts w:cs="Times New Roman"/>
                <w:sz w:val="18"/>
                <w:szCs w:val="18"/>
              </w:rPr>
              <w:t xml:space="preserve"> </w:t>
            </w:r>
          </w:p>
          <w:p w:rsidR="009A4214" w:rsidRPr="00814646" w:rsidP="009E0976" w14:paraId="0E5292F8" w14:textId="20561941">
            <w:pPr>
              <w:rPr>
                <w:rFonts w:cs="Times New Roman"/>
                <w:sz w:val="18"/>
                <w:szCs w:val="18"/>
              </w:rPr>
            </w:pPr>
            <w:r w:rsidRPr="00814646">
              <w:rPr>
                <w:rFonts w:cs="Times New Roman"/>
                <w:sz w:val="18"/>
                <w:szCs w:val="18"/>
              </w:rPr>
              <w:t xml:space="preserve">Three (3) </w:t>
            </w:r>
            <w:r w:rsidRPr="00814646" w:rsidR="00E660A7">
              <w:rPr>
                <w:rFonts w:cs="Times New Roman"/>
                <w:sz w:val="18"/>
                <w:szCs w:val="18"/>
              </w:rPr>
              <w:t xml:space="preserve">GS-13, </w:t>
            </w:r>
            <w:r w:rsidRPr="00814646" w:rsidR="007B12FD">
              <w:rPr>
                <w:rFonts w:cs="Times New Roman"/>
                <w:sz w:val="18"/>
                <w:szCs w:val="18"/>
              </w:rPr>
              <w:t>S</w:t>
            </w:r>
            <w:r w:rsidRPr="00814646" w:rsidR="00E660A7">
              <w:rPr>
                <w:rFonts w:cs="Times New Roman"/>
                <w:sz w:val="18"/>
                <w:szCs w:val="18"/>
              </w:rPr>
              <w:t xml:space="preserve">tep </w:t>
            </w:r>
            <w:r w:rsidR="00B80B39">
              <w:rPr>
                <w:rFonts w:cs="Times New Roman"/>
                <w:sz w:val="18"/>
                <w:szCs w:val="18"/>
              </w:rPr>
              <w:t>5</w:t>
            </w:r>
            <w:r w:rsidRPr="00814646" w:rsidR="00E660A7">
              <w:rPr>
                <w:rFonts w:cs="Times New Roman"/>
                <w:sz w:val="18"/>
                <w:szCs w:val="18"/>
              </w:rPr>
              <w:t xml:space="preserve"> employees</w:t>
            </w:r>
            <w:r w:rsidRPr="00814646" w:rsidR="00935D0A">
              <w:rPr>
                <w:rFonts w:cs="Times New Roman"/>
                <w:sz w:val="18"/>
                <w:szCs w:val="18"/>
                <w:vertAlign w:val="superscript"/>
              </w:rPr>
              <w:t>1</w:t>
            </w:r>
            <w:r w:rsidRPr="00814646" w:rsidR="00E660A7">
              <w:rPr>
                <w:rFonts w:cs="Times New Roman"/>
                <w:sz w:val="18"/>
                <w:szCs w:val="18"/>
              </w:rPr>
              <w:t xml:space="preserve"> spending 8 hours to review and enforce the requirements for </w:t>
            </w:r>
            <w:r w:rsidRPr="00814646" w:rsidR="001F1165">
              <w:rPr>
                <w:rFonts w:cs="Times New Roman"/>
                <w:sz w:val="18"/>
                <w:szCs w:val="18"/>
              </w:rPr>
              <w:t>573</w:t>
            </w:r>
            <w:r w:rsidRPr="00814646" w:rsidR="00AD0551">
              <w:rPr>
                <w:rFonts w:cs="Times New Roman"/>
                <w:sz w:val="18"/>
                <w:szCs w:val="18"/>
              </w:rPr>
              <w:t xml:space="preserve"> </w:t>
            </w:r>
            <w:r w:rsidRPr="00814646" w:rsidR="00E660A7">
              <w:rPr>
                <w:rFonts w:cs="Times New Roman"/>
                <w:sz w:val="18"/>
                <w:szCs w:val="18"/>
              </w:rPr>
              <w:t xml:space="preserve">Property Acquisitions as part of the Property Acquisition and Relocation for Open Space </w:t>
            </w:r>
            <w:r w:rsidRPr="00814646" w:rsidR="002A02DD">
              <w:rPr>
                <w:rFonts w:cs="Times New Roman"/>
                <w:bCs/>
                <w:sz w:val="18"/>
                <w:szCs w:val="18"/>
              </w:rPr>
              <w:t>P</w:t>
            </w:r>
            <w:r w:rsidRPr="00814646" w:rsidR="00B861C8">
              <w:rPr>
                <w:rFonts w:cs="Times New Roman"/>
                <w:bCs/>
                <w:sz w:val="18"/>
                <w:szCs w:val="18"/>
              </w:rPr>
              <w:t>roject</w:t>
            </w:r>
            <w:r w:rsidRPr="00814646" w:rsidR="00E660A7">
              <w:rPr>
                <w:rFonts w:cs="Times New Roman"/>
                <w:sz w:val="18"/>
                <w:szCs w:val="18"/>
              </w:rPr>
              <w:t xml:space="preserve"> </w:t>
            </w:r>
            <w:r w:rsidRPr="00814646">
              <w:rPr>
                <w:rFonts w:cs="Times New Roman"/>
                <w:sz w:val="18"/>
                <w:szCs w:val="18"/>
              </w:rPr>
              <w:t>= [</w:t>
            </w:r>
            <w:r w:rsidRPr="00814646" w:rsidR="00502B9A">
              <w:rPr>
                <w:rFonts w:cs="Times New Roman"/>
                <w:sz w:val="18"/>
                <w:szCs w:val="18"/>
              </w:rPr>
              <w:t>(</w:t>
            </w:r>
            <w:r w:rsidRPr="00814646" w:rsidR="00E660A7">
              <w:rPr>
                <w:rFonts w:cs="Times New Roman"/>
                <w:sz w:val="18"/>
                <w:szCs w:val="18"/>
              </w:rPr>
              <w:t xml:space="preserve">8 hours x </w:t>
            </w:r>
            <w:r w:rsidRPr="00814646" w:rsidR="004E0D04">
              <w:rPr>
                <w:rFonts w:cs="Times New Roman"/>
                <w:sz w:val="18"/>
                <w:szCs w:val="18"/>
              </w:rPr>
              <w:t>573</w:t>
            </w:r>
            <w:r w:rsidRPr="00814646" w:rsidR="00E660A7">
              <w:rPr>
                <w:rFonts w:cs="Times New Roman"/>
                <w:sz w:val="18"/>
                <w:szCs w:val="18"/>
              </w:rPr>
              <w:t xml:space="preserve"> proper</w:t>
            </w:r>
            <w:r w:rsidRPr="00814646">
              <w:rPr>
                <w:rFonts w:cs="Times New Roman"/>
                <w:sz w:val="18"/>
                <w:szCs w:val="18"/>
              </w:rPr>
              <w:t>ties x ($</w:t>
            </w:r>
            <w:r w:rsidR="00AC6A26">
              <w:rPr>
                <w:rFonts w:cs="Times New Roman"/>
                <w:sz w:val="18"/>
                <w:szCs w:val="18"/>
              </w:rPr>
              <w:t xml:space="preserve">64.06 </w:t>
            </w:r>
            <w:r w:rsidRPr="00814646">
              <w:rPr>
                <w:rFonts w:cs="Times New Roman"/>
                <w:sz w:val="18"/>
                <w:szCs w:val="18"/>
              </w:rPr>
              <w:t xml:space="preserve">per hour x </w:t>
            </w:r>
            <w:r w:rsidR="004D3DD8">
              <w:rPr>
                <w:rFonts w:cs="Times New Roman"/>
                <w:sz w:val="18"/>
                <w:szCs w:val="18"/>
              </w:rPr>
              <w:t>1.45</w:t>
            </w:r>
            <w:r w:rsidRPr="00814646" w:rsidR="001A0A8E">
              <w:rPr>
                <w:rFonts w:cs="Times New Roman"/>
                <w:bCs/>
                <w:sz w:val="18"/>
                <w:szCs w:val="18"/>
              </w:rPr>
              <w:t>)</w:t>
            </w:r>
            <w:r w:rsidRPr="00814646" w:rsidR="0095271D">
              <w:rPr>
                <w:rFonts w:cs="Times New Roman"/>
                <w:bCs/>
                <w:sz w:val="18"/>
                <w:szCs w:val="18"/>
              </w:rPr>
              <w:t xml:space="preserve">) </w:t>
            </w:r>
            <w:r w:rsidRPr="00814646" w:rsidR="008214B2">
              <w:rPr>
                <w:rFonts w:cs="Times New Roman"/>
                <w:bCs/>
                <w:sz w:val="18"/>
                <w:szCs w:val="18"/>
              </w:rPr>
              <w:t xml:space="preserve">= </w:t>
            </w:r>
            <w:r w:rsidRPr="00814646" w:rsidR="00237D6F">
              <w:rPr>
                <w:rFonts w:cs="Times New Roman"/>
                <w:sz w:val="18"/>
                <w:szCs w:val="18"/>
              </w:rPr>
              <w:t>$</w:t>
            </w:r>
            <w:r w:rsidR="00EF71A1">
              <w:rPr>
                <w:rFonts w:cs="Times New Roman"/>
                <w:sz w:val="18"/>
                <w:szCs w:val="18"/>
              </w:rPr>
              <w:t>425,794</w:t>
            </w:r>
            <w:r w:rsidRPr="00814646">
              <w:rPr>
                <w:rFonts w:cs="Times New Roman"/>
                <w:sz w:val="18"/>
                <w:szCs w:val="18"/>
              </w:rPr>
              <w:t>]</w:t>
            </w:r>
            <w:r w:rsidRPr="00814646" w:rsidR="00E34EAC">
              <w:rPr>
                <w:rFonts w:cs="Times New Roman"/>
                <w:sz w:val="18"/>
                <w:szCs w:val="18"/>
              </w:rPr>
              <w:t xml:space="preserve"> </w:t>
            </w:r>
          </w:p>
        </w:tc>
        <w:tc>
          <w:tcPr>
            <w:tcW w:w="1518" w:type="dxa"/>
            <w:noWrap/>
            <w:vAlign w:val="center"/>
          </w:tcPr>
          <w:p w:rsidR="009A4214" w:rsidRPr="00814646" w:rsidP="009E0976" w14:paraId="10DCFCA1" w14:textId="66E16A5A">
            <w:pPr>
              <w:jc w:val="center"/>
              <w:rPr>
                <w:rFonts w:cs="Times New Roman"/>
                <w:sz w:val="18"/>
                <w:szCs w:val="18"/>
              </w:rPr>
            </w:pPr>
            <w:r w:rsidRPr="006E17E5">
              <w:rPr>
                <w:rFonts w:cs="Times New Roman"/>
                <w:sz w:val="18"/>
                <w:szCs w:val="18"/>
              </w:rPr>
              <w:t>$</w:t>
            </w:r>
            <w:r w:rsidR="00EF71A1">
              <w:rPr>
                <w:rFonts w:cs="Times New Roman"/>
                <w:sz w:val="18"/>
                <w:szCs w:val="18"/>
              </w:rPr>
              <w:t>425,794</w:t>
            </w:r>
          </w:p>
        </w:tc>
      </w:tr>
      <w:tr w14:paraId="77A58194" w14:textId="77777777" w:rsidTr="009E0976">
        <w:tblPrEx>
          <w:tblW w:w="9198" w:type="dxa"/>
          <w:tblLook w:val="0000"/>
        </w:tblPrEx>
        <w:trPr>
          <w:trHeight w:val="20"/>
        </w:trPr>
        <w:tc>
          <w:tcPr>
            <w:tcW w:w="7680" w:type="dxa"/>
            <w:noWrap/>
            <w:vAlign w:val="center"/>
          </w:tcPr>
          <w:p w:rsidR="009A4214" w:rsidRPr="00814646" w:rsidP="009E0976" w14:paraId="557563C8" w14:textId="77777777">
            <w:pPr>
              <w:rPr>
                <w:rFonts w:cs="Times New Roman"/>
                <w:sz w:val="18"/>
                <w:szCs w:val="18"/>
              </w:rPr>
            </w:pPr>
            <w:r w:rsidRPr="00814646">
              <w:rPr>
                <w:rFonts w:cs="Times New Roman"/>
                <w:sz w:val="18"/>
                <w:szCs w:val="18"/>
              </w:rPr>
              <w:t>Facilities [cost for renting, overhead, etc. for data collection activity]</w:t>
            </w:r>
          </w:p>
        </w:tc>
        <w:tc>
          <w:tcPr>
            <w:tcW w:w="1518" w:type="dxa"/>
            <w:noWrap/>
            <w:vAlign w:val="center"/>
          </w:tcPr>
          <w:p w:rsidR="009A4214" w:rsidRPr="00814646" w:rsidP="009E0976" w14:paraId="1381DA6F" w14:textId="1C46F8C5">
            <w:pPr>
              <w:jc w:val="center"/>
              <w:rPr>
                <w:rFonts w:cs="Times New Roman"/>
                <w:sz w:val="18"/>
                <w:szCs w:val="18"/>
              </w:rPr>
            </w:pPr>
            <w:r w:rsidRPr="00814646">
              <w:rPr>
                <w:rFonts w:cs="Times New Roman"/>
                <w:sz w:val="18"/>
                <w:szCs w:val="18"/>
              </w:rPr>
              <w:t>0</w:t>
            </w:r>
          </w:p>
        </w:tc>
      </w:tr>
      <w:tr w14:paraId="76BCE9A4" w14:textId="77777777" w:rsidTr="009E0976">
        <w:tblPrEx>
          <w:tblW w:w="9198" w:type="dxa"/>
          <w:tblLook w:val="0000"/>
        </w:tblPrEx>
        <w:trPr>
          <w:trHeight w:val="20"/>
        </w:trPr>
        <w:tc>
          <w:tcPr>
            <w:tcW w:w="7680" w:type="dxa"/>
            <w:noWrap/>
            <w:vAlign w:val="center"/>
          </w:tcPr>
          <w:p w:rsidR="009A4214" w:rsidRPr="00814646" w:rsidP="009E0976" w14:paraId="2368FFE1" w14:textId="77777777">
            <w:pPr>
              <w:rPr>
                <w:rFonts w:cs="Times New Roman"/>
                <w:sz w:val="18"/>
                <w:szCs w:val="18"/>
              </w:rPr>
            </w:pPr>
            <w:r w:rsidRPr="00814646">
              <w:rPr>
                <w:rFonts w:cs="Times New Roman"/>
                <w:sz w:val="18"/>
                <w:szCs w:val="18"/>
              </w:rPr>
              <w:t>Computer Hardware and Software [cost of equipment annual lifecycle]</w:t>
            </w:r>
          </w:p>
        </w:tc>
        <w:tc>
          <w:tcPr>
            <w:tcW w:w="1518" w:type="dxa"/>
            <w:noWrap/>
            <w:vAlign w:val="center"/>
          </w:tcPr>
          <w:p w:rsidR="009A4214" w:rsidRPr="00814646" w:rsidP="009E0976" w14:paraId="0E2D30FC" w14:textId="69C256E2">
            <w:pPr>
              <w:jc w:val="center"/>
              <w:rPr>
                <w:rFonts w:cs="Times New Roman"/>
                <w:sz w:val="18"/>
                <w:szCs w:val="18"/>
              </w:rPr>
            </w:pPr>
            <w:r w:rsidRPr="00814646">
              <w:rPr>
                <w:rFonts w:cs="Times New Roman"/>
                <w:sz w:val="18"/>
                <w:szCs w:val="18"/>
              </w:rPr>
              <w:t>0</w:t>
            </w:r>
          </w:p>
        </w:tc>
      </w:tr>
      <w:tr w14:paraId="61BE45AF" w14:textId="77777777" w:rsidTr="009E0976">
        <w:tblPrEx>
          <w:tblW w:w="9198" w:type="dxa"/>
          <w:tblLook w:val="0000"/>
        </w:tblPrEx>
        <w:trPr>
          <w:trHeight w:val="20"/>
        </w:trPr>
        <w:tc>
          <w:tcPr>
            <w:tcW w:w="7680" w:type="dxa"/>
            <w:noWrap/>
            <w:vAlign w:val="center"/>
          </w:tcPr>
          <w:p w:rsidR="009A4214" w:rsidRPr="00814646" w:rsidP="009E0976" w14:paraId="485C3E53" w14:textId="77777777">
            <w:pPr>
              <w:rPr>
                <w:rFonts w:cs="Times New Roman"/>
                <w:sz w:val="18"/>
                <w:szCs w:val="18"/>
              </w:rPr>
            </w:pPr>
            <w:r w:rsidRPr="00814646">
              <w:rPr>
                <w:rFonts w:cs="Times New Roman"/>
                <w:sz w:val="18"/>
                <w:szCs w:val="18"/>
              </w:rPr>
              <w:t>Equipment Maintenance [cost of annual maintenance/service agreements for equipment]</w:t>
            </w:r>
          </w:p>
        </w:tc>
        <w:tc>
          <w:tcPr>
            <w:tcW w:w="1518" w:type="dxa"/>
            <w:noWrap/>
            <w:vAlign w:val="center"/>
          </w:tcPr>
          <w:p w:rsidR="009A4214" w:rsidRPr="00814646" w:rsidP="009E0976" w14:paraId="15CFD8D6" w14:textId="5F8C1A94">
            <w:pPr>
              <w:jc w:val="center"/>
              <w:rPr>
                <w:rFonts w:cs="Times New Roman"/>
                <w:sz w:val="18"/>
                <w:szCs w:val="18"/>
              </w:rPr>
            </w:pPr>
            <w:r w:rsidRPr="00814646">
              <w:rPr>
                <w:rFonts w:cs="Times New Roman"/>
                <w:sz w:val="18"/>
                <w:szCs w:val="18"/>
              </w:rPr>
              <w:t>0</w:t>
            </w:r>
          </w:p>
        </w:tc>
      </w:tr>
      <w:tr w14:paraId="688F949B" w14:textId="77777777" w:rsidTr="009E0976">
        <w:tblPrEx>
          <w:tblW w:w="9198" w:type="dxa"/>
          <w:tblLook w:val="0000"/>
        </w:tblPrEx>
        <w:trPr>
          <w:trHeight w:val="20"/>
        </w:trPr>
        <w:tc>
          <w:tcPr>
            <w:tcW w:w="7680" w:type="dxa"/>
            <w:noWrap/>
            <w:vAlign w:val="center"/>
          </w:tcPr>
          <w:p w:rsidR="009A4214" w:rsidRPr="00814646" w:rsidP="009E0976" w14:paraId="5B843067" w14:textId="1CE490FC">
            <w:pPr>
              <w:rPr>
                <w:rFonts w:cs="Times New Roman"/>
                <w:sz w:val="18"/>
                <w:szCs w:val="18"/>
              </w:rPr>
            </w:pPr>
            <w:r w:rsidRPr="00814646">
              <w:rPr>
                <w:rFonts w:cs="Times New Roman"/>
                <w:sz w:val="18"/>
                <w:szCs w:val="18"/>
              </w:rPr>
              <w:t xml:space="preserve">Travel </w:t>
            </w:r>
          </w:p>
        </w:tc>
        <w:tc>
          <w:tcPr>
            <w:tcW w:w="1518" w:type="dxa"/>
            <w:noWrap/>
            <w:vAlign w:val="center"/>
          </w:tcPr>
          <w:p w:rsidR="009A4214" w:rsidRPr="00814646" w:rsidP="009E0976" w14:paraId="7941B37C" w14:textId="079AD8A2">
            <w:pPr>
              <w:jc w:val="center"/>
              <w:rPr>
                <w:rFonts w:cs="Times New Roman"/>
                <w:sz w:val="18"/>
                <w:szCs w:val="18"/>
              </w:rPr>
            </w:pPr>
            <w:r w:rsidRPr="00814646">
              <w:rPr>
                <w:rFonts w:cs="Times New Roman"/>
                <w:sz w:val="18"/>
                <w:szCs w:val="18"/>
              </w:rPr>
              <w:t>0</w:t>
            </w:r>
          </w:p>
        </w:tc>
      </w:tr>
      <w:tr w14:paraId="13DD1984" w14:textId="77777777" w:rsidTr="005D123B">
        <w:tblPrEx>
          <w:tblW w:w="9198" w:type="dxa"/>
          <w:tblLook w:val="0000"/>
        </w:tblPrEx>
        <w:trPr>
          <w:trHeight w:val="20"/>
        </w:trPr>
        <w:tc>
          <w:tcPr>
            <w:tcW w:w="7680" w:type="dxa"/>
            <w:noWrap/>
            <w:vAlign w:val="center"/>
          </w:tcPr>
          <w:p w:rsidR="00562915" w:rsidRPr="00814646" w:rsidP="005D123B" w14:paraId="4A4CB54D" w14:textId="77777777">
            <w:pPr>
              <w:rPr>
                <w:rFonts w:cs="Times New Roman"/>
                <w:sz w:val="18"/>
                <w:szCs w:val="18"/>
              </w:rPr>
            </w:pPr>
            <w:r w:rsidRPr="00814646">
              <w:rPr>
                <w:rFonts w:cs="Times New Roman"/>
                <w:sz w:val="18"/>
                <w:szCs w:val="18"/>
              </w:rPr>
              <w:t>Printing [number of data collection instruments annually]</w:t>
            </w:r>
          </w:p>
        </w:tc>
        <w:tc>
          <w:tcPr>
            <w:tcW w:w="1518" w:type="dxa"/>
            <w:noWrap/>
            <w:vAlign w:val="center"/>
          </w:tcPr>
          <w:p w:rsidR="00562915" w:rsidRPr="00814646" w:rsidP="005D123B" w14:paraId="7BD42003" w14:textId="77777777">
            <w:pPr>
              <w:jc w:val="center"/>
              <w:rPr>
                <w:rFonts w:cs="Times New Roman"/>
                <w:sz w:val="18"/>
                <w:szCs w:val="18"/>
              </w:rPr>
            </w:pPr>
            <w:r w:rsidRPr="00814646">
              <w:rPr>
                <w:rFonts w:cs="Times New Roman"/>
                <w:sz w:val="18"/>
                <w:szCs w:val="18"/>
              </w:rPr>
              <w:t>0</w:t>
            </w:r>
          </w:p>
        </w:tc>
      </w:tr>
      <w:tr w14:paraId="49AD08AD" w14:textId="77777777" w:rsidTr="005D123B">
        <w:tblPrEx>
          <w:tblW w:w="9198" w:type="dxa"/>
          <w:tblLook w:val="0000"/>
        </w:tblPrEx>
        <w:trPr>
          <w:trHeight w:val="20"/>
        </w:trPr>
        <w:tc>
          <w:tcPr>
            <w:tcW w:w="7680" w:type="dxa"/>
            <w:noWrap/>
            <w:vAlign w:val="center"/>
          </w:tcPr>
          <w:p w:rsidR="00562915" w:rsidRPr="00814646" w:rsidP="005D123B" w14:paraId="24288B56" w14:textId="77777777">
            <w:pPr>
              <w:rPr>
                <w:rFonts w:cs="Times New Roman"/>
                <w:sz w:val="18"/>
                <w:szCs w:val="18"/>
              </w:rPr>
            </w:pPr>
            <w:r w:rsidRPr="00814646">
              <w:rPr>
                <w:rFonts w:cs="Times New Roman"/>
                <w:sz w:val="18"/>
                <w:szCs w:val="18"/>
              </w:rPr>
              <w:t>Postage [annual number of data collection instruments x postage]</w:t>
            </w:r>
          </w:p>
        </w:tc>
        <w:tc>
          <w:tcPr>
            <w:tcW w:w="1518" w:type="dxa"/>
            <w:noWrap/>
            <w:vAlign w:val="center"/>
          </w:tcPr>
          <w:p w:rsidR="00562915" w:rsidRPr="00814646" w:rsidP="005D123B" w14:paraId="4276266D" w14:textId="77777777">
            <w:pPr>
              <w:jc w:val="center"/>
              <w:rPr>
                <w:rFonts w:cs="Times New Roman"/>
                <w:sz w:val="18"/>
                <w:szCs w:val="18"/>
              </w:rPr>
            </w:pPr>
            <w:r w:rsidRPr="00814646">
              <w:rPr>
                <w:rFonts w:cs="Times New Roman"/>
                <w:sz w:val="18"/>
                <w:szCs w:val="18"/>
              </w:rPr>
              <w:t>0</w:t>
            </w:r>
          </w:p>
        </w:tc>
      </w:tr>
      <w:tr w14:paraId="7E94AD33" w14:textId="77777777" w:rsidTr="005D123B">
        <w:tblPrEx>
          <w:tblW w:w="9198" w:type="dxa"/>
          <w:tblLook w:val="0000"/>
        </w:tblPrEx>
        <w:trPr>
          <w:trHeight w:val="20"/>
        </w:trPr>
        <w:tc>
          <w:tcPr>
            <w:tcW w:w="7680" w:type="dxa"/>
            <w:noWrap/>
            <w:vAlign w:val="center"/>
          </w:tcPr>
          <w:p w:rsidR="00562915" w:rsidRPr="00814646" w:rsidP="005D123B" w14:paraId="0E32AFF7" w14:textId="77777777">
            <w:pPr>
              <w:rPr>
                <w:rFonts w:cs="Times New Roman"/>
                <w:sz w:val="18"/>
                <w:szCs w:val="18"/>
              </w:rPr>
            </w:pPr>
            <w:r w:rsidRPr="00814646">
              <w:rPr>
                <w:rFonts w:cs="Times New Roman"/>
                <w:sz w:val="18"/>
                <w:szCs w:val="18"/>
              </w:rPr>
              <w:t>Other</w:t>
            </w:r>
          </w:p>
        </w:tc>
        <w:tc>
          <w:tcPr>
            <w:tcW w:w="1518" w:type="dxa"/>
            <w:noWrap/>
            <w:vAlign w:val="center"/>
          </w:tcPr>
          <w:p w:rsidR="00562915" w:rsidRPr="00814646" w:rsidP="005D123B" w14:paraId="49954569" w14:textId="77777777">
            <w:pPr>
              <w:jc w:val="center"/>
              <w:rPr>
                <w:rFonts w:cs="Times New Roman"/>
                <w:sz w:val="18"/>
                <w:szCs w:val="18"/>
              </w:rPr>
            </w:pPr>
            <w:r w:rsidRPr="00814646">
              <w:rPr>
                <w:rFonts w:cs="Times New Roman"/>
                <w:sz w:val="18"/>
                <w:szCs w:val="18"/>
              </w:rPr>
              <w:t>0</w:t>
            </w:r>
          </w:p>
        </w:tc>
      </w:tr>
      <w:tr w14:paraId="79ABBE0E" w14:textId="77777777" w:rsidTr="009E0976">
        <w:tblPrEx>
          <w:tblW w:w="9198" w:type="dxa"/>
          <w:tblLook w:val="0000"/>
        </w:tblPrEx>
        <w:trPr>
          <w:trHeight w:val="20"/>
        </w:trPr>
        <w:tc>
          <w:tcPr>
            <w:tcW w:w="7680" w:type="dxa"/>
            <w:noWrap/>
            <w:vAlign w:val="center"/>
          </w:tcPr>
          <w:p w:rsidR="009A4214" w:rsidRPr="00814646" w:rsidP="009E0976" w14:paraId="6744E230" w14:textId="77777777">
            <w:pPr>
              <w:rPr>
                <w:rFonts w:cs="Times New Roman"/>
                <w:b/>
                <w:sz w:val="18"/>
                <w:szCs w:val="18"/>
              </w:rPr>
            </w:pPr>
            <w:r w:rsidRPr="00814646">
              <w:rPr>
                <w:rFonts w:cs="Times New Roman"/>
                <w:b/>
                <w:sz w:val="18"/>
                <w:szCs w:val="18"/>
              </w:rPr>
              <w:t>Total</w:t>
            </w:r>
          </w:p>
        </w:tc>
        <w:tc>
          <w:tcPr>
            <w:tcW w:w="1518" w:type="dxa"/>
            <w:noWrap/>
            <w:vAlign w:val="center"/>
          </w:tcPr>
          <w:p w:rsidR="009A4214" w:rsidRPr="00814646" w:rsidP="009E0976" w14:paraId="58A62A25" w14:textId="70B9E1DC">
            <w:pPr>
              <w:jc w:val="center"/>
              <w:rPr>
                <w:rFonts w:cs="Times New Roman"/>
                <w:sz w:val="18"/>
                <w:szCs w:val="18"/>
              </w:rPr>
            </w:pPr>
            <w:r w:rsidRPr="00814646">
              <w:rPr>
                <w:rFonts w:cs="Times New Roman"/>
                <w:b/>
                <w:sz w:val="18"/>
                <w:szCs w:val="18"/>
              </w:rPr>
              <w:t>$</w:t>
            </w:r>
            <w:r w:rsidR="00EF71A1">
              <w:rPr>
                <w:rFonts w:cs="Times New Roman"/>
                <w:b/>
                <w:bCs/>
                <w:sz w:val="18"/>
                <w:szCs w:val="18"/>
              </w:rPr>
              <w:t>425,794</w:t>
            </w:r>
          </w:p>
        </w:tc>
      </w:tr>
      <w:tr w14:paraId="451C12E7" w14:textId="77777777" w:rsidTr="003A112B">
        <w:tblPrEx>
          <w:tblW w:w="9198" w:type="dxa"/>
          <w:tblLook w:val="0000"/>
        </w:tblPrEx>
        <w:trPr>
          <w:trHeight w:val="20"/>
        </w:trPr>
        <w:tc>
          <w:tcPr>
            <w:tcW w:w="9198" w:type="dxa"/>
            <w:gridSpan w:val="2"/>
            <w:noWrap/>
            <w:vAlign w:val="center"/>
          </w:tcPr>
          <w:p w:rsidR="00032386" w:rsidP="00032386" w14:paraId="178A9FC1" w14:textId="1F0C259E">
            <w:pPr>
              <w:tabs>
                <w:tab w:val="left" w:pos="-720"/>
              </w:tabs>
              <w:suppressAutoHyphens/>
              <w:rPr>
                <w:sz w:val="16"/>
                <w:szCs w:val="16"/>
              </w:rPr>
            </w:pPr>
            <w:r>
              <w:rPr>
                <w:sz w:val="16"/>
                <w:szCs w:val="16"/>
              </w:rPr>
              <w:t>*</w:t>
            </w:r>
            <w:r w:rsidRPr="00032386">
              <w:rPr>
                <w:sz w:val="16"/>
                <w:szCs w:val="16"/>
              </w:rPr>
              <w:t>Wage rate includes a 1.45 multiplier to reflect the fully-loaded wage rate.</w:t>
            </w:r>
          </w:p>
          <w:p w:rsidR="00032386" w:rsidRPr="00032386" w:rsidP="00032386" w14:paraId="4CCBE4F9" w14:textId="6DF71608">
            <w:pPr>
              <w:tabs>
                <w:tab w:val="left" w:pos="-720"/>
              </w:tabs>
              <w:suppressAutoHyphens/>
              <w:rPr>
                <w:sz w:val="16"/>
                <w:szCs w:val="16"/>
              </w:rPr>
            </w:pPr>
            <w:r w:rsidRPr="00032386">
              <w:rPr>
                <w:sz w:val="16"/>
                <w:szCs w:val="16"/>
                <w:vertAlign w:val="superscript"/>
              </w:rPr>
              <w:t>1</w:t>
            </w:r>
            <w:r>
              <w:rPr>
                <w:sz w:val="16"/>
                <w:szCs w:val="16"/>
              </w:rPr>
              <w:t xml:space="preserve"> </w:t>
            </w:r>
            <w:r w:rsidRPr="00534083">
              <w:rPr>
                <w:sz w:val="16"/>
                <w:szCs w:val="16"/>
              </w:rPr>
              <w:t xml:space="preserve">Office of Personnel Management 2024 Pay and Leave Tables for the Washington-Baltimore-Arlington, DC-MD-VA-WV-PA locality.  Available online at </w:t>
            </w:r>
            <w:hyperlink r:id="rId12" w:history="1">
              <w:r w:rsidRPr="00F2212C">
                <w:rPr>
                  <w:rStyle w:val="Hyperlink"/>
                  <w:sz w:val="16"/>
                  <w:szCs w:val="16"/>
                </w:rPr>
                <w:t>https://www.opm.gov/policy-data-oversight/pay-leave/salaries-wages/salary-tables/pdf/2024/DCB.pdf</w:t>
              </w:r>
            </w:hyperlink>
            <w:r w:rsidRPr="00534083">
              <w:rPr>
                <w:sz w:val="16"/>
                <w:szCs w:val="16"/>
              </w:rPr>
              <w:t>.  Accessed January 2, 2024.</w:t>
            </w:r>
          </w:p>
        </w:tc>
      </w:tr>
    </w:tbl>
    <w:bookmarkEnd w:id="7"/>
    <w:p w:rsidR="00BE4C08" w:rsidRPr="00B0543C" w:rsidP="00814646" w14:paraId="58CC43F3" w14:textId="77777777">
      <w:pPr>
        <w:spacing w:line="276" w:lineRule="auto"/>
        <w:contextualSpacing/>
      </w:pPr>
      <w:r w:rsidRPr="00B0543C">
        <w:fldChar w:fldCharType="begin"/>
      </w:r>
      <w:r w:rsidRPr="00B0543C">
        <w:instrText>ADVANCE \R 0.95</w:instrText>
      </w:r>
      <w:r w:rsidRPr="00B0543C">
        <w:fldChar w:fldCharType="end"/>
      </w:r>
      <w:r w:rsidRPr="00B0543C">
        <w:fldChar w:fldCharType="begin"/>
      </w:r>
      <w:r w:rsidRPr="00B0543C">
        <w:instrText>ADVANCE \R 0.95</w:instrText>
      </w:r>
      <w:r w:rsidRPr="00B0543C">
        <w:fldChar w:fldCharType="end"/>
      </w:r>
    </w:p>
    <w:p w:rsidR="004858A0" w:rsidRPr="00E97503" w:rsidP="00814646" w14:paraId="2F579DD1" w14:textId="09899F5E">
      <w:pPr>
        <w:spacing w:line="276" w:lineRule="auto"/>
        <w:contextualSpacing/>
        <w:rPr>
          <w:rFonts w:eastAsia="Times New Roman" w:cs="Times New Roman"/>
          <w:spacing w:val="-3"/>
          <w:szCs w:val="24"/>
        </w:rPr>
      </w:pPr>
      <w:r w:rsidRPr="00E97503">
        <w:rPr>
          <w:rFonts w:eastAsia="Times New Roman" w:cs="Times New Roman"/>
          <w:spacing w:val="-3"/>
          <w:szCs w:val="24"/>
        </w:rPr>
        <w:t xml:space="preserve">The Property Acquisition and Relocation for Open Space </w:t>
      </w:r>
      <w:r w:rsidRPr="00E97503" w:rsidR="00FA5597">
        <w:rPr>
          <w:rFonts w:eastAsia="Times New Roman" w:cs="Times New Roman"/>
          <w:spacing w:val="-3"/>
          <w:szCs w:val="24"/>
        </w:rPr>
        <w:t xml:space="preserve">project </w:t>
      </w:r>
      <w:r w:rsidRPr="00E97503">
        <w:rPr>
          <w:rFonts w:eastAsia="Times New Roman" w:cs="Times New Roman"/>
          <w:spacing w:val="-3"/>
          <w:szCs w:val="24"/>
        </w:rPr>
        <w:t xml:space="preserve">is one type of activity allowed under FEMA mitigation grant programs. Costs to the Federal Government to administer and manage the required information collected with this activity are limited to the staff salaries associated with administering FEMA mitigation grants. </w:t>
      </w:r>
      <w:r w:rsidRPr="00E97503">
        <w:rPr>
          <w:rFonts w:eastAsia="Times New Roman" w:cs="Times New Roman"/>
          <w:color w:val="000000" w:themeColor="text1"/>
          <w:spacing w:val="-3"/>
          <w:szCs w:val="24"/>
        </w:rPr>
        <w:t>Generally</w:t>
      </w:r>
      <w:r w:rsidRPr="00E97503" w:rsidR="004D42BA">
        <w:rPr>
          <w:rFonts w:eastAsia="Times New Roman" w:cs="Times New Roman"/>
          <w:color w:val="000000" w:themeColor="text1"/>
          <w:spacing w:val="-3"/>
          <w:szCs w:val="24"/>
        </w:rPr>
        <w:t>,</w:t>
      </w:r>
      <w:r w:rsidRPr="00E97503">
        <w:rPr>
          <w:rFonts w:eastAsia="Times New Roman" w:cs="Times New Roman"/>
          <w:color w:val="000000" w:themeColor="text1"/>
          <w:spacing w:val="-3"/>
          <w:szCs w:val="24"/>
        </w:rPr>
        <w:t xml:space="preserve"> each </w:t>
      </w:r>
      <w:r w:rsidRPr="00E97503" w:rsidR="003D10AC">
        <w:rPr>
          <w:rFonts w:eastAsia="Times New Roman" w:cs="Times New Roman"/>
          <w:color w:val="000000" w:themeColor="text1"/>
          <w:spacing w:val="-3"/>
          <w:szCs w:val="24"/>
        </w:rPr>
        <w:t xml:space="preserve">FEMA Region </w:t>
      </w:r>
      <w:r w:rsidRPr="00E97503">
        <w:rPr>
          <w:rFonts w:eastAsia="Times New Roman" w:cs="Times New Roman"/>
          <w:color w:val="000000" w:themeColor="text1"/>
          <w:spacing w:val="-3"/>
          <w:szCs w:val="24"/>
        </w:rPr>
        <w:t xml:space="preserve">has </w:t>
      </w:r>
      <w:r w:rsidRPr="00E97503" w:rsidR="00D85B90">
        <w:rPr>
          <w:rFonts w:eastAsia="Times New Roman" w:cs="Times New Roman"/>
          <w:color w:val="000000" w:themeColor="text1"/>
          <w:spacing w:val="-3"/>
          <w:szCs w:val="24"/>
        </w:rPr>
        <w:t xml:space="preserve">assigned </w:t>
      </w:r>
      <w:r w:rsidRPr="00E97503">
        <w:rPr>
          <w:rFonts w:eastAsia="Times New Roman" w:cs="Times New Roman"/>
          <w:color w:val="000000" w:themeColor="text1"/>
          <w:spacing w:val="-3"/>
          <w:szCs w:val="24"/>
        </w:rPr>
        <w:t>one staff person</w:t>
      </w:r>
      <w:r w:rsidRPr="00E97503" w:rsidR="00D85B90">
        <w:rPr>
          <w:rFonts w:eastAsia="Times New Roman" w:cs="Times New Roman"/>
          <w:color w:val="000000" w:themeColor="text1"/>
          <w:spacing w:val="-3"/>
          <w:szCs w:val="24"/>
        </w:rPr>
        <w:t xml:space="preserve"> per state</w:t>
      </w:r>
      <w:r w:rsidRPr="00E97503" w:rsidR="004D42BA">
        <w:rPr>
          <w:rFonts w:eastAsia="Times New Roman" w:cs="Times New Roman"/>
          <w:color w:val="000000" w:themeColor="text1"/>
          <w:spacing w:val="-3"/>
          <w:szCs w:val="24"/>
        </w:rPr>
        <w:t xml:space="preserve"> </w:t>
      </w:r>
      <w:r w:rsidRPr="00E97503">
        <w:rPr>
          <w:rFonts w:eastAsia="Times New Roman" w:cs="Times New Roman"/>
          <w:color w:val="000000" w:themeColor="text1"/>
          <w:spacing w:val="-3"/>
          <w:szCs w:val="24"/>
        </w:rPr>
        <w:t>who reviews all application</w:t>
      </w:r>
      <w:r w:rsidRPr="00E97503" w:rsidR="003D10AC">
        <w:rPr>
          <w:rFonts w:eastAsia="Times New Roman" w:cs="Times New Roman"/>
          <w:color w:val="000000" w:themeColor="text1"/>
          <w:spacing w:val="-3"/>
          <w:szCs w:val="24"/>
        </w:rPr>
        <w:t>s</w:t>
      </w:r>
      <w:r w:rsidRPr="00E97503" w:rsidR="00D85B90">
        <w:rPr>
          <w:rFonts w:eastAsia="Times New Roman" w:cs="Times New Roman"/>
          <w:color w:val="000000" w:themeColor="text1"/>
          <w:spacing w:val="-3"/>
          <w:szCs w:val="24"/>
        </w:rPr>
        <w:t xml:space="preserve"> from that state</w:t>
      </w:r>
      <w:r w:rsidRPr="00E97503">
        <w:rPr>
          <w:rFonts w:eastAsia="Times New Roman" w:cs="Times New Roman"/>
          <w:color w:val="000000" w:themeColor="text1"/>
          <w:spacing w:val="-3"/>
          <w:szCs w:val="24"/>
        </w:rPr>
        <w:t>. On average</w:t>
      </w:r>
      <w:r w:rsidRPr="00E97503" w:rsidR="003D10AC">
        <w:rPr>
          <w:rFonts w:eastAsia="Times New Roman" w:cs="Times New Roman"/>
          <w:color w:val="000000" w:themeColor="text1"/>
          <w:spacing w:val="-3"/>
          <w:szCs w:val="24"/>
        </w:rPr>
        <w:t>,</w:t>
      </w:r>
      <w:r w:rsidRPr="00E97503">
        <w:rPr>
          <w:rFonts w:eastAsia="Times New Roman" w:cs="Times New Roman"/>
          <w:color w:val="000000" w:themeColor="text1"/>
          <w:spacing w:val="-3"/>
          <w:szCs w:val="24"/>
        </w:rPr>
        <w:t xml:space="preserve"> </w:t>
      </w:r>
      <w:r w:rsidRPr="00E97503" w:rsidR="003D10AC">
        <w:rPr>
          <w:rFonts w:eastAsia="Times New Roman" w:cs="Times New Roman"/>
          <w:color w:val="000000" w:themeColor="text1"/>
          <w:spacing w:val="-3"/>
          <w:szCs w:val="24"/>
        </w:rPr>
        <w:t>e</w:t>
      </w:r>
      <w:r w:rsidRPr="00E97503" w:rsidR="00624FDB">
        <w:rPr>
          <w:rFonts w:eastAsia="Times New Roman" w:cs="Times New Roman"/>
          <w:color w:val="000000" w:themeColor="text1"/>
          <w:spacing w:val="-3"/>
          <w:szCs w:val="24"/>
        </w:rPr>
        <w:t>ach R</w:t>
      </w:r>
      <w:r w:rsidRPr="00E97503" w:rsidR="003D10AC">
        <w:rPr>
          <w:rFonts w:eastAsia="Times New Roman" w:cs="Times New Roman"/>
          <w:color w:val="000000" w:themeColor="text1"/>
          <w:spacing w:val="-3"/>
          <w:szCs w:val="24"/>
        </w:rPr>
        <w:t>egion</w:t>
      </w:r>
      <w:r w:rsidRPr="00E97503">
        <w:rPr>
          <w:rFonts w:eastAsia="Times New Roman" w:cs="Times New Roman"/>
          <w:color w:val="000000" w:themeColor="text1"/>
          <w:spacing w:val="-3"/>
          <w:szCs w:val="24"/>
        </w:rPr>
        <w:t xml:space="preserve"> would review 21 applications</w:t>
      </w:r>
      <w:r w:rsidRPr="00E97503" w:rsidR="00D85B90">
        <w:rPr>
          <w:rFonts w:eastAsia="Times New Roman" w:cs="Times New Roman"/>
          <w:color w:val="000000" w:themeColor="text1"/>
          <w:spacing w:val="-3"/>
          <w:szCs w:val="24"/>
        </w:rPr>
        <w:t xml:space="preserve"> per </w:t>
      </w:r>
      <w:r w:rsidR="006E17E5">
        <w:rPr>
          <w:rFonts w:eastAsia="Times New Roman" w:cs="Times New Roman"/>
          <w:color w:val="000000" w:themeColor="text1"/>
          <w:spacing w:val="-3"/>
          <w:szCs w:val="24"/>
        </w:rPr>
        <w:t>s</w:t>
      </w:r>
      <w:r w:rsidRPr="00E97503" w:rsidR="00D85B90">
        <w:rPr>
          <w:rFonts w:eastAsia="Times New Roman" w:cs="Times New Roman"/>
          <w:color w:val="000000" w:themeColor="text1"/>
          <w:spacing w:val="-3"/>
          <w:szCs w:val="24"/>
        </w:rPr>
        <w:t xml:space="preserve">tate and </w:t>
      </w:r>
      <w:r w:rsidR="006E17E5">
        <w:rPr>
          <w:rFonts w:eastAsia="Times New Roman" w:cs="Times New Roman"/>
          <w:color w:val="000000" w:themeColor="text1"/>
          <w:spacing w:val="-3"/>
          <w:szCs w:val="24"/>
        </w:rPr>
        <w:t>t</w:t>
      </w:r>
      <w:r w:rsidRPr="00E97503" w:rsidR="00D85B90">
        <w:rPr>
          <w:rFonts w:eastAsia="Times New Roman" w:cs="Times New Roman"/>
          <w:color w:val="000000" w:themeColor="text1"/>
          <w:spacing w:val="-3"/>
          <w:szCs w:val="24"/>
        </w:rPr>
        <w:t>erritory</w:t>
      </w:r>
      <w:r w:rsidRPr="00E97503">
        <w:rPr>
          <w:rFonts w:eastAsia="Times New Roman" w:cs="Times New Roman"/>
          <w:color w:val="000000" w:themeColor="text1"/>
          <w:spacing w:val="-3"/>
          <w:szCs w:val="24"/>
        </w:rPr>
        <w:t xml:space="preserve"> (56 </w:t>
      </w:r>
      <w:r w:rsidR="007C427B">
        <w:rPr>
          <w:rFonts w:eastAsia="Times New Roman" w:cs="Times New Roman"/>
          <w:color w:val="000000" w:themeColor="text1"/>
          <w:spacing w:val="-3"/>
          <w:szCs w:val="24"/>
        </w:rPr>
        <w:t>s</w:t>
      </w:r>
      <w:r w:rsidRPr="00E97503" w:rsidR="003D10AC">
        <w:rPr>
          <w:rFonts w:eastAsia="Times New Roman" w:cs="Times New Roman"/>
          <w:color w:val="000000" w:themeColor="text1"/>
          <w:spacing w:val="-3"/>
          <w:szCs w:val="24"/>
        </w:rPr>
        <w:t xml:space="preserve">tates </w:t>
      </w:r>
      <w:r w:rsidRPr="00E97503">
        <w:rPr>
          <w:rFonts w:eastAsia="Times New Roman" w:cs="Times New Roman"/>
          <w:color w:val="000000" w:themeColor="text1"/>
          <w:spacing w:val="-3"/>
          <w:szCs w:val="24"/>
        </w:rPr>
        <w:t xml:space="preserve">and </w:t>
      </w:r>
      <w:r w:rsidR="007C427B">
        <w:rPr>
          <w:rFonts w:eastAsia="Times New Roman" w:cs="Times New Roman"/>
          <w:color w:val="000000" w:themeColor="text1"/>
          <w:spacing w:val="-3"/>
          <w:szCs w:val="24"/>
        </w:rPr>
        <w:t>t</w:t>
      </w:r>
      <w:r w:rsidRPr="00E97503" w:rsidR="003D10AC">
        <w:rPr>
          <w:rFonts w:eastAsia="Times New Roman" w:cs="Times New Roman"/>
          <w:color w:val="000000" w:themeColor="text1"/>
          <w:spacing w:val="-3"/>
          <w:szCs w:val="24"/>
        </w:rPr>
        <w:t xml:space="preserve">erritories </w:t>
      </w:r>
      <w:r w:rsidRPr="00E97503">
        <w:rPr>
          <w:rFonts w:eastAsia="Times New Roman" w:cs="Times New Roman"/>
          <w:color w:val="000000" w:themeColor="text1"/>
          <w:spacing w:val="-3"/>
          <w:szCs w:val="24"/>
        </w:rPr>
        <w:t xml:space="preserve">x 21 applications). For </w:t>
      </w:r>
      <w:r w:rsidRPr="00E97503" w:rsidR="003D10AC">
        <w:rPr>
          <w:rFonts w:eastAsia="Times New Roman" w:cs="Times New Roman"/>
          <w:color w:val="000000" w:themeColor="text1"/>
          <w:spacing w:val="-3"/>
          <w:szCs w:val="24"/>
        </w:rPr>
        <w:t>Tribes</w:t>
      </w:r>
      <w:r w:rsidRPr="00E97503">
        <w:rPr>
          <w:rFonts w:eastAsia="Times New Roman" w:cs="Times New Roman"/>
          <w:color w:val="000000" w:themeColor="text1"/>
          <w:spacing w:val="-3"/>
          <w:szCs w:val="24"/>
        </w:rPr>
        <w:t>, there are</w:t>
      </w:r>
      <w:r w:rsidRPr="00E97503" w:rsidR="00D85B90">
        <w:rPr>
          <w:rFonts w:eastAsia="Times New Roman" w:cs="Times New Roman"/>
          <w:color w:val="000000" w:themeColor="text1"/>
          <w:spacing w:val="-3"/>
          <w:szCs w:val="24"/>
        </w:rPr>
        <w:t xml:space="preserve"> regional</w:t>
      </w:r>
      <w:r w:rsidRPr="00E97503">
        <w:rPr>
          <w:rFonts w:eastAsia="Times New Roman" w:cs="Times New Roman"/>
          <w:color w:val="000000" w:themeColor="text1"/>
          <w:spacing w:val="-3"/>
          <w:szCs w:val="24"/>
        </w:rPr>
        <w:t xml:space="preserve"> tribal specialist</w:t>
      </w:r>
      <w:r w:rsidRPr="00E97503" w:rsidR="003A58C6">
        <w:rPr>
          <w:rFonts w:eastAsia="Times New Roman" w:cs="Times New Roman"/>
          <w:color w:val="000000" w:themeColor="text1"/>
          <w:spacing w:val="-3"/>
          <w:szCs w:val="24"/>
        </w:rPr>
        <w:t>s</w:t>
      </w:r>
      <w:r w:rsidRPr="00E97503">
        <w:rPr>
          <w:rFonts w:eastAsia="Times New Roman" w:cs="Times New Roman"/>
          <w:color w:val="000000" w:themeColor="text1"/>
          <w:spacing w:val="-3"/>
          <w:szCs w:val="24"/>
        </w:rPr>
        <w:t xml:space="preserve"> who review applications. FEMA is projecting that three </w:t>
      </w:r>
      <w:r w:rsidRPr="00E97503" w:rsidR="003D10AC">
        <w:rPr>
          <w:rFonts w:eastAsia="Times New Roman" w:cs="Times New Roman"/>
          <w:color w:val="000000" w:themeColor="text1"/>
          <w:spacing w:val="-3"/>
          <w:szCs w:val="24"/>
        </w:rPr>
        <w:t xml:space="preserve">Tribes </w:t>
      </w:r>
      <w:r w:rsidRPr="00E97503">
        <w:rPr>
          <w:rFonts w:eastAsia="Times New Roman" w:cs="Times New Roman"/>
          <w:color w:val="000000" w:themeColor="text1"/>
          <w:spacing w:val="-3"/>
          <w:szCs w:val="24"/>
        </w:rPr>
        <w:t xml:space="preserve">would submit acquisition applications. (3 </w:t>
      </w:r>
      <w:r w:rsidR="007C427B">
        <w:rPr>
          <w:rFonts w:eastAsia="Times New Roman" w:cs="Times New Roman"/>
          <w:color w:val="000000" w:themeColor="text1"/>
          <w:spacing w:val="-3"/>
          <w:szCs w:val="24"/>
        </w:rPr>
        <w:t>T</w:t>
      </w:r>
      <w:r w:rsidRPr="00E97503">
        <w:rPr>
          <w:rFonts w:eastAsia="Times New Roman" w:cs="Times New Roman"/>
          <w:color w:val="000000" w:themeColor="text1"/>
          <w:spacing w:val="-3"/>
          <w:szCs w:val="24"/>
        </w:rPr>
        <w:t xml:space="preserve">ribes x 21 applications). </w:t>
      </w:r>
      <w:r w:rsidRPr="00E97503" w:rsidR="00D85B90">
        <w:rPr>
          <w:rFonts w:eastAsia="Times New Roman" w:cs="Times New Roman"/>
          <w:color w:val="000000" w:themeColor="text1"/>
          <w:spacing w:val="-3"/>
          <w:szCs w:val="24"/>
        </w:rPr>
        <w:t xml:space="preserve">The review duties are only a portion of the time for the regional staff; when taken in aggregate, it is three full-time equivalents (FTE). </w:t>
      </w:r>
      <w:r w:rsidRPr="00E97503" w:rsidR="00EC534A">
        <w:rPr>
          <w:rFonts w:eastAsia="Times New Roman" w:cs="Times New Roman"/>
          <w:color w:val="000000" w:themeColor="text1"/>
          <w:spacing w:val="-3"/>
          <w:szCs w:val="24"/>
        </w:rPr>
        <w:t>While staff is spread out through the regions</w:t>
      </w:r>
      <w:r w:rsidRPr="00E97503" w:rsidR="003A58C6">
        <w:rPr>
          <w:rFonts w:eastAsia="Times New Roman" w:cs="Times New Roman"/>
          <w:color w:val="000000" w:themeColor="text1"/>
          <w:spacing w:val="-3"/>
          <w:szCs w:val="24"/>
        </w:rPr>
        <w:t>,</w:t>
      </w:r>
      <w:r w:rsidRPr="00E97503" w:rsidR="00EC534A">
        <w:rPr>
          <w:rFonts w:eastAsia="Times New Roman" w:cs="Times New Roman"/>
          <w:color w:val="000000" w:themeColor="text1"/>
          <w:spacing w:val="-3"/>
          <w:szCs w:val="24"/>
        </w:rPr>
        <w:t xml:space="preserve"> FEMA is estimating staff costs based on the Washington</w:t>
      </w:r>
      <w:r w:rsidR="007C427B">
        <w:rPr>
          <w:rFonts w:eastAsia="Times New Roman" w:cs="Times New Roman"/>
          <w:color w:val="000000" w:themeColor="text1"/>
          <w:spacing w:val="-3"/>
          <w:szCs w:val="24"/>
        </w:rPr>
        <w:t>,</w:t>
      </w:r>
      <w:r w:rsidRPr="00E97503" w:rsidR="00EC534A">
        <w:rPr>
          <w:rFonts w:eastAsia="Times New Roman" w:cs="Times New Roman"/>
          <w:color w:val="000000" w:themeColor="text1"/>
          <w:spacing w:val="-3"/>
          <w:szCs w:val="24"/>
        </w:rPr>
        <w:t xml:space="preserve"> DC rate</w:t>
      </w:r>
      <w:r w:rsidRPr="00E97503" w:rsidR="003D10AC">
        <w:rPr>
          <w:rFonts w:eastAsia="Times New Roman" w:cs="Times New Roman"/>
          <w:color w:val="000000" w:themeColor="text1"/>
          <w:spacing w:val="-3"/>
          <w:szCs w:val="24"/>
        </w:rPr>
        <w:t>,</w:t>
      </w:r>
      <w:r w:rsidRPr="00E97503" w:rsidR="00EC534A">
        <w:rPr>
          <w:rFonts w:eastAsia="Times New Roman" w:cs="Times New Roman"/>
          <w:color w:val="000000" w:themeColor="text1"/>
          <w:spacing w:val="-3"/>
          <w:szCs w:val="24"/>
        </w:rPr>
        <w:t xml:space="preserve"> which provides a good national average of staff costs.</w:t>
      </w:r>
      <w:r w:rsidRPr="00E97503" w:rsidR="00D85B90">
        <w:rPr>
          <w:rFonts w:eastAsia="Times New Roman" w:cs="Times New Roman"/>
          <w:color w:val="000000" w:themeColor="text1"/>
          <w:spacing w:val="-3"/>
          <w:szCs w:val="24"/>
        </w:rPr>
        <w:t xml:space="preserve">  </w:t>
      </w:r>
    </w:p>
    <w:p w:rsidR="004858A0" w:rsidRPr="00E97503" w:rsidP="00814646" w14:paraId="4F4E1AEA" w14:textId="77777777">
      <w:pPr>
        <w:spacing w:line="276" w:lineRule="auto"/>
        <w:contextualSpacing/>
        <w:rPr>
          <w:rFonts w:eastAsia="Times New Roman" w:cs="Times New Roman"/>
          <w:spacing w:val="-3"/>
          <w:szCs w:val="24"/>
        </w:rPr>
      </w:pPr>
    </w:p>
    <w:p w:rsidR="000A4297" w:rsidRPr="00E97503" w:rsidP="00814646" w14:paraId="026B617F" w14:textId="2498ECA3">
      <w:pPr>
        <w:spacing w:line="276" w:lineRule="auto"/>
        <w:contextualSpacing/>
        <w:rPr>
          <w:rFonts w:eastAsia="Times New Roman" w:cs="Times New Roman"/>
          <w:spacing w:val="-3"/>
          <w:szCs w:val="24"/>
        </w:rPr>
      </w:pPr>
      <w:r w:rsidRPr="00E97503">
        <w:rPr>
          <w:rFonts w:eastAsia="Times New Roman" w:cs="Times New Roman"/>
          <w:spacing w:val="-3"/>
          <w:szCs w:val="24"/>
        </w:rPr>
        <w:t xml:space="preserve">Approximately </w:t>
      </w:r>
      <w:r w:rsidRPr="00E97503" w:rsidR="00E966BD">
        <w:rPr>
          <w:rFonts w:eastAsia="Times New Roman" w:cs="Times New Roman"/>
          <w:spacing w:val="-3"/>
          <w:szCs w:val="24"/>
        </w:rPr>
        <w:t>573</w:t>
      </w:r>
      <w:r w:rsidR="006E17E5">
        <w:rPr>
          <w:rFonts w:eastAsia="Times New Roman" w:cs="Times New Roman"/>
          <w:spacing w:val="-3"/>
          <w:szCs w:val="24"/>
        </w:rPr>
        <w:t xml:space="preserve"> </w:t>
      </w:r>
      <w:r w:rsidRPr="00E97503">
        <w:rPr>
          <w:rFonts w:eastAsia="Times New Roman" w:cs="Times New Roman"/>
          <w:spacing w:val="-3"/>
          <w:szCs w:val="24"/>
        </w:rPr>
        <w:t>properties are subject annually to review and enforcement for the purpose of assuring compliance with the requirements of 44 CFR Part 80, resulting in an hour</w:t>
      </w:r>
      <w:r w:rsidRPr="00E97503" w:rsidR="00EF388F">
        <w:rPr>
          <w:rFonts w:eastAsia="Times New Roman" w:cs="Times New Roman"/>
          <w:spacing w:val="-3"/>
          <w:szCs w:val="24"/>
        </w:rPr>
        <w:t>ly</w:t>
      </w:r>
      <w:r w:rsidRPr="00E97503">
        <w:rPr>
          <w:rFonts w:eastAsia="Times New Roman" w:cs="Times New Roman"/>
          <w:spacing w:val="-3"/>
          <w:szCs w:val="24"/>
        </w:rPr>
        <w:t xml:space="preserve"> burden of approximately 8 hours per property at a fully loaded wage rate of </w:t>
      </w:r>
      <w:r w:rsidRPr="00E97503" w:rsidR="00EF388F">
        <w:rPr>
          <w:rFonts w:eastAsia="Times New Roman" w:cs="Times New Roman"/>
          <w:spacing w:val="-3"/>
          <w:szCs w:val="24"/>
        </w:rPr>
        <w:t>$</w:t>
      </w:r>
      <w:r w:rsidR="00C82888">
        <w:rPr>
          <w:rFonts w:eastAsia="Times New Roman" w:cs="Times New Roman"/>
          <w:spacing w:val="-3"/>
          <w:szCs w:val="24"/>
        </w:rPr>
        <w:t xml:space="preserve">92.89 </w:t>
      </w:r>
      <w:r w:rsidRPr="00E97503">
        <w:rPr>
          <w:rFonts w:eastAsia="Times New Roman" w:cs="Times New Roman"/>
          <w:spacing w:val="-3"/>
          <w:szCs w:val="24"/>
        </w:rPr>
        <w:t>per hour</w:t>
      </w:r>
      <w:r w:rsidRPr="00E97503" w:rsidR="002E48DA">
        <w:rPr>
          <w:rFonts w:eastAsia="Times New Roman" w:cs="Times New Roman"/>
          <w:spacing w:val="-3"/>
          <w:szCs w:val="24"/>
        </w:rPr>
        <w:t xml:space="preserve"> (</w:t>
      </w:r>
      <w:r w:rsidRPr="00E97503" w:rsidR="00121030">
        <w:rPr>
          <w:rFonts w:eastAsia="Times New Roman" w:cs="Times New Roman"/>
          <w:spacing w:val="-3"/>
          <w:szCs w:val="24"/>
        </w:rPr>
        <w:t xml:space="preserve">the </w:t>
      </w:r>
      <w:r w:rsidRPr="00E97503" w:rsidR="002E48DA">
        <w:rPr>
          <w:rFonts w:eastAsia="Times New Roman" w:cs="Times New Roman"/>
          <w:spacing w:val="-3"/>
          <w:szCs w:val="24"/>
        </w:rPr>
        <w:t xml:space="preserve">GS-13, Step 1 </w:t>
      </w:r>
      <w:r w:rsidR="00E10486">
        <w:rPr>
          <w:rFonts w:eastAsia="Times New Roman" w:cs="Times New Roman"/>
          <w:spacing w:val="-3"/>
          <w:szCs w:val="24"/>
        </w:rPr>
        <w:t>2024</w:t>
      </w:r>
      <w:r w:rsidRPr="00E97503" w:rsidR="00E10486">
        <w:rPr>
          <w:rFonts w:eastAsia="Times New Roman" w:cs="Times New Roman"/>
          <w:spacing w:val="-3"/>
          <w:szCs w:val="24"/>
        </w:rPr>
        <w:t xml:space="preserve"> </w:t>
      </w:r>
      <w:r w:rsidRPr="00E97503" w:rsidR="002E48DA">
        <w:rPr>
          <w:rFonts w:eastAsia="Times New Roman" w:cs="Times New Roman"/>
          <w:spacing w:val="-3"/>
          <w:szCs w:val="24"/>
        </w:rPr>
        <w:t xml:space="preserve">wage rate in Washington DC </w:t>
      </w:r>
      <w:r w:rsidRPr="00E97503" w:rsidR="00121030">
        <w:rPr>
          <w:rFonts w:eastAsia="Times New Roman" w:cs="Times New Roman"/>
          <w:spacing w:val="-3"/>
          <w:szCs w:val="24"/>
        </w:rPr>
        <w:t xml:space="preserve">of </w:t>
      </w:r>
      <w:r w:rsidRPr="00E97503" w:rsidR="002E48DA">
        <w:rPr>
          <w:rFonts w:eastAsia="Times New Roman" w:cs="Times New Roman"/>
          <w:spacing w:val="-3"/>
          <w:szCs w:val="24"/>
        </w:rPr>
        <w:t>$</w:t>
      </w:r>
      <w:r w:rsidR="00A95289">
        <w:rPr>
          <w:rFonts w:eastAsia="Times New Roman" w:cs="Times New Roman"/>
          <w:spacing w:val="-3"/>
          <w:szCs w:val="24"/>
        </w:rPr>
        <w:t xml:space="preserve">64.06 </w:t>
      </w:r>
      <w:r w:rsidRPr="00E97503" w:rsidR="002E48DA">
        <w:rPr>
          <w:rFonts w:eastAsia="Times New Roman" w:cs="Times New Roman"/>
          <w:spacing w:val="-3"/>
          <w:szCs w:val="24"/>
        </w:rPr>
        <w:t>per hour</w:t>
      </w:r>
      <w:r w:rsidRPr="00E97503" w:rsidR="00121030">
        <w:rPr>
          <w:rFonts w:eastAsia="Times New Roman" w:cs="Times New Roman"/>
          <w:spacing w:val="-3"/>
          <w:szCs w:val="24"/>
        </w:rPr>
        <w:t xml:space="preserve"> </w:t>
      </w:r>
      <w:r w:rsidRPr="00E97503" w:rsidR="002E48DA">
        <w:rPr>
          <w:rFonts w:eastAsia="Times New Roman" w:cs="Times New Roman"/>
          <w:spacing w:val="-3"/>
          <w:szCs w:val="24"/>
        </w:rPr>
        <w:t xml:space="preserve">multiplied by a load factor of </w:t>
      </w:r>
      <w:r w:rsidRPr="00E97503" w:rsidR="00405FA5">
        <w:rPr>
          <w:rFonts w:eastAsia="Times New Roman" w:cs="Times New Roman"/>
          <w:spacing w:val="-3"/>
          <w:szCs w:val="24"/>
        </w:rPr>
        <w:t>1.</w:t>
      </w:r>
      <w:r w:rsidR="00086AE4">
        <w:rPr>
          <w:rFonts w:eastAsia="Times New Roman" w:cs="Times New Roman"/>
          <w:spacing w:val="-3"/>
          <w:szCs w:val="24"/>
        </w:rPr>
        <w:t xml:space="preserve">45 </w:t>
      </w:r>
      <w:r w:rsidRPr="00E97503" w:rsidR="002E48DA">
        <w:rPr>
          <w:rFonts w:eastAsia="Times New Roman" w:cs="Times New Roman"/>
          <w:spacing w:val="-3"/>
          <w:szCs w:val="24"/>
        </w:rPr>
        <w:t>results in a fully loaded wage of $</w:t>
      </w:r>
      <w:r w:rsidR="00A81A6C">
        <w:rPr>
          <w:rFonts w:eastAsia="Times New Roman" w:cs="Times New Roman"/>
          <w:spacing w:val="-3"/>
          <w:szCs w:val="24"/>
        </w:rPr>
        <w:t>92.89</w:t>
      </w:r>
      <w:r w:rsidRPr="00E97503" w:rsidR="00AC275D">
        <w:rPr>
          <w:rFonts w:eastAsia="Times New Roman" w:cs="Times New Roman"/>
          <w:spacing w:val="-3"/>
          <w:szCs w:val="24"/>
        </w:rPr>
        <w:t>).</w:t>
      </w:r>
      <w:r>
        <w:rPr>
          <w:rStyle w:val="FootnoteReference"/>
          <w:spacing w:val="-3"/>
          <w:szCs w:val="24"/>
        </w:rPr>
        <w:footnoteReference w:id="5"/>
      </w:r>
    </w:p>
    <w:p w:rsidR="006E17E5" w:rsidP="00814646" w14:paraId="21B6BD42" w14:textId="77777777">
      <w:pPr>
        <w:spacing w:line="276" w:lineRule="auto"/>
        <w:contextualSpacing/>
        <w:rPr>
          <w:rFonts w:eastAsia="Times New Roman" w:cs="Times New Roman"/>
          <w:spacing w:val="-3"/>
          <w:szCs w:val="24"/>
        </w:rPr>
      </w:pPr>
    </w:p>
    <w:p w:rsidR="002D472E" w:rsidRPr="00B0543C" w:rsidP="00814646" w14:paraId="6C87FA7C" w14:textId="0274BAC4">
      <w:pPr>
        <w:spacing w:line="276" w:lineRule="auto"/>
        <w:contextualSpacing/>
        <w:rPr>
          <w:rFonts w:eastAsia="Times New Roman" w:cs="Times New Roman"/>
          <w:spacing w:val="-3"/>
          <w:szCs w:val="24"/>
        </w:rPr>
      </w:pPr>
      <w:r w:rsidRPr="00E97503">
        <w:rPr>
          <w:rFonts w:eastAsia="Times New Roman" w:cs="Times New Roman"/>
          <w:spacing w:val="-3"/>
          <w:szCs w:val="24"/>
        </w:rPr>
        <w:t>R</w:t>
      </w:r>
      <w:r w:rsidRPr="00E97503" w:rsidR="00D24586">
        <w:rPr>
          <w:rFonts w:eastAsia="Times New Roman" w:cs="Times New Roman"/>
          <w:spacing w:val="-3"/>
          <w:szCs w:val="24"/>
        </w:rPr>
        <w:t xml:space="preserve">eviewing </w:t>
      </w:r>
      <w:r w:rsidRPr="00E97503" w:rsidR="00E55F36">
        <w:rPr>
          <w:rFonts w:eastAsia="Times New Roman" w:cs="Times New Roman"/>
          <w:spacing w:val="-3"/>
          <w:szCs w:val="24"/>
        </w:rPr>
        <w:t xml:space="preserve">and enforcing the </w:t>
      </w:r>
      <w:r w:rsidRPr="00E97503" w:rsidR="000000EC">
        <w:rPr>
          <w:rFonts w:eastAsia="Times New Roman" w:cs="Times New Roman"/>
          <w:spacing w:val="-3"/>
          <w:szCs w:val="24"/>
        </w:rPr>
        <w:t xml:space="preserve">requirements for </w:t>
      </w:r>
      <w:bookmarkStart w:id="8" w:name="_Hlk14959995"/>
      <w:r w:rsidRPr="00E97503" w:rsidR="000000EC">
        <w:rPr>
          <w:rFonts w:eastAsia="Times New Roman" w:cs="Times New Roman"/>
          <w:spacing w:val="-3"/>
          <w:szCs w:val="24"/>
        </w:rPr>
        <w:t>property acquisitions</w:t>
      </w:r>
      <w:bookmarkEnd w:id="8"/>
      <w:r w:rsidRPr="00E97503" w:rsidR="003E6721">
        <w:rPr>
          <w:rFonts w:eastAsia="Times New Roman" w:cs="Times New Roman"/>
          <w:spacing w:val="-3"/>
          <w:szCs w:val="24"/>
        </w:rPr>
        <w:t xml:space="preserve"> </w:t>
      </w:r>
      <w:r w:rsidRPr="00E97503" w:rsidR="002F430C">
        <w:rPr>
          <w:rFonts w:eastAsia="Times New Roman" w:cs="Times New Roman"/>
          <w:spacing w:val="-3"/>
          <w:szCs w:val="24"/>
        </w:rPr>
        <w:t>represent</w:t>
      </w:r>
      <w:r w:rsidRPr="00E97503" w:rsidR="001630B8">
        <w:rPr>
          <w:rFonts w:eastAsia="Times New Roman" w:cs="Times New Roman"/>
          <w:spacing w:val="-3"/>
          <w:szCs w:val="24"/>
        </w:rPr>
        <w:t>s</w:t>
      </w:r>
      <w:r w:rsidRPr="00E97503" w:rsidR="002F430C">
        <w:rPr>
          <w:rFonts w:eastAsia="Times New Roman" w:cs="Times New Roman"/>
          <w:spacing w:val="-3"/>
          <w:szCs w:val="24"/>
        </w:rPr>
        <w:t xml:space="preserve"> a small </w:t>
      </w:r>
      <w:r w:rsidRPr="00E97503" w:rsidR="00E45368">
        <w:rPr>
          <w:rFonts w:eastAsia="Times New Roman" w:cs="Times New Roman"/>
          <w:spacing w:val="-3"/>
          <w:szCs w:val="24"/>
        </w:rPr>
        <w:t>subset of project applications</w:t>
      </w:r>
      <w:r w:rsidRPr="00E97503" w:rsidR="009C2183">
        <w:rPr>
          <w:rFonts w:eastAsia="Times New Roman" w:cs="Times New Roman"/>
          <w:spacing w:val="-3"/>
          <w:szCs w:val="24"/>
        </w:rPr>
        <w:t xml:space="preserve"> and t</w:t>
      </w:r>
      <w:r w:rsidRPr="00E97503" w:rsidR="00DE6DBB">
        <w:rPr>
          <w:rFonts w:eastAsia="Times New Roman" w:cs="Times New Roman"/>
          <w:spacing w:val="-3"/>
          <w:szCs w:val="24"/>
        </w:rPr>
        <w:t xml:space="preserve">hus, a small </w:t>
      </w:r>
      <w:r w:rsidRPr="00E97503" w:rsidR="004C2C51">
        <w:rPr>
          <w:rFonts w:eastAsia="Times New Roman" w:cs="Times New Roman"/>
          <w:spacing w:val="-3"/>
          <w:szCs w:val="24"/>
        </w:rPr>
        <w:t xml:space="preserve">portion of </w:t>
      </w:r>
      <w:r w:rsidRPr="00E97503" w:rsidR="00B427E5">
        <w:rPr>
          <w:rFonts w:eastAsia="Times New Roman" w:cs="Times New Roman"/>
          <w:spacing w:val="-3"/>
          <w:szCs w:val="24"/>
        </w:rPr>
        <w:t xml:space="preserve">each </w:t>
      </w:r>
      <w:r w:rsidRPr="00E97503" w:rsidR="009D6821">
        <w:rPr>
          <w:rFonts w:eastAsia="Times New Roman" w:cs="Times New Roman"/>
          <w:spacing w:val="-3"/>
          <w:szCs w:val="24"/>
        </w:rPr>
        <w:t xml:space="preserve">regional and tribal hazard mitigation </w:t>
      </w:r>
      <w:r w:rsidRPr="00E97503" w:rsidR="00B427E5">
        <w:rPr>
          <w:rFonts w:eastAsia="Times New Roman" w:cs="Times New Roman"/>
          <w:spacing w:val="-3"/>
          <w:szCs w:val="24"/>
        </w:rPr>
        <w:t xml:space="preserve">specialist’s </w:t>
      </w:r>
      <w:r w:rsidRPr="00E97503" w:rsidR="004C2C51">
        <w:rPr>
          <w:rFonts w:eastAsia="Times New Roman" w:cs="Times New Roman"/>
          <w:spacing w:val="-3"/>
          <w:szCs w:val="24"/>
        </w:rPr>
        <w:t>work hours</w:t>
      </w:r>
      <w:r w:rsidRPr="00E97503" w:rsidR="009C2183">
        <w:rPr>
          <w:rFonts w:eastAsia="Times New Roman" w:cs="Times New Roman"/>
          <w:spacing w:val="-3"/>
          <w:szCs w:val="24"/>
        </w:rPr>
        <w:t xml:space="preserve">. </w:t>
      </w:r>
      <w:r w:rsidRPr="00E97503">
        <w:rPr>
          <w:rFonts w:eastAsia="Times New Roman" w:cs="Times New Roman"/>
          <w:spacing w:val="-3"/>
          <w:szCs w:val="24"/>
        </w:rPr>
        <w:t>T</w:t>
      </w:r>
      <w:r w:rsidRPr="00E97503" w:rsidR="008A23DE">
        <w:rPr>
          <w:rFonts w:eastAsia="Times New Roman" w:cs="Times New Roman"/>
          <w:spacing w:val="-3"/>
          <w:szCs w:val="24"/>
        </w:rPr>
        <w:t xml:space="preserve">he total </w:t>
      </w:r>
      <w:r w:rsidRPr="00E97503">
        <w:rPr>
          <w:rFonts w:eastAsia="Times New Roman" w:cs="Times New Roman"/>
          <w:spacing w:val="-3"/>
          <w:szCs w:val="24"/>
        </w:rPr>
        <w:t xml:space="preserve">estimated </w:t>
      </w:r>
      <w:r w:rsidRPr="00E97503" w:rsidR="008A23DE">
        <w:rPr>
          <w:rFonts w:eastAsia="Times New Roman" w:cs="Times New Roman"/>
          <w:spacing w:val="-3"/>
          <w:szCs w:val="24"/>
        </w:rPr>
        <w:t xml:space="preserve">time spent </w:t>
      </w:r>
      <w:r w:rsidRPr="00E97503" w:rsidR="00853D7E">
        <w:rPr>
          <w:rFonts w:eastAsia="Times New Roman" w:cs="Times New Roman"/>
          <w:spacing w:val="-3"/>
          <w:szCs w:val="24"/>
        </w:rPr>
        <w:t xml:space="preserve">specifically on </w:t>
      </w:r>
      <w:r w:rsidRPr="00E97503">
        <w:rPr>
          <w:rFonts w:eastAsia="Times New Roman" w:cs="Times New Roman"/>
          <w:spacing w:val="-3"/>
          <w:szCs w:val="24"/>
        </w:rPr>
        <w:t>property acquisitions</w:t>
      </w:r>
      <w:r w:rsidRPr="00E97503" w:rsidR="00853D7E">
        <w:rPr>
          <w:rFonts w:eastAsia="Times New Roman" w:cs="Times New Roman"/>
          <w:spacing w:val="-3"/>
          <w:szCs w:val="24"/>
        </w:rPr>
        <w:t xml:space="preserve"> </w:t>
      </w:r>
      <w:r w:rsidRPr="00E97503" w:rsidR="008A23DE">
        <w:rPr>
          <w:rFonts w:eastAsia="Times New Roman" w:cs="Times New Roman"/>
          <w:spacing w:val="-3"/>
          <w:szCs w:val="24"/>
        </w:rPr>
        <w:t>will equate</w:t>
      </w:r>
      <w:r w:rsidRPr="00E97503" w:rsidR="00853D7E">
        <w:rPr>
          <w:rFonts w:eastAsia="Times New Roman" w:cs="Times New Roman"/>
          <w:spacing w:val="-3"/>
          <w:szCs w:val="24"/>
        </w:rPr>
        <w:t xml:space="preserve"> to</w:t>
      </w:r>
      <w:r w:rsidRPr="00E97503" w:rsidR="008A23DE">
        <w:rPr>
          <w:rFonts w:eastAsia="Times New Roman" w:cs="Times New Roman"/>
          <w:spacing w:val="-3"/>
          <w:szCs w:val="24"/>
        </w:rPr>
        <w:t xml:space="preserve"> the full</w:t>
      </w:r>
      <w:r w:rsidRPr="00E97503" w:rsidR="006A7B90">
        <w:rPr>
          <w:rFonts w:eastAsia="Times New Roman" w:cs="Times New Roman"/>
          <w:spacing w:val="-3"/>
          <w:szCs w:val="24"/>
        </w:rPr>
        <w:t>-</w:t>
      </w:r>
      <w:r w:rsidRPr="00E97503" w:rsidR="008A23DE">
        <w:rPr>
          <w:rFonts w:eastAsia="Times New Roman" w:cs="Times New Roman"/>
          <w:spacing w:val="-3"/>
          <w:szCs w:val="24"/>
        </w:rPr>
        <w:t>time work</w:t>
      </w:r>
      <w:r w:rsidRPr="00E97503" w:rsidR="00AC275D">
        <w:rPr>
          <w:rFonts w:eastAsia="Times New Roman" w:cs="Times New Roman"/>
          <w:spacing w:val="-3"/>
          <w:szCs w:val="24"/>
        </w:rPr>
        <w:t>load</w:t>
      </w:r>
      <w:r w:rsidRPr="00E97503" w:rsidR="008A23DE">
        <w:rPr>
          <w:rFonts w:eastAsia="Times New Roman" w:cs="Times New Roman"/>
          <w:spacing w:val="-3"/>
          <w:szCs w:val="24"/>
        </w:rPr>
        <w:t xml:space="preserve"> of</w:t>
      </w:r>
      <w:r w:rsidRPr="00E97503" w:rsidR="00853D7E">
        <w:rPr>
          <w:rFonts w:eastAsia="Times New Roman" w:cs="Times New Roman"/>
          <w:spacing w:val="-3"/>
          <w:szCs w:val="24"/>
        </w:rPr>
        <w:t xml:space="preserve"> 3 FEMA </w:t>
      </w:r>
      <w:r w:rsidRPr="00E97503" w:rsidR="00AC275D">
        <w:rPr>
          <w:rFonts w:eastAsia="Times New Roman" w:cs="Times New Roman"/>
          <w:spacing w:val="-3"/>
          <w:szCs w:val="24"/>
        </w:rPr>
        <w:t>employees</w:t>
      </w:r>
      <w:r w:rsidRPr="00E97503" w:rsidR="00D764CD">
        <w:rPr>
          <w:rFonts w:eastAsia="Times New Roman" w:cs="Times New Roman"/>
          <w:spacing w:val="-3"/>
          <w:szCs w:val="24"/>
        </w:rPr>
        <w:t>. T</w:t>
      </w:r>
      <w:r w:rsidRPr="00E97503" w:rsidR="0007743F">
        <w:rPr>
          <w:rFonts w:eastAsia="Times New Roman" w:cs="Times New Roman"/>
          <w:spacing w:val="-3"/>
          <w:szCs w:val="24"/>
        </w:rPr>
        <w:t xml:space="preserve">herefore, the </w:t>
      </w:r>
      <w:r w:rsidRPr="00E97503" w:rsidR="0007743F">
        <w:rPr>
          <w:rFonts w:eastAsia="Times New Roman" w:cs="Times New Roman"/>
          <w:spacing w:val="-3"/>
          <w:szCs w:val="24"/>
        </w:rPr>
        <w:t xml:space="preserve">annualized cost to the Federal Government to enforce Property Acquisition requirements is estimated to be </w:t>
      </w:r>
      <w:r w:rsidRPr="00E97503" w:rsidR="00E60A1B">
        <w:rPr>
          <w:rFonts w:eastAsia="Times New Roman" w:cs="Times New Roman"/>
          <w:spacing w:val="-3"/>
          <w:szCs w:val="24"/>
        </w:rPr>
        <w:t xml:space="preserve">8 hours x </w:t>
      </w:r>
      <w:r w:rsidRPr="00E97503" w:rsidR="00C833B0">
        <w:rPr>
          <w:rFonts w:eastAsia="Times New Roman" w:cs="Times New Roman"/>
          <w:spacing w:val="-3"/>
          <w:szCs w:val="24"/>
        </w:rPr>
        <w:t>573</w:t>
      </w:r>
      <w:r w:rsidR="007C427B">
        <w:rPr>
          <w:rFonts w:eastAsia="Times New Roman" w:cs="Times New Roman"/>
          <w:spacing w:val="-3"/>
          <w:szCs w:val="24"/>
        </w:rPr>
        <w:t xml:space="preserve"> </w:t>
      </w:r>
      <w:r w:rsidRPr="00E97503" w:rsidR="00E60A1B">
        <w:rPr>
          <w:rFonts w:eastAsia="Times New Roman" w:cs="Times New Roman"/>
          <w:spacing w:val="-3"/>
          <w:szCs w:val="24"/>
        </w:rPr>
        <w:t>properties x $</w:t>
      </w:r>
      <w:r w:rsidR="0013399F">
        <w:rPr>
          <w:rFonts w:eastAsia="Times New Roman" w:cs="Times New Roman"/>
          <w:spacing w:val="-3"/>
          <w:szCs w:val="24"/>
        </w:rPr>
        <w:t>92.89</w:t>
      </w:r>
      <w:r w:rsidRPr="00E97503" w:rsidR="008D2441">
        <w:rPr>
          <w:rFonts w:eastAsia="Times New Roman" w:cs="Times New Roman"/>
          <w:spacing w:val="-3"/>
          <w:szCs w:val="24"/>
        </w:rPr>
        <w:t xml:space="preserve">= </w:t>
      </w:r>
      <w:r w:rsidRPr="00E97503" w:rsidR="00DC4F27">
        <w:rPr>
          <w:rFonts w:eastAsia="Times New Roman" w:cs="Times New Roman"/>
          <w:spacing w:val="-3"/>
          <w:szCs w:val="24"/>
        </w:rPr>
        <w:t>$</w:t>
      </w:r>
      <w:r w:rsidR="00086CBA">
        <w:rPr>
          <w:rFonts w:eastAsia="Times New Roman" w:cs="Times New Roman"/>
          <w:spacing w:val="-3"/>
          <w:szCs w:val="24"/>
        </w:rPr>
        <w:t>425,794(</w:t>
      </w:r>
      <w:r w:rsidR="00C82888">
        <w:rPr>
          <w:rFonts w:eastAsia="Times New Roman" w:cs="Times New Roman"/>
          <w:spacing w:val="-3"/>
          <w:szCs w:val="24"/>
        </w:rPr>
        <w:t>$</w:t>
      </w:r>
      <w:r w:rsidR="00A617C6">
        <w:rPr>
          <w:rFonts w:eastAsia="Times New Roman" w:cs="Times New Roman"/>
          <w:spacing w:val="-3"/>
          <w:szCs w:val="24"/>
        </w:rPr>
        <w:t>425,80</w:t>
      </w:r>
      <w:r w:rsidR="001B5684">
        <w:rPr>
          <w:rFonts w:eastAsia="Times New Roman" w:cs="Times New Roman"/>
          <w:spacing w:val="-3"/>
          <w:szCs w:val="24"/>
        </w:rPr>
        <w:t>8</w:t>
      </w:r>
      <w:r w:rsidR="00086CBA">
        <w:rPr>
          <w:rFonts w:eastAsia="Times New Roman" w:cs="Times New Roman"/>
          <w:spacing w:val="-3"/>
          <w:szCs w:val="24"/>
        </w:rPr>
        <w:t>-</w:t>
      </w:r>
      <w:r w:rsidR="00C82888">
        <w:rPr>
          <w:rFonts w:eastAsia="Times New Roman" w:cs="Times New Roman"/>
          <w:spacing w:val="-3"/>
          <w:szCs w:val="24"/>
        </w:rPr>
        <w:t>$14 due to rounding)</w:t>
      </w:r>
      <w:r w:rsidRPr="00E97503" w:rsidR="00A57D2D">
        <w:rPr>
          <w:rFonts w:eastAsia="Times New Roman" w:cs="Times New Roman"/>
          <w:spacing w:val="-3"/>
          <w:szCs w:val="24"/>
        </w:rPr>
        <w:t>.</w:t>
      </w:r>
    </w:p>
    <w:p w:rsidR="00BE4C08" w:rsidRPr="00B0543C" w:rsidP="00814646" w14:paraId="37A14D7A" w14:textId="77777777">
      <w:pPr>
        <w:spacing w:line="276" w:lineRule="auto"/>
        <w:contextualSpacing/>
      </w:pPr>
    </w:p>
    <w:p w:rsidR="00AC49FB" w:rsidRPr="009E0976" w:rsidP="00814646" w14:paraId="46138024" w14:textId="2529E850">
      <w:pPr>
        <w:spacing w:line="276" w:lineRule="auto"/>
        <w:contextualSpacing/>
        <w:rPr>
          <w:b/>
        </w:rPr>
      </w:pPr>
      <w:r w:rsidRPr="00B0543C">
        <w:rPr>
          <w:rFonts w:cs="Times New Roman"/>
          <w:b/>
          <w:szCs w:val="24"/>
        </w:rPr>
        <w:t xml:space="preserve">15.  </w:t>
      </w:r>
      <w:r w:rsidRPr="009E0976">
        <w:rPr>
          <w:b/>
        </w:rPr>
        <w:t>Explain the reasons for any program changes or adjustments reported in Items 13 or 14 of</w:t>
      </w:r>
      <w:r w:rsidRPr="00B0543C">
        <w:rPr>
          <w:rFonts w:cs="Times New Roman"/>
          <w:b/>
          <w:szCs w:val="24"/>
        </w:rPr>
        <w:t xml:space="preserve"> the</w:t>
      </w:r>
      <w:r w:rsidRPr="009E0976">
        <w:rPr>
          <w:b/>
        </w:rPr>
        <w:t xml:space="preserve"> OMB Form 83-I in a narrative form.  Present the itemized changes in hour burden and cost burden according to program changes or adjustments in Table 5.  Denote a program increase as a positive number, and a program decrease as a negative number.</w:t>
      </w:r>
      <w:r w:rsidRPr="00B0543C">
        <w:rPr>
          <w:rFonts w:cs="Times New Roman"/>
          <w:b/>
          <w:szCs w:val="24"/>
        </w:rPr>
        <w:t xml:space="preserve">  </w:t>
      </w:r>
    </w:p>
    <w:p w:rsidR="006E17E5" w:rsidP="00814646" w14:paraId="69C4B292" w14:textId="77777777">
      <w:pPr>
        <w:pStyle w:val="NormalWeb"/>
        <w:spacing w:before="0" w:beforeAutospacing="0" w:after="0" w:afterAutospacing="0" w:line="276" w:lineRule="auto"/>
        <w:contextualSpacing/>
        <w:rPr>
          <w:i/>
          <w:iCs/>
          <w:sz w:val="20"/>
          <w:szCs w:val="20"/>
        </w:rPr>
      </w:pPr>
    </w:p>
    <w:p w:rsidR="00055F6D" w:rsidRPr="001D3D89" w:rsidP="00814646" w14:paraId="6F2A70D5" w14:textId="27D8B445">
      <w:pPr>
        <w:pStyle w:val="NormalWeb"/>
        <w:spacing w:before="0" w:beforeAutospacing="0" w:after="0" w:afterAutospacing="0" w:line="276" w:lineRule="auto"/>
        <w:ind w:left="720"/>
        <w:contextualSpacing/>
        <w:rPr>
          <w:i/>
          <w:iCs/>
          <w:sz w:val="20"/>
          <w:szCs w:val="20"/>
        </w:rPr>
      </w:pPr>
      <w:r w:rsidRPr="001D3D89">
        <w:rPr>
          <w:i/>
          <w:iCs/>
          <w:sz w:val="20"/>
          <w:szCs w:val="20"/>
        </w:rPr>
        <w:t xml:space="preserve">A </w:t>
      </w:r>
      <w:bookmarkStart w:id="9" w:name="_Hlk116570215"/>
      <w:r w:rsidRPr="00B0543C" w:rsidR="00562915">
        <w:rPr>
          <w:b/>
          <w:bCs/>
          <w:i/>
          <w:sz w:val="20"/>
          <w:szCs w:val="20"/>
        </w:rPr>
        <w:t>"</w:t>
      </w:r>
      <w:bookmarkEnd w:id="9"/>
      <w:r w:rsidRPr="001D3D89">
        <w:rPr>
          <w:b/>
          <w:bCs/>
          <w:i/>
          <w:iCs/>
          <w:sz w:val="20"/>
          <w:szCs w:val="20"/>
        </w:rPr>
        <w:t>Program increase</w:t>
      </w:r>
      <w:r w:rsidRPr="00B0543C" w:rsidR="00562915">
        <w:rPr>
          <w:b/>
          <w:bCs/>
          <w:i/>
          <w:sz w:val="20"/>
          <w:szCs w:val="20"/>
        </w:rPr>
        <w:t>"</w:t>
      </w:r>
      <w:r w:rsidRPr="001D3D89">
        <w:rPr>
          <w:i/>
          <w:iCs/>
          <w:sz w:val="20"/>
          <w:szCs w:val="20"/>
        </w:rPr>
        <w:t xml:space="preserve"> is an additional burden resulting from a </w:t>
      </w:r>
      <w:r w:rsidR="00FC5A53">
        <w:rPr>
          <w:i/>
          <w:sz w:val="20"/>
          <w:szCs w:val="20"/>
        </w:rPr>
        <w:t>F</w:t>
      </w:r>
      <w:r w:rsidRPr="00B0543C" w:rsidR="00562915">
        <w:rPr>
          <w:i/>
          <w:sz w:val="20"/>
          <w:szCs w:val="20"/>
        </w:rPr>
        <w:t xml:space="preserve">ederal </w:t>
      </w:r>
      <w:r w:rsidR="00FC5A53">
        <w:rPr>
          <w:i/>
          <w:sz w:val="20"/>
          <w:szCs w:val="20"/>
        </w:rPr>
        <w:t>G</w:t>
      </w:r>
      <w:r w:rsidRPr="00B0543C" w:rsidR="00562915">
        <w:rPr>
          <w:i/>
          <w:sz w:val="20"/>
          <w:szCs w:val="20"/>
        </w:rPr>
        <w:t>overnment regulatory</w:t>
      </w:r>
      <w:r w:rsidRPr="001D3D89">
        <w:rPr>
          <w:i/>
          <w:iCs/>
          <w:sz w:val="20"/>
          <w:szCs w:val="20"/>
        </w:rPr>
        <w:t xml:space="preserve"> action or directive</w:t>
      </w:r>
      <w:r w:rsidRPr="00B0543C" w:rsidR="00562915">
        <w:rPr>
          <w:i/>
          <w:sz w:val="20"/>
          <w:szCs w:val="20"/>
        </w:rPr>
        <w:t>.</w:t>
      </w:r>
      <w:r w:rsidRPr="001D3D89">
        <w:rPr>
          <w:i/>
          <w:iCs/>
          <w:sz w:val="20"/>
          <w:szCs w:val="20"/>
        </w:rPr>
        <w:t xml:space="preserve"> (e.g., an increase in sample size or coverage, amount of information, reporting frequency, or expanded use of an existing form). This also includes previously in-use and unapproved information </w:t>
      </w:r>
      <w:r w:rsidRPr="00B0543C" w:rsidR="00562915">
        <w:rPr>
          <w:i/>
          <w:sz w:val="20"/>
          <w:szCs w:val="20"/>
        </w:rPr>
        <w:t>collections</w:t>
      </w:r>
      <w:r w:rsidRPr="001D3D89">
        <w:rPr>
          <w:i/>
          <w:iCs/>
          <w:sz w:val="20"/>
          <w:szCs w:val="20"/>
        </w:rPr>
        <w:t xml:space="preserve"> discovered during the ICB process, or during the fiscal year, which will be in use during the next fiscal year.</w:t>
      </w:r>
      <w:r w:rsidRPr="00B0543C" w:rsidR="00562915">
        <w:rPr>
          <w:i/>
          <w:sz w:val="20"/>
          <w:szCs w:val="20"/>
        </w:rPr>
        <w:t xml:space="preserve"> </w:t>
      </w:r>
    </w:p>
    <w:p w:rsidR="00055F6D" w:rsidRPr="001D3D89" w:rsidP="00814646" w14:paraId="55624594" w14:textId="74722936">
      <w:pPr>
        <w:pStyle w:val="NormalWeb"/>
        <w:spacing w:before="0" w:beforeAutospacing="0" w:after="0" w:afterAutospacing="0" w:line="276" w:lineRule="auto"/>
        <w:ind w:left="720"/>
        <w:contextualSpacing/>
        <w:rPr>
          <w:i/>
          <w:iCs/>
          <w:sz w:val="20"/>
          <w:szCs w:val="20"/>
        </w:rPr>
      </w:pPr>
      <w:r w:rsidRPr="001D3D89">
        <w:rPr>
          <w:i/>
          <w:iCs/>
          <w:sz w:val="20"/>
          <w:szCs w:val="20"/>
        </w:rPr>
        <w:t xml:space="preserve">A </w:t>
      </w:r>
      <w:r w:rsidRPr="00B0543C" w:rsidR="00562915">
        <w:rPr>
          <w:b/>
          <w:bCs/>
          <w:i/>
          <w:sz w:val="20"/>
          <w:szCs w:val="20"/>
        </w:rPr>
        <w:t>"</w:t>
      </w:r>
      <w:r w:rsidRPr="001D3D89">
        <w:rPr>
          <w:b/>
          <w:bCs/>
          <w:i/>
          <w:iCs/>
          <w:sz w:val="20"/>
          <w:szCs w:val="20"/>
        </w:rPr>
        <w:t>Program decrease</w:t>
      </w:r>
      <w:r w:rsidRPr="00B0543C" w:rsidR="00562915">
        <w:rPr>
          <w:b/>
          <w:bCs/>
          <w:i/>
          <w:sz w:val="20"/>
          <w:szCs w:val="20"/>
        </w:rPr>
        <w:t>",</w:t>
      </w:r>
      <w:r w:rsidRPr="009E0976">
        <w:rPr>
          <w:b/>
          <w:i/>
          <w:sz w:val="20"/>
        </w:rPr>
        <w:t xml:space="preserve"> </w:t>
      </w:r>
      <w:r w:rsidRPr="001D3D89">
        <w:rPr>
          <w:i/>
          <w:iCs/>
          <w:sz w:val="20"/>
          <w:szCs w:val="20"/>
        </w:rPr>
        <w:t>is a reduction in burden because of: (1) the discontinuation of an information collection</w:t>
      </w:r>
      <w:r w:rsidRPr="00B0543C" w:rsidR="00562915">
        <w:rPr>
          <w:i/>
          <w:sz w:val="20"/>
          <w:szCs w:val="20"/>
        </w:rPr>
        <w:t>;</w:t>
      </w:r>
      <w:r w:rsidRPr="001D3D89">
        <w:rPr>
          <w:i/>
          <w:iCs/>
          <w:sz w:val="20"/>
          <w:szCs w:val="20"/>
        </w:rPr>
        <w:t xml:space="preserve"> or (2) a change in an existing information collection by a Federal </w:t>
      </w:r>
      <w:r w:rsidR="00FC5A53">
        <w:rPr>
          <w:i/>
          <w:sz w:val="20"/>
          <w:szCs w:val="20"/>
        </w:rPr>
        <w:t>A</w:t>
      </w:r>
      <w:r w:rsidRPr="00B0543C" w:rsidR="00FC5A53">
        <w:rPr>
          <w:i/>
          <w:sz w:val="20"/>
          <w:szCs w:val="20"/>
        </w:rPr>
        <w:t>gency</w:t>
      </w:r>
      <w:r w:rsidRPr="001D3D89" w:rsidR="00FC5A53">
        <w:rPr>
          <w:i/>
          <w:iCs/>
          <w:sz w:val="20"/>
          <w:szCs w:val="20"/>
        </w:rPr>
        <w:t xml:space="preserve"> </w:t>
      </w:r>
      <w:r w:rsidRPr="001D3D89">
        <w:rPr>
          <w:i/>
          <w:iCs/>
          <w:sz w:val="20"/>
          <w:szCs w:val="20"/>
        </w:rPr>
        <w:t>(e.g., the use of sampling (or smaller samples), a decrease in the amount of information requested (fewer questions), or a decrease in reporting frequency).</w:t>
      </w:r>
      <w:r w:rsidRPr="00106954" w:rsidR="00562915">
        <w:rPr>
          <w:i/>
          <w:sz w:val="20"/>
          <w:szCs w:val="20"/>
        </w:rPr>
        <w:t xml:space="preserve"> </w:t>
      </w:r>
    </w:p>
    <w:p w:rsidR="00055F6D" w:rsidRPr="001D3D89" w:rsidP="00814646" w14:paraId="1321BE83" w14:textId="5AA3EFEE">
      <w:pPr>
        <w:pStyle w:val="NormalWeb"/>
        <w:spacing w:before="0" w:beforeAutospacing="0" w:after="0" w:afterAutospacing="0" w:line="276" w:lineRule="auto"/>
        <w:ind w:left="720"/>
        <w:contextualSpacing/>
        <w:rPr>
          <w:i/>
          <w:iCs/>
          <w:sz w:val="20"/>
          <w:szCs w:val="20"/>
        </w:rPr>
      </w:pPr>
      <w:r>
        <w:rPr>
          <w:b/>
          <w:i/>
          <w:sz w:val="20"/>
          <w:szCs w:val="20"/>
        </w:rPr>
        <w:t xml:space="preserve">An </w:t>
      </w:r>
      <w:r w:rsidRPr="00106954" w:rsidR="00562915">
        <w:rPr>
          <w:b/>
          <w:bCs/>
          <w:i/>
          <w:sz w:val="20"/>
          <w:szCs w:val="20"/>
        </w:rPr>
        <w:t>"</w:t>
      </w:r>
      <w:r w:rsidRPr="001D3D89">
        <w:rPr>
          <w:b/>
          <w:bCs/>
          <w:i/>
          <w:iCs/>
          <w:sz w:val="20"/>
          <w:szCs w:val="20"/>
        </w:rPr>
        <w:t>Adjustment</w:t>
      </w:r>
      <w:r w:rsidRPr="00106954" w:rsidR="00562915">
        <w:rPr>
          <w:b/>
          <w:bCs/>
          <w:i/>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r w:rsidRPr="00106954" w:rsidR="00562915">
        <w:rPr>
          <w:i/>
          <w:sz w:val="20"/>
          <w:szCs w:val="20"/>
        </w:rPr>
        <w:t xml:space="preserve"> </w:t>
      </w:r>
    </w:p>
    <w:p w:rsidR="006E17E5" w:rsidRPr="00D03C8B" w:rsidP="00814646" w14:paraId="5B8F8FB0" w14:textId="77777777">
      <w:pPr>
        <w:spacing w:line="276" w:lineRule="auto"/>
        <w:contextualSpacing/>
        <w:rPr>
          <w:rFonts w:cs="Times New Roman"/>
          <w:szCs w:val="24"/>
        </w:rPr>
      </w:pPr>
    </w:p>
    <w:tbl>
      <w:tblPr>
        <w:tblW w:w="1006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625"/>
        <w:gridCol w:w="1530"/>
        <w:gridCol w:w="990"/>
        <w:gridCol w:w="1080"/>
        <w:gridCol w:w="1530"/>
        <w:gridCol w:w="1170"/>
        <w:gridCol w:w="1144"/>
      </w:tblGrid>
      <w:tr w14:paraId="3F772BA0" w14:textId="77777777" w:rsidTr="00450EE0">
        <w:tblPrEx>
          <w:tblW w:w="1006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trHeight w:val="270"/>
          <w:jc w:val="center"/>
        </w:trPr>
        <w:tc>
          <w:tcPr>
            <w:tcW w:w="10069" w:type="dxa"/>
            <w:gridSpan w:val="7"/>
            <w:tcBorders>
              <w:top w:val="single" w:sz="12" w:space="0" w:color="auto"/>
              <w:left w:val="single" w:sz="12" w:space="0" w:color="auto"/>
              <w:bottom w:val="single" w:sz="6" w:space="0" w:color="auto"/>
              <w:right w:val="single" w:sz="12" w:space="0" w:color="auto"/>
            </w:tcBorders>
            <w:shd w:val="clear" w:color="auto" w:fill="8EAADB" w:themeFill="accent1" w:themeFillTint="99"/>
            <w:noWrap/>
            <w:vAlign w:val="bottom"/>
          </w:tcPr>
          <w:p w:rsidR="004222B9" w:rsidRPr="00380F3A" w:rsidP="004222B9" w14:paraId="34EBC7CC" w14:textId="77777777">
            <w:pPr>
              <w:jc w:val="center"/>
              <w:rPr>
                <w:rFonts w:cs="Times New Roman"/>
                <w:b/>
                <w:sz w:val="20"/>
                <w:szCs w:val="20"/>
              </w:rPr>
            </w:pPr>
            <w:r w:rsidRPr="00380F3A">
              <w:rPr>
                <w:rFonts w:cs="Times New Roman"/>
                <w:b/>
                <w:sz w:val="20"/>
                <w:szCs w:val="20"/>
              </w:rPr>
              <w:t>Itemized Changes in Annual Burden Hours</w:t>
            </w:r>
          </w:p>
        </w:tc>
      </w:tr>
      <w:tr w14:paraId="6F716EA6" w14:textId="77777777" w:rsidTr="00450EE0">
        <w:tblPrEx>
          <w:tblW w:w="10069" w:type="dxa"/>
          <w:jc w:val="center"/>
          <w:tblLayout w:type="fixed"/>
          <w:tblLook w:val="0000"/>
        </w:tblPrEx>
        <w:trPr>
          <w:trHeight w:val="898"/>
          <w:jc w:val="center"/>
        </w:trPr>
        <w:tc>
          <w:tcPr>
            <w:tcW w:w="2625" w:type="dxa"/>
            <w:tcBorders>
              <w:top w:val="single" w:sz="6" w:space="0" w:color="auto"/>
              <w:left w:val="single" w:sz="12" w:space="0" w:color="auto"/>
              <w:bottom w:val="single" w:sz="6" w:space="0" w:color="auto"/>
            </w:tcBorders>
            <w:shd w:val="clear" w:color="auto" w:fill="8EAADB" w:themeFill="accent1" w:themeFillTint="99"/>
            <w:vAlign w:val="bottom"/>
          </w:tcPr>
          <w:p w:rsidR="004222B9" w:rsidRPr="00380F3A" w:rsidP="004222B9" w14:paraId="012BB940" w14:textId="77777777">
            <w:pPr>
              <w:jc w:val="center"/>
              <w:rPr>
                <w:rFonts w:cs="Times New Roman"/>
                <w:b/>
                <w:sz w:val="18"/>
                <w:szCs w:val="18"/>
              </w:rPr>
            </w:pPr>
            <w:r w:rsidRPr="00380F3A">
              <w:rPr>
                <w:rFonts w:cs="Times New Roman"/>
                <w:b/>
                <w:sz w:val="18"/>
                <w:szCs w:val="18"/>
              </w:rPr>
              <w:t>Data collection Activity/Instrument</w:t>
            </w:r>
          </w:p>
        </w:tc>
        <w:tc>
          <w:tcPr>
            <w:tcW w:w="1530" w:type="dxa"/>
            <w:shd w:val="clear" w:color="auto" w:fill="8EAADB" w:themeFill="accent1" w:themeFillTint="99"/>
            <w:vAlign w:val="bottom"/>
          </w:tcPr>
          <w:p w:rsidR="004222B9" w:rsidRPr="00380F3A" w:rsidP="004222B9" w14:paraId="056E7F21" w14:textId="77777777">
            <w:pPr>
              <w:jc w:val="center"/>
              <w:rPr>
                <w:rFonts w:cs="Times New Roman"/>
                <w:b/>
                <w:sz w:val="18"/>
                <w:szCs w:val="18"/>
              </w:rPr>
            </w:pPr>
            <w:r w:rsidRPr="00380F3A">
              <w:rPr>
                <w:rFonts w:cs="Times New Roman"/>
                <w:b/>
                <w:sz w:val="18"/>
                <w:szCs w:val="18"/>
              </w:rPr>
              <w:t xml:space="preserve">Program Change (hours currently on OMB Inventory) </w:t>
            </w:r>
          </w:p>
        </w:tc>
        <w:tc>
          <w:tcPr>
            <w:tcW w:w="990" w:type="dxa"/>
            <w:shd w:val="clear" w:color="auto" w:fill="8EAADB" w:themeFill="accent1" w:themeFillTint="99"/>
            <w:vAlign w:val="bottom"/>
          </w:tcPr>
          <w:p w:rsidR="004222B9" w:rsidRPr="00380F3A" w:rsidP="004222B9" w14:paraId="7B0FD546" w14:textId="77777777">
            <w:pPr>
              <w:jc w:val="center"/>
              <w:rPr>
                <w:rFonts w:cs="Times New Roman"/>
                <w:b/>
                <w:sz w:val="18"/>
                <w:szCs w:val="18"/>
              </w:rPr>
            </w:pPr>
            <w:r w:rsidRPr="00380F3A">
              <w:rPr>
                <w:rFonts w:cs="Times New Roman"/>
                <w:b/>
                <w:sz w:val="18"/>
                <w:szCs w:val="18"/>
              </w:rPr>
              <w:t xml:space="preserve">Program Change (New) </w:t>
            </w:r>
          </w:p>
        </w:tc>
        <w:tc>
          <w:tcPr>
            <w:tcW w:w="1080" w:type="dxa"/>
            <w:shd w:val="clear" w:color="auto" w:fill="8EAADB" w:themeFill="accent1" w:themeFillTint="99"/>
            <w:vAlign w:val="bottom"/>
          </w:tcPr>
          <w:p w:rsidR="004222B9" w:rsidRPr="00380F3A" w:rsidP="004222B9" w14:paraId="2975E449" w14:textId="77777777">
            <w:pPr>
              <w:jc w:val="center"/>
              <w:rPr>
                <w:rFonts w:cs="Times New Roman"/>
                <w:b/>
                <w:sz w:val="18"/>
                <w:szCs w:val="18"/>
              </w:rPr>
            </w:pPr>
            <w:r w:rsidRPr="00380F3A">
              <w:rPr>
                <w:rFonts w:cs="Times New Roman"/>
                <w:b/>
                <w:sz w:val="18"/>
                <w:szCs w:val="18"/>
              </w:rPr>
              <w:t>Difference</w:t>
            </w:r>
          </w:p>
        </w:tc>
        <w:tc>
          <w:tcPr>
            <w:tcW w:w="1530" w:type="dxa"/>
            <w:shd w:val="clear" w:color="auto" w:fill="8EAADB" w:themeFill="accent1" w:themeFillTint="99"/>
            <w:vAlign w:val="bottom"/>
          </w:tcPr>
          <w:p w:rsidR="004222B9" w:rsidRPr="00380F3A" w:rsidP="004222B9" w14:paraId="2AC396DE" w14:textId="77777777">
            <w:pPr>
              <w:jc w:val="center"/>
              <w:rPr>
                <w:rFonts w:cs="Times New Roman"/>
                <w:b/>
                <w:sz w:val="18"/>
                <w:szCs w:val="18"/>
              </w:rPr>
            </w:pPr>
            <w:r w:rsidRPr="00380F3A">
              <w:rPr>
                <w:rFonts w:cs="Times New Roman"/>
                <w:b/>
                <w:sz w:val="18"/>
                <w:szCs w:val="18"/>
              </w:rPr>
              <w:t>Adjustment (hours currently on OMB Inventory)</w:t>
            </w:r>
          </w:p>
        </w:tc>
        <w:tc>
          <w:tcPr>
            <w:tcW w:w="1170" w:type="dxa"/>
            <w:shd w:val="clear" w:color="auto" w:fill="8EAADB" w:themeFill="accent1" w:themeFillTint="99"/>
            <w:vAlign w:val="bottom"/>
          </w:tcPr>
          <w:p w:rsidR="004222B9" w:rsidRPr="00380F3A" w:rsidP="004222B9" w14:paraId="2C7F8E07" w14:textId="77777777">
            <w:pPr>
              <w:jc w:val="center"/>
              <w:rPr>
                <w:rFonts w:cs="Times New Roman"/>
                <w:b/>
                <w:sz w:val="18"/>
                <w:szCs w:val="18"/>
              </w:rPr>
            </w:pPr>
            <w:r w:rsidRPr="00380F3A">
              <w:rPr>
                <w:rFonts w:cs="Times New Roman"/>
                <w:b/>
                <w:sz w:val="18"/>
                <w:szCs w:val="18"/>
              </w:rPr>
              <w:t xml:space="preserve">Adjustment (New) </w:t>
            </w:r>
          </w:p>
        </w:tc>
        <w:tc>
          <w:tcPr>
            <w:tcW w:w="1144" w:type="dxa"/>
            <w:tcBorders>
              <w:top w:val="single" w:sz="6" w:space="0" w:color="auto"/>
              <w:bottom w:val="single" w:sz="6" w:space="0" w:color="auto"/>
              <w:right w:val="single" w:sz="12" w:space="0" w:color="auto"/>
            </w:tcBorders>
            <w:shd w:val="clear" w:color="auto" w:fill="8EAADB" w:themeFill="accent1" w:themeFillTint="99"/>
            <w:vAlign w:val="bottom"/>
          </w:tcPr>
          <w:p w:rsidR="004222B9" w:rsidRPr="00380F3A" w:rsidP="004222B9" w14:paraId="3478720B" w14:textId="77777777">
            <w:pPr>
              <w:jc w:val="center"/>
              <w:rPr>
                <w:rFonts w:cs="Times New Roman"/>
                <w:b/>
                <w:sz w:val="18"/>
                <w:szCs w:val="18"/>
              </w:rPr>
            </w:pPr>
            <w:r w:rsidRPr="00380F3A">
              <w:rPr>
                <w:rFonts w:cs="Times New Roman"/>
                <w:b/>
                <w:sz w:val="18"/>
                <w:szCs w:val="18"/>
              </w:rPr>
              <w:t>Difference</w:t>
            </w:r>
          </w:p>
        </w:tc>
      </w:tr>
      <w:tr w14:paraId="16DAA8F5" w14:textId="77777777" w:rsidTr="00450EE0">
        <w:tblPrEx>
          <w:tblW w:w="10069" w:type="dxa"/>
          <w:jc w:val="center"/>
          <w:tblLayout w:type="fixed"/>
          <w:tblLook w:val="0000"/>
        </w:tblPrEx>
        <w:trPr>
          <w:trHeight w:val="20"/>
          <w:jc w:val="center"/>
        </w:trPr>
        <w:tc>
          <w:tcPr>
            <w:tcW w:w="2625" w:type="dxa"/>
            <w:tcBorders>
              <w:top w:val="single" w:sz="6" w:space="0" w:color="auto"/>
              <w:left w:val="single" w:sz="12" w:space="0" w:color="auto"/>
              <w:bottom w:val="single" w:sz="6" w:space="0" w:color="auto"/>
            </w:tcBorders>
            <w:shd w:val="clear" w:color="auto" w:fill="auto"/>
            <w:vAlign w:val="bottom"/>
          </w:tcPr>
          <w:p w:rsidR="004222B9" w:rsidRPr="00380F3A" w:rsidP="004222B9" w14:paraId="416B7AE8" w14:textId="77777777">
            <w:pPr>
              <w:rPr>
                <w:rFonts w:eastAsia="Arial Unicode MS" w:cs="Times New Roman"/>
                <w:sz w:val="18"/>
                <w:szCs w:val="18"/>
              </w:rPr>
            </w:pPr>
            <w:r w:rsidRPr="00380F3A">
              <w:rPr>
                <w:rFonts w:eastAsia="Arial Unicode MS" w:cs="Times New Roman"/>
                <w:sz w:val="18"/>
                <w:szCs w:val="18"/>
              </w:rPr>
              <w:t xml:space="preserve">Property Owners Voluntary Participation Statements / FEMA Form </w:t>
            </w:r>
            <w:r w:rsidRPr="00380F3A">
              <w:rPr>
                <w:rFonts w:cs="Times New Roman"/>
                <w:color w:val="000000"/>
                <w:sz w:val="18"/>
                <w:szCs w:val="18"/>
              </w:rPr>
              <w:t>FF-206-FY-21-124 (formerly</w:t>
            </w:r>
            <w:r w:rsidRPr="00380F3A">
              <w:rPr>
                <w:rFonts w:eastAsia="Arial Unicode MS" w:cs="Times New Roman"/>
                <w:sz w:val="18"/>
                <w:szCs w:val="18"/>
              </w:rPr>
              <w:t xml:space="preserve"> 086-0-31)</w:t>
            </w:r>
            <w:r>
              <w:rPr>
                <w:rFonts w:eastAsia="Arial Unicode MS" w:cs="Times New Roman"/>
                <w:sz w:val="18"/>
                <w:szCs w:val="18"/>
              </w:rPr>
              <w:t xml:space="preserve"> </w:t>
            </w:r>
            <w:r w:rsidRPr="00380F3A">
              <w:rPr>
                <w:rFonts w:eastAsia="Arial Unicode MS" w:cs="Times New Roman"/>
                <w:sz w:val="18"/>
                <w:szCs w:val="18"/>
              </w:rPr>
              <w:t>(a)</w:t>
            </w:r>
          </w:p>
        </w:tc>
        <w:tc>
          <w:tcPr>
            <w:tcW w:w="1530" w:type="dxa"/>
            <w:shd w:val="clear" w:color="auto" w:fill="auto"/>
            <w:vAlign w:val="center"/>
          </w:tcPr>
          <w:p w:rsidR="004222B9" w:rsidRPr="00380F3A" w:rsidP="004222B9" w14:paraId="5356FD88" w14:textId="77777777">
            <w:pPr>
              <w:jc w:val="center"/>
              <w:rPr>
                <w:rFonts w:cs="Times New Roman"/>
                <w:sz w:val="18"/>
                <w:szCs w:val="18"/>
              </w:rPr>
            </w:pPr>
          </w:p>
        </w:tc>
        <w:tc>
          <w:tcPr>
            <w:tcW w:w="990" w:type="dxa"/>
            <w:shd w:val="clear" w:color="auto" w:fill="auto"/>
            <w:vAlign w:val="center"/>
          </w:tcPr>
          <w:p w:rsidR="004222B9" w:rsidRPr="00380F3A" w:rsidP="004222B9" w14:paraId="4B492FC9" w14:textId="77777777">
            <w:pPr>
              <w:jc w:val="center"/>
              <w:rPr>
                <w:rFonts w:cs="Times New Roman"/>
                <w:sz w:val="18"/>
                <w:szCs w:val="18"/>
              </w:rPr>
            </w:pPr>
          </w:p>
        </w:tc>
        <w:tc>
          <w:tcPr>
            <w:tcW w:w="1080" w:type="dxa"/>
            <w:shd w:val="clear" w:color="auto" w:fill="auto"/>
            <w:vAlign w:val="center"/>
          </w:tcPr>
          <w:p w:rsidR="004222B9" w:rsidRPr="00380F3A" w:rsidP="004222B9" w14:paraId="51BB02A4" w14:textId="77777777">
            <w:pPr>
              <w:jc w:val="center"/>
              <w:rPr>
                <w:rFonts w:cs="Times New Roman"/>
                <w:sz w:val="18"/>
                <w:szCs w:val="18"/>
              </w:rPr>
            </w:pPr>
          </w:p>
        </w:tc>
        <w:tc>
          <w:tcPr>
            <w:tcW w:w="1530" w:type="dxa"/>
            <w:shd w:val="clear" w:color="auto" w:fill="auto"/>
            <w:vAlign w:val="center"/>
          </w:tcPr>
          <w:p w:rsidR="004222B9" w:rsidRPr="00380F3A" w:rsidP="004222B9" w14:paraId="0E613881" w14:textId="52F53563">
            <w:pPr>
              <w:jc w:val="center"/>
              <w:rPr>
                <w:rFonts w:cs="Times New Roman"/>
                <w:sz w:val="18"/>
                <w:szCs w:val="18"/>
              </w:rPr>
            </w:pPr>
            <w:r>
              <w:rPr>
                <w:rFonts w:cs="Times New Roman"/>
                <w:sz w:val="18"/>
                <w:szCs w:val="18"/>
              </w:rPr>
              <w:t>1,239</w:t>
            </w:r>
          </w:p>
        </w:tc>
        <w:tc>
          <w:tcPr>
            <w:tcW w:w="1170" w:type="dxa"/>
            <w:shd w:val="clear" w:color="auto" w:fill="auto"/>
            <w:vAlign w:val="center"/>
          </w:tcPr>
          <w:p w:rsidR="004222B9" w:rsidRPr="00380F3A" w:rsidP="004222B9" w14:paraId="42C1680F" w14:textId="77777777">
            <w:pPr>
              <w:jc w:val="center"/>
              <w:rPr>
                <w:rFonts w:cs="Times New Roman"/>
                <w:sz w:val="18"/>
                <w:szCs w:val="18"/>
              </w:rPr>
            </w:pPr>
            <w:r w:rsidRPr="00380F3A">
              <w:rPr>
                <w:rFonts w:cs="Times New Roman"/>
                <w:sz w:val="18"/>
                <w:szCs w:val="18"/>
              </w:rPr>
              <w:t>573</w:t>
            </w:r>
          </w:p>
        </w:tc>
        <w:tc>
          <w:tcPr>
            <w:tcW w:w="1144" w:type="dxa"/>
            <w:tcBorders>
              <w:top w:val="single" w:sz="6" w:space="0" w:color="auto"/>
              <w:bottom w:val="single" w:sz="6" w:space="0" w:color="auto"/>
              <w:right w:val="single" w:sz="12" w:space="0" w:color="auto"/>
            </w:tcBorders>
            <w:shd w:val="clear" w:color="auto" w:fill="auto"/>
            <w:vAlign w:val="center"/>
          </w:tcPr>
          <w:p w:rsidR="004222B9" w:rsidRPr="00380F3A" w:rsidP="004222B9" w14:paraId="10C1CDF6" w14:textId="2B5DCFFB">
            <w:pPr>
              <w:jc w:val="center"/>
              <w:rPr>
                <w:rFonts w:cs="Times New Roman"/>
                <w:sz w:val="18"/>
                <w:szCs w:val="18"/>
              </w:rPr>
            </w:pPr>
            <w:r w:rsidRPr="00380F3A">
              <w:rPr>
                <w:rFonts w:cs="Times New Roman"/>
                <w:sz w:val="18"/>
                <w:szCs w:val="18"/>
              </w:rPr>
              <w:t>-66</w:t>
            </w:r>
            <w:r w:rsidR="00FC5A53">
              <w:rPr>
                <w:rFonts w:cs="Times New Roman"/>
                <w:sz w:val="18"/>
                <w:szCs w:val="18"/>
              </w:rPr>
              <w:t>6</w:t>
            </w:r>
          </w:p>
        </w:tc>
      </w:tr>
      <w:tr w14:paraId="2DA9FE50" w14:textId="77777777" w:rsidTr="00450EE0">
        <w:tblPrEx>
          <w:tblW w:w="10069" w:type="dxa"/>
          <w:jc w:val="center"/>
          <w:tblLayout w:type="fixed"/>
          <w:tblLook w:val="0000"/>
        </w:tblPrEx>
        <w:trPr>
          <w:trHeight w:val="20"/>
          <w:jc w:val="center"/>
        </w:trPr>
        <w:tc>
          <w:tcPr>
            <w:tcW w:w="2625" w:type="dxa"/>
            <w:tcBorders>
              <w:top w:val="single" w:sz="6" w:space="0" w:color="auto"/>
              <w:left w:val="single" w:sz="12" w:space="0" w:color="auto"/>
              <w:bottom w:val="single" w:sz="6" w:space="0" w:color="auto"/>
            </w:tcBorders>
            <w:shd w:val="clear" w:color="auto" w:fill="auto"/>
            <w:vAlign w:val="bottom"/>
          </w:tcPr>
          <w:p w:rsidR="00D019AC" w:rsidRPr="00380F3A" w:rsidP="004222B9" w14:paraId="1DBB42BD" w14:textId="00F7D492">
            <w:pPr>
              <w:rPr>
                <w:rFonts w:eastAsia="Arial Unicode MS" w:cs="Times New Roman"/>
                <w:sz w:val="18"/>
                <w:szCs w:val="18"/>
              </w:rPr>
            </w:pPr>
            <w:r w:rsidRPr="00CB14F8">
              <w:rPr>
                <w:color w:val="000000" w:themeColor="text1"/>
                <w:sz w:val="18"/>
                <w:szCs w:val="18"/>
              </w:rPr>
              <w:t>FEMA Form FF-206-FY-22-157, FEMA Model Deed Restriction</w:t>
            </w:r>
          </w:p>
        </w:tc>
        <w:tc>
          <w:tcPr>
            <w:tcW w:w="1530" w:type="dxa"/>
            <w:shd w:val="clear" w:color="auto" w:fill="auto"/>
            <w:vAlign w:val="center"/>
          </w:tcPr>
          <w:p w:rsidR="00D019AC" w:rsidRPr="00380F3A" w:rsidP="004222B9" w14:paraId="33FC206E" w14:textId="77777777">
            <w:pPr>
              <w:jc w:val="center"/>
              <w:rPr>
                <w:rFonts w:cs="Times New Roman"/>
                <w:sz w:val="18"/>
                <w:szCs w:val="18"/>
              </w:rPr>
            </w:pPr>
          </w:p>
        </w:tc>
        <w:tc>
          <w:tcPr>
            <w:tcW w:w="990" w:type="dxa"/>
            <w:shd w:val="clear" w:color="auto" w:fill="auto"/>
            <w:vAlign w:val="center"/>
          </w:tcPr>
          <w:p w:rsidR="00D019AC" w:rsidRPr="00380F3A" w:rsidP="004222B9" w14:paraId="6A74F8A5" w14:textId="77777777">
            <w:pPr>
              <w:jc w:val="center"/>
              <w:rPr>
                <w:rFonts w:cs="Times New Roman"/>
                <w:sz w:val="18"/>
                <w:szCs w:val="18"/>
              </w:rPr>
            </w:pPr>
          </w:p>
        </w:tc>
        <w:tc>
          <w:tcPr>
            <w:tcW w:w="1080" w:type="dxa"/>
            <w:shd w:val="clear" w:color="auto" w:fill="auto"/>
            <w:vAlign w:val="center"/>
          </w:tcPr>
          <w:p w:rsidR="00D019AC" w:rsidRPr="00380F3A" w:rsidP="004222B9" w14:paraId="2473C63B" w14:textId="77777777">
            <w:pPr>
              <w:jc w:val="center"/>
              <w:rPr>
                <w:rFonts w:cs="Times New Roman"/>
                <w:sz w:val="18"/>
                <w:szCs w:val="18"/>
              </w:rPr>
            </w:pPr>
          </w:p>
        </w:tc>
        <w:tc>
          <w:tcPr>
            <w:tcW w:w="1530" w:type="dxa"/>
            <w:shd w:val="clear" w:color="auto" w:fill="auto"/>
            <w:vAlign w:val="center"/>
          </w:tcPr>
          <w:p w:rsidR="00D019AC" w:rsidRPr="00380F3A" w:rsidP="004222B9" w14:paraId="08889BAE" w14:textId="616BA9DD">
            <w:pPr>
              <w:jc w:val="center"/>
              <w:rPr>
                <w:rFonts w:cs="Times New Roman"/>
                <w:sz w:val="18"/>
                <w:szCs w:val="18"/>
              </w:rPr>
            </w:pPr>
            <w:r>
              <w:rPr>
                <w:rFonts w:cs="Times New Roman"/>
                <w:sz w:val="18"/>
                <w:szCs w:val="18"/>
              </w:rPr>
              <w:t>4,956</w:t>
            </w:r>
          </w:p>
        </w:tc>
        <w:tc>
          <w:tcPr>
            <w:tcW w:w="1170" w:type="dxa"/>
            <w:shd w:val="clear" w:color="auto" w:fill="auto"/>
            <w:vAlign w:val="center"/>
          </w:tcPr>
          <w:p w:rsidR="00D019AC" w:rsidRPr="00380F3A" w:rsidP="004222B9" w14:paraId="7BC9184E" w14:textId="1B4C8B7C">
            <w:pPr>
              <w:jc w:val="center"/>
              <w:rPr>
                <w:rFonts w:cs="Times New Roman"/>
                <w:sz w:val="18"/>
                <w:szCs w:val="18"/>
              </w:rPr>
            </w:pPr>
            <w:r>
              <w:rPr>
                <w:rFonts w:cs="Times New Roman"/>
                <w:sz w:val="18"/>
                <w:szCs w:val="18"/>
              </w:rPr>
              <w:t>0</w:t>
            </w:r>
          </w:p>
        </w:tc>
        <w:tc>
          <w:tcPr>
            <w:tcW w:w="1144" w:type="dxa"/>
            <w:tcBorders>
              <w:top w:val="single" w:sz="6" w:space="0" w:color="auto"/>
              <w:bottom w:val="single" w:sz="6" w:space="0" w:color="auto"/>
              <w:right w:val="single" w:sz="12" w:space="0" w:color="auto"/>
            </w:tcBorders>
            <w:shd w:val="clear" w:color="auto" w:fill="auto"/>
            <w:vAlign w:val="center"/>
          </w:tcPr>
          <w:p w:rsidR="00D019AC" w:rsidRPr="00380F3A" w:rsidP="004222B9" w14:paraId="6CB66E15" w14:textId="71C9A09F">
            <w:pPr>
              <w:jc w:val="center"/>
              <w:rPr>
                <w:rFonts w:cs="Times New Roman"/>
                <w:sz w:val="18"/>
                <w:szCs w:val="18"/>
              </w:rPr>
            </w:pPr>
            <w:r>
              <w:rPr>
                <w:rFonts w:cs="Times New Roman"/>
                <w:sz w:val="18"/>
                <w:szCs w:val="18"/>
              </w:rPr>
              <w:t>-4,956</w:t>
            </w:r>
          </w:p>
        </w:tc>
      </w:tr>
      <w:tr w14:paraId="6ACFDAC8" w14:textId="77777777" w:rsidTr="00450EE0">
        <w:tblPrEx>
          <w:tblW w:w="10069" w:type="dxa"/>
          <w:jc w:val="center"/>
          <w:tblLayout w:type="fixed"/>
          <w:tblLook w:val="0000"/>
        </w:tblPrEx>
        <w:trPr>
          <w:trHeight w:val="20"/>
          <w:jc w:val="center"/>
        </w:trPr>
        <w:tc>
          <w:tcPr>
            <w:tcW w:w="2625" w:type="dxa"/>
            <w:tcBorders>
              <w:top w:val="single" w:sz="6" w:space="0" w:color="auto"/>
              <w:left w:val="single" w:sz="12" w:space="0" w:color="auto"/>
              <w:bottom w:val="single" w:sz="6" w:space="0" w:color="auto"/>
            </w:tcBorders>
            <w:shd w:val="clear" w:color="auto" w:fill="auto"/>
            <w:vAlign w:val="bottom"/>
          </w:tcPr>
          <w:p w:rsidR="00D019AC" w:rsidRPr="00380F3A" w:rsidP="004222B9" w14:paraId="0C10624A" w14:textId="75FF834D">
            <w:pPr>
              <w:rPr>
                <w:rFonts w:eastAsia="Arial Unicode MS" w:cs="Times New Roman"/>
                <w:sz w:val="18"/>
                <w:szCs w:val="18"/>
              </w:rPr>
            </w:pPr>
            <w:r w:rsidRPr="00CB14F8">
              <w:rPr>
                <w:color w:val="000000" w:themeColor="text1"/>
                <w:sz w:val="18"/>
                <w:szCs w:val="18"/>
              </w:rPr>
              <w:t>FEMA Form FF-104-FY-21-128 (formerly 009-0-3) (English), Declaration and Release or FF-104-FY-21-128-A (formerly 009-0-4) (Spanish), Declaración Y Autorización</w:t>
            </w:r>
          </w:p>
        </w:tc>
        <w:tc>
          <w:tcPr>
            <w:tcW w:w="1530" w:type="dxa"/>
            <w:shd w:val="clear" w:color="auto" w:fill="auto"/>
            <w:vAlign w:val="center"/>
          </w:tcPr>
          <w:p w:rsidR="00D019AC" w:rsidRPr="00380F3A" w:rsidP="004222B9" w14:paraId="6B977AC3" w14:textId="77777777">
            <w:pPr>
              <w:jc w:val="center"/>
              <w:rPr>
                <w:rFonts w:cs="Times New Roman"/>
                <w:sz w:val="18"/>
                <w:szCs w:val="18"/>
              </w:rPr>
            </w:pPr>
          </w:p>
        </w:tc>
        <w:tc>
          <w:tcPr>
            <w:tcW w:w="990" w:type="dxa"/>
            <w:shd w:val="clear" w:color="auto" w:fill="auto"/>
            <w:vAlign w:val="center"/>
          </w:tcPr>
          <w:p w:rsidR="00D019AC" w:rsidRPr="00380F3A" w:rsidP="004222B9" w14:paraId="2D4D686D" w14:textId="77777777">
            <w:pPr>
              <w:jc w:val="center"/>
              <w:rPr>
                <w:rFonts w:cs="Times New Roman"/>
                <w:sz w:val="18"/>
                <w:szCs w:val="18"/>
              </w:rPr>
            </w:pPr>
          </w:p>
        </w:tc>
        <w:tc>
          <w:tcPr>
            <w:tcW w:w="1080" w:type="dxa"/>
            <w:shd w:val="clear" w:color="auto" w:fill="auto"/>
            <w:vAlign w:val="center"/>
          </w:tcPr>
          <w:p w:rsidR="00D019AC" w:rsidRPr="00380F3A" w:rsidP="004222B9" w14:paraId="0DABF27F" w14:textId="77777777">
            <w:pPr>
              <w:jc w:val="center"/>
              <w:rPr>
                <w:rFonts w:cs="Times New Roman"/>
                <w:sz w:val="18"/>
                <w:szCs w:val="18"/>
              </w:rPr>
            </w:pPr>
          </w:p>
        </w:tc>
        <w:tc>
          <w:tcPr>
            <w:tcW w:w="1530" w:type="dxa"/>
            <w:shd w:val="clear" w:color="auto" w:fill="auto"/>
            <w:vAlign w:val="center"/>
          </w:tcPr>
          <w:p w:rsidR="00D019AC" w:rsidRPr="00380F3A" w:rsidP="004222B9" w14:paraId="18829DE6" w14:textId="49E774E0">
            <w:pPr>
              <w:jc w:val="center"/>
              <w:rPr>
                <w:rFonts w:cs="Times New Roman"/>
                <w:sz w:val="18"/>
                <w:szCs w:val="18"/>
              </w:rPr>
            </w:pPr>
            <w:r>
              <w:rPr>
                <w:rFonts w:cs="Times New Roman"/>
                <w:sz w:val="18"/>
                <w:szCs w:val="18"/>
              </w:rPr>
              <w:t>198</w:t>
            </w:r>
          </w:p>
        </w:tc>
        <w:tc>
          <w:tcPr>
            <w:tcW w:w="1170" w:type="dxa"/>
            <w:shd w:val="clear" w:color="auto" w:fill="auto"/>
            <w:vAlign w:val="center"/>
          </w:tcPr>
          <w:p w:rsidR="00D019AC" w:rsidRPr="00380F3A" w:rsidP="004222B9" w14:paraId="65F03707" w14:textId="5F765B22">
            <w:pPr>
              <w:jc w:val="center"/>
              <w:rPr>
                <w:rFonts w:cs="Times New Roman"/>
                <w:sz w:val="18"/>
                <w:szCs w:val="18"/>
              </w:rPr>
            </w:pPr>
            <w:r>
              <w:rPr>
                <w:rFonts w:cs="Times New Roman"/>
                <w:sz w:val="18"/>
                <w:szCs w:val="18"/>
              </w:rPr>
              <w:t>0</w:t>
            </w:r>
          </w:p>
        </w:tc>
        <w:tc>
          <w:tcPr>
            <w:tcW w:w="1144" w:type="dxa"/>
            <w:tcBorders>
              <w:top w:val="single" w:sz="6" w:space="0" w:color="auto"/>
              <w:bottom w:val="single" w:sz="6" w:space="0" w:color="auto"/>
              <w:right w:val="single" w:sz="12" w:space="0" w:color="auto"/>
            </w:tcBorders>
            <w:shd w:val="clear" w:color="auto" w:fill="auto"/>
            <w:vAlign w:val="center"/>
          </w:tcPr>
          <w:p w:rsidR="00D019AC" w:rsidRPr="00380F3A" w:rsidP="004222B9" w14:paraId="4B7BE368" w14:textId="0B85AD06">
            <w:pPr>
              <w:jc w:val="center"/>
              <w:rPr>
                <w:rFonts w:cs="Times New Roman"/>
                <w:sz w:val="18"/>
                <w:szCs w:val="18"/>
              </w:rPr>
            </w:pPr>
            <w:r>
              <w:rPr>
                <w:rFonts w:cs="Times New Roman"/>
                <w:sz w:val="18"/>
                <w:szCs w:val="18"/>
              </w:rPr>
              <w:t>-198</w:t>
            </w:r>
          </w:p>
        </w:tc>
      </w:tr>
      <w:tr w14:paraId="2721381C" w14:textId="77777777" w:rsidTr="00450EE0">
        <w:tblPrEx>
          <w:tblW w:w="10069" w:type="dxa"/>
          <w:jc w:val="center"/>
          <w:tblLayout w:type="fixed"/>
          <w:tblLook w:val="0000"/>
        </w:tblPrEx>
        <w:trPr>
          <w:trHeight w:val="20"/>
          <w:jc w:val="center"/>
        </w:trPr>
        <w:tc>
          <w:tcPr>
            <w:tcW w:w="2625" w:type="dxa"/>
            <w:tcBorders>
              <w:top w:val="single" w:sz="6" w:space="0" w:color="auto"/>
              <w:left w:val="single" w:sz="12" w:space="0" w:color="auto"/>
              <w:bottom w:val="single" w:sz="6" w:space="0" w:color="auto"/>
            </w:tcBorders>
            <w:shd w:val="clear" w:color="auto" w:fill="auto"/>
            <w:vAlign w:val="bottom"/>
          </w:tcPr>
          <w:p w:rsidR="00D019AC" w:rsidRPr="00380F3A" w:rsidP="004222B9" w14:paraId="76FC70A4" w14:textId="0561A4F3">
            <w:pPr>
              <w:rPr>
                <w:rFonts w:eastAsia="Arial Unicode MS" w:cs="Times New Roman"/>
                <w:sz w:val="18"/>
                <w:szCs w:val="18"/>
              </w:rPr>
            </w:pPr>
            <w:r w:rsidRPr="00CB14F8">
              <w:rPr>
                <w:color w:val="000000" w:themeColor="text1"/>
                <w:sz w:val="18"/>
                <w:szCs w:val="18"/>
              </w:rPr>
              <w:t>FEMA Form FF-206-FY-23-103 (formerly 086-0-35a)</w:t>
            </w:r>
            <w:r>
              <w:rPr>
                <w:color w:val="000000" w:themeColor="text1"/>
                <w:sz w:val="18"/>
                <w:szCs w:val="18"/>
              </w:rPr>
              <w:t>,</w:t>
            </w:r>
            <w:r w:rsidRPr="00CB14F8">
              <w:rPr>
                <w:color w:val="000000" w:themeColor="text1"/>
                <w:sz w:val="18"/>
                <w:szCs w:val="18"/>
              </w:rPr>
              <w:t xml:space="preserve"> NFIP Repetitive Loss Update Worksheet</w:t>
            </w:r>
          </w:p>
        </w:tc>
        <w:tc>
          <w:tcPr>
            <w:tcW w:w="1530" w:type="dxa"/>
            <w:shd w:val="clear" w:color="auto" w:fill="auto"/>
            <w:vAlign w:val="center"/>
          </w:tcPr>
          <w:p w:rsidR="00D019AC" w:rsidRPr="00380F3A" w:rsidP="004222B9" w14:paraId="4D7A37DE" w14:textId="77777777">
            <w:pPr>
              <w:jc w:val="center"/>
              <w:rPr>
                <w:rFonts w:cs="Times New Roman"/>
                <w:sz w:val="18"/>
                <w:szCs w:val="18"/>
              </w:rPr>
            </w:pPr>
          </w:p>
        </w:tc>
        <w:tc>
          <w:tcPr>
            <w:tcW w:w="990" w:type="dxa"/>
            <w:shd w:val="clear" w:color="auto" w:fill="auto"/>
            <w:vAlign w:val="center"/>
          </w:tcPr>
          <w:p w:rsidR="00D019AC" w:rsidRPr="00380F3A" w:rsidP="004222B9" w14:paraId="64BE15E4" w14:textId="77777777">
            <w:pPr>
              <w:jc w:val="center"/>
              <w:rPr>
                <w:rFonts w:cs="Times New Roman"/>
                <w:sz w:val="18"/>
                <w:szCs w:val="18"/>
              </w:rPr>
            </w:pPr>
          </w:p>
        </w:tc>
        <w:tc>
          <w:tcPr>
            <w:tcW w:w="1080" w:type="dxa"/>
            <w:shd w:val="clear" w:color="auto" w:fill="auto"/>
            <w:vAlign w:val="center"/>
          </w:tcPr>
          <w:p w:rsidR="00D019AC" w:rsidRPr="00380F3A" w:rsidP="004222B9" w14:paraId="6B5AA84A" w14:textId="77777777">
            <w:pPr>
              <w:jc w:val="center"/>
              <w:rPr>
                <w:rFonts w:cs="Times New Roman"/>
                <w:sz w:val="18"/>
                <w:szCs w:val="18"/>
              </w:rPr>
            </w:pPr>
          </w:p>
        </w:tc>
        <w:tc>
          <w:tcPr>
            <w:tcW w:w="1530" w:type="dxa"/>
            <w:shd w:val="clear" w:color="auto" w:fill="auto"/>
            <w:vAlign w:val="center"/>
          </w:tcPr>
          <w:p w:rsidR="00D019AC" w:rsidRPr="00380F3A" w:rsidP="004222B9" w14:paraId="0FF6FE45" w14:textId="228D1800">
            <w:pPr>
              <w:jc w:val="center"/>
              <w:rPr>
                <w:rFonts w:cs="Times New Roman"/>
                <w:sz w:val="18"/>
                <w:szCs w:val="18"/>
              </w:rPr>
            </w:pPr>
            <w:r>
              <w:rPr>
                <w:rFonts w:cs="Times New Roman"/>
                <w:sz w:val="18"/>
                <w:szCs w:val="18"/>
              </w:rPr>
              <w:t>99</w:t>
            </w:r>
          </w:p>
        </w:tc>
        <w:tc>
          <w:tcPr>
            <w:tcW w:w="1170" w:type="dxa"/>
            <w:shd w:val="clear" w:color="auto" w:fill="auto"/>
            <w:vAlign w:val="center"/>
          </w:tcPr>
          <w:p w:rsidR="00D019AC" w:rsidRPr="00380F3A" w:rsidP="004222B9" w14:paraId="11855963" w14:textId="2E97A9E7">
            <w:pPr>
              <w:jc w:val="center"/>
              <w:rPr>
                <w:rFonts w:cs="Times New Roman"/>
                <w:sz w:val="18"/>
                <w:szCs w:val="18"/>
              </w:rPr>
            </w:pPr>
            <w:r>
              <w:rPr>
                <w:rFonts w:cs="Times New Roman"/>
                <w:sz w:val="18"/>
                <w:szCs w:val="18"/>
              </w:rPr>
              <w:t>0</w:t>
            </w:r>
          </w:p>
        </w:tc>
        <w:tc>
          <w:tcPr>
            <w:tcW w:w="1144" w:type="dxa"/>
            <w:tcBorders>
              <w:top w:val="single" w:sz="6" w:space="0" w:color="auto"/>
              <w:bottom w:val="single" w:sz="6" w:space="0" w:color="auto"/>
              <w:right w:val="single" w:sz="12" w:space="0" w:color="auto"/>
            </w:tcBorders>
            <w:shd w:val="clear" w:color="auto" w:fill="auto"/>
            <w:vAlign w:val="center"/>
          </w:tcPr>
          <w:p w:rsidR="00D019AC" w:rsidRPr="00380F3A" w:rsidP="004222B9" w14:paraId="43C2E6E8" w14:textId="6136D433">
            <w:pPr>
              <w:jc w:val="center"/>
              <w:rPr>
                <w:rFonts w:cs="Times New Roman"/>
                <w:sz w:val="18"/>
                <w:szCs w:val="18"/>
              </w:rPr>
            </w:pPr>
            <w:r>
              <w:rPr>
                <w:rFonts w:cs="Times New Roman"/>
                <w:sz w:val="18"/>
                <w:szCs w:val="18"/>
              </w:rPr>
              <w:t>-99</w:t>
            </w:r>
          </w:p>
        </w:tc>
      </w:tr>
      <w:tr w14:paraId="102F7A81" w14:textId="77777777" w:rsidTr="00450EE0">
        <w:tblPrEx>
          <w:tblW w:w="10069" w:type="dxa"/>
          <w:jc w:val="center"/>
          <w:tblLayout w:type="fixed"/>
          <w:tblLook w:val="0000"/>
        </w:tblPrEx>
        <w:trPr>
          <w:trHeight w:val="20"/>
          <w:jc w:val="center"/>
        </w:trPr>
        <w:tc>
          <w:tcPr>
            <w:tcW w:w="2625" w:type="dxa"/>
            <w:tcBorders>
              <w:top w:val="single" w:sz="6" w:space="0" w:color="auto"/>
              <w:left w:val="single" w:sz="12" w:space="0" w:color="auto"/>
              <w:bottom w:val="single" w:sz="6" w:space="0" w:color="auto"/>
            </w:tcBorders>
            <w:shd w:val="clear" w:color="auto" w:fill="auto"/>
            <w:vAlign w:val="bottom"/>
          </w:tcPr>
          <w:p w:rsidR="00D019AC" w:rsidRPr="00380F3A" w:rsidP="004222B9" w14:paraId="2CFCB63F" w14:textId="68320B00">
            <w:pPr>
              <w:rPr>
                <w:rFonts w:eastAsia="Arial Unicode MS" w:cs="Times New Roman"/>
                <w:sz w:val="18"/>
                <w:szCs w:val="18"/>
              </w:rPr>
            </w:pPr>
            <w:r>
              <w:rPr>
                <w:rFonts w:eastAsia="Arial Unicode MS" w:cs="Times New Roman"/>
                <w:sz w:val="18"/>
                <w:szCs w:val="18"/>
              </w:rPr>
              <w:t>SF-429-A, Real Property Status Report</w:t>
            </w:r>
          </w:p>
        </w:tc>
        <w:tc>
          <w:tcPr>
            <w:tcW w:w="1530" w:type="dxa"/>
            <w:shd w:val="clear" w:color="auto" w:fill="auto"/>
            <w:vAlign w:val="center"/>
          </w:tcPr>
          <w:p w:rsidR="00D019AC" w:rsidRPr="00380F3A" w:rsidP="004222B9" w14:paraId="75E84A27" w14:textId="77777777">
            <w:pPr>
              <w:jc w:val="center"/>
              <w:rPr>
                <w:rFonts w:cs="Times New Roman"/>
                <w:sz w:val="18"/>
                <w:szCs w:val="18"/>
              </w:rPr>
            </w:pPr>
          </w:p>
        </w:tc>
        <w:tc>
          <w:tcPr>
            <w:tcW w:w="990" w:type="dxa"/>
            <w:shd w:val="clear" w:color="auto" w:fill="auto"/>
            <w:vAlign w:val="center"/>
          </w:tcPr>
          <w:p w:rsidR="00D019AC" w:rsidRPr="00380F3A" w:rsidP="004222B9" w14:paraId="6B71AE01" w14:textId="77777777">
            <w:pPr>
              <w:jc w:val="center"/>
              <w:rPr>
                <w:rFonts w:cs="Times New Roman"/>
                <w:sz w:val="18"/>
                <w:szCs w:val="18"/>
              </w:rPr>
            </w:pPr>
          </w:p>
        </w:tc>
        <w:tc>
          <w:tcPr>
            <w:tcW w:w="1080" w:type="dxa"/>
            <w:shd w:val="clear" w:color="auto" w:fill="auto"/>
            <w:vAlign w:val="center"/>
          </w:tcPr>
          <w:p w:rsidR="00D019AC" w:rsidRPr="00380F3A" w:rsidP="004222B9" w14:paraId="032D55AD" w14:textId="77777777">
            <w:pPr>
              <w:jc w:val="center"/>
              <w:rPr>
                <w:rFonts w:cs="Times New Roman"/>
                <w:sz w:val="18"/>
                <w:szCs w:val="18"/>
              </w:rPr>
            </w:pPr>
          </w:p>
        </w:tc>
        <w:tc>
          <w:tcPr>
            <w:tcW w:w="1530" w:type="dxa"/>
            <w:shd w:val="clear" w:color="auto" w:fill="auto"/>
            <w:vAlign w:val="center"/>
          </w:tcPr>
          <w:p w:rsidR="00D019AC" w:rsidRPr="00380F3A" w:rsidP="004222B9" w14:paraId="7D3C8451" w14:textId="55DFD054">
            <w:pPr>
              <w:jc w:val="center"/>
              <w:rPr>
                <w:rFonts w:cs="Times New Roman"/>
                <w:sz w:val="18"/>
                <w:szCs w:val="18"/>
              </w:rPr>
            </w:pPr>
            <w:r>
              <w:rPr>
                <w:rFonts w:cs="Times New Roman"/>
                <w:sz w:val="18"/>
                <w:szCs w:val="18"/>
              </w:rPr>
              <w:t>4,956</w:t>
            </w:r>
          </w:p>
        </w:tc>
        <w:tc>
          <w:tcPr>
            <w:tcW w:w="1170" w:type="dxa"/>
            <w:shd w:val="clear" w:color="auto" w:fill="auto"/>
            <w:vAlign w:val="center"/>
          </w:tcPr>
          <w:p w:rsidR="00D019AC" w:rsidRPr="00380F3A" w:rsidP="004222B9" w14:paraId="15AD19A8" w14:textId="67BBC9A3">
            <w:pPr>
              <w:jc w:val="center"/>
              <w:rPr>
                <w:rFonts w:cs="Times New Roman"/>
                <w:sz w:val="18"/>
                <w:szCs w:val="18"/>
              </w:rPr>
            </w:pPr>
            <w:r>
              <w:rPr>
                <w:rFonts w:cs="Times New Roman"/>
                <w:sz w:val="18"/>
                <w:szCs w:val="18"/>
              </w:rPr>
              <w:t>0</w:t>
            </w:r>
          </w:p>
        </w:tc>
        <w:tc>
          <w:tcPr>
            <w:tcW w:w="1144" w:type="dxa"/>
            <w:tcBorders>
              <w:top w:val="single" w:sz="6" w:space="0" w:color="auto"/>
              <w:bottom w:val="single" w:sz="6" w:space="0" w:color="auto"/>
              <w:right w:val="single" w:sz="12" w:space="0" w:color="auto"/>
            </w:tcBorders>
            <w:shd w:val="clear" w:color="auto" w:fill="auto"/>
            <w:vAlign w:val="center"/>
          </w:tcPr>
          <w:p w:rsidR="00D019AC" w:rsidRPr="00380F3A" w:rsidP="004222B9" w14:paraId="2CBE00BF" w14:textId="533D59AD">
            <w:pPr>
              <w:jc w:val="center"/>
              <w:rPr>
                <w:rFonts w:cs="Times New Roman"/>
                <w:sz w:val="18"/>
                <w:szCs w:val="18"/>
              </w:rPr>
            </w:pPr>
            <w:r>
              <w:rPr>
                <w:rFonts w:cs="Times New Roman"/>
                <w:sz w:val="18"/>
                <w:szCs w:val="18"/>
              </w:rPr>
              <w:t>-4,956</w:t>
            </w:r>
          </w:p>
        </w:tc>
      </w:tr>
      <w:tr w14:paraId="2E743AB9" w14:textId="77777777" w:rsidTr="00450EE0">
        <w:tblPrEx>
          <w:tblW w:w="10069" w:type="dxa"/>
          <w:jc w:val="center"/>
          <w:tblLayout w:type="fixed"/>
          <w:tblLook w:val="0000"/>
        </w:tblPrEx>
        <w:trPr>
          <w:trHeight w:val="20"/>
          <w:jc w:val="center"/>
        </w:trPr>
        <w:tc>
          <w:tcPr>
            <w:tcW w:w="2625" w:type="dxa"/>
            <w:tcBorders>
              <w:top w:val="single" w:sz="6" w:space="0" w:color="auto"/>
              <w:left w:val="single" w:sz="12" w:space="0" w:color="auto"/>
              <w:bottom w:val="single" w:sz="12" w:space="0" w:color="auto"/>
            </w:tcBorders>
            <w:shd w:val="clear" w:color="auto" w:fill="auto"/>
            <w:vAlign w:val="bottom"/>
          </w:tcPr>
          <w:p w:rsidR="00D019AC" w:rsidRPr="00380F3A" w:rsidP="004222B9" w14:paraId="7FF94789" w14:textId="6C556D87">
            <w:pPr>
              <w:rPr>
                <w:rFonts w:eastAsia="Arial Unicode MS" w:cs="Times New Roman"/>
                <w:sz w:val="18"/>
                <w:szCs w:val="18"/>
              </w:rPr>
            </w:pPr>
            <w:r>
              <w:rPr>
                <w:rFonts w:eastAsia="Arial Unicode MS" w:cs="Times New Roman"/>
                <w:sz w:val="18"/>
                <w:szCs w:val="18"/>
              </w:rPr>
              <w:t>SF-429-B, Real Property Status Report</w:t>
            </w:r>
          </w:p>
        </w:tc>
        <w:tc>
          <w:tcPr>
            <w:tcW w:w="1530" w:type="dxa"/>
            <w:tcBorders>
              <w:bottom w:val="single" w:sz="12" w:space="0" w:color="auto"/>
            </w:tcBorders>
            <w:shd w:val="clear" w:color="auto" w:fill="auto"/>
            <w:vAlign w:val="center"/>
          </w:tcPr>
          <w:p w:rsidR="00D019AC" w:rsidRPr="00380F3A" w:rsidP="004222B9" w14:paraId="193A5586" w14:textId="77777777">
            <w:pPr>
              <w:jc w:val="center"/>
              <w:rPr>
                <w:rFonts w:cs="Times New Roman"/>
                <w:sz w:val="18"/>
                <w:szCs w:val="18"/>
              </w:rPr>
            </w:pPr>
          </w:p>
        </w:tc>
        <w:tc>
          <w:tcPr>
            <w:tcW w:w="990" w:type="dxa"/>
            <w:tcBorders>
              <w:bottom w:val="single" w:sz="12" w:space="0" w:color="auto"/>
            </w:tcBorders>
            <w:shd w:val="clear" w:color="auto" w:fill="auto"/>
            <w:vAlign w:val="center"/>
          </w:tcPr>
          <w:p w:rsidR="00D019AC" w:rsidRPr="00380F3A" w:rsidP="004222B9" w14:paraId="6DEFA7CE" w14:textId="77777777">
            <w:pPr>
              <w:jc w:val="center"/>
              <w:rPr>
                <w:rFonts w:cs="Times New Roman"/>
                <w:sz w:val="18"/>
                <w:szCs w:val="18"/>
              </w:rPr>
            </w:pPr>
          </w:p>
        </w:tc>
        <w:tc>
          <w:tcPr>
            <w:tcW w:w="1080" w:type="dxa"/>
            <w:tcBorders>
              <w:bottom w:val="single" w:sz="12" w:space="0" w:color="auto"/>
            </w:tcBorders>
            <w:shd w:val="clear" w:color="auto" w:fill="auto"/>
            <w:vAlign w:val="center"/>
          </w:tcPr>
          <w:p w:rsidR="00D019AC" w:rsidRPr="00380F3A" w:rsidP="004222B9" w14:paraId="1E057789" w14:textId="77777777">
            <w:pPr>
              <w:jc w:val="center"/>
              <w:rPr>
                <w:rFonts w:cs="Times New Roman"/>
                <w:sz w:val="18"/>
                <w:szCs w:val="18"/>
              </w:rPr>
            </w:pPr>
          </w:p>
        </w:tc>
        <w:tc>
          <w:tcPr>
            <w:tcW w:w="1530" w:type="dxa"/>
            <w:tcBorders>
              <w:bottom w:val="single" w:sz="12" w:space="0" w:color="auto"/>
            </w:tcBorders>
            <w:shd w:val="clear" w:color="auto" w:fill="auto"/>
            <w:vAlign w:val="center"/>
          </w:tcPr>
          <w:p w:rsidR="00D019AC" w:rsidRPr="00380F3A" w:rsidP="004222B9" w14:paraId="52C7733F" w14:textId="43636B03">
            <w:pPr>
              <w:jc w:val="center"/>
              <w:rPr>
                <w:rFonts w:cs="Times New Roman"/>
                <w:sz w:val="18"/>
                <w:szCs w:val="18"/>
              </w:rPr>
            </w:pPr>
            <w:r>
              <w:rPr>
                <w:rFonts w:cs="Times New Roman"/>
                <w:sz w:val="18"/>
                <w:szCs w:val="18"/>
              </w:rPr>
              <w:t>80</w:t>
            </w:r>
          </w:p>
        </w:tc>
        <w:tc>
          <w:tcPr>
            <w:tcW w:w="1170" w:type="dxa"/>
            <w:tcBorders>
              <w:bottom w:val="single" w:sz="12" w:space="0" w:color="auto"/>
            </w:tcBorders>
            <w:shd w:val="clear" w:color="auto" w:fill="auto"/>
            <w:vAlign w:val="center"/>
          </w:tcPr>
          <w:p w:rsidR="00D019AC" w:rsidRPr="00380F3A" w:rsidP="004222B9" w14:paraId="489D25BB" w14:textId="6017ECF6">
            <w:pPr>
              <w:jc w:val="center"/>
              <w:rPr>
                <w:rFonts w:cs="Times New Roman"/>
                <w:sz w:val="18"/>
                <w:szCs w:val="18"/>
              </w:rPr>
            </w:pPr>
            <w:r>
              <w:rPr>
                <w:rFonts w:cs="Times New Roman"/>
                <w:sz w:val="18"/>
                <w:szCs w:val="18"/>
              </w:rPr>
              <w:t>0</w:t>
            </w:r>
          </w:p>
        </w:tc>
        <w:tc>
          <w:tcPr>
            <w:tcW w:w="1144" w:type="dxa"/>
            <w:tcBorders>
              <w:top w:val="single" w:sz="6" w:space="0" w:color="auto"/>
              <w:bottom w:val="single" w:sz="12" w:space="0" w:color="auto"/>
              <w:right w:val="single" w:sz="12" w:space="0" w:color="auto"/>
            </w:tcBorders>
            <w:shd w:val="clear" w:color="auto" w:fill="auto"/>
            <w:vAlign w:val="center"/>
          </w:tcPr>
          <w:p w:rsidR="00D019AC" w:rsidRPr="00380F3A" w:rsidP="004222B9" w14:paraId="4FBD5BB6" w14:textId="7AB5D77E">
            <w:pPr>
              <w:jc w:val="center"/>
              <w:rPr>
                <w:rFonts w:cs="Times New Roman"/>
                <w:sz w:val="18"/>
                <w:szCs w:val="18"/>
              </w:rPr>
            </w:pPr>
            <w:r>
              <w:rPr>
                <w:rFonts w:cs="Times New Roman"/>
                <w:sz w:val="18"/>
                <w:szCs w:val="18"/>
              </w:rPr>
              <w:t>-80</w:t>
            </w:r>
          </w:p>
        </w:tc>
      </w:tr>
      <w:tr w14:paraId="3BBBEF1A" w14:textId="77777777" w:rsidTr="00450EE0">
        <w:tblPrEx>
          <w:tblW w:w="10069" w:type="dxa"/>
          <w:jc w:val="center"/>
          <w:tblLayout w:type="fixed"/>
          <w:tblLook w:val="0000"/>
        </w:tblPrEx>
        <w:trPr>
          <w:trHeight w:val="270"/>
          <w:jc w:val="center"/>
        </w:trPr>
        <w:tc>
          <w:tcPr>
            <w:tcW w:w="2625" w:type="dxa"/>
            <w:tcBorders>
              <w:top w:val="single" w:sz="12" w:space="0" w:color="auto"/>
              <w:left w:val="single" w:sz="12" w:space="0" w:color="auto"/>
              <w:bottom w:val="single" w:sz="12" w:space="0" w:color="auto"/>
              <w:right w:val="single" w:sz="12" w:space="0" w:color="auto"/>
            </w:tcBorders>
            <w:shd w:val="clear" w:color="auto" w:fill="auto"/>
            <w:vAlign w:val="bottom"/>
          </w:tcPr>
          <w:p w:rsidR="004222B9" w:rsidRPr="00380F3A" w:rsidP="004222B9" w14:paraId="06A15A30" w14:textId="77777777">
            <w:pPr>
              <w:rPr>
                <w:rFonts w:cs="Times New Roman"/>
                <w:sz w:val="18"/>
                <w:szCs w:val="18"/>
              </w:rPr>
            </w:pPr>
            <w:r w:rsidRPr="00380F3A">
              <w:rPr>
                <w:rFonts w:cs="Times New Roman"/>
                <w:b/>
                <w:sz w:val="18"/>
                <w:szCs w:val="18"/>
              </w:rPr>
              <w:t>Total(s)</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rsidR="004222B9" w:rsidRPr="00380F3A" w:rsidP="004222B9" w14:paraId="770D9DCE" w14:textId="7954DF94">
            <w:pPr>
              <w:jc w:val="center"/>
              <w:rPr>
                <w:rFonts w:cs="Times New Roman"/>
                <w:b/>
                <w:sz w:val="18"/>
                <w:szCs w:val="18"/>
              </w:rPr>
            </w:pPr>
            <w:r>
              <w:rPr>
                <w:rFonts w:cs="Times New Roman"/>
                <w:b/>
                <w:sz w:val="18"/>
                <w:szCs w:val="18"/>
              </w:rPr>
              <w:t>0</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4222B9" w:rsidRPr="00380F3A" w:rsidP="004222B9" w14:paraId="606BD4C8" w14:textId="77777777">
            <w:pPr>
              <w:jc w:val="center"/>
              <w:rPr>
                <w:rFonts w:cs="Times New Roman"/>
                <w:b/>
                <w:sz w:val="18"/>
                <w:szCs w:val="18"/>
                <w:highlight w:val="cyan"/>
              </w:rPr>
            </w:pPr>
            <w:r w:rsidRPr="00380F3A">
              <w:rPr>
                <w:rFonts w:cs="Times New Roman"/>
                <w:b/>
                <w:bCs/>
                <w:color w:val="000000"/>
                <w:sz w:val="18"/>
                <w:szCs w:val="18"/>
              </w:rPr>
              <w:t>0</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4222B9" w:rsidRPr="00380F3A" w:rsidP="004222B9" w14:paraId="23CEDAB1" w14:textId="77777777">
            <w:pPr>
              <w:jc w:val="center"/>
              <w:rPr>
                <w:rFonts w:cs="Times New Roman"/>
                <w:b/>
                <w:color w:val="000000"/>
                <w:sz w:val="18"/>
                <w:szCs w:val="18"/>
              </w:rPr>
            </w:pPr>
            <w:r w:rsidRPr="00380F3A">
              <w:rPr>
                <w:rFonts w:cs="Times New Roman"/>
                <w:b/>
                <w:bCs/>
                <w:color w:val="000000"/>
                <w:sz w:val="18"/>
                <w:szCs w:val="18"/>
              </w:rPr>
              <w:t>0</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rsidR="004222B9" w:rsidRPr="00380F3A" w:rsidP="004222B9" w14:paraId="51A89091" w14:textId="532DAA5F">
            <w:pPr>
              <w:jc w:val="center"/>
              <w:rPr>
                <w:rFonts w:cs="Times New Roman"/>
                <w:b/>
                <w:sz w:val="18"/>
                <w:szCs w:val="18"/>
                <w:highlight w:val="cyan"/>
              </w:rPr>
            </w:pPr>
            <w:r>
              <w:rPr>
                <w:rFonts w:cs="Times New Roman"/>
                <w:b/>
                <w:color w:val="000000"/>
                <w:sz w:val="18"/>
                <w:szCs w:val="18"/>
              </w:rPr>
              <w:t>12,52</w:t>
            </w:r>
            <w:r w:rsidR="00583EF3">
              <w:rPr>
                <w:rFonts w:cs="Times New Roman"/>
                <w:b/>
                <w:color w:val="000000"/>
                <w:sz w:val="18"/>
                <w:szCs w:val="18"/>
              </w:rPr>
              <w:t>8</w:t>
            </w:r>
          </w:p>
        </w:tc>
        <w:tc>
          <w:tcPr>
            <w:tcW w:w="1170" w:type="dxa"/>
            <w:tcBorders>
              <w:top w:val="single" w:sz="12" w:space="0" w:color="auto"/>
              <w:left w:val="single" w:sz="12" w:space="0" w:color="auto"/>
              <w:bottom w:val="single" w:sz="12" w:space="0" w:color="auto"/>
              <w:right w:val="single" w:sz="12" w:space="0" w:color="auto"/>
            </w:tcBorders>
            <w:shd w:val="clear" w:color="auto" w:fill="auto"/>
            <w:vAlign w:val="center"/>
          </w:tcPr>
          <w:p w:rsidR="004222B9" w:rsidRPr="00380F3A" w:rsidP="004222B9" w14:paraId="4ABEE377" w14:textId="61800722">
            <w:pPr>
              <w:jc w:val="center"/>
              <w:rPr>
                <w:rFonts w:cs="Times New Roman"/>
                <w:b/>
                <w:color w:val="000000"/>
                <w:sz w:val="18"/>
                <w:szCs w:val="18"/>
              </w:rPr>
            </w:pPr>
            <w:r>
              <w:rPr>
                <w:rFonts w:cs="Times New Roman"/>
                <w:b/>
                <w:bCs/>
                <w:color w:val="000000"/>
                <w:sz w:val="18"/>
                <w:szCs w:val="18"/>
              </w:rPr>
              <w:t>573</w:t>
            </w:r>
          </w:p>
        </w:tc>
        <w:tc>
          <w:tcPr>
            <w:tcW w:w="1144" w:type="dxa"/>
            <w:tcBorders>
              <w:top w:val="single" w:sz="12" w:space="0" w:color="auto"/>
              <w:left w:val="single" w:sz="12" w:space="0" w:color="auto"/>
              <w:bottom w:val="single" w:sz="12" w:space="0" w:color="auto"/>
              <w:right w:val="single" w:sz="12" w:space="0" w:color="auto"/>
            </w:tcBorders>
            <w:shd w:val="clear" w:color="auto" w:fill="auto"/>
            <w:vAlign w:val="center"/>
          </w:tcPr>
          <w:p w:rsidR="004222B9" w:rsidRPr="00380F3A" w:rsidP="004222B9" w14:paraId="18292F70" w14:textId="61223DB5">
            <w:pPr>
              <w:jc w:val="center"/>
              <w:rPr>
                <w:rFonts w:cs="Times New Roman"/>
                <w:b/>
                <w:sz w:val="18"/>
                <w:szCs w:val="18"/>
                <w:highlight w:val="cyan"/>
              </w:rPr>
            </w:pPr>
            <w:r>
              <w:rPr>
                <w:rFonts w:cs="Times New Roman"/>
                <w:b/>
                <w:bCs/>
                <w:color w:val="000000"/>
                <w:sz w:val="18"/>
                <w:szCs w:val="18"/>
              </w:rPr>
              <w:t>-1</w:t>
            </w:r>
            <w:r w:rsidR="00FC5A53">
              <w:rPr>
                <w:rFonts w:cs="Times New Roman"/>
                <w:b/>
                <w:bCs/>
                <w:color w:val="000000"/>
                <w:sz w:val="18"/>
                <w:szCs w:val="18"/>
              </w:rPr>
              <w:t>0</w:t>
            </w:r>
            <w:r>
              <w:rPr>
                <w:rFonts w:cs="Times New Roman"/>
                <w:b/>
                <w:bCs/>
                <w:color w:val="000000"/>
                <w:sz w:val="18"/>
                <w:szCs w:val="18"/>
              </w:rPr>
              <w:t>,95</w:t>
            </w:r>
            <w:r w:rsidR="00FC5A53">
              <w:rPr>
                <w:rFonts w:cs="Times New Roman"/>
                <w:b/>
                <w:bCs/>
                <w:color w:val="000000"/>
                <w:sz w:val="18"/>
                <w:szCs w:val="18"/>
              </w:rPr>
              <w:t>5</w:t>
            </w:r>
          </w:p>
        </w:tc>
      </w:tr>
    </w:tbl>
    <w:p w:rsidR="00BE4C08" w:rsidRPr="00D03C8B" w:rsidP="00814646" w14:paraId="430DA2DE" w14:textId="77777777">
      <w:pPr>
        <w:spacing w:line="276" w:lineRule="auto"/>
        <w:contextualSpacing/>
        <w:rPr>
          <w:rFonts w:cs="Times New Roman"/>
          <w:szCs w:val="24"/>
        </w:rPr>
      </w:pPr>
    </w:p>
    <w:p w:rsidR="007D0440" w:rsidRPr="00D019AC" w:rsidP="00814646" w14:paraId="1DCC195D" w14:textId="5A86B791">
      <w:pPr>
        <w:spacing w:line="276" w:lineRule="auto"/>
        <w:contextualSpacing/>
        <w:rPr>
          <w:rFonts w:cs="Times New Roman"/>
          <w:szCs w:val="24"/>
        </w:rPr>
      </w:pPr>
      <w:r w:rsidRPr="00D03C8B">
        <w:rPr>
          <w:b/>
          <w:i/>
          <w:szCs w:val="24"/>
        </w:rPr>
        <w:t>Explain:</w:t>
      </w:r>
      <w:r w:rsidR="004222B9">
        <w:rPr>
          <w:rFonts w:cs="Times New Roman"/>
          <w:szCs w:val="24"/>
        </w:rPr>
        <w:t xml:space="preserve">  </w:t>
      </w:r>
      <w:r w:rsidR="003A5DAB">
        <w:rPr>
          <w:rFonts w:cs="Times New Roman"/>
          <w:szCs w:val="24"/>
        </w:rPr>
        <w:t>The reduction of 1</w:t>
      </w:r>
      <w:r w:rsidR="00FC5A53">
        <w:rPr>
          <w:rFonts w:cs="Times New Roman"/>
          <w:szCs w:val="24"/>
        </w:rPr>
        <w:t>0</w:t>
      </w:r>
      <w:r w:rsidR="003A5DAB">
        <w:rPr>
          <w:rFonts w:cs="Times New Roman"/>
          <w:szCs w:val="24"/>
        </w:rPr>
        <w:t>,95</w:t>
      </w:r>
      <w:r w:rsidR="00FC5A53">
        <w:rPr>
          <w:rFonts w:cs="Times New Roman"/>
          <w:szCs w:val="24"/>
        </w:rPr>
        <w:t>5</w:t>
      </w:r>
      <w:r w:rsidR="003A5DAB">
        <w:rPr>
          <w:rFonts w:cs="Times New Roman"/>
          <w:szCs w:val="24"/>
        </w:rPr>
        <w:t xml:space="preserve"> burden hours from this collection is mainly due to the removal of five instruments that were previously on the inventory for this collection, but are also approved for use under other OMB Control Numbers.  That reduction is combined with a reduction in the estimated number of respondents for the remaining instrument (FEMA Form FF-206-FY-21-124) falling from 2,270 respondents to 573</w:t>
      </w:r>
      <w:r w:rsidRPr="00D019AC">
        <w:rPr>
          <w:rFonts w:cs="Times New Roman"/>
          <w:szCs w:val="24"/>
        </w:rPr>
        <w:t xml:space="preserve">. </w:t>
      </w:r>
    </w:p>
    <w:p w:rsidR="00E660A7" w:rsidRPr="00D019AC" w:rsidP="00814646" w14:paraId="69851A1A" w14:textId="77777777">
      <w:pPr>
        <w:spacing w:line="276" w:lineRule="auto"/>
        <w:contextualSpacing/>
        <w:rPr>
          <w:rFonts w:cs="Times New Roman"/>
          <w:szCs w:val="24"/>
        </w:rPr>
      </w:pPr>
    </w:p>
    <w:tbl>
      <w:tblPr>
        <w:tblW w:w="1006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535"/>
        <w:gridCol w:w="1531"/>
        <w:gridCol w:w="990"/>
        <w:gridCol w:w="1081"/>
        <w:gridCol w:w="1531"/>
        <w:gridCol w:w="1171"/>
        <w:gridCol w:w="1226"/>
      </w:tblGrid>
      <w:tr w14:paraId="3ADEFA0E" w14:textId="77777777" w:rsidTr="00450EE0">
        <w:tblPrEx>
          <w:tblW w:w="1006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trHeight w:val="270"/>
          <w:jc w:val="center"/>
        </w:trPr>
        <w:tc>
          <w:tcPr>
            <w:tcW w:w="10065" w:type="dxa"/>
            <w:gridSpan w:val="7"/>
            <w:tcBorders>
              <w:top w:val="single" w:sz="12" w:space="0" w:color="auto"/>
              <w:left w:val="single" w:sz="12" w:space="0" w:color="auto"/>
              <w:bottom w:val="single" w:sz="6" w:space="0" w:color="auto"/>
              <w:right w:val="single" w:sz="12" w:space="0" w:color="auto"/>
            </w:tcBorders>
            <w:shd w:val="clear" w:color="auto" w:fill="8EAADB" w:themeFill="accent1" w:themeFillTint="99"/>
            <w:noWrap/>
            <w:vAlign w:val="bottom"/>
          </w:tcPr>
          <w:p w:rsidR="00562ACD" w:rsidRPr="00380F3A" w:rsidP="00562ACD" w14:paraId="4CA040B3" w14:textId="2779AFB1">
            <w:pPr>
              <w:jc w:val="center"/>
              <w:rPr>
                <w:rFonts w:cs="Times New Roman"/>
                <w:b/>
                <w:sz w:val="20"/>
                <w:szCs w:val="20"/>
              </w:rPr>
            </w:pPr>
            <w:r w:rsidRPr="00380F3A">
              <w:rPr>
                <w:rFonts w:cs="Times New Roman"/>
                <w:b/>
                <w:sz w:val="20"/>
                <w:szCs w:val="20"/>
              </w:rPr>
              <w:t xml:space="preserve">Itemized Changes in Annual </w:t>
            </w:r>
            <w:r>
              <w:rPr>
                <w:rFonts w:cs="Times New Roman"/>
                <w:b/>
                <w:sz w:val="20"/>
                <w:szCs w:val="20"/>
              </w:rPr>
              <w:t xml:space="preserve">Cost </w:t>
            </w:r>
            <w:r w:rsidRPr="00380F3A">
              <w:rPr>
                <w:rFonts w:cs="Times New Roman"/>
                <w:b/>
                <w:sz w:val="20"/>
                <w:szCs w:val="20"/>
              </w:rPr>
              <w:t>Burden</w:t>
            </w:r>
          </w:p>
        </w:tc>
      </w:tr>
      <w:tr w14:paraId="07250877" w14:textId="77777777" w:rsidTr="00450EE0">
        <w:tblPrEx>
          <w:tblW w:w="10065" w:type="dxa"/>
          <w:jc w:val="center"/>
          <w:tblLayout w:type="fixed"/>
          <w:tblLook w:val="0000"/>
        </w:tblPrEx>
        <w:trPr>
          <w:trHeight w:val="898"/>
          <w:jc w:val="center"/>
        </w:trPr>
        <w:tc>
          <w:tcPr>
            <w:tcW w:w="2535" w:type="dxa"/>
            <w:tcBorders>
              <w:top w:val="single" w:sz="6" w:space="0" w:color="auto"/>
              <w:left w:val="single" w:sz="12" w:space="0" w:color="auto"/>
              <w:bottom w:val="single" w:sz="6" w:space="0" w:color="auto"/>
            </w:tcBorders>
            <w:shd w:val="clear" w:color="auto" w:fill="8EAADB" w:themeFill="accent1" w:themeFillTint="99"/>
            <w:vAlign w:val="bottom"/>
          </w:tcPr>
          <w:p w:rsidR="00562ACD" w:rsidRPr="00380F3A" w:rsidP="00562ACD" w14:paraId="172BBB90" w14:textId="3269AB46">
            <w:pPr>
              <w:jc w:val="center"/>
              <w:rPr>
                <w:rFonts w:cs="Times New Roman"/>
                <w:b/>
                <w:sz w:val="18"/>
                <w:szCs w:val="18"/>
              </w:rPr>
            </w:pPr>
            <w:r w:rsidRPr="00380F3A">
              <w:rPr>
                <w:rFonts w:cs="Times New Roman"/>
                <w:b/>
                <w:sz w:val="18"/>
                <w:szCs w:val="18"/>
              </w:rPr>
              <w:t>Data collection Activity/Instrument</w:t>
            </w:r>
          </w:p>
        </w:tc>
        <w:tc>
          <w:tcPr>
            <w:tcW w:w="1531" w:type="dxa"/>
            <w:shd w:val="clear" w:color="auto" w:fill="8EAADB" w:themeFill="accent1" w:themeFillTint="99"/>
            <w:vAlign w:val="bottom"/>
          </w:tcPr>
          <w:p w:rsidR="00562ACD" w:rsidRPr="00380F3A" w:rsidP="00562ACD" w14:paraId="03C739F0" w14:textId="5F0CEE32">
            <w:pPr>
              <w:jc w:val="center"/>
              <w:rPr>
                <w:rFonts w:cs="Times New Roman"/>
                <w:b/>
                <w:sz w:val="18"/>
                <w:szCs w:val="18"/>
              </w:rPr>
            </w:pPr>
            <w:r w:rsidRPr="00380F3A">
              <w:rPr>
                <w:rFonts w:cs="Times New Roman"/>
                <w:b/>
                <w:sz w:val="18"/>
                <w:szCs w:val="18"/>
              </w:rPr>
              <w:t>Program Change (</w:t>
            </w:r>
            <w:r>
              <w:rPr>
                <w:rFonts w:cs="Times New Roman"/>
                <w:b/>
                <w:sz w:val="18"/>
                <w:szCs w:val="18"/>
              </w:rPr>
              <w:t>cost</w:t>
            </w:r>
            <w:r w:rsidRPr="00380F3A">
              <w:rPr>
                <w:rFonts w:cs="Times New Roman"/>
                <w:b/>
                <w:sz w:val="18"/>
                <w:szCs w:val="18"/>
              </w:rPr>
              <w:t xml:space="preserve"> currently on OMB Inventory) </w:t>
            </w:r>
          </w:p>
        </w:tc>
        <w:tc>
          <w:tcPr>
            <w:tcW w:w="990" w:type="dxa"/>
            <w:shd w:val="clear" w:color="auto" w:fill="8EAADB" w:themeFill="accent1" w:themeFillTint="99"/>
            <w:vAlign w:val="bottom"/>
          </w:tcPr>
          <w:p w:rsidR="00562ACD" w:rsidRPr="00380F3A" w:rsidP="00562ACD" w14:paraId="0D066FA0" w14:textId="36AE1EE8">
            <w:pPr>
              <w:jc w:val="center"/>
              <w:rPr>
                <w:rFonts w:cs="Times New Roman"/>
                <w:b/>
                <w:sz w:val="18"/>
                <w:szCs w:val="18"/>
              </w:rPr>
            </w:pPr>
            <w:r w:rsidRPr="00380F3A">
              <w:rPr>
                <w:rFonts w:cs="Times New Roman"/>
                <w:b/>
                <w:sz w:val="18"/>
                <w:szCs w:val="18"/>
              </w:rPr>
              <w:t xml:space="preserve">Program Change (New) </w:t>
            </w:r>
          </w:p>
        </w:tc>
        <w:tc>
          <w:tcPr>
            <w:tcW w:w="1081" w:type="dxa"/>
            <w:shd w:val="clear" w:color="auto" w:fill="8EAADB" w:themeFill="accent1" w:themeFillTint="99"/>
            <w:vAlign w:val="bottom"/>
          </w:tcPr>
          <w:p w:rsidR="00562ACD" w:rsidRPr="00380F3A" w:rsidP="00562ACD" w14:paraId="4AF512E2" w14:textId="6657B157">
            <w:pPr>
              <w:jc w:val="center"/>
              <w:rPr>
                <w:rFonts w:cs="Times New Roman"/>
                <w:b/>
                <w:sz w:val="18"/>
                <w:szCs w:val="18"/>
              </w:rPr>
            </w:pPr>
            <w:r w:rsidRPr="00380F3A">
              <w:rPr>
                <w:rFonts w:cs="Times New Roman"/>
                <w:b/>
                <w:sz w:val="18"/>
                <w:szCs w:val="18"/>
              </w:rPr>
              <w:t>Difference</w:t>
            </w:r>
          </w:p>
        </w:tc>
        <w:tc>
          <w:tcPr>
            <w:tcW w:w="1531" w:type="dxa"/>
            <w:shd w:val="clear" w:color="auto" w:fill="8EAADB" w:themeFill="accent1" w:themeFillTint="99"/>
            <w:vAlign w:val="bottom"/>
          </w:tcPr>
          <w:p w:rsidR="00562ACD" w:rsidRPr="00380F3A" w:rsidP="00562ACD" w14:paraId="36E24610" w14:textId="77DFFBFB">
            <w:pPr>
              <w:jc w:val="center"/>
              <w:rPr>
                <w:rFonts w:cs="Times New Roman"/>
                <w:b/>
                <w:sz w:val="18"/>
                <w:szCs w:val="18"/>
              </w:rPr>
            </w:pPr>
            <w:r w:rsidRPr="00380F3A">
              <w:rPr>
                <w:rFonts w:cs="Times New Roman"/>
                <w:b/>
                <w:sz w:val="18"/>
                <w:szCs w:val="18"/>
              </w:rPr>
              <w:t>Adjustment (</w:t>
            </w:r>
            <w:r>
              <w:rPr>
                <w:rFonts w:cs="Times New Roman"/>
                <w:b/>
                <w:sz w:val="18"/>
                <w:szCs w:val="18"/>
              </w:rPr>
              <w:t>cost</w:t>
            </w:r>
            <w:r w:rsidRPr="00380F3A">
              <w:rPr>
                <w:rFonts w:cs="Times New Roman"/>
                <w:b/>
                <w:sz w:val="18"/>
                <w:szCs w:val="18"/>
              </w:rPr>
              <w:t xml:space="preserve"> currently on OMB Inventory)</w:t>
            </w:r>
          </w:p>
        </w:tc>
        <w:tc>
          <w:tcPr>
            <w:tcW w:w="1171" w:type="dxa"/>
            <w:shd w:val="clear" w:color="auto" w:fill="8EAADB" w:themeFill="accent1" w:themeFillTint="99"/>
            <w:vAlign w:val="bottom"/>
          </w:tcPr>
          <w:p w:rsidR="00562ACD" w:rsidRPr="00380F3A" w:rsidP="00562ACD" w14:paraId="21A6A51D" w14:textId="3F5F6AA4">
            <w:pPr>
              <w:jc w:val="center"/>
              <w:rPr>
                <w:rFonts w:cs="Times New Roman"/>
                <w:b/>
                <w:sz w:val="18"/>
                <w:szCs w:val="18"/>
              </w:rPr>
            </w:pPr>
            <w:r w:rsidRPr="00380F3A">
              <w:rPr>
                <w:rFonts w:cs="Times New Roman"/>
                <w:b/>
                <w:sz w:val="18"/>
                <w:szCs w:val="18"/>
              </w:rPr>
              <w:t xml:space="preserve">Adjustment (New) </w:t>
            </w:r>
          </w:p>
        </w:tc>
        <w:tc>
          <w:tcPr>
            <w:tcW w:w="1226" w:type="dxa"/>
            <w:tcBorders>
              <w:top w:val="single" w:sz="6" w:space="0" w:color="auto"/>
              <w:bottom w:val="single" w:sz="6" w:space="0" w:color="auto"/>
              <w:right w:val="single" w:sz="12" w:space="0" w:color="auto"/>
            </w:tcBorders>
            <w:shd w:val="clear" w:color="auto" w:fill="8EAADB" w:themeFill="accent1" w:themeFillTint="99"/>
            <w:vAlign w:val="bottom"/>
          </w:tcPr>
          <w:p w:rsidR="00562ACD" w:rsidRPr="00380F3A" w:rsidP="00562ACD" w14:paraId="11190016" w14:textId="4F51CA91">
            <w:pPr>
              <w:jc w:val="center"/>
              <w:rPr>
                <w:rFonts w:cs="Times New Roman"/>
                <w:b/>
                <w:sz w:val="18"/>
                <w:szCs w:val="18"/>
              </w:rPr>
            </w:pPr>
            <w:r w:rsidRPr="00380F3A">
              <w:rPr>
                <w:rFonts w:cs="Times New Roman"/>
                <w:b/>
                <w:sz w:val="18"/>
                <w:szCs w:val="18"/>
              </w:rPr>
              <w:t>Difference</w:t>
            </w:r>
          </w:p>
        </w:tc>
      </w:tr>
      <w:tr w14:paraId="32677B24" w14:textId="77777777" w:rsidTr="00450EE0">
        <w:tblPrEx>
          <w:tblW w:w="10065" w:type="dxa"/>
          <w:jc w:val="center"/>
          <w:tblLayout w:type="fixed"/>
          <w:tblLook w:val="0000"/>
        </w:tblPrEx>
        <w:trPr>
          <w:trHeight w:val="20"/>
          <w:jc w:val="center"/>
        </w:trPr>
        <w:tc>
          <w:tcPr>
            <w:tcW w:w="2535" w:type="dxa"/>
            <w:tcBorders>
              <w:top w:val="single" w:sz="6" w:space="0" w:color="auto"/>
              <w:left w:val="single" w:sz="12" w:space="0" w:color="auto"/>
              <w:bottom w:val="single" w:sz="6" w:space="0" w:color="auto"/>
            </w:tcBorders>
            <w:shd w:val="clear" w:color="auto" w:fill="auto"/>
            <w:vAlign w:val="bottom"/>
          </w:tcPr>
          <w:p w:rsidR="00562ACD" w:rsidRPr="00380F3A" w:rsidP="00562ACD" w14:paraId="32C260BF" w14:textId="77777777">
            <w:pPr>
              <w:rPr>
                <w:rFonts w:eastAsia="Arial Unicode MS" w:cs="Times New Roman"/>
                <w:sz w:val="18"/>
                <w:szCs w:val="18"/>
              </w:rPr>
            </w:pPr>
            <w:r w:rsidRPr="00380F3A">
              <w:rPr>
                <w:rFonts w:eastAsia="Arial Unicode MS" w:cs="Times New Roman"/>
                <w:sz w:val="18"/>
                <w:szCs w:val="18"/>
              </w:rPr>
              <w:t xml:space="preserve">Property Owners Voluntary Participation Statements / FEMA Form </w:t>
            </w:r>
            <w:r w:rsidRPr="00380F3A">
              <w:rPr>
                <w:rFonts w:cs="Times New Roman"/>
                <w:color w:val="000000"/>
                <w:sz w:val="18"/>
                <w:szCs w:val="18"/>
              </w:rPr>
              <w:t>FF-206-FY-21-124 (formerly</w:t>
            </w:r>
            <w:r w:rsidRPr="00380F3A">
              <w:rPr>
                <w:rFonts w:eastAsia="Arial Unicode MS" w:cs="Times New Roman"/>
                <w:sz w:val="18"/>
                <w:szCs w:val="18"/>
              </w:rPr>
              <w:t xml:space="preserve"> 086-0-31)</w:t>
            </w:r>
            <w:r>
              <w:rPr>
                <w:rFonts w:eastAsia="Arial Unicode MS" w:cs="Times New Roman"/>
                <w:sz w:val="18"/>
                <w:szCs w:val="18"/>
              </w:rPr>
              <w:t xml:space="preserve"> </w:t>
            </w:r>
            <w:r w:rsidRPr="00380F3A">
              <w:rPr>
                <w:rFonts w:eastAsia="Arial Unicode MS" w:cs="Times New Roman"/>
                <w:sz w:val="18"/>
                <w:szCs w:val="18"/>
              </w:rPr>
              <w:t>(a)</w:t>
            </w:r>
          </w:p>
        </w:tc>
        <w:tc>
          <w:tcPr>
            <w:tcW w:w="1531" w:type="dxa"/>
            <w:shd w:val="clear" w:color="auto" w:fill="auto"/>
            <w:vAlign w:val="center"/>
          </w:tcPr>
          <w:p w:rsidR="00562ACD" w:rsidRPr="00380F3A" w:rsidP="00562ACD" w14:paraId="66065CF8" w14:textId="77777777">
            <w:pPr>
              <w:jc w:val="center"/>
              <w:rPr>
                <w:rFonts w:cs="Times New Roman"/>
                <w:sz w:val="18"/>
                <w:szCs w:val="18"/>
              </w:rPr>
            </w:pPr>
          </w:p>
        </w:tc>
        <w:tc>
          <w:tcPr>
            <w:tcW w:w="990" w:type="dxa"/>
            <w:shd w:val="clear" w:color="auto" w:fill="auto"/>
            <w:vAlign w:val="center"/>
          </w:tcPr>
          <w:p w:rsidR="00562ACD" w:rsidRPr="00380F3A" w:rsidP="00562ACD" w14:paraId="1D299147" w14:textId="77777777">
            <w:pPr>
              <w:jc w:val="center"/>
              <w:rPr>
                <w:rFonts w:cs="Times New Roman"/>
                <w:sz w:val="18"/>
                <w:szCs w:val="18"/>
              </w:rPr>
            </w:pPr>
          </w:p>
        </w:tc>
        <w:tc>
          <w:tcPr>
            <w:tcW w:w="1081" w:type="dxa"/>
            <w:shd w:val="clear" w:color="auto" w:fill="auto"/>
            <w:vAlign w:val="center"/>
          </w:tcPr>
          <w:p w:rsidR="00562ACD" w:rsidRPr="00380F3A" w:rsidP="00562ACD" w14:paraId="5EB71BF2" w14:textId="77777777">
            <w:pPr>
              <w:jc w:val="center"/>
              <w:rPr>
                <w:rFonts w:cs="Times New Roman"/>
                <w:sz w:val="18"/>
                <w:szCs w:val="18"/>
              </w:rPr>
            </w:pPr>
          </w:p>
        </w:tc>
        <w:tc>
          <w:tcPr>
            <w:tcW w:w="1531" w:type="dxa"/>
            <w:shd w:val="clear" w:color="auto" w:fill="auto"/>
            <w:vAlign w:val="center"/>
          </w:tcPr>
          <w:p w:rsidR="00562ACD" w:rsidRPr="00380F3A" w:rsidP="00562ACD" w14:paraId="31B7F3DF" w14:textId="04709D4E">
            <w:pPr>
              <w:jc w:val="center"/>
              <w:rPr>
                <w:rFonts w:cs="Times New Roman"/>
                <w:sz w:val="18"/>
                <w:szCs w:val="18"/>
              </w:rPr>
            </w:pPr>
            <w:r>
              <w:rPr>
                <w:rFonts w:cs="Times New Roman"/>
                <w:sz w:val="18"/>
                <w:szCs w:val="18"/>
              </w:rPr>
              <w:t>$45,186</w:t>
            </w:r>
          </w:p>
        </w:tc>
        <w:tc>
          <w:tcPr>
            <w:tcW w:w="1171" w:type="dxa"/>
            <w:shd w:val="clear" w:color="auto" w:fill="auto"/>
            <w:vAlign w:val="center"/>
          </w:tcPr>
          <w:p w:rsidR="00562ACD" w:rsidRPr="00380F3A" w:rsidP="00562ACD" w14:paraId="79138D7F" w14:textId="57F8D62F">
            <w:pPr>
              <w:jc w:val="center"/>
              <w:rPr>
                <w:rFonts w:cs="Times New Roman"/>
                <w:sz w:val="18"/>
                <w:szCs w:val="18"/>
              </w:rPr>
            </w:pPr>
            <w:r w:rsidRPr="00CF778A">
              <w:rPr>
                <w:rFonts w:eastAsia="Times New Roman" w:cs="Times New Roman"/>
                <w:sz w:val="18"/>
                <w:szCs w:val="18"/>
              </w:rPr>
              <w:t>$</w:t>
            </w:r>
            <w:r w:rsidRPr="00583EF3" w:rsidR="00583EF3">
              <w:rPr>
                <w:rFonts w:eastAsia="Times New Roman" w:cs="Times New Roman"/>
                <w:sz w:val="18"/>
                <w:szCs w:val="18"/>
              </w:rPr>
              <w:t>34,254</w:t>
            </w:r>
          </w:p>
        </w:tc>
        <w:tc>
          <w:tcPr>
            <w:tcW w:w="1226" w:type="dxa"/>
            <w:tcBorders>
              <w:top w:val="single" w:sz="6" w:space="0" w:color="auto"/>
              <w:bottom w:val="single" w:sz="6" w:space="0" w:color="auto"/>
              <w:right w:val="single" w:sz="12" w:space="0" w:color="auto"/>
            </w:tcBorders>
            <w:shd w:val="clear" w:color="auto" w:fill="auto"/>
            <w:vAlign w:val="center"/>
          </w:tcPr>
          <w:p w:rsidR="00562ACD" w:rsidRPr="00380F3A" w:rsidP="00562ACD" w14:paraId="7E283905" w14:textId="003DAAB6">
            <w:pPr>
              <w:jc w:val="center"/>
              <w:rPr>
                <w:rFonts w:cs="Times New Roman"/>
                <w:sz w:val="18"/>
                <w:szCs w:val="18"/>
              </w:rPr>
            </w:pPr>
            <w:r w:rsidRPr="00380F3A">
              <w:rPr>
                <w:rFonts w:cs="Times New Roman"/>
                <w:sz w:val="18"/>
                <w:szCs w:val="18"/>
              </w:rPr>
              <w:t>-</w:t>
            </w:r>
            <w:r>
              <w:rPr>
                <w:rFonts w:cs="Times New Roman"/>
                <w:sz w:val="18"/>
                <w:szCs w:val="18"/>
              </w:rPr>
              <w:t>$</w:t>
            </w:r>
            <w:r w:rsidR="008E63E9">
              <w:rPr>
                <w:rFonts w:cs="Times New Roman"/>
                <w:sz w:val="18"/>
                <w:szCs w:val="18"/>
              </w:rPr>
              <w:t>10,932</w:t>
            </w:r>
          </w:p>
        </w:tc>
      </w:tr>
      <w:tr w14:paraId="345F425E" w14:textId="77777777" w:rsidTr="00450EE0">
        <w:tblPrEx>
          <w:tblW w:w="10065" w:type="dxa"/>
          <w:jc w:val="center"/>
          <w:tblLayout w:type="fixed"/>
          <w:tblLook w:val="0000"/>
        </w:tblPrEx>
        <w:trPr>
          <w:trHeight w:val="20"/>
          <w:jc w:val="center"/>
        </w:trPr>
        <w:tc>
          <w:tcPr>
            <w:tcW w:w="2535" w:type="dxa"/>
            <w:tcBorders>
              <w:top w:val="single" w:sz="6" w:space="0" w:color="auto"/>
              <w:left w:val="single" w:sz="12" w:space="0" w:color="auto"/>
              <w:bottom w:val="single" w:sz="6" w:space="0" w:color="auto"/>
            </w:tcBorders>
            <w:shd w:val="clear" w:color="auto" w:fill="auto"/>
            <w:vAlign w:val="bottom"/>
          </w:tcPr>
          <w:p w:rsidR="00FC5A53" w:rsidRPr="00380F3A" w:rsidP="00FC5A53" w14:paraId="3E0E2B65" w14:textId="0AD7A18D">
            <w:pPr>
              <w:rPr>
                <w:rFonts w:eastAsia="Arial Unicode MS" w:cs="Times New Roman"/>
                <w:sz w:val="18"/>
                <w:szCs w:val="18"/>
              </w:rPr>
            </w:pPr>
            <w:r w:rsidRPr="00CB14F8">
              <w:rPr>
                <w:color w:val="000000" w:themeColor="text1"/>
                <w:sz w:val="18"/>
                <w:szCs w:val="18"/>
              </w:rPr>
              <w:t>FEMA Form FF-206-FY-22-157, FEMA Model Deed Restriction</w:t>
            </w:r>
          </w:p>
        </w:tc>
        <w:tc>
          <w:tcPr>
            <w:tcW w:w="1531" w:type="dxa"/>
            <w:shd w:val="clear" w:color="auto" w:fill="auto"/>
            <w:vAlign w:val="center"/>
          </w:tcPr>
          <w:p w:rsidR="00FC5A53" w:rsidRPr="00380F3A" w:rsidP="00FC5A53" w14:paraId="40A393AA" w14:textId="77777777">
            <w:pPr>
              <w:jc w:val="center"/>
              <w:rPr>
                <w:rFonts w:cs="Times New Roman"/>
                <w:sz w:val="18"/>
                <w:szCs w:val="18"/>
              </w:rPr>
            </w:pPr>
          </w:p>
        </w:tc>
        <w:tc>
          <w:tcPr>
            <w:tcW w:w="990" w:type="dxa"/>
            <w:shd w:val="clear" w:color="auto" w:fill="auto"/>
            <w:vAlign w:val="center"/>
          </w:tcPr>
          <w:p w:rsidR="00FC5A53" w:rsidRPr="00380F3A" w:rsidP="00FC5A53" w14:paraId="5E64AFA8" w14:textId="77777777">
            <w:pPr>
              <w:jc w:val="center"/>
              <w:rPr>
                <w:rFonts w:cs="Times New Roman"/>
                <w:sz w:val="18"/>
                <w:szCs w:val="18"/>
              </w:rPr>
            </w:pPr>
          </w:p>
        </w:tc>
        <w:tc>
          <w:tcPr>
            <w:tcW w:w="1081" w:type="dxa"/>
            <w:shd w:val="clear" w:color="auto" w:fill="auto"/>
            <w:vAlign w:val="center"/>
          </w:tcPr>
          <w:p w:rsidR="00FC5A53" w:rsidRPr="00380F3A" w:rsidP="00FC5A53" w14:paraId="57B3A422" w14:textId="77777777">
            <w:pPr>
              <w:jc w:val="center"/>
              <w:rPr>
                <w:rFonts w:cs="Times New Roman"/>
                <w:sz w:val="18"/>
                <w:szCs w:val="18"/>
              </w:rPr>
            </w:pPr>
          </w:p>
        </w:tc>
        <w:tc>
          <w:tcPr>
            <w:tcW w:w="1531" w:type="dxa"/>
            <w:shd w:val="clear" w:color="auto" w:fill="auto"/>
            <w:vAlign w:val="center"/>
          </w:tcPr>
          <w:p w:rsidR="00FC5A53" w:rsidRPr="00380F3A" w:rsidP="00FC5A53" w14:paraId="21AC9FF8" w14:textId="469940F3">
            <w:pPr>
              <w:jc w:val="center"/>
              <w:rPr>
                <w:rFonts w:cs="Times New Roman"/>
                <w:sz w:val="18"/>
                <w:szCs w:val="18"/>
              </w:rPr>
            </w:pPr>
            <w:r>
              <w:rPr>
                <w:rFonts w:cs="Times New Roman"/>
                <w:sz w:val="18"/>
                <w:szCs w:val="18"/>
              </w:rPr>
              <w:t>$315,805</w:t>
            </w:r>
          </w:p>
        </w:tc>
        <w:tc>
          <w:tcPr>
            <w:tcW w:w="1171" w:type="dxa"/>
            <w:shd w:val="clear" w:color="auto" w:fill="auto"/>
            <w:vAlign w:val="center"/>
          </w:tcPr>
          <w:p w:rsidR="00FC5A53" w:rsidRPr="00380F3A" w:rsidP="00FC5A53" w14:paraId="7681AAFB" w14:textId="4DEFB9A4">
            <w:pPr>
              <w:jc w:val="center"/>
              <w:rPr>
                <w:rFonts w:cs="Times New Roman"/>
                <w:sz w:val="18"/>
                <w:szCs w:val="18"/>
              </w:rPr>
            </w:pPr>
            <w:r>
              <w:rPr>
                <w:rFonts w:cs="Times New Roman"/>
                <w:sz w:val="18"/>
                <w:szCs w:val="18"/>
              </w:rPr>
              <w:t>$0</w:t>
            </w:r>
          </w:p>
        </w:tc>
        <w:tc>
          <w:tcPr>
            <w:tcW w:w="1226" w:type="dxa"/>
            <w:tcBorders>
              <w:top w:val="single" w:sz="6" w:space="0" w:color="auto"/>
              <w:bottom w:val="single" w:sz="6" w:space="0" w:color="auto"/>
              <w:right w:val="single" w:sz="12" w:space="0" w:color="auto"/>
            </w:tcBorders>
            <w:shd w:val="clear" w:color="auto" w:fill="auto"/>
            <w:vAlign w:val="center"/>
          </w:tcPr>
          <w:p w:rsidR="00FC5A53" w:rsidRPr="00380F3A" w:rsidP="00FC5A53" w14:paraId="678960BC" w14:textId="4261E3A3">
            <w:pPr>
              <w:jc w:val="center"/>
              <w:rPr>
                <w:rFonts w:cs="Times New Roman"/>
                <w:sz w:val="18"/>
                <w:szCs w:val="18"/>
              </w:rPr>
            </w:pPr>
            <w:r>
              <w:rPr>
                <w:rFonts w:cs="Times New Roman"/>
                <w:sz w:val="18"/>
                <w:szCs w:val="18"/>
              </w:rPr>
              <w:t>-$315,805</w:t>
            </w:r>
          </w:p>
        </w:tc>
      </w:tr>
      <w:tr w14:paraId="1926F660" w14:textId="77777777" w:rsidTr="00450EE0">
        <w:tblPrEx>
          <w:tblW w:w="10065" w:type="dxa"/>
          <w:jc w:val="center"/>
          <w:tblLayout w:type="fixed"/>
          <w:tblLook w:val="0000"/>
        </w:tblPrEx>
        <w:trPr>
          <w:trHeight w:val="20"/>
          <w:jc w:val="center"/>
        </w:trPr>
        <w:tc>
          <w:tcPr>
            <w:tcW w:w="2535" w:type="dxa"/>
            <w:tcBorders>
              <w:top w:val="single" w:sz="6" w:space="0" w:color="auto"/>
              <w:left w:val="single" w:sz="12" w:space="0" w:color="auto"/>
              <w:bottom w:val="single" w:sz="6" w:space="0" w:color="auto"/>
            </w:tcBorders>
            <w:shd w:val="clear" w:color="auto" w:fill="auto"/>
            <w:vAlign w:val="bottom"/>
          </w:tcPr>
          <w:p w:rsidR="00FC5A53" w:rsidRPr="00380F3A" w:rsidP="00FC5A53" w14:paraId="66EFDA81" w14:textId="7954A3D4">
            <w:pPr>
              <w:rPr>
                <w:rFonts w:eastAsia="Arial Unicode MS" w:cs="Times New Roman"/>
                <w:sz w:val="18"/>
                <w:szCs w:val="18"/>
              </w:rPr>
            </w:pPr>
            <w:r w:rsidRPr="00CB14F8">
              <w:rPr>
                <w:color w:val="000000" w:themeColor="text1"/>
                <w:sz w:val="18"/>
                <w:szCs w:val="18"/>
              </w:rPr>
              <w:t>FEMA Form FF-104-FY-21-128 (formerly 009-0-3) (English), Declaration and Release or FF-104-FY-21-128-A (formerly 009-0-4) (Spanish), Declaración Y Autorización</w:t>
            </w:r>
          </w:p>
        </w:tc>
        <w:tc>
          <w:tcPr>
            <w:tcW w:w="1531" w:type="dxa"/>
            <w:shd w:val="clear" w:color="auto" w:fill="auto"/>
            <w:vAlign w:val="center"/>
          </w:tcPr>
          <w:p w:rsidR="00FC5A53" w:rsidRPr="00380F3A" w:rsidP="00FC5A53" w14:paraId="1A9E7E14" w14:textId="77777777">
            <w:pPr>
              <w:jc w:val="center"/>
              <w:rPr>
                <w:rFonts w:cs="Times New Roman"/>
                <w:sz w:val="18"/>
                <w:szCs w:val="18"/>
              </w:rPr>
            </w:pPr>
          </w:p>
        </w:tc>
        <w:tc>
          <w:tcPr>
            <w:tcW w:w="990" w:type="dxa"/>
            <w:shd w:val="clear" w:color="auto" w:fill="auto"/>
            <w:vAlign w:val="center"/>
          </w:tcPr>
          <w:p w:rsidR="00FC5A53" w:rsidRPr="00380F3A" w:rsidP="00FC5A53" w14:paraId="4D57785E" w14:textId="77777777">
            <w:pPr>
              <w:jc w:val="center"/>
              <w:rPr>
                <w:rFonts w:cs="Times New Roman"/>
                <w:sz w:val="18"/>
                <w:szCs w:val="18"/>
              </w:rPr>
            </w:pPr>
          </w:p>
        </w:tc>
        <w:tc>
          <w:tcPr>
            <w:tcW w:w="1081" w:type="dxa"/>
            <w:shd w:val="clear" w:color="auto" w:fill="auto"/>
            <w:vAlign w:val="center"/>
          </w:tcPr>
          <w:p w:rsidR="00FC5A53" w:rsidRPr="00380F3A" w:rsidP="00FC5A53" w14:paraId="2FB18358" w14:textId="77777777">
            <w:pPr>
              <w:jc w:val="center"/>
              <w:rPr>
                <w:rFonts w:cs="Times New Roman"/>
                <w:sz w:val="18"/>
                <w:szCs w:val="18"/>
              </w:rPr>
            </w:pPr>
          </w:p>
        </w:tc>
        <w:tc>
          <w:tcPr>
            <w:tcW w:w="1531" w:type="dxa"/>
            <w:shd w:val="clear" w:color="auto" w:fill="auto"/>
            <w:vAlign w:val="center"/>
          </w:tcPr>
          <w:p w:rsidR="00FC5A53" w:rsidRPr="00380F3A" w:rsidP="00FC5A53" w14:paraId="48088E9A" w14:textId="7694DD47">
            <w:pPr>
              <w:jc w:val="center"/>
              <w:rPr>
                <w:rFonts w:cs="Times New Roman"/>
                <w:sz w:val="18"/>
                <w:szCs w:val="18"/>
              </w:rPr>
            </w:pPr>
            <w:r>
              <w:rPr>
                <w:rFonts w:cs="Times New Roman"/>
                <w:sz w:val="18"/>
                <w:szCs w:val="18"/>
              </w:rPr>
              <w:t>$9,911</w:t>
            </w:r>
          </w:p>
        </w:tc>
        <w:tc>
          <w:tcPr>
            <w:tcW w:w="1171" w:type="dxa"/>
            <w:shd w:val="clear" w:color="auto" w:fill="auto"/>
            <w:vAlign w:val="center"/>
          </w:tcPr>
          <w:p w:rsidR="00FC5A53" w:rsidRPr="00380F3A" w:rsidP="00FC5A53" w14:paraId="0B53764D" w14:textId="69C798A8">
            <w:pPr>
              <w:jc w:val="center"/>
              <w:rPr>
                <w:rFonts w:cs="Times New Roman"/>
                <w:sz w:val="18"/>
                <w:szCs w:val="18"/>
              </w:rPr>
            </w:pPr>
            <w:r>
              <w:rPr>
                <w:rFonts w:cs="Times New Roman"/>
                <w:sz w:val="18"/>
                <w:szCs w:val="18"/>
              </w:rPr>
              <w:t>$0</w:t>
            </w:r>
          </w:p>
        </w:tc>
        <w:tc>
          <w:tcPr>
            <w:tcW w:w="1226" w:type="dxa"/>
            <w:tcBorders>
              <w:top w:val="single" w:sz="6" w:space="0" w:color="auto"/>
              <w:bottom w:val="single" w:sz="6" w:space="0" w:color="auto"/>
              <w:right w:val="single" w:sz="12" w:space="0" w:color="auto"/>
            </w:tcBorders>
            <w:shd w:val="clear" w:color="auto" w:fill="auto"/>
            <w:vAlign w:val="center"/>
          </w:tcPr>
          <w:p w:rsidR="00FC5A53" w:rsidRPr="00380F3A" w:rsidP="00FC5A53" w14:paraId="1BEE1EF9" w14:textId="23255968">
            <w:pPr>
              <w:jc w:val="center"/>
              <w:rPr>
                <w:rFonts w:cs="Times New Roman"/>
                <w:sz w:val="18"/>
                <w:szCs w:val="18"/>
              </w:rPr>
            </w:pPr>
            <w:r>
              <w:rPr>
                <w:rFonts w:cs="Times New Roman"/>
                <w:sz w:val="18"/>
                <w:szCs w:val="18"/>
              </w:rPr>
              <w:t>-$9,911</w:t>
            </w:r>
          </w:p>
        </w:tc>
      </w:tr>
      <w:tr w14:paraId="26398E2D" w14:textId="77777777" w:rsidTr="00450EE0">
        <w:tblPrEx>
          <w:tblW w:w="10065" w:type="dxa"/>
          <w:jc w:val="center"/>
          <w:tblLayout w:type="fixed"/>
          <w:tblLook w:val="0000"/>
        </w:tblPrEx>
        <w:trPr>
          <w:trHeight w:val="20"/>
          <w:jc w:val="center"/>
        </w:trPr>
        <w:tc>
          <w:tcPr>
            <w:tcW w:w="2535" w:type="dxa"/>
            <w:tcBorders>
              <w:top w:val="single" w:sz="6" w:space="0" w:color="auto"/>
              <w:left w:val="single" w:sz="12" w:space="0" w:color="auto"/>
              <w:bottom w:val="single" w:sz="6" w:space="0" w:color="auto"/>
            </w:tcBorders>
            <w:shd w:val="clear" w:color="auto" w:fill="auto"/>
            <w:vAlign w:val="bottom"/>
          </w:tcPr>
          <w:p w:rsidR="00FC5A53" w:rsidRPr="00380F3A" w:rsidP="00FC5A53" w14:paraId="06C67208" w14:textId="7C47E353">
            <w:pPr>
              <w:rPr>
                <w:rFonts w:eastAsia="Arial Unicode MS" w:cs="Times New Roman"/>
                <w:sz w:val="18"/>
                <w:szCs w:val="18"/>
              </w:rPr>
            </w:pPr>
            <w:r w:rsidRPr="00CB14F8">
              <w:rPr>
                <w:color w:val="000000" w:themeColor="text1"/>
                <w:sz w:val="18"/>
                <w:szCs w:val="18"/>
              </w:rPr>
              <w:t>FEMA Form FF-206-FY-23-103 (formerly 086-0-35a)</w:t>
            </w:r>
            <w:r>
              <w:rPr>
                <w:color w:val="000000" w:themeColor="text1"/>
                <w:sz w:val="18"/>
                <w:szCs w:val="18"/>
              </w:rPr>
              <w:t>,</w:t>
            </w:r>
            <w:r w:rsidRPr="00CB14F8">
              <w:rPr>
                <w:color w:val="000000" w:themeColor="text1"/>
                <w:sz w:val="18"/>
                <w:szCs w:val="18"/>
              </w:rPr>
              <w:t xml:space="preserve"> NFIP Repetitive Loss Update Worksheet</w:t>
            </w:r>
          </w:p>
        </w:tc>
        <w:tc>
          <w:tcPr>
            <w:tcW w:w="1531" w:type="dxa"/>
            <w:shd w:val="clear" w:color="auto" w:fill="auto"/>
            <w:vAlign w:val="center"/>
          </w:tcPr>
          <w:p w:rsidR="00FC5A53" w:rsidRPr="00380F3A" w:rsidP="00FC5A53" w14:paraId="06115661" w14:textId="77777777">
            <w:pPr>
              <w:jc w:val="center"/>
              <w:rPr>
                <w:rFonts w:cs="Times New Roman"/>
                <w:sz w:val="18"/>
                <w:szCs w:val="18"/>
              </w:rPr>
            </w:pPr>
          </w:p>
        </w:tc>
        <w:tc>
          <w:tcPr>
            <w:tcW w:w="990" w:type="dxa"/>
            <w:shd w:val="clear" w:color="auto" w:fill="auto"/>
            <w:vAlign w:val="center"/>
          </w:tcPr>
          <w:p w:rsidR="00FC5A53" w:rsidRPr="00380F3A" w:rsidP="00FC5A53" w14:paraId="622B86ED" w14:textId="77777777">
            <w:pPr>
              <w:jc w:val="center"/>
              <w:rPr>
                <w:rFonts w:cs="Times New Roman"/>
                <w:sz w:val="18"/>
                <w:szCs w:val="18"/>
              </w:rPr>
            </w:pPr>
          </w:p>
        </w:tc>
        <w:tc>
          <w:tcPr>
            <w:tcW w:w="1081" w:type="dxa"/>
            <w:shd w:val="clear" w:color="auto" w:fill="auto"/>
            <w:vAlign w:val="center"/>
          </w:tcPr>
          <w:p w:rsidR="00FC5A53" w:rsidRPr="00380F3A" w:rsidP="00FC5A53" w14:paraId="3AE41B13" w14:textId="77777777">
            <w:pPr>
              <w:jc w:val="center"/>
              <w:rPr>
                <w:rFonts w:cs="Times New Roman"/>
                <w:sz w:val="18"/>
                <w:szCs w:val="18"/>
              </w:rPr>
            </w:pPr>
          </w:p>
        </w:tc>
        <w:tc>
          <w:tcPr>
            <w:tcW w:w="1531" w:type="dxa"/>
            <w:shd w:val="clear" w:color="auto" w:fill="auto"/>
            <w:vAlign w:val="center"/>
          </w:tcPr>
          <w:p w:rsidR="00FC5A53" w:rsidRPr="00380F3A" w:rsidP="00FC5A53" w14:paraId="5BEF6DBC" w14:textId="09CBBBE3">
            <w:pPr>
              <w:jc w:val="center"/>
              <w:rPr>
                <w:rFonts w:cs="Times New Roman"/>
                <w:sz w:val="18"/>
                <w:szCs w:val="18"/>
              </w:rPr>
            </w:pPr>
            <w:r>
              <w:rPr>
                <w:rFonts w:cs="Times New Roman"/>
                <w:sz w:val="18"/>
                <w:szCs w:val="18"/>
              </w:rPr>
              <w:t>$6,296</w:t>
            </w:r>
          </w:p>
        </w:tc>
        <w:tc>
          <w:tcPr>
            <w:tcW w:w="1171" w:type="dxa"/>
            <w:shd w:val="clear" w:color="auto" w:fill="auto"/>
            <w:vAlign w:val="center"/>
          </w:tcPr>
          <w:p w:rsidR="00FC5A53" w:rsidRPr="00380F3A" w:rsidP="00FC5A53" w14:paraId="0B51AA3B" w14:textId="32303DD8">
            <w:pPr>
              <w:jc w:val="center"/>
              <w:rPr>
                <w:rFonts w:cs="Times New Roman"/>
                <w:sz w:val="18"/>
                <w:szCs w:val="18"/>
              </w:rPr>
            </w:pPr>
            <w:r>
              <w:rPr>
                <w:rFonts w:cs="Times New Roman"/>
                <w:sz w:val="18"/>
                <w:szCs w:val="18"/>
              </w:rPr>
              <w:t>$0</w:t>
            </w:r>
          </w:p>
        </w:tc>
        <w:tc>
          <w:tcPr>
            <w:tcW w:w="1226" w:type="dxa"/>
            <w:tcBorders>
              <w:top w:val="single" w:sz="6" w:space="0" w:color="auto"/>
              <w:bottom w:val="single" w:sz="6" w:space="0" w:color="auto"/>
              <w:right w:val="single" w:sz="12" w:space="0" w:color="auto"/>
            </w:tcBorders>
            <w:shd w:val="clear" w:color="auto" w:fill="auto"/>
            <w:vAlign w:val="center"/>
          </w:tcPr>
          <w:p w:rsidR="00FC5A53" w:rsidRPr="00380F3A" w:rsidP="00FC5A53" w14:paraId="56FC403F" w14:textId="1D712140">
            <w:pPr>
              <w:jc w:val="center"/>
              <w:rPr>
                <w:rFonts w:cs="Times New Roman"/>
                <w:sz w:val="18"/>
                <w:szCs w:val="18"/>
              </w:rPr>
            </w:pPr>
            <w:r>
              <w:rPr>
                <w:rFonts w:cs="Times New Roman"/>
                <w:sz w:val="18"/>
                <w:szCs w:val="18"/>
              </w:rPr>
              <w:t>-$6,296</w:t>
            </w:r>
          </w:p>
        </w:tc>
      </w:tr>
      <w:tr w14:paraId="26A33E1A" w14:textId="77777777" w:rsidTr="00450EE0">
        <w:tblPrEx>
          <w:tblW w:w="10065" w:type="dxa"/>
          <w:jc w:val="center"/>
          <w:tblLayout w:type="fixed"/>
          <w:tblLook w:val="0000"/>
        </w:tblPrEx>
        <w:trPr>
          <w:trHeight w:val="20"/>
          <w:jc w:val="center"/>
        </w:trPr>
        <w:tc>
          <w:tcPr>
            <w:tcW w:w="2535" w:type="dxa"/>
            <w:tcBorders>
              <w:top w:val="single" w:sz="6" w:space="0" w:color="auto"/>
              <w:left w:val="single" w:sz="12" w:space="0" w:color="auto"/>
              <w:bottom w:val="single" w:sz="6" w:space="0" w:color="auto"/>
            </w:tcBorders>
            <w:shd w:val="clear" w:color="auto" w:fill="auto"/>
            <w:vAlign w:val="bottom"/>
          </w:tcPr>
          <w:p w:rsidR="00562ACD" w:rsidRPr="00380F3A" w:rsidP="00562ACD" w14:paraId="09100D4C" w14:textId="77777777">
            <w:pPr>
              <w:rPr>
                <w:rFonts w:eastAsia="Arial Unicode MS" w:cs="Times New Roman"/>
                <w:sz w:val="18"/>
                <w:szCs w:val="18"/>
              </w:rPr>
            </w:pPr>
            <w:r>
              <w:rPr>
                <w:rFonts w:eastAsia="Arial Unicode MS" w:cs="Times New Roman"/>
                <w:sz w:val="18"/>
                <w:szCs w:val="18"/>
              </w:rPr>
              <w:t>SF-429-A, Real Property Status Report</w:t>
            </w:r>
          </w:p>
        </w:tc>
        <w:tc>
          <w:tcPr>
            <w:tcW w:w="1531" w:type="dxa"/>
            <w:shd w:val="clear" w:color="auto" w:fill="auto"/>
            <w:vAlign w:val="center"/>
          </w:tcPr>
          <w:p w:rsidR="00562ACD" w:rsidRPr="00380F3A" w:rsidP="00562ACD" w14:paraId="47DAD1E2" w14:textId="77777777">
            <w:pPr>
              <w:jc w:val="center"/>
              <w:rPr>
                <w:rFonts w:cs="Times New Roman"/>
                <w:sz w:val="18"/>
                <w:szCs w:val="18"/>
              </w:rPr>
            </w:pPr>
          </w:p>
        </w:tc>
        <w:tc>
          <w:tcPr>
            <w:tcW w:w="990" w:type="dxa"/>
            <w:shd w:val="clear" w:color="auto" w:fill="auto"/>
            <w:vAlign w:val="center"/>
          </w:tcPr>
          <w:p w:rsidR="00562ACD" w:rsidRPr="00380F3A" w:rsidP="00562ACD" w14:paraId="30B2AA90" w14:textId="77777777">
            <w:pPr>
              <w:jc w:val="center"/>
              <w:rPr>
                <w:rFonts w:cs="Times New Roman"/>
                <w:sz w:val="18"/>
                <w:szCs w:val="18"/>
              </w:rPr>
            </w:pPr>
          </w:p>
        </w:tc>
        <w:tc>
          <w:tcPr>
            <w:tcW w:w="1081" w:type="dxa"/>
            <w:shd w:val="clear" w:color="auto" w:fill="auto"/>
            <w:vAlign w:val="center"/>
          </w:tcPr>
          <w:p w:rsidR="00562ACD" w:rsidRPr="00380F3A" w:rsidP="00562ACD" w14:paraId="51461986" w14:textId="77777777">
            <w:pPr>
              <w:jc w:val="center"/>
              <w:rPr>
                <w:rFonts w:cs="Times New Roman"/>
                <w:sz w:val="18"/>
                <w:szCs w:val="18"/>
              </w:rPr>
            </w:pPr>
          </w:p>
        </w:tc>
        <w:tc>
          <w:tcPr>
            <w:tcW w:w="1531" w:type="dxa"/>
            <w:shd w:val="clear" w:color="auto" w:fill="auto"/>
            <w:vAlign w:val="center"/>
          </w:tcPr>
          <w:p w:rsidR="00562ACD" w:rsidRPr="00380F3A" w:rsidP="00562ACD" w14:paraId="094E00E6" w14:textId="69825CB7">
            <w:pPr>
              <w:jc w:val="center"/>
              <w:rPr>
                <w:rFonts w:cs="Times New Roman"/>
                <w:sz w:val="18"/>
                <w:szCs w:val="18"/>
              </w:rPr>
            </w:pPr>
            <w:r>
              <w:rPr>
                <w:rFonts w:cs="Times New Roman"/>
                <w:sz w:val="18"/>
                <w:szCs w:val="18"/>
              </w:rPr>
              <w:t>$314,805</w:t>
            </w:r>
          </w:p>
        </w:tc>
        <w:tc>
          <w:tcPr>
            <w:tcW w:w="1171" w:type="dxa"/>
            <w:shd w:val="clear" w:color="auto" w:fill="auto"/>
            <w:vAlign w:val="center"/>
          </w:tcPr>
          <w:p w:rsidR="00562ACD" w:rsidRPr="00380F3A" w:rsidP="00562ACD" w14:paraId="10853B85" w14:textId="6D1D62CF">
            <w:pPr>
              <w:jc w:val="center"/>
              <w:rPr>
                <w:rFonts w:cs="Times New Roman"/>
                <w:sz w:val="18"/>
                <w:szCs w:val="18"/>
              </w:rPr>
            </w:pPr>
            <w:r>
              <w:rPr>
                <w:rFonts w:cs="Times New Roman"/>
                <w:sz w:val="18"/>
                <w:szCs w:val="18"/>
              </w:rPr>
              <w:t>$0</w:t>
            </w:r>
          </w:p>
        </w:tc>
        <w:tc>
          <w:tcPr>
            <w:tcW w:w="1226" w:type="dxa"/>
            <w:tcBorders>
              <w:top w:val="single" w:sz="6" w:space="0" w:color="auto"/>
              <w:bottom w:val="single" w:sz="6" w:space="0" w:color="auto"/>
              <w:right w:val="single" w:sz="12" w:space="0" w:color="auto"/>
            </w:tcBorders>
            <w:shd w:val="clear" w:color="auto" w:fill="auto"/>
            <w:vAlign w:val="center"/>
          </w:tcPr>
          <w:p w:rsidR="00562ACD" w:rsidRPr="00380F3A" w:rsidP="00562ACD" w14:paraId="62490720" w14:textId="256EAFAE">
            <w:pPr>
              <w:jc w:val="center"/>
              <w:rPr>
                <w:rFonts w:cs="Times New Roman"/>
                <w:sz w:val="18"/>
                <w:szCs w:val="18"/>
              </w:rPr>
            </w:pPr>
            <w:r>
              <w:rPr>
                <w:rFonts w:cs="Times New Roman"/>
                <w:sz w:val="18"/>
                <w:szCs w:val="18"/>
              </w:rPr>
              <w:t>-$314,805</w:t>
            </w:r>
          </w:p>
        </w:tc>
      </w:tr>
      <w:tr w14:paraId="455537ED" w14:textId="77777777" w:rsidTr="00450EE0">
        <w:tblPrEx>
          <w:tblW w:w="10065" w:type="dxa"/>
          <w:jc w:val="center"/>
          <w:tblLayout w:type="fixed"/>
          <w:tblLook w:val="0000"/>
        </w:tblPrEx>
        <w:trPr>
          <w:trHeight w:val="20"/>
          <w:jc w:val="center"/>
        </w:trPr>
        <w:tc>
          <w:tcPr>
            <w:tcW w:w="2535" w:type="dxa"/>
            <w:tcBorders>
              <w:top w:val="single" w:sz="6" w:space="0" w:color="auto"/>
              <w:left w:val="single" w:sz="12" w:space="0" w:color="auto"/>
              <w:bottom w:val="single" w:sz="12" w:space="0" w:color="auto"/>
            </w:tcBorders>
            <w:shd w:val="clear" w:color="auto" w:fill="auto"/>
            <w:vAlign w:val="bottom"/>
          </w:tcPr>
          <w:p w:rsidR="00562ACD" w:rsidRPr="00380F3A" w:rsidP="00562ACD" w14:paraId="5F923F5D" w14:textId="77777777">
            <w:pPr>
              <w:rPr>
                <w:rFonts w:eastAsia="Arial Unicode MS" w:cs="Times New Roman"/>
                <w:sz w:val="18"/>
                <w:szCs w:val="18"/>
              </w:rPr>
            </w:pPr>
            <w:r>
              <w:rPr>
                <w:rFonts w:eastAsia="Arial Unicode MS" w:cs="Times New Roman"/>
                <w:sz w:val="18"/>
                <w:szCs w:val="18"/>
              </w:rPr>
              <w:t>SF-429-B, Real Property Status Report</w:t>
            </w:r>
          </w:p>
        </w:tc>
        <w:tc>
          <w:tcPr>
            <w:tcW w:w="1531" w:type="dxa"/>
            <w:tcBorders>
              <w:bottom w:val="single" w:sz="12" w:space="0" w:color="auto"/>
            </w:tcBorders>
            <w:shd w:val="clear" w:color="auto" w:fill="auto"/>
            <w:vAlign w:val="center"/>
          </w:tcPr>
          <w:p w:rsidR="00562ACD" w:rsidRPr="00380F3A" w:rsidP="00562ACD" w14:paraId="0895BD69" w14:textId="77777777">
            <w:pPr>
              <w:jc w:val="center"/>
              <w:rPr>
                <w:rFonts w:cs="Times New Roman"/>
                <w:sz w:val="18"/>
                <w:szCs w:val="18"/>
              </w:rPr>
            </w:pPr>
          </w:p>
        </w:tc>
        <w:tc>
          <w:tcPr>
            <w:tcW w:w="990" w:type="dxa"/>
            <w:tcBorders>
              <w:bottom w:val="single" w:sz="12" w:space="0" w:color="auto"/>
            </w:tcBorders>
            <w:shd w:val="clear" w:color="auto" w:fill="auto"/>
            <w:vAlign w:val="center"/>
          </w:tcPr>
          <w:p w:rsidR="00562ACD" w:rsidRPr="00380F3A" w:rsidP="00562ACD" w14:paraId="73902AD3" w14:textId="77777777">
            <w:pPr>
              <w:jc w:val="center"/>
              <w:rPr>
                <w:rFonts w:cs="Times New Roman"/>
                <w:sz w:val="18"/>
                <w:szCs w:val="18"/>
              </w:rPr>
            </w:pPr>
          </w:p>
        </w:tc>
        <w:tc>
          <w:tcPr>
            <w:tcW w:w="1081" w:type="dxa"/>
            <w:tcBorders>
              <w:bottom w:val="single" w:sz="12" w:space="0" w:color="auto"/>
            </w:tcBorders>
            <w:shd w:val="clear" w:color="auto" w:fill="auto"/>
            <w:vAlign w:val="center"/>
          </w:tcPr>
          <w:p w:rsidR="00562ACD" w:rsidRPr="00380F3A" w:rsidP="00562ACD" w14:paraId="7CC7DE01" w14:textId="77777777">
            <w:pPr>
              <w:jc w:val="center"/>
              <w:rPr>
                <w:rFonts w:cs="Times New Roman"/>
                <w:sz w:val="18"/>
                <w:szCs w:val="18"/>
              </w:rPr>
            </w:pPr>
          </w:p>
        </w:tc>
        <w:tc>
          <w:tcPr>
            <w:tcW w:w="1531" w:type="dxa"/>
            <w:tcBorders>
              <w:bottom w:val="single" w:sz="12" w:space="0" w:color="auto"/>
            </w:tcBorders>
            <w:shd w:val="clear" w:color="auto" w:fill="auto"/>
            <w:vAlign w:val="center"/>
          </w:tcPr>
          <w:p w:rsidR="00562ACD" w:rsidRPr="00380F3A" w:rsidP="00562ACD" w14:paraId="1A9CC839" w14:textId="4A093F8B">
            <w:pPr>
              <w:jc w:val="center"/>
              <w:rPr>
                <w:rFonts w:cs="Times New Roman"/>
                <w:sz w:val="18"/>
                <w:szCs w:val="18"/>
              </w:rPr>
            </w:pPr>
            <w:r>
              <w:rPr>
                <w:rFonts w:cs="Times New Roman"/>
                <w:sz w:val="18"/>
                <w:szCs w:val="18"/>
              </w:rPr>
              <w:t>$5,082</w:t>
            </w:r>
          </w:p>
        </w:tc>
        <w:tc>
          <w:tcPr>
            <w:tcW w:w="1171" w:type="dxa"/>
            <w:tcBorders>
              <w:bottom w:val="single" w:sz="12" w:space="0" w:color="auto"/>
            </w:tcBorders>
            <w:shd w:val="clear" w:color="auto" w:fill="auto"/>
            <w:vAlign w:val="center"/>
          </w:tcPr>
          <w:p w:rsidR="00562ACD" w:rsidRPr="00380F3A" w:rsidP="00562ACD" w14:paraId="0BB9EFED" w14:textId="03027335">
            <w:pPr>
              <w:jc w:val="center"/>
              <w:rPr>
                <w:rFonts w:cs="Times New Roman"/>
                <w:sz w:val="18"/>
                <w:szCs w:val="18"/>
              </w:rPr>
            </w:pPr>
            <w:r>
              <w:rPr>
                <w:rFonts w:cs="Times New Roman"/>
                <w:sz w:val="18"/>
                <w:szCs w:val="18"/>
              </w:rPr>
              <w:t>$0</w:t>
            </w:r>
          </w:p>
        </w:tc>
        <w:tc>
          <w:tcPr>
            <w:tcW w:w="1226" w:type="dxa"/>
            <w:tcBorders>
              <w:top w:val="single" w:sz="6" w:space="0" w:color="auto"/>
              <w:bottom w:val="single" w:sz="12" w:space="0" w:color="auto"/>
              <w:right w:val="single" w:sz="12" w:space="0" w:color="auto"/>
            </w:tcBorders>
            <w:shd w:val="clear" w:color="auto" w:fill="auto"/>
            <w:vAlign w:val="center"/>
          </w:tcPr>
          <w:p w:rsidR="00562ACD" w:rsidRPr="00380F3A" w:rsidP="00562ACD" w14:paraId="773619EE" w14:textId="29BAA6CD">
            <w:pPr>
              <w:jc w:val="center"/>
              <w:rPr>
                <w:rFonts w:cs="Times New Roman"/>
                <w:sz w:val="18"/>
                <w:szCs w:val="18"/>
              </w:rPr>
            </w:pPr>
            <w:r>
              <w:rPr>
                <w:rFonts w:cs="Times New Roman"/>
                <w:sz w:val="18"/>
                <w:szCs w:val="18"/>
              </w:rPr>
              <w:t>-$5,082</w:t>
            </w:r>
          </w:p>
        </w:tc>
      </w:tr>
      <w:tr w14:paraId="1483D0DD" w14:textId="77777777" w:rsidTr="00450EE0">
        <w:tblPrEx>
          <w:tblW w:w="10065" w:type="dxa"/>
          <w:jc w:val="center"/>
          <w:tblLayout w:type="fixed"/>
          <w:tblLook w:val="0000"/>
        </w:tblPrEx>
        <w:trPr>
          <w:trHeight w:val="270"/>
          <w:jc w:val="center"/>
        </w:trPr>
        <w:tc>
          <w:tcPr>
            <w:tcW w:w="2535" w:type="dxa"/>
            <w:tcBorders>
              <w:top w:val="single" w:sz="12" w:space="0" w:color="auto"/>
              <w:left w:val="single" w:sz="12" w:space="0" w:color="auto"/>
              <w:bottom w:val="single" w:sz="12" w:space="0" w:color="auto"/>
              <w:right w:val="single" w:sz="12" w:space="0" w:color="auto"/>
            </w:tcBorders>
            <w:shd w:val="clear" w:color="auto" w:fill="auto"/>
            <w:vAlign w:val="bottom"/>
          </w:tcPr>
          <w:p w:rsidR="00562ACD" w:rsidRPr="00380F3A" w:rsidP="004E517F" w14:paraId="66212CF3" w14:textId="77777777">
            <w:pPr>
              <w:rPr>
                <w:rFonts w:cs="Times New Roman"/>
                <w:sz w:val="18"/>
                <w:szCs w:val="18"/>
              </w:rPr>
            </w:pPr>
            <w:r w:rsidRPr="00380F3A">
              <w:rPr>
                <w:rFonts w:cs="Times New Roman"/>
                <w:b/>
                <w:sz w:val="18"/>
                <w:szCs w:val="18"/>
              </w:rPr>
              <w:t>Total(s)</w:t>
            </w:r>
          </w:p>
        </w:tc>
        <w:tc>
          <w:tcPr>
            <w:tcW w:w="1531" w:type="dxa"/>
            <w:tcBorders>
              <w:top w:val="single" w:sz="12" w:space="0" w:color="auto"/>
              <w:left w:val="single" w:sz="12" w:space="0" w:color="auto"/>
              <w:bottom w:val="single" w:sz="12" w:space="0" w:color="auto"/>
              <w:right w:val="single" w:sz="12" w:space="0" w:color="auto"/>
            </w:tcBorders>
            <w:shd w:val="clear" w:color="auto" w:fill="auto"/>
            <w:vAlign w:val="center"/>
          </w:tcPr>
          <w:p w:rsidR="00562ACD" w:rsidRPr="00380F3A" w:rsidP="004E517F" w14:paraId="21C661FC" w14:textId="77777777">
            <w:pPr>
              <w:jc w:val="center"/>
              <w:rPr>
                <w:rFonts w:cs="Times New Roman"/>
                <w:b/>
                <w:sz w:val="18"/>
                <w:szCs w:val="18"/>
              </w:rPr>
            </w:pPr>
            <w:r>
              <w:rPr>
                <w:rFonts w:cs="Times New Roman"/>
                <w:b/>
                <w:sz w:val="18"/>
                <w:szCs w:val="18"/>
              </w:rPr>
              <w:t>0</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562ACD" w:rsidRPr="00380F3A" w:rsidP="004E517F" w14:paraId="52A9D61D" w14:textId="77777777">
            <w:pPr>
              <w:jc w:val="center"/>
              <w:rPr>
                <w:rFonts w:cs="Times New Roman"/>
                <w:b/>
                <w:sz w:val="18"/>
                <w:szCs w:val="18"/>
                <w:highlight w:val="cyan"/>
              </w:rPr>
            </w:pPr>
            <w:r w:rsidRPr="00380F3A">
              <w:rPr>
                <w:rFonts w:cs="Times New Roman"/>
                <w:b/>
                <w:bCs/>
                <w:color w:val="000000"/>
                <w:sz w:val="18"/>
                <w:szCs w:val="18"/>
              </w:rPr>
              <w:t>0</w:t>
            </w:r>
          </w:p>
        </w:tc>
        <w:tc>
          <w:tcPr>
            <w:tcW w:w="1081" w:type="dxa"/>
            <w:tcBorders>
              <w:top w:val="single" w:sz="12" w:space="0" w:color="auto"/>
              <w:left w:val="single" w:sz="12" w:space="0" w:color="auto"/>
              <w:bottom w:val="single" w:sz="12" w:space="0" w:color="auto"/>
              <w:right w:val="single" w:sz="12" w:space="0" w:color="auto"/>
            </w:tcBorders>
            <w:shd w:val="clear" w:color="auto" w:fill="auto"/>
            <w:vAlign w:val="center"/>
          </w:tcPr>
          <w:p w:rsidR="00562ACD" w:rsidRPr="00562ACD" w:rsidP="004E517F" w14:paraId="58880102" w14:textId="77777777">
            <w:pPr>
              <w:jc w:val="center"/>
              <w:rPr>
                <w:rFonts w:cs="Times New Roman"/>
                <w:b/>
                <w:color w:val="000000"/>
                <w:sz w:val="18"/>
                <w:szCs w:val="18"/>
              </w:rPr>
            </w:pPr>
            <w:r w:rsidRPr="00562ACD">
              <w:rPr>
                <w:rFonts w:cs="Times New Roman"/>
                <w:b/>
                <w:bCs/>
                <w:color w:val="000000"/>
                <w:sz w:val="18"/>
                <w:szCs w:val="18"/>
              </w:rPr>
              <w:t>0</w:t>
            </w:r>
          </w:p>
        </w:tc>
        <w:tc>
          <w:tcPr>
            <w:tcW w:w="1531" w:type="dxa"/>
            <w:tcBorders>
              <w:top w:val="single" w:sz="12" w:space="0" w:color="auto"/>
              <w:left w:val="single" w:sz="12" w:space="0" w:color="auto"/>
              <w:bottom w:val="single" w:sz="12" w:space="0" w:color="auto"/>
              <w:right w:val="single" w:sz="12" w:space="0" w:color="auto"/>
            </w:tcBorders>
            <w:shd w:val="clear" w:color="auto" w:fill="auto"/>
            <w:vAlign w:val="center"/>
          </w:tcPr>
          <w:p w:rsidR="00562ACD" w:rsidRPr="00814646" w:rsidP="004E517F" w14:paraId="749B87D5" w14:textId="17F155AD">
            <w:pPr>
              <w:jc w:val="center"/>
              <w:rPr>
                <w:rFonts w:cs="Times New Roman"/>
                <w:b/>
                <w:sz w:val="18"/>
                <w:szCs w:val="18"/>
              </w:rPr>
            </w:pPr>
            <w:r w:rsidRPr="00814646">
              <w:rPr>
                <w:rFonts w:cs="Times New Roman"/>
                <w:b/>
                <w:sz w:val="18"/>
                <w:szCs w:val="18"/>
              </w:rPr>
              <w:t>$697,085</w:t>
            </w:r>
          </w:p>
        </w:tc>
        <w:tc>
          <w:tcPr>
            <w:tcW w:w="1171" w:type="dxa"/>
            <w:tcBorders>
              <w:top w:val="single" w:sz="12" w:space="0" w:color="auto"/>
              <w:left w:val="single" w:sz="12" w:space="0" w:color="auto"/>
              <w:bottom w:val="single" w:sz="12" w:space="0" w:color="auto"/>
              <w:right w:val="single" w:sz="12" w:space="0" w:color="auto"/>
            </w:tcBorders>
            <w:shd w:val="clear" w:color="auto" w:fill="auto"/>
            <w:vAlign w:val="center"/>
          </w:tcPr>
          <w:p w:rsidR="00562ACD" w:rsidRPr="00562ACD" w:rsidP="004E517F" w14:paraId="0DB6FBFB" w14:textId="58CAAF3B">
            <w:pPr>
              <w:jc w:val="center"/>
              <w:rPr>
                <w:rFonts w:cs="Times New Roman"/>
                <w:b/>
                <w:color w:val="000000"/>
                <w:sz w:val="18"/>
                <w:szCs w:val="18"/>
              </w:rPr>
            </w:pPr>
            <w:r w:rsidRPr="00562ACD">
              <w:rPr>
                <w:rFonts w:cs="Times New Roman"/>
                <w:b/>
                <w:color w:val="000000"/>
                <w:sz w:val="18"/>
                <w:szCs w:val="18"/>
              </w:rPr>
              <w:t>$</w:t>
            </w:r>
            <w:r w:rsidR="001A29E1">
              <w:rPr>
                <w:rFonts w:cs="Times New Roman"/>
                <w:b/>
                <w:color w:val="000000"/>
                <w:sz w:val="18"/>
                <w:szCs w:val="18"/>
              </w:rPr>
              <w:t>34,254</w:t>
            </w:r>
          </w:p>
        </w:tc>
        <w:tc>
          <w:tcPr>
            <w:tcW w:w="1226" w:type="dxa"/>
            <w:tcBorders>
              <w:top w:val="single" w:sz="12" w:space="0" w:color="auto"/>
              <w:left w:val="single" w:sz="12" w:space="0" w:color="auto"/>
              <w:bottom w:val="single" w:sz="12" w:space="0" w:color="auto"/>
              <w:right w:val="single" w:sz="12" w:space="0" w:color="auto"/>
            </w:tcBorders>
            <w:shd w:val="clear" w:color="auto" w:fill="auto"/>
            <w:vAlign w:val="center"/>
          </w:tcPr>
          <w:p w:rsidR="00562ACD" w:rsidRPr="00814646" w:rsidP="004E517F" w14:paraId="3FED7A91" w14:textId="72B13D3A">
            <w:pPr>
              <w:jc w:val="center"/>
              <w:rPr>
                <w:rFonts w:cs="Times New Roman"/>
                <w:b/>
                <w:sz w:val="18"/>
                <w:szCs w:val="18"/>
              </w:rPr>
            </w:pPr>
            <w:r w:rsidRPr="00814646">
              <w:rPr>
                <w:rFonts w:cs="Times New Roman"/>
                <w:b/>
                <w:sz w:val="18"/>
                <w:szCs w:val="18"/>
              </w:rPr>
              <w:t>-$</w:t>
            </w:r>
            <w:r w:rsidR="005D4D60">
              <w:rPr>
                <w:rFonts w:cs="Times New Roman"/>
                <w:b/>
                <w:sz w:val="18"/>
                <w:szCs w:val="18"/>
              </w:rPr>
              <w:t>662,831</w:t>
            </w:r>
          </w:p>
        </w:tc>
      </w:tr>
    </w:tbl>
    <w:p w:rsidR="00562ACD" w:rsidRPr="00814646" w:rsidP="0080028F" w14:paraId="7A62C3EF" w14:textId="77777777">
      <w:pPr>
        <w:spacing w:line="276" w:lineRule="auto"/>
        <w:contextualSpacing/>
        <w:rPr>
          <w:rFonts w:cs="Times New Roman"/>
          <w:szCs w:val="24"/>
          <w:u w:val="single"/>
        </w:rPr>
      </w:pPr>
    </w:p>
    <w:p w:rsidR="00087B07" w:rsidRPr="00D019AC" w:rsidP="0080028F" w14:paraId="54526463" w14:textId="31DB01E5">
      <w:pPr>
        <w:spacing w:line="276" w:lineRule="auto"/>
        <w:contextualSpacing/>
        <w:rPr>
          <w:rFonts w:cs="Times New Roman"/>
          <w:bCs/>
          <w:szCs w:val="24"/>
        </w:rPr>
      </w:pPr>
      <w:r w:rsidRPr="00D019AC">
        <w:rPr>
          <w:rFonts w:cs="Times New Roman"/>
          <w:b/>
          <w:i/>
          <w:szCs w:val="24"/>
        </w:rPr>
        <w:t>Explain:</w:t>
      </w:r>
      <w:r w:rsidRPr="0080028F">
        <w:rPr>
          <w:rFonts w:cs="Times New Roman"/>
          <w:iCs/>
          <w:szCs w:val="24"/>
        </w:rPr>
        <w:t xml:space="preserve"> </w:t>
      </w:r>
      <w:r w:rsidRPr="0080028F" w:rsidR="006E17E5">
        <w:rPr>
          <w:rFonts w:cs="Times New Roman"/>
          <w:iCs/>
          <w:szCs w:val="24"/>
        </w:rPr>
        <w:t xml:space="preserve"> </w:t>
      </w:r>
      <w:r w:rsidRPr="00D019AC" w:rsidR="00562915">
        <w:rPr>
          <w:rFonts w:cs="Times New Roman"/>
          <w:b/>
          <w:bCs/>
          <w:szCs w:val="24"/>
        </w:rPr>
        <w:fldChar w:fldCharType="begin"/>
      </w:r>
      <w:r w:rsidRPr="00D019AC" w:rsidR="00562915">
        <w:rPr>
          <w:rFonts w:cs="Times New Roman"/>
          <w:b/>
          <w:bCs/>
          <w:szCs w:val="24"/>
        </w:rPr>
        <w:instrText>ADVANCE \R 0.95</w:instrText>
      </w:r>
      <w:r w:rsidRPr="00D019AC" w:rsidR="00562915">
        <w:rPr>
          <w:rFonts w:cs="Times New Roman"/>
          <w:b/>
          <w:bCs/>
          <w:szCs w:val="24"/>
        </w:rPr>
        <w:fldChar w:fldCharType="end"/>
      </w:r>
      <w:r w:rsidR="003A5DAB">
        <w:rPr>
          <w:rFonts w:cs="Times New Roman"/>
          <w:bCs/>
          <w:szCs w:val="24"/>
        </w:rPr>
        <w:t>The decrease in cost burden follows the reduction in burden hours and is slightly offset by the general rise in wage rates</w:t>
      </w:r>
      <w:r w:rsidRPr="00D019AC" w:rsidR="004D74E8">
        <w:rPr>
          <w:rFonts w:cs="Times New Roman"/>
          <w:bCs/>
          <w:szCs w:val="24"/>
        </w:rPr>
        <w:t xml:space="preserve">. </w:t>
      </w:r>
    </w:p>
    <w:p w:rsidR="008F0244" w:rsidRPr="00D03C8B" w:rsidP="0080028F" w14:paraId="77E21629" w14:textId="77777777">
      <w:pPr>
        <w:spacing w:line="276" w:lineRule="auto"/>
        <w:contextualSpacing/>
        <w:rPr>
          <w:rFonts w:cs="Times New Roman"/>
          <w:bCs/>
          <w:szCs w:val="24"/>
        </w:rPr>
      </w:pPr>
    </w:p>
    <w:p w:rsidR="00AC49FB" w:rsidRPr="00D03C8B" w:rsidP="0080028F" w14:paraId="5C4D76E8" w14:textId="7FC7F694">
      <w:pPr>
        <w:spacing w:line="276" w:lineRule="auto"/>
        <w:contextualSpacing/>
        <w:rPr>
          <w:szCs w:val="24"/>
        </w:rPr>
      </w:pPr>
      <w:r w:rsidRPr="00D03C8B">
        <w:rPr>
          <w:rFonts w:cs="Times New Roman"/>
          <w:b/>
          <w:bCs/>
          <w:szCs w:val="24"/>
        </w:rPr>
        <w:t xml:space="preserve">16.  </w:t>
      </w:r>
      <w:r w:rsidRPr="00D03C8B">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03C8B">
        <w:rPr>
          <w:rFonts w:cs="Times New Roman"/>
          <w:b/>
          <w:bCs/>
          <w:szCs w:val="24"/>
        </w:rPr>
        <w:t>.</w:t>
      </w:r>
      <w:r w:rsidRPr="00D03C8B">
        <w:rPr>
          <w:rFonts w:cs="Times New Roman"/>
          <w:szCs w:val="24"/>
        </w:rPr>
        <w:fldChar w:fldCharType="begin"/>
      </w:r>
      <w:r w:rsidRPr="00D03C8B">
        <w:rPr>
          <w:rFonts w:cs="Times New Roman"/>
          <w:szCs w:val="24"/>
        </w:rPr>
        <w:instrText>ADVANCE \R 0.95</w:instrText>
      </w:r>
      <w:r w:rsidRPr="00D03C8B">
        <w:rPr>
          <w:rFonts w:cs="Times New Roman"/>
          <w:szCs w:val="24"/>
        </w:rPr>
        <w:fldChar w:fldCharType="end"/>
      </w:r>
    </w:p>
    <w:p w:rsidR="001D3D89" w:rsidRPr="00D03C8B" w:rsidP="0080028F" w14:paraId="73CD86C2" w14:textId="25711C2D">
      <w:pPr>
        <w:spacing w:line="276" w:lineRule="auto"/>
        <w:contextualSpacing/>
        <w:rPr>
          <w:szCs w:val="24"/>
        </w:rPr>
      </w:pPr>
    </w:p>
    <w:p w:rsidR="00562915" w:rsidRPr="00D03C8B" w:rsidP="0080028F" w14:paraId="518BF9E4" w14:textId="77777777">
      <w:pPr>
        <w:spacing w:line="276" w:lineRule="auto"/>
        <w:contextualSpacing/>
        <w:rPr>
          <w:rFonts w:cs="Times New Roman"/>
          <w:szCs w:val="24"/>
        </w:rPr>
      </w:pPr>
      <w:r w:rsidRPr="00D03C8B">
        <w:rPr>
          <w:rFonts w:cs="Times New Roman"/>
          <w:szCs w:val="24"/>
        </w:rPr>
        <w:t>FEMA does not intend to employ the use of statistics or the publication thereof for this information collection.</w:t>
      </w:r>
    </w:p>
    <w:p w:rsidR="00BE4C08" w:rsidRPr="00D03C8B" w:rsidP="0080028F" w14:paraId="01FE8B48" w14:textId="77777777">
      <w:pPr>
        <w:spacing w:line="276" w:lineRule="auto"/>
        <w:contextualSpacing/>
        <w:rPr>
          <w:rFonts w:cs="Times New Roman"/>
          <w:szCs w:val="24"/>
        </w:rPr>
      </w:pPr>
    </w:p>
    <w:p w:rsidR="00AC49FB" w:rsidRPr="00D03C8B" w:rsidP="0080028F" w14:paraId="55569312" w14:textId="0B2D7170">
      <w:pPr>
        <w:spacing w:line="276" w:lineRule="auto"/>
        <w:contextualSpacing/>
        <w:rPr>
          <w:b/>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17.  </w:t>
      </w:r>
      <w:r w:rsidRPr="00D03C8B">
        <w:rPr>
          <w:b/>
          <w:szCs w:val="24"/>
        </w:rPr>
        <w:t xml:space="preserve">If seeking approval </w:t>
      </w:r>
      <w:r w:rsidRPr="00D03C8B">
        <w:rPr>
          <w:rFonts w:cs="Times New Roman"/>
          <w:b/>
          <w:bCs/>
          <w:szCs w:val="24"/>
        </w:rPr>
        <w:t>not</w:t>
      </w:r>
      <w:r w:rsidRPr="00D03C8B">
        <w:rPr>
          <w:b/>
          <w:szCs w:val="24"/>
        </w:rPr>
        <w:t xml:space="preserve"> to display the expiration date for OMB approval of the information collection, explain reasons that display would be inappropriate.</w:t>
      </w:r>
    </w:p>
    <w:p w:rsidR="001D3D89" w:rsidRPr="00D03C8B" w:rsidP="0080028F" w14:paraId="3D4584CB" w14:textId="16A29EED">
      <w:pPr>
        <w:spacing w:line="276" w:lineRule="auto"/>
        <w:contextualSpacing/>
        <w:rPr>
          <w:color w:val="000000"/>
          <w:szCs w:val="24"/>
        </w:rPr>
      </w:pPr>
    </w:p>
    <w:p w:rsidR="00562915" w:rsidRPr="00D03C8B" w:rsidP="0080028F" w14:paraId="0231EA99" w14:textId="77777777">
      <w:pPr>
        <w:spacing w:line="276" w:lineRule="auto"/>
        <w:contextualSpacing/>
        <w:rPr>
          <w:rFonts w:cs="Times New Roman"/>
          <w:b/>
          <w:bCs/>
          <w:color w:val="000000"/>
          <w:szCs w:val="24"/>
        </w:rPr>
      </w:pPr>
      <w:r w:rsidRPr="00D03C8B">
        <w:rPr>
          <w:rFonts w:cs="Times New Roman"/>
          <w:color w:val="000000"/>
          <w:szCs w:val="24"/>
        </w:rPr>
        <w:t>FEMA will display the expiration date for OMB approval of this information collection.</w:t>
      </w:r>
      <w:r w:rsidRPr="00D03C8B">
        <w:rPr>
          <w:rFonts w:cs="Times New Roman"/>
          <w:b/>
          <w:bCs/>
          <w:color w:val="000000"/>
          <w:szCs w:val="24"/>
        </w:rPr>
        <w:fldChar w:fldCharType="begin"/>
      </w:r>
      <w:r w:rsidRPr="00D03C8B">
        <w:rPr>
          <w:rFonts w:cs="Times New Roman"/>
          <w:b/>
          <w:bCs/>
          <w:color w:val="000000"/>
          <w:szCs w:val="24"/>
        </w:rPr>
        <w:instrText>ADVANCE \R 0.95</w:instrText>
      </w:r>
      <w:r w:rsidRPr="00D03C8B">
        <w:rPr>
          <w:rFonts w:cs="Times New Roman"/>
          <w:b/>
          <w:bCs/>
          <w:color w:val="000000"/>
          <w:szCs w:val="24"/>
        </w:rPr>
        <w:fldChar w:fldCharType="end"/>
      </w:r>
    </w:p>
    <w:p w:rsidR="00BE4C08" w:rsidRPr="00D03C8B" w:rsidP="0080028F" w14:paraId="50019C50" w14:textId="77777777">
      <w:pPr>
        <w:spacing w:line="276" w:lineRule="auto"/>
        <w:contextualSpacing/>
        <w:rPr>
          <w:rFonts w:cs="Times New Roman"/>
          <w:b/>
          <w:bCs/>
          <w:color w:val="000000"/>
          <w:szCs w:val="24"/>
        </w:rPr>
      </w:pPr>
    </w:p>
    <w:p w:rsidR="00AC49FB" w:rsidRPr="00D03C8B" w:rsidP="0080028F" w14:paraId="60CA7593" w14:textId="7FE5FD8C">
      <w:pPr>
        <w:spacing w:line="276" w:lineRule="auto"/>
        <w:contextualSpacing/>
        <w:rPr>
          <w:b/>
          <w:szCs w:val="24"/>
        </w:rPr>
      </w:pPr>
      <w:r w:rsidRPr="00D03C8B">
        <w:rPr>
          <w:rFonts w:cs="Times New Roman"/>
          <w:b/>
          <w:bCs/>
          <w:szCs w:val="24"/>
        </w:rPr>
        <w:fldChar w:fldCharType="begin"/>
      </w:r>
      <w:r w:rsidRPr="00D03C8B">
        <w:rPr>
          <w:rFonts w:cs="Times New Roman"/>
          <w:b/>
          <w:bCs/>
          <w:szCs w:val="24"/>
        </w:rPr>
        <w:instrText>ADVANCE \R 0.95</w:instrText>
      </w:r>
      <w:r w:rsidRPr="00D03C8B">
        <w:rPr>
          <w:rFonts w:cs="Times New Roman"/>
          <w:b/>
          <w:bCs/>
          <w:szCs w:val="24"/>
        </w:rPr>
        <w:fldChar w:fldCharType="end"/>
      </w:r>
      <w:r w:rsidRPr="00D03C8B">
        <w:rPr>
          <w:rFonts w:cs="Times New Roman"/>
          <w:b/>
          <w:bCs/>
          <w:szCs w:val="24"/>
        </w:rPr>
        <w:t xml:space="preserve">18.  </w:t>
      </w:r>
      <w:r w:rsidRPr="00D03C8B">
        <w:rPr>
          <w:b/>
          <w:szCs w:val="24"/>
        </w:rPr>
        <w:t xml:space="preserve">Explain each </w:t>
      </w:r>
      <w:r w:rsidRPr="00D03C8B" w:rsidR="00055F6D">
        <w:rPr>
          <w:b/>
          <w:szCs w:val="24"/>
        </w:rPr>
        <w:t xml:space="preserve">exception to the certification </w:t>
      </w:r>
      <w:r w:rsidRPr="00D03C8B">
        <w:rPr>
          <w:rFonts w:cs="Times New Roman"/>
          <w:b/>
          <w:bCs/>
          <w:szCs w:val="24"/>
        </w:rPr>
        <w:t>statement</w:t>
      </w:r>
      <w:r w:rsidRPr="00D03C8B" w:rsidR="00055F6D">
        <w:rPr>
          <w:b/>
          <w:szCs w:val="24"/>
        </w:rPr>
        <w:t xml:space="preserve"> identified in Item 19 “Certification for Paperwork Reduction Act </w:t>
      </w:r>
      <w:r w:rsidRPr="00D03C8B">
        <w:rPr>
          <w:rFonts w:cs="Times New Roman"/>
          <w:b/>
          <w:bCs/>
          <w:szCs w:val="24"/>
        </w:rPr>
        <w:t>Submissions</w:t>
      </w:r>
      <w:r w:rsidRPr="00D03C8B" w:rsidR="00055F6D">
        <w:rPr>
          <w:b/>
          <w:szCs w:val="24"/>
        </w:rPr>
        <w:t>,” of OMB Form 83-I.</w:t>
      </w:r>
    </w:p>
    <w:p w:rsidR="00BE4C08" w:rsidRPr="00D03C8B" w:rsidP="0080028F" w14:paraId="558ABC2B" w14:textId="77777777">
      <w:pPr>
        <w:spacing w:line="276" w:lineRule="auto"/>
        <w:contextualSpacing/>
        <w:rPr>
          <w:rFonts w:eastAsia="Times New Roman" w:cs="Times New Roman"/>
          <w:bCs/>
          <w:szCs w:val="24"/>
        </w:rPr>
      </w:pPr>
      <w:r w:rsidRPr="00D03C8B">
        <w:rPr>
          <w:rFonts w:cs="Times New Roman"/>
          <w:color w:val="FF0000"/>
          <w:szCs w:val="24"/>
        </w:rPr>
        <w:fldChar w:fldCharType="begin"/>
      </w:r>
      <w:r w:rsidRPr="00D03C8B">
        <w:rPr>
          <w:rFonts w:cs="Times New Roman"/>
          <w:color w:val="FF0000"/>
          <w:szCs w:val="24"/>
        </w:rPr>
        <w:instrText>ADVANCE \R 0.95</w:instrText>
      </w:r>
      <w:r w:rsidRPr="00D03C8B">
        <w:rPr>
          <w:rFonts w:cs="Times New Roman"/>
          <w:color w:val="FF0000"/>
          <w:szCs w:val="24"/>
        </w:rPr>
        <w:fldChar w:fldCharType="end"/>
      </w:r>
      <w:r w:rsidRPr="00D03C8B" w:rsidR="009B7D63">
        <w:rPr>
          <w:rFonts w:eastAsia="Times New Roman" w:cs="Times New Roman"/>
          <w:bCs/>
          <w:szCs w:val="24"/>
        </w:rPr>
        <w:t xml:space="preserve"> </w:t>
      </w:r>
    </w:p>
    <w:p w:rsidR="00562915" w:rsidRPr="00D03C8B" w:rsidP="0080028F" w14:paraId="46619690" w14:textId="77777777">
      <w:pPr>
        <w:spacing w:line="276" w:lineRule="auto"/>
        <w:contextualSpacing/>
        <w:rPr>
          <w:rFonts w:eastAsia="Times New Roman" w:cs="Times New Roman"/>
          <w:bCs/>
          <w:szCs w:val="24"/>
        </w:rPr>
      </w:pPr>
      <w:r w:rsidRPr="00D03C8B">
        <w:rPr>
          <w:rFonts w:eastAsia="Times New Roman" w:cs="Times New Roman"/>
          <w:bCs/>
          <w:szCs w:val="24"/>
        </w:rPr>
        <w:t>FEMA seeks no exception to the certification of this information collection.</w:t>
      </w:r>
    </w:p>
    <w:p w:rsidR="00BE4C08" w:rsidRPr="00D03C8B" w:rsidP="0080028F" w14:paraId="28D9DD18" w14:textId="77777777">
      <w:pPr>
        <w:spacing w:line="276" w:lineRule="auto"/>
        <w:contextualSpacing/>
        <w:rPr>
          <w:rFonts w:eastAsia="Times New Roman" w:cs="Times New Roman"/>
          <w:bCs/>
          <w:szCs w:val="24"/>
        </w:rPr>
      </w:pPr>
    </w:p>
    <w:p w:rsidR="00B37F59" w:rsidRPr="00D03C8B" w:rsidP="0080028F" w14:paraId="49039FD6" w14:textId="77777777">
      <w:pPr>
        <w:tabs>
          <w:tab w:val="left" w:pos="-720"/>
        </w:tabs>
        <w:suppressAutoHyphens/>
        <w:spacing w:line="276" w:lineRule="auto"/>
        <w:contextualSpacing/>
        <w:rPr>
          <w:rFonts w:eastAsia="Times New Roman" w:cs="Times New Roman"/>
          <w:b/>
          <w:sz w:val="28"/>
          <w:szCs w:val="28"/>
        </w:rPr>
      </w:pPr>
      <w:r w:rsidRPr="00D03C8B">
        <w:rPr>
          <w:rFonts w:eastAsia="Times New Roman" w:cs="Times New Roman"/>
          <w:b/>
          <w:sz w:val="28"/>
          <w:szCs w:val="28"/>
        </w:rPr>
        <w:t>B.  Collections of Information Employing Statistical Methods.</w:t>
      </w:r>
    </w:p>
    <w:p w:rsidR="00B37F59" w:rsidRPr="0080028F" w:rsidP="0080028F" w14:paraId="2B179E79" w14:textId="77777777">
      <w:pPr>
        <w:spacing w:line="276" w:lineRule="auto"/>
        <w:contextualSpacing/>
        <w:rPr>
          <w:rFonts w:eastAsia="Times New Roman" w:cs="Times New Roman"/>
          <w:color w:val="000000" w:themeColor="text1"/>
          <w:szCs w:val="24"/>
        </w:rPr>
      </w:pPr>
    </w:p>
    <w:p w:rsidR="00B37F59" w:rsidRPr="0080028F" w:rsidP="0080028F" w14:paraId="4427579B" w14:textId="77777777">
      <w:pPr>
        <w:tabs>
          <w:tab w:val="left" w:pos="-720"/>
        </w:tabs>
        <w:suppressAutoHyphens/>
        <w:spacing w:line="276" w:lineRule="auto"/>
        <w:contextualSpacing/>
        <w:rPr>
          <w:rFonts w:eastAsia="Times New Roman" w:cs="Times New Roman"/>
          <w:b/>
          <w:color w:val="000000" w:themeColor="text1"/>
          <w:szCs w:val="24"/>
        </w:rPr>
      </w:pPr>
      <w:r w:rsidRPr="0080028F">
        <w:rPr>
          <w:rFonts w:eastAsia="Times New Roman" w:cs="Times New Roman"/>
          <w:color w:val="000000" w:themeColor="text1"/>
          <w:szCs w:val="24"/>
        </w:rPr>
        <w:t>There is no statistical methodology involved in this collection.</w:t>
      </w:r>
      <w:r w:rsidRPr="0080028F">
        <w:rPr>
          <w:rFonts w:eastAsia="Times New Roman" w:cs="Times New Roman"/>
          <w:color w:val="000000" w:themeColor="text1"/>
          <w:szCs w:val="24"/>
        </w:rPr>
        <w:fldChar w:fldCharType="begin"/>
      </w:r>
      <w:r w:rsidRPr="0080028F">
        <w:rPr>
          <w:rFonts w:eastAsia="Times New Roman" w:cs="Times New Roman"/>
          <w:color w:val="000000" w:themeColor="text1"/>
          <w:szCs w:val="24"/>
        </w:rPr>
        <w:instrText>ADVANCE \R 0.95</w:instrText>
      </w:r>
      <w:r w:rsidRPr="0080028F">
        <w:rPr>
          <w:rFonts w:eastAsia="Times New Roman" w:cs="Times New Roman"/>
          <w:color w:val="000000" w:themeColor="text1"/>
          <w:szCs w:val="24"/>
        </w:rPr>
        <w:fldChar w:fldCharType="end"/>
      </w:r>
      <w:r w:rsidRPr="0080028F">
        <w:rPr>
          <w:rFonts w:eastAsia="Times New Roman" w:cs="Times New Roman"/>
          <w:color w:val="000000" w:themeColor="text1"/>
          <w:szCs w:val="24"/>
        </w:rPr>
        <w:fldChar w:fldCharType="begin"/>
      </w:r>
      <w:r w:rsidRPr="00035B9C">
        <w:rPr>
          <w:rFonts w:eastAsia="Times New Roman" w:cs="Times New Roman"/>
          <w:color w:val="000000" w:themeColor="text1"/>
          <w:szCs w:val="24"/>
        </w:rPr>
        <w:instrText>ADVANCE \R 0.95</w:instrText>
      </w:r>
      <w:r w:rsidRPr="0080028F">
        <w:rPr>
          <w:rFonts w:eastAsia="Times New Roman" w:cs="Times New Roman"/>
          <w:color w:val="000000" w:themeColor="text1"/>
          <w:szCs w:val="24"/>
        </w:rPr>
        <w:fldChar w:fldCharType="end"/>
      </w:r>
    </w:p>
    <w:p w:rsidR="001D3D89" w:rsidRPr="0080028F" w:rsidP="0080028F" w14:paraId="272DBBC3" w14:textId="77777777">
      <w:pPr>
        <w:spacing w:line="276" w:lineRule="auto"/>
        <w:contextualSpacing/>
        <w:rPr>
          <w:color w:val="000000" w:themeColor="text1"/>
          <w:szCs w:val="24"/>
        </w:rPr>
      </w:pPr>
    </w:p>
    <w:sectPr w:rsidSect="009E0976">
      <w:headerReference w:type="default" r:id="rId13"/>
      <w:footerReference w:type="even" r:id="rId14"/>
      <w:footerReference w:type="default" r:id="rId1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2F15" w:rsidP="00B065BF" w14:paraId="59F2E9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E0976" w:rsidP="009E0976" w14:paraId="49BFB0E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2F15" w:rsidP="00B065BF" w14:paraId="46C79830" w14:textId="14E949AE">
    <w:pPr>
      <w:pStyle w:val="Footer"/>
      <w:framePr w:wrap="around" w:vAnchor="text" w:hAnchor="margin" w:xAlign="center" w:y="1"/>
      <w:rPr>
        <w:rStyle w:val="PageNumber"/>
      </w:rPr>
    </w:pPr>
    <w:r w:rsidRPr="009E0976">
      <w:rPr>
        <w:rStyle w:val="PageNumber"/>
      </w:rPr>
      <w:fldChar w:fldCharType="begin"/>
    </w:r>
    <w:r w:rsidRPr="00054513">
      <w:instrText xml:space="preserve"> PAGE </w:instrText>
    </w:r>
    <w:r w:rsidRPr="009E0976">
      <w:rPr>
        <w:rStyle w:val="PageNumber"/>
      </w:rPr>
      <w:fldChar w:fldCharType="separate"/>
    </w:r>
    <w:r w:rsidRPr="00054513">
      <w:rPr>
        <w:noProof/>
      </w:rPr>
      <w:t>2</w:t>
    </w:r>
    <w:r w:rsidRPr="009E0976">
      <w:rPr>
        <w:rStyle w:val="PageNumber"/>
      </w:rPr>
      <w:fldChar w:fldCharType="end"/>
    </w:r>
  </w:p>
  <w:p w:rsidR="00E655F0" w:rsidP="009E0976" w14:paraId="0C563A1B" w14:textId="722650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649B" w:rsidP="009E0976" w14:paraId="4A67BC79" w14:textId="77777777">
      <w:r>
        <w:separator/>
      </w:r>
    </w:p>
  </w:footnote>
  <w:footnote w:type="continuationSeparator" w:id="1">
    <w:p w:rsidR="0026649B" w:rsidP="009E0976" w14:paraId="53A27225" w14:textId="77777777">
      <w:r>
        <w:continuationSeparator/>
      </w:r>
    </w:p>
  </w:footnote>
  <w:footnote w:type="continuationNotice" w:id="2">
    <w:p w:rsidR="0026649B" w:rsidP="009E0976" w14:paraId="5137DD50" w14:textId="77777777"/>
  </w:footnote>
  <w:footnote w:id="3">
    <w:p w:rsidR="00032F15" w:rsidRPr="00814646" w:rsidP="00450CCD" w14:paraId="5D0F448C" w14:textId="77777777">
      <w:pPr>
        <w:pStyle w:val="FootnoteText"/>
        <w:rPr>
          <w:rFonts w:ascii="Times New Roman" w:hAnsi="Times New Roman" w:cs="Times New Roman"/>
          <w:sz w:val="18"/>
          <w:szCs w:val="18"/>
        </w:rPr>
      </w:pPr>
      <w:r w:rsidRPr="00814646">
        <w:rPr>
          <w:rStyle w:val="FootnoteReference"/>
          <w:rFonts w:ascii="Times New Roman" w:hAnsi="Times New Roman" w:cs="Times New Roman"/>
          <w:sz w:val="18"/>
          <w:szCs w:val="18"/>
        </w:rPr>
        <w:footnoteRef/>
      </w:r>
      <w:r w:rsidRPr="00814646">
        <w:rPr>
          <w:rFonts w:ascii="Times New Roman" w:hAnsi="Times New Roman" w:cs="Times New Roman"/>
          <w:sz w:val="18"/>
          <w:szCs w:val="18"/>
        </w:rPr>
        <w:t xml:space="preserve"> Information on the mean wage rate from the U.S. Department of Labor is available online at: </w:t>
      </w:r>
      <w:hyperlink r:id="rId1" w:history="1">
        <w:r w:rsidRPr="00814646">
          <w:rPr>
            <w:rStyle w:val="Hyperlink"/>
            <w:rFonts w:ascii="Times New Roman" w:hAnsi="Times New Roman" w:cs="Times New Roman"/>
            <w:sz w:val="18"/>
            <w:szCs w:val="18"/>
          </w:rPr>
          <w:t>https://www.bls.gov/oes/tables.htm</w:t>
        </w:r>
      </w:hyperlink>
      <w:r w:rsidRPr="00814646">
        <w:rPr>
          <w:rFonts w:ascii="Times New Roman" w:hAnsi="Times New Roman" w:cs="Times New Roman"/>
          <w:sz w:val="18"/>
          <w:szCs w:val="18"/>
        </w:rPr>
        <w:t>.</w:t>
      </w:r>
    </w:p>
  </w:footnote>
  <w:footnote w:id="4">
    <w:p w:rsidR="00032F15" w:rsidRPr="00814646" w14:paraId="57E3ACDC" w14:textId="7ACBA27A">
      <w:pPr>
        <w:pStyle w:val="FootnoteText"/>
        <w:rPr>
          <w:rFonts w:ascii="Times New Roman" w:hAnsi="Times New Roman" w:cs="Times New Roman"/>
          <w:sz w:val="18"/>
          <w:szCs w:val="18"/>
        </w:rPr>
      </w:pPr>
      <w:r w:rsidRPr="00814646">
        <w:rPr>
          <w:rStyle w:val="FootnoteReference"/>
          <w:rFonts w:ascii="Times New Roman" w:hAnsi="Times New Roman" w:cs="Times New Roman"/>
          <w:sz w:val="18"/>
          <w:szCs w:val="18"/>
        </w:rPr>
        <w:footnoteRef/>
      </w:r>
      <w:r w:rsidRPr="00814646">
        <w:rPr>
          <w:rFonts w:ascii="Times New Roman" w:hAnsi="Times New Roman" w:cs="Times New Roman"/>
          <w:sz w:val="18"/>
          <w:szCs w:val="18"/>
        </w:rPr>
        <w:t xml:space="preserve"> </w:t>
      </w:r>
      <w:r w:rsidRPr="00814646">
        <w:rPr>
          <w:rStyle w:val="FootnoteReference"/>
          <w:rFonts w:ascii="Times New Roman" w:hAnsi="Times New Roman" w:cs="Times New Roman"/>
          <w:sz w:val="18"/>
          <w:szCs w:val="18"/>
        </w:rPr>
        <w:footnoteRef/>
      </w:r>
      <w:r w:rsidRPr="00814646">
        <w:rPr>
          <w:rFonts w:ascii="Times New Roman" w:hAnsi="Times New Roman" w:cs="Times New Roman"/>
          <w:sz w:val="18"/>
          <w:szCs w:val="18"/>
        </w:rPr>
        <w:t xml:space="preserve"> </w:t>
      </w:r>
      <w:r w:rsidRPr="00ED1FB2" w:rsidR="00ED1FB2">
        <w:rPr>
          <w:rFonts w:ascii="Times New Roman" w:hAnsi="Times New Roman" w:cs="Times New Roman"/>
          <w:sz w:val="18"/>
          <w:szCs w:val="18"/>
        </w:rPr>
        <w:t xml:space="preserve">Bureau of Labor Statistics, Employer Costs for Employee Compensation, Table 1.  Available at </w:t>
      </w:r>
      <w:hyperlink r:id="rId2" w:history="1">
        <w:r w:rsidRPr="00C73667" w:rsidR="00545493">
          <w:rPr>
            <w:rStyle w:val="Hyperlink"/>
            <w:rFonts w:ascii="Times New Roman" w:hAnsi="Times New Roman" w:cs="Times New Roman"/>
            <w:sz w:val="18"/>
            <w:szCs w:val="18"/>
          </w:rPr>
          <w:t>https://www.bls.gov/news.release/archives/ecec_03132024.pdf</w:t>
        </w:r>
      </w:hyperlink>
      <w:r w:rsidRPr="00ED1FB2" w:rsidR="00ED1FB2">
        <w:rPr>
          <w:rFonts w:ascii="Times New Roman" w:hAnsi="Times New Roman" w:cs="Times New Roman"/>
          <w:sz w:val="18"/>
          <w:szCs w:val="18"/>
        </w:rPr>
        <w:t>.  Accessed March 13, 2024.  The wage multiplier is calculated by dividing total compensation for State and local government workers of $60.56 by Wages and salaries for State and local government workers of $37.53 per hour yielding a benefits multiplier of approximately 1.61</w:t>
      </w:r>
    </w:p>
  </w:footnote>
  <w:footnote w:id="5">
    <w:p w:rsidR="00032F15" w:rsidRPr="00814646" w:rsidP="002E48DA" w14:paraId="6EA37688" w14:textId="4895D587">
      <w:pPr>
        <w:pStyle w:val="FootnoteText"/>
        <w:rPr>
          <w:rFonts w:ascii="Times New Roman" w:hAnsi="Times New Roman" w:cs="Times New Roman"/>
          <w:sz w:val="18"/>
          <w:szCs w:val="18"/>
        </w:rPr>
      </w:pPr>
      <w:r w:rsidRPr="00814646">
        <w:rPr>
          <w:rStyle w:val="FootnoteReference"/>
          <w:rFonts w:ascii="Times New Roman" w:hAnsi="Times New Roman" w:cs="Times New Roman"/>
          <w:sz w:val="18"/>
          <w:szCs w:val="18"/>
        </w:rPr>
        <w:footnoteRef/>
      </w:r>
      <w:r w:rsidRPr="00814646">
        <w:rPr>
          <w:rFonts w:ascii="Times New Roman" w:hAnsi="Times New Roman" w:cs="Times New Roman"/>
          <w:sz w:val="18"/>
          <w:szCs w:val="18"/>
        </w:rPr>
        <w:t xml:space="preserve"> </w:t>
      </w:r>
      <w:r w:rsidRPr="009B3CA2" w:rsidR="009B3CA2">
        <w:rPr>
          <w:rFonts w:ascii="Times New Roman" w:hAnsi="Times New Roman" w:cs="Times New Roman"/>
          <w:sz w:val="18"/>
          <w:szCs w:val="18"/>
        </w:rPr>
        <w:t xml:space="preserve"> Office of Personnel Management 2024 Pay and Leave Tables for the Washington-Baltimore-Arlington, DC-MD-VA-WV-PA locality.  Available online at </w:t>
      </w:r>
      <w:hyperlink r:id="rId3" w:history="1">
        <w:r w:rsidRPr="00C73667" w:rsidR="00545493">
          <w:rPr>
            <w:rStyle w:val="Hyperlink"/>
            <w:rFonts w:ascii="Times New Roman" w:hAnsi="Times New Roman" w:cs="Times New Roman"/>
            <w:sz w:val="18"/>
            <w:szCs w:val="18"/>
          </w:rPr>
          <w:t>https://www.opm.gov/policy-data-oversight/pay-leave/salaries-wages/salary-tables/pdf/2024/DCB.pdf</w:t>
        </w:r>
      </w:hyperlink>
      <w:r w:rsidRPr="009B3CA2" w:rsidR="009B3CA2">
        <w:rPr>
          <w:rFonts w:ascii="Times New Roman" w:hAnsi="Times New Roman" w:cs="Times New Roman"/>
          <w:sz w:val="18"/>
          <w:szCs w:val="18"/>
        </w:rPr>
        <w:t>.  Accessed January 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9E0976" w14:paraId="72790203" w14:textId="6CB42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6A31C6"/>
    <w:multiLevelType w:val="hybridMultilevel"/>
    <w:tmpl w:val="8438CFF2"/>
    <w:lvl w:ilvl="0">
      <w:start w:val="2"/>
      <w:numFmt w:val="lowerLetter"/>
      <w:lvlText w:val="%1."/>
      <w:lvlJc w:val="left"/>
      <w:pPr>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D34B4"/>
    <w:multiLevelType w:val="hybridMultilevel"/>
    <w:tmpl w:val="6D5CE6EC"/>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131835AC"/>
    <w:multiLevelType w:val="hybridMultilevel"/>
    <w:tmpl w:val="5768B6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610DF9"/>
    <w:multiLevelType w:val="hybridMultilevel"/>
    <w:tmpl w:val="4CBAF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3260797"/>
    <w:multiLevelType w:val="hybridMultilevel"/>
    <w:tmpl w:val="A9EA14CC"/>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32679FF"/>
    <w:multiLevelType w:val="hybridMultilevel"/>
    <w:tmpl w:val="036A76AA"/>
    <w:lvl w:ilvl="0">
      <w:start w:val="1"/>
      <w:numFmt w:val="lowerRoman"/>
      <w:lvlText w:val="%1."/>
      <w:lvlJc w:val="righ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4">
    <w:nsid w:val="3F0C5E1E"/>
    <w:multiLevelType w:val="hybridMultilevel"/>
    <w:tmpl w:val="3E4C5D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3F26D1"/>
    <w:multiLevelType w:val="hybridMultilevel"/>
    <w:tmpl w:val="546E62F4"/>
    <w:lvl w:ilvl="0">
      <w:start w:val="1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B7046E"/>
    <w:multiLevelType w:val="hybridMultilevel"/>
    <w:tmpl w:val="05C004E0"/>
    <w:lvl w:ilvl="0">
      <w:start w:val="1"/>
      <w:numFmt w:val="lowerRoman"/>
      <w:lvlText w:val="(%1)"/>
      <w:lvlJc w:val="left"/>
      <w:pPr>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AEB2AAF"/>
    <w:multiLevelType w:val="hybridMultilevel"/>
    <w:tmpl w:val="E1E48D3C"/>
    <w:lvl w:ilvl="0">
      <w:start w:val="1"/>
      <w:numFmt w:val="lowerRoman"/>
      <w:lvlText w:val="(%1)"/>
      <w:lvlJc w:val="left"/>
      <w:pPr>
        <w:ind w:left="1080" w:hanging="720"/>
      </w:pPr>
      <w:rPr>
        <w:rFonts w:ascii="Times New Roman" w:hAnsi="Times New Roman" w:eastAsiaTheme="minorHAnsi" w:cs="Times New Roman"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F070AD"/>
    <w:multiLevelType w:val="hybridMultilevel"/>
    <w:tmpl w:val="BE9637A8"/>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874F81"/>
    <w:multiLevelType w:val="hybridMultilevel"/>
    <w:tmpl w:val="6EA2D774"/>
    <w:lvl w:ilvl="0">
      <w:start w:val="1"/>
      <w:numFmt w:val="lowerLetter"/>
      <w:lvlText w:val="(%1)"/>
      <w:lvlJc w:val="left"/>
      <w:pPr>
        <w:tabs>
          <w:tab w:val="num" w:pos="1080"/>
        </w:tabs>
        <w:ind w:left="1080" w:hanging="360"/>
      </w:pPr>
      <w:rPr>
        <w:rFonts w:hint="default"/>
        <w:b/>
        <w:bCs/>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71982CBE"/>
    <w:multiLevelType w:val="hybridMultilevel"/>
    <w:tmpl w:val="CB924528"/>
    <w:lvl w:ilvl="0">
      <w:start w:val="1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51C0702"/>
    <w:multiLevelType w:val="hybridMultilevel"/>
    <w:tmpl w:val="78F4C95C"/>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8B5932"/>
    <w:multiLevelType w:val="hybridMultilevel"/>
    <w:tmpl w:val="039A781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A5E4339"/>
    <w:multiLevelType w:val="hybridMultilevel"/>
    <w:tmpl w:val="1E66A48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15"/>
  </w:num>
  <w:num w:numId="2" w16cid:durableId="805046188">
    <w:abstractNumId w:val="26"/>
  </w:num>
  <w:num w:numId="3" w16cid:durableId="1049378710">
    <w:abstractNumId w:val="4"/>
  </w:num>
  <w:num w:numId="4" w16cid:durableId="2020617816">
    <w:abstractNumId w:val="13"/>
  </w:num>
  <w:num w:numId="5" w16cid:durableId="791049124">
    <w:abstractNumId w:val="6"/>
  </w:num>
  <w:num w:numId="6" w16cid:durableId="1360353002">
    <w:abstractNumId w:val="7"/>
  </w:num>
  <w:num w:numId="7" w16cid:durableId="1449622006">
    <w:abstractNumId w:val="3"/>
  </w:num>
  <w:num w:numId="8" w16cid:durableId="541863332">
    <w:abstractNumId w:val="0"/>
  </w:num>
  <w:num w:numId="9" w16cid:durableId="812452357">
    <w:abstractNumId w:val="22"/>
  </w:num>
  <w:num w:numId="10" w16cid:durableId="551619034">
    <w:abstractNumId w:val="20"/>
  </w:num>
  <w:num w:numId="11" w16cid:durableId="429593402">
    <w:abstractNumId w:val="10"/>
  </w:num>
  <w:num w:numId="12" w16cid:durableId="1189299839">
    <w:abstractNumId w:val="9"/>
  </w:num>
  <w:num w:numId="13" w16cid:durableId="779302441">
    <w:abstractNumId w:val="24"/>
  </w:num>
  <w:num w:numId="14" w16cid:durableId="279646929">
    <w:abstractNumId w:val="17"/>
  </w:num>
  <w:num w:numId="15" w16cid:durableId="472675278">
    <w:abstractNumId w:val="14"/>
  </w:num>
  <w:num w:numId="16" w16cid:durableId="1893615559">
    <w:abstractNumId w:val="18"/>
  </w:num>
  <w:num w:numId="17" w16cid:durableId="1549953675">
    <w:abstractNumId w:val="11"/>
  </w:num>
  <w:num w:numId="18" w16cid:durableId="719863669">
    <w:abstractNumId w:val="8"/>
  </w:num>
  <w:num w:numId="19" w16cid:durableId="587620786">
    <w:abstractNumId w:val="19"/>
  </w:num>
  <w:num w:numId="20" w16cid:durableId="1007947481">
    <w:abstractNumId w:val="5"/>
  </w:num>
  <w:num w:numId="21" w16cid:durableId="1391541313">
    <w:abstractNumId w:val="2"/>
  </w:num>
  <w:num w:numId="22" w16cid:durableId="994718798">
    <w:abstractNumId w:val="16"/>
  </w:num>
  <w:num w:numId="23" w16cid:durableId="1294671879">
    <w:abstractNumId w:val="21"/>
  </w:num>
  <w:num w:numId="24" w16cid:durableId="1966083233">
    <w:abstractNumId w:val="23"/>
  </w:num>
  <w:num w:numId="25" w16cid:durableId="1036537832">
    <w:abstractNumId w:val="12"/>
  </w:num>
  <w:num w:numId="26" w16cid:durableId="361715360">
    <w:abstractNumId w:val="1"/>
  </w:num>
  <w:num w:numId="27" w16cid:durableId="4059562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0EC"/>
    <w:rsid w:val="00004AEE"/>
    <w:rsid w:val="00005CA3"/>
    <w:rsid w:val="00005F70"/>
    <w:rsid w:val="000127F8"/>
    <w:rsid w:val="000145E8"/>
    <w:rsid w:val="00021D08"/>
    <w:rsid w:val="000228BD"/>
    <w:rsid w:val="0002545F"/>
    <w:rsid w:val="00025D69"/>
    <w:rsid w:val="00025FC9"/>
    <w:rsid w:val="00026182"/>
    <w:rsid w:val="000267EB"/>
    <w:rsid w:val="00027C66"/>
    <w:rsid w:val="000311A7"/>
    <w:rsid w:val="0003173C"/>
    <w:rsid w:val="00032386"/>
    <w:rsid w:val="00032999"/>
    <w:rsid w:val="00032F0F"/>
    <w:rsid w:val="00032F15"/>
    <w:rsid w:val="0003378A"/>
    <w:rsid w:val="0003449D"/>
    <w:rsid w:val="00034BF1"/>
    <w:rsid w:val="00035B07"/>
    <w:rsid w:val="00035B9C"/>
    <w:rsid w:val="0003651A"/>
    <w:rsid w:val="000405B4"/>
    <w:rsid w:val="00040C42"/>
    <w:rsid w:val="0004158B"/>
    <w:rsid w:val="00042A44"/>
    <w:rsid w:val="0004333D"/>
    <w:rsid w:val="0004353C"/>
    <w:rsid w:val="00046FCD"/>
    <w:rsid w:val="0005130A"/>
    <w:rsid w:val="00051459"/>
    <w:rsid w:val="000519CB"/>
    <w:rsid w:val="00052AE4"/>
    <w:rsid w:val="00053108"/>
    <w:rsid w:val="00054403"/>
    <w:rsid w:val="00054513"/>
    <w:rsid w:val="00054A6A"/>
    <w:rsid w:val="00055499"/>
    <w:rsid w:val="000559B0"/>
    <w:rsid w:val="00055F6D"/>
    <w:rsid w:val="0005787A"/>
    <w:rsid w:val="00057A62"/>
    <w:rsid w:val="00060D58"/>
    <w:rsid w:val="00062C2E"/>
    <w:rsid w:val="000631EC"/>
    <w:rsid w:val="00064110"/>
    <w:rsid w:val="00067D64"/>
    <w:rsid w:val="00070AB6"/>
    <w:rsid w:val="0007184A"/>
    <w:rsid w:val="00071B16"/>
    <w:rsid w:val="0007237B"/>
    <w:rsid w:val="00072B8E"/>
    <w:rsid w:val="000757F3"/>
    <w:rsid w:val="00075ADB"/>
    <w:rsid w:val="000763AF"/>
    <w:rsid w:val="00076BBA"/>
    <w:rsid w:val="0007743F"/>
    <w:rsid w:val="00080929"/>
    <w:rsid w:val="000815A4"/>
    <w:rsid w:val="00081992"/>
    <w:rsid w:val="000821C9"/>
    <w:rsid w:val="000839F9"/>
    <w:rsid w:val="00083D0C"/>
    <w:rsid w:val="00084A43"/>
    <w:rsid w:val="00086AE4"/>
    <w:rsid w:val="00086CBA"/>
    <w:rsid w:val="00087B07"/>
    <w:rsid w:val="00090539"/>
    <w:rsid w:val="0009075F"/>
    <w:rsid w:val="00090973"/>
    <w:rsid w:val="0009191E"/>
    <w:rsid w:val="0009225F"/>
    <w:rsid w:val="00092843"/>
    <w:rsid w:val="000938A3"/>
    <w:rsid w:val="00093D5B"/>
    <w:rsid w:val="00095B83"/>
    <w:rsid w:val="00096CC9"/>
    <w:rsid w:val="000A021F"/>
    <w:rsid w:val="000A0649"/>
    <w:rsid w:val="000A0E8A"/>
    <w:rsid w:val="000A180D"/>
    <w:rsid w:val="000A22E6"/>
    <w:rsid w:val="000A290D"/>
    <w:rsid w:val="000A4297"/>
    <w:rsid w:val="000A5DC6"/>
    <w:rsid w:val="000A6042"/>
    <w:rsid w:val="000A64B1"/>
    <w:rsid w:val="000B1931"/>
    <w:rsid w:val="000B22D2"/>
    <w:rsid w:val="000B2D37"/>
    <w:rsid w:val="000B5A52"/>
    <w:rsid w:val="000B5CBC"/>
    <w:rsid w:val="000B5E69"/>
    <w:rsid w:val="000B66C8"/>
    <w:rsid w:val="000B71A7"/>
    <w:rsid w:val="000B79BC"/>
    <w:rsid w:val="000C107E"/>
    <w:rsid w:val="000C21A1"/>
    <w:rsid w:val="000C33A1"/>
    <w:rsid w:val="000C3969"/>
    <w:rsid w:val="000C3C54"/>
    <w:rsid w:val="000C434F"/>
    <w:rsid w:val="000C4502"/>
    <w:rsid w:val="000C4DFD"/>
    <w:rsid w:val="000C5520"/>
    <w:rsid w:val="000C572F"/>
    <w:rsid w:val="000C659A"/>
    <w:rsid w:val="000C73B1"/>
    <w:rsid w:val="000C7652"/>
    <w:rsid w:val="000D0E2D"/>
    <w:rsid w:val="000D2834"/>
    <w:rsid w:val="000D2B75"/>
    <w:rsid w:val="000D2CFA"/>
    <w:rsid w:val="000D34F9"/>
    <w:rsid w:val="000D446F"/>
    <w:rsid w:val="000D5888"/>
    <w:rsid w:val="000D59B0"/>
    <w:rsid w:val="000D5CFC"/>
    <w:rsid w:val="000D6051"/>
    <w:rsid w:val="000D6F33"/>
    <w:rsid w:val="000D7D1C"/>
    <w:rsid w:val="000E017E"/>
    <w:rsid w:val="000E09B2"/>
    <w:rsid w:val="000E2546"/>
    <w:rsid w:val="000E3E2D"/>
    <w:rsid w:val="000E3F2F"/>
    <w:rsid w:val="000E7AD6"/>
    <w:rsid w:val="000F001A"/>
    <w:rsid w:val="000F04B3"/>
    <w:rsid w:val="000F0913"/>
    <w:rsid w:val="000F0C90"/>
    <w:rsid w:val="000F15B8"/>
    <w:rsid w:val="000F1DF8"/>
    <w:rsid w:val="000F35C0"/>
    <w:rsid w:val="000F36B0"/>
    <w:rsid w:val="000F4AE6"/>
    <w:rsid w:val="000F59F4"/>
    <w:rsid w:val="000F607A"/>
    <w:rsid w:val="000F6487"/>
    <w:rsid w:val="001002E9"/>
    <w:rsid w:val="00104276"/>
    <w:rsid w:val="0010572E"/>
    <w:rsid w:val="00106696"/>
    <w:rsid w:val="00106954"/>
    <w:rsid w:val="00106DE5"/>
    <w:rsid w:val="001111DC"/>
    <w:rsid w:val="00114E5A"/>
    <w:rsid w:val="00116650"/>
    <w:rsid w:val="00116E8F"/>
    <w:rsid w:val="001179E5"/>
    <w:rsid w:val="001206A5"/>
    <w:rsid w:val="0012070F"/>
    <w:rsid w:val="00121030"/>
    <w:rsid w:val="00121DB7"/>
    <w:rsid w:val="00122DE7"/>
    <w:rsid w:val="00123A3A"/>
    <w:rsid w:val="00124957"/>
    <w:rsid w:val="00125358"/>
    <w:rsid w:val="0013023C"/>
    <w:rsid w:val="00131925"/>
    <w:rsid w:val="00132C33"/>
    <w:rsid w:val="0013399F"/>
    <w:rsid w:val="00135514"/>
    <w:rsid w:val="0014001B"/>
    <w:rsid w:val="001417A3"/>
    <w:rsid w:val="001429BC"/>
    <w:rsid w:val="00142D49"/>
    <w:rsid w:val="00144BE7"/>
    <w:rsid w:val="00144FC5"/>
    <w:rsid w:val="00145333"/>
    <w:rsid w:val="00146660"/>
    <w:rsid w:val="00147828"/>
    <w:rsid w:val="0015148F"/>
    <w:rsid w:val="00151AFC"/>
    <w:rsid w:val="0015283D"/>
    <w:rsid w:val="00152F12"/>
    <w:rsid w:val="0015327D"/>
    <w:rsid w:val="00153C0F"/>
    <w:rsid w:val="00153E40"/>
    <w:rsid w:val="00154D12"/>
    <w:rsid w:val="00154F3A"/>
    <w:rsid w:val="00156A05"/>
    <w:rsid w:val="00156DF0"/>
    <w:rsid w:val="00160233"/>
    <w:rsid w:val="00161179"/>
    <w:rsid w:val="0016159D"/>
    <w:rsid w:val="00162EC1"/>
    <w:rsid w:val="00162F70"/>
    <w:rsid w:val="001630B8"/>
    <w:rsid w:val="00167034"/>
    <w:rsid w:val="00167AD7"/>
    <w:rsid w:val="00167FDC"/>
    <w:rsid w:val="0017057D"/>
    <w:rsid w:val="0017082D"/>
    <w:rsid w:val="00170C63"/>
    <w:rsid w:val="00171560"/>
    <w:rsid w:val="00171E87"/>
    <w:rsid w:val="0017204C"/>
    <w:rsid w:val="00172B09"/>
    <w:rsid w:val="00173A64"/>
    <w:rsid w:val="001749CA"/>
    <w:rsid w:val="00174B16"/>
    <w:rsid w:val="00175280"/>
    <w:rsid w:val="00175F01"/>
    <w:rsid w:val="001801A1"/>
    <w:rsid w:val="001802C0"/>
    <w:rsid w:val="0018057A"/>
    <w:rsid w:val="00181235"/>
    <w:rsid w:val="00181870"/>
    <w:rsid w:val="00181F10"/>
    <w:rsid w:val="00183D20"/>
    <w:rsid w:val="00184547"/>
    <w:rsid w:val="00185F09"/>
    <w:rsid w:val="00186328"/>
    <w:rsid w:val="001871E0"/>
    <w:rsid w:val="001915EE"/>
    <w:rsid w:val="001928CB"/>
    <w:rsid w:val="00193431"/>
    <w:rsid w:val="00197251"/>
    <w:rsid w:val="00197277"/>
    <w:rsid w:val="001A0A8E"/>
    <w:rsid w:val="001A1042"/>
    <w:rsid w:val="001A1A46"/>
    <w:rsid w:val="001A1F2F"/>
    <w:rsid w:val="001A2073"/>
    <w:rsid w:val="001A224C"/>
    <w:rsid w:val="001A23F5"/>
    <w:rsid w:val="001A29A0"/>
    <w:rsid w:val="001A29E1"/>
    <w:rsid w:val="001A3F6E"/>
    <w:rsid w:val="001A59D4"/>
    <w:rsid w:val="001A5E73"/>
    <w:rsid w:val="001A6816"/>
    <w:rsid w:val="001A7745"/>
    <w:rsid w:val="001A77D8"/>
    <w:rsid w:val="001B12D2"/>
    <w:rsid w:val="001B195B"/>
    <w:rsid w:val="001B3BE4"/>
    <w:rsid w:val="001B5684"/>
    <w:rsid w:val="001B74EE"/>
    <w:rsid w:val="001B7A78"/>
    <w:rsid w:val="001C0881"/>
    <w:rsid w:val="001C2AB4"/>
    <w:rsid w:val="001C40A0"/>
    <w:rsid w:val="001C4973"/>
    <w:rsid w:val="001C57CA"/>
    <w:rsid w:val="001C73EE"/>
    <w:rsid w:val="001D0FB4"/>
    <w:rsid w:val="001D252C"/>
    <w:rsid w:val="001D2863"/>
    <w:rsid w:val="001D3A57"/>
    <w:rsid w:val="001D3D50"/>
    <w:rsid w:val="001D3D89"/>
    <w:rsid w:val="001D4923"/>
    <w:rsid w:val="001D69E0"/>
    <w:rsid w:val="001D761E"/>
    <w:rsid w:val="001D795B"/>
    <w:rsid w:val="001D7D29"/>
    <w:rsid w:val="001E00BB"/>
    <w:rsid w:val="001E26AC"/>
    <w:rsid w:val="001E2EA5"/>
    <w:rsid w:val="001E380F"/>
    <w:rsid w:val="001E3B54"/>
    <w:rsid w:val="001E45C5"/>
    <w:rsid w:val="001E6F24"/>
    <w:rsid w:val="001F0066"/>
    <w:rsid w:val="001F1165"/>
    <w:rsid w:val="001F14E3"/>
    <w:rsid w:val="001F157A"/>
    <w:rsid w:val="001F1CF9"/>
    <w:rsid w:val="001F2D23"/>
    <w:rsid w:val="001F32A6"/>
    <w:rsid w:val="001F4D25"/>
    <w:rsid w:val="001F6531"/>
    <w:rsid w:val="001F6D4A"/>
    <w:rsid w:val="002022B2"/>
    <w:rsid w:val="0020248F"/>
    <w:rsid w:val="00202516"/>
    <w:rsid w:val="00204571"/>
    <w:rsid w:val="002047B6"/>
    <w:rsid w:val="00207199"/>
    <w:rsid w:val="00207B0A"/>
    <w:rsid w:val="00211A10"/>
    <w:rsid w:val="00213069"/>
    <w:rsid w:val="00214603"/>
    <w:rsid w:val="00214FBF"/>
    <w:rsid w:val="00215308"/>
    <w:rsid w:val="00215DBB"/>
    <w:rsid w:val="00215FE4"/>
    <w:rsid w:val="0021624D"/>
    <w:rsid w:val="00216E84"/>
    <w:rsid w:val="002177E8"/>
    <w:rsid w:val="002210FF"/>
    <w:rsid w:val="0022322F"/>
    <w:rsid w:val="00223D44"/>
    <w:rsid w:val="00224FAA"/>
    <w:rsid w:val="00226F99"/>
    <w:rsid w:val="00230F1C"/>
    <w:rsid w:val="002334D7"/>
    <w:rsid w:val="00233D1D"/>
    <w:rsid w:val="002340E2"/>
    <w:rsid w:val="002347CF"/>
    <w:rsid w:val="00235A81"/>
    <w:rsid w:val="00235A88"/>
    <w:rsid w:val="00235D27"/>
    <w:rsid w:val="00235D77"/>
    <w:rsid w:val="00237318"/>
    <w:rsid w:val="00237D0C"/>
    <w:rsid w:val="00237D6F"/>
    <w:rsid w:val="00240065"/>
    <w:rsid w:val="002400D2"/>
    <w:rsid w:val="002433B4"/>
    <w:rsid w:val="002437D5"/>
    <w:rsid w:val="00243BB3"/>
    <w:rsid w:val="00243D92"/>
    <w:rsid w:val="00244598"/>
    <w:rsid w:val="0024565F"/>
    <w:rsid w:val="0024686B"/>
    <w:rsid w:val="002476F3"/>
    <w:rsid w:val="002507FB"/>
    <w:rsid w:val="00251E55"/>
    <w:rsid w:val="002531DA"/>
    <w:rsid w:val="0025346F"/>
    <w:rsid w:val="002560F3"/>
    <w:rsid w:val="00256860"/>
    <w:rsid w:val="002610B5"/>
    <w:rsid w:val="00261827"/>
    <w:rsid w:val="00262660"/>
    <w:rsid w:val="00263020"/>
    <w:rsid w:val="002639FD"/>
    <w:rsid w:val="00263E34"/>
    <w:rsid w:val="00265C27"/>
    <w:rsid w:val="00265DA9"/>
    <w:rsid w:val="0026649B"/>
    <w:rsid w:val="002678C3"/>
    <w:rsid w:val="00273449"/>
    <w:rsid w:val="00273B5A"/>
    <w:rsid w:val="00277604"/>
    <w:rsid w:val="0027788F"/>
    <w:rsid w:val="00277949"/>
    <w:rsid w:val="0028065E"/>
    <w:rsid w:val="0028295D"/>
    <w:rsid w:val="0028302C"/>
    <w:rsid w:val="002831D2"/>
    <w:rsid w:val="002836CE"/>
    <w:rsid w:val="00283C13"/>
    <w:rsid w:val="002842CC"/>
    <w:rsid w:val="002843F4"/>
    <w:rsid w:val="00285095"/>
    <w:rsid w:val="00286B74"/>
    <w:rsid w:val="002870E7"/>
    <w:rsid w:val="00292256"/>
    <w:rsid w:val="002935F3"/>
    <w:rsid w:val="0029472A"/>
    <w:rsid w:val="00294CF5"/>
    <w:rsid w:val="00294EAD"/>
    <w:rsid w:val="00296B30"/>
    <w:rsid w:val="002A02DD"/>
    <w:rsid w:val="002A0570"/>
    <w:rsid w:val="002A2783"/>
    <w:rsid w:val="002A2A78"/>
    <w:rsid w:val="002A4BA7"/>
    <w:rsid w:val="002A6107"/>
    <w:rsid w:val="002A6AA4"/>
    <w:rsid w:val="002A78D3"/>
    <w:rsid w:val="002B2B7C"/>
    <w:rsid w:val="002B2FBA"/>
    <w:rsid w:val="002B30BE"/>
    <w:rsid w:val="002B46DD"/>
    <w:rsid w:val="002B5F28"/>
    <w:rsid w:val="002B63E8"/>
    <w:rsid w:val="002B7860"/>
    <w:rsid w:val="002C09D9"/>
    <w:rsid w:val="002C0DE9"/>
    <w:rsid w:val="002C17AB"/>
    <w:rsid w:val="002C1D0B"/>
    <w:rsid w:val="002C2E6F"/>
    <w:rsid w:val="002C5144"/>
    <w:rsid w:val="002C6CD9"/>
    <w:rsid w:val="002D00E7"/>
    <w:rsid w:val="002D03AC"/>
    <w:rsid w:val="002D0A69"/>
    <w:rsid w:val="002D1B4F"/>
    <w:rsid w:val="002D29A3"/>
    <w:rsid w:val="002D3715"/>
    <w:rsid w:val="002D3CCF"/>
    <w:rsid w:val="002D4013"/>
    <w:rsid w:val="002D472E"/>
    <w:rsid w:val="002D582F"/>
    <w:rsid w:val="002D63E3"/>
    <w:rsid w:val="002E088E"/>
    <w:rsid w:val="002E1BD3"/>
    <w:rsid w:val="002E2FC9"/>
    <w:rsid w:val="002E3E75"/>
    <w:rsid w:val="002E465B"/>
    <w:rsid w:val="002E48DA"/>
    <w:rsid w:val="002E49FF"/>
    <w:rsid w:val="002E5E3F"/>
    <w:rsid w:val="002E639E"/>
    <w:rsid w:val="002E68A9"/>
    <w:rsid w:val="002E7F6A"/>
    <w:rsid w:val="002F06E3"/>
    <w:rsid w:val="002F1635"/>
    <w:rsid w:val="002F1786"/>
    <w:rsid w:val="002F2A48"/>
    <w:rsid w:val="002F2CA5"/>
    <w:rsid w:val="002F391E"/>
    <w:rsid w:val="002F3FAA"/>
    <w:rsid w:val="002F421F"/>
    <w:rsid w:val="002F430C"/>
    <w:rsid w:val="002F6F13"/>
    <w:rsid w:val="002F72BD"/>
    <w:rsid w:val="003020FD"/>
    <w:rsid w:val="00303CC2"/>
    <w:rsid w:val="00303EC6"/>
    <w:rsid w:val="00305AE0"/>
    <w:rsid w:val="00306AE3"/>
    <w:rsid w:val="00310209"/>
    <w:rsid w:val="003149D2"/>
    <w:rsid w:val="00314F14"/>
    <w:rsid w:val="0031545D"/>
    <w:rsid w:val="003162E1"/>
    <w:rsid w:val="003165CC"/>
    <w:rsid w:val="0031678D"/>
    <w:rsid w:val="00317FE4"/>
    <w:rsid w:val="003218EA"/>
    <w:rsid w:val="00321A0A"/>
    <w:rsid w:val="0032228D"/>
    <w:rsid w:val="00322D0E"/>
    <w:rsid w:val="003236E3"/>
    <w:rsid w:val="0032414C"/>
    <w:rsid w:val="003242A1"/>
    <w:rsid w:val="003246D1"/>
    <w:rsid w:val="00325069"/>
    <w:rsid w:val="00326C06"/>
    <w:rsid w:val="00326F14"/>
    <w:rsid w:val="003275D0"/>
    <w:rsid w:val="00327887"/>
    <w:rsid w:val="00327FB5"/>
    <w:rsid w:val="00330CDB"/>
    <w:rsid w:val="003318E6"/>
    <w:rsid w:val="003329EF"/>
    <w:rsid w:val="00332CF9"/>
    <w:rsid w:val="00332F01"/>
    <w:rsid w:val="003332CB"/>
    <w:rsid w:val="00333732"/>
    <w:rsid w:val="003345EE"/>
    <w:rsid w:val="0033742E"/>
    <w:rsid w:val="00337BD5"/>
    <w:rsid w:val="00337F87"/>
    <w:rsid w:val="00340BE1"/>
    <w:rsid w:val="00340F08"/>
    <w:rsid w:val="00342C6A"/>
    <w:rsid w:val="00344141"/>
    <w:rsid w:val="003444D6"/>
    <w:rsid w:val="003447C8"/>
    <w:rsid w:val="0034529E"/>
    <w:rsid w:val="00346168"/>
    <w:rsid w:val="00347429"/>
    <w:rsid w:val="00351605"/>
    <w:rsid w:val="00354F7A"/>
    <w:rsid w:val="00355827"/>
    <w:rsid w:val="003619EC"/>
    <w:rsid w:val="00361D58"/>
    <w:rsid w:val="00363682"/>
    <w:rsid w:val="00364EE2"/>
    <w:rsid w:val="0036757B"/>
    <w:rsid w:val="0036757D"/>
    <w:rsid w:val="0037016C"/>
    <w:rsid w:val="00370A06"/>
    <w:rsid w:val="00372053"/>
    <w:rsid w:val="00372A10"/>
    <w:rsid w:val="00372CD9"/>
    <w:rsid w:val="00373428"/>
    <w:rsid w:val="0037464A"/>
    <w:rsid w:val="003758E4"/>
    <w:rsid w:val="00375BB7"/>
    <w:rsid w:val="00376F89"/>
    <w:rsid w:val="00380F3A"/>
    <w:rsid w:val="003810EB"/>
    <w:rsid w:val="003817D0"/>
    <w:rsid w:val="00382711"/>
    <w:rsid w:val="00384B7F"/>
    <w:rsid w:val="00385C88"/>
    <w:rsid w:val="003863AC"/>
    <w:rsid w:val="003863B9"/>
    <w:rsid w:val="00386C4B"/>
    <w:rsid w:val="00386E83"/>
    <w:rsid w:val="00390878"/>
    <w:rsid w:val="00390E61"/>
    <w:rsid w:val="00390E93"/>
    <w:rsid w:val="00392854"/>
    <w:rsid w:val="00393BEC"/>
    <w:rsid w:val="00393FDA"/>
    <w:rsid w:val="003947B9"/>
    <w:rsid w:val="00394E7E"/>
    <w:rsid w:val="0039531B"/>
    <w:rsid w:val="00395408"/>
    <w:rsid w:val="0039661C"/>
    <w:rsid w:val="00396819"/>
    <w:rsid w:val="00397031"/>
    <w:rsid w:val="003A014E"/>
    <w:rsid w:val="003A0CFE"/>
    <w:rsid w:val="003A112B"/>
    <w:rsid w:val="003A1A5C"/>
    <w:rsid w:val="003A28FE"/>
    <w:rsid w:val="003A3752"/>
    <w:rsid w:val="003A4FE8"/>
    <w:rsid w:val="003A58C6"/>
    <w:rsid w:val="003A59CD"/>
    <w:rsid w:val="003A5A32"/>
    <w:rsid w:val="003A5DAB"/>
    <w:rsid w:val="003A7E63"/>
    <w:rsid w:val="003B0EC2"/>
    <w:rsid w:val="003B1397"/>
    <w:rsid w:val="003B16FA"/>
    <w:rsid w:val="003B23B5"/>
    <w:rsid w:val="003B36A1"/>
    <w:rsid w:val="003B3A72"/>
    <w:rsid w:val="003B3F2D"/>
    <w:rsid w:val="003B5309"/>
    <w:rsid w:val="003B6D44"/>
    <w:rsid w:val="003B7F48"/>
    <w:rsid w:val="003C0823"/>
    <w:rsid w:val="003C10AA"/>
    <w:rsid w:val="003C1203"/>
    <w:rsid w:val="003C241E"/>
    <w:rsid w:val="003C3195"/>
    <w:rsid w:val="003C3727"/>
    <w:rsid w:val="003C3F58"/>
    <w:rsid w:val="003C44C2"/>
    <w:rsid w:val="003C4D7E"/>
    <w:rsid w:val="003C5875"/>
    <w:rsid w:val="003C613B"/>
    <w:rsid w:val="003C63C3"/>
    <w:rsid w:val="003C75A8"/>
    <w:rsid w:val="003C75AA"/>
    <w:rsid w:val="003C791C"/>
    <w:rsid w:val="003C7D38"/>
    <w:rsid w:val="003D10AC"/>
    <w:rsid w:val="003D3ECC"/>
    <w:rsid w:val="003D70AE"/>
    <w:rsid w:val="003E19A0"/>
    <w:rsid w:val="003E2AD8"/>
    <w:rsid w:val="003E33A0"/>
    <w:rsid w:val="003E3789"/>
    <w:rsid w:val="003E54F2"/>
    <w:rsid w:val="003E5561"/>
    <w:rsid w:val="003E642B"/>
    <w:rsid w:val="003E6721"/>
    <w:rsid w:val="003F25BF"/>
    <w:rsid w:val="003F46B6"/>
    <w:rsid w:val="003F5970"/>
    <w:rsid w:val="003F5D91"/>
    <w:rsid w:val="003F63E7"/>
    <w:rsid w:val="003F7270"/>
    <w:rsid w:val="004028AA"/>
    <w:rsid w:val="004031A6"/>
    <w:rsid w:val="00404180"/>
    <w:rsid w:val="00405134"/>
    <w:rsid w:val="0040553F"/>
    <w:rsid w:val="00405FA5"/>
    <w:rsid w:val="004061D1"/>
    <w:rsid w:val="004072D7"/>
    <w:rsid w:val="00410A9D"/>
    <w:rsid w:val="00411390"/>
    <w:rsid w:val="0041529E"/>
    <w:rsid w:val="00415B9D"/>
    <w:rsid w:val="00415DB3"/>
    <w:rsid w:val="00417A29"/>
    <w:rsid w:val="00420F6E"/>
    <w:rsid w:val="004222B9"/>
    <w:rsid w:val="00422BC3"/>
    <w:rsid w:val="00423046"/>
    <w:rsid w:val="00423409"/>
    <w:rsid w:val="00424F8A"/>
    <w:rsid w:val="00425D0D"/>
    <w:rsid w:val="00427002"/>
    <w:rsid w:val="00427B92"/>
    <w:rsid w:val="00432388"/>
    <w:rsid w:val="00433F7F"/>
    <w:rsid w:val="0043438D"/>
    <w:rsid w:val="0043565E"/>
    <w:rsid w:val="004359E6"/>
    <w:rsid w:val="00436A03"/>
    <w:rsid w:val="00437380"/>
    <w:rsid w:val="004407E6"/>
    <w:rsid w:val="004409F2"/>
    <w:rsid w:val="004414E8"/>
    <w:rsid w:val="00441F1D"/>
    <w:rsid w:val="00441F93"/>
    <w:rsid w:val="00443ECC"/>
    <w:rsid w:val="004443A2"/>
    <w:rsid w:val="0044467C"/>
    <w:rsid w:val="004452E3"/>
    <w:rsid w:val="004479C8"/>
    <w:rsid w:val="00450CCD"/>
    <w:rsid w:val="00450EE0"/>
    <w:rsid w:val="004517A4"/>
    <w:rsid w:val="00453BF8"/>
    <w:rsid w:val="00453D5A"/>
    <w:rsid w:val="00455746"/>
    <w:rsid w:val="0045641B"/>
    <w:rsid w:val="00456B14"/>
    <w:rsid w:val="00460FB9"/>
    <w:rsid w:val="00461F13"/>
    <w:rsid w:val="00462FFD"/>
    <w:rsid w:val="004642DD"/>
    <w:rsid w:val="00464AFB"/>
    <w:rsid w:val="00465A1E"/>
    <w:rsid w:val="00465FFB"/>
    <w:rsid w:val="0046741E"/>
    <w:rsid w:val="00470EF9"/>
    <w:rsid w:val="0047240A"/>
    <w:rsid w:val="004724FA"/>
    <w:rsid w:val="004731C3"/>
    <w:rsid w:val="004747C0"/>
    <w:rsid w:val="0047499E"/>
    <w:rsid w:val="004756C7"/>
    <w:rsid w:val="00476058"/>
    <w:rsid w:val="00476225"/>
    <w:rsid w:val="00476603"/>
    <w:rsid w:val="0047671C"/>
    <w:rsid w:val="00476937"/>
    <w:rsid w:val="00480956"/>
    <w:rsid w:val="00481117"/>
    <w:rsid w:val="004858A0"/>
    <w:rsid w:val="00491E2C"/>
    <w:rsid w:val="00492C16"/>
    <w:rsid w:val="00493EBB"/>
    <w:rsid w:val="00494FA3"/>
    <w:rsid w:val="0049614C"/>
    <w:rsid w:val="00496C7E"/>
    <w:rsid w:val="004A183A"/>
    <w:rsid w:val="004A1D70"/>
    <w:rsid w:val="004A1F3B"/>
    <w:rsid w:val="004A30F7"/>
    <w:rsid w:val="004A3842"/>
    <w:rsid w:val="004A53D9"/>
    <w:rsid w:val="004A5DB8"/>
    <w:rsid w:val="004A61A9"/>
    <w:rsid w:val="004A6D73"/>
    <w:rsid w:val="004B0139"/>
    <w:rsid w:val="004B28D3"/>
    <w:rsid w:val="004B3435"/>
    <w:rsid w:val="004B3F09"/>
    <w:rsid w:val="004B4F58"/>
    <w:rsid w:val="004B5B07"/>
    <w:rsid w:val="004B71E0"/>
    <w:rsid w:val="004B79F1"/>
    <w:rsid w:val="004C024B"/>
    <w:rsid w:val="004C169D"/>
    <w:rsid w:val="004C1D3E"/>
    <w:rsid w:val="004C2C51"/>
    <w:rsid w:val="004C2CF0"/>
    <w:rsid w:val="004C3B39"/>
    <w:rsid w:val="004C3CD7"/>
    <w:rsid w:val="004C3E8C"/>
    <w:rsid w:val="004C44AA"/>
    <w:rsid w:val="004C47F6"/>
    <w:rsid w:val="004C509E"/>
    <w:rsid w:val="004C6264"/>
    <w:rsid w:val="004C64EE"/>
    <w:rsid w:val="004C658D"/>
    <w:rsid w:val="004C6F00"/>
    <w:rsid w:val="004D0160"/>
    <w:rsid w:val="004D0172"/>
    <w:rsid w:val="004D2026"/>
    <w:rsid w:val="004D2C98"/>
    <w:rsid w:val="004D3390"/>
    <w:rsid w:val="004D3DD8"/>
    <w:rsid w:val="004D42BA"/>
    <w:rsid w:val="004D4842"/>
    <w:rsid w:val="004D50E6"/>
    <w:rsid w:val="004D5CA2"/>
    <w:rsid w:val="004D7398"/>
    <w:rsid w:val="004D74E8"/>
    <w:rsid w:val="004E0D04"/>
    <w:rsid w:val="004E1D3B"/>
    <w:rsid w:val="004E1E6E"/>
    <w:rsid w:val="004E27AE"/>
    <w:rsid w:val="004E409F"/>
    <w:rsid w:val="004E45E5"/>
    <w:rsid w:val="004E517F"/>
    <w:rsid w:val="004E5B41"/>
    <w:rsid w:val="004E6A72"/>
    <w:rsid w:val="004E6F9F"/>
    <w:rsid w:val="004E7191"/>
    <w:rsid w:val="004E7336"/>
    <w:rsid w:val="004F1177"/>
    <w:rsid w:val="004F2022"/>
    <w:rsid w:val="004F24CD"/>
    <w:rsid w:val="004F25BE"/>
    <w:rsid w:val="004F30A5"/>
    <w:rsid w:val="004F3187"/>
    <w:rsid w:val="004F38D1"/>
    <w:rsid w:val="004F448D"/>
    <w:rsid w:val="004F62C7"/>
    <w:rsid w:val="004F73C1"/>
    <w:rsid w:val="004F78A2"/>
    <w:rsid w:val="00500B99"/>
    <w:rsid w:val="00502B9A"/>
    <w:rsid w:val="005053B1"/>
    <w:rsid w:val="00506674"/>
    <w:rsid w:val="00506C65"/>
    <w:rsid w:val="00507664"/>
    <w:rsid w:val="00507A87"/>
    <w:rsid w:val="00510B51"/>
    <w:rsid w:val="00510CFC"/>
    <w:rsid w:val="00510EF8"/>
    <w:rsid w:val="005120F7"/>
    <w:rsid w:val="00513990"/>
    <w:rsid w:val="00515232"/>
    <w:rsid w:val="005157F3"/>
    <w:rsid w:val="00515EE6"/>
    <w:rsid w:val="005170C3"/>
    <w:rsid w:val="005200C6"/>
    <w:rsid w:val="005200F2"/>
    <w:rsid w:val="00520E7E"/>
    <w:rsid w:val="00521714"/>
    <w:rsid w:val="005235D1"/>
    <w:rsid w:val="0052492C"/>
    <w:rsid w:val="0052670C"/>
    <w:rsid w:val="00527546"/>
    <w:rsid w:val="00527A15"/>
    <w:rsid w:val="00527E3B"/>
    <w:rsid w:val="00530361"/>
    <w:rsid w:val="00531567"/>
    <w:rsid w:val="0053161B"/>
    <w:rsid w:val="00532D70"/>
    <w:rsid w:val="00533651"/>
    <w:rsid w:val="00533814"/>
    <w:rsid w:val="00533CD3"/>
    <w:rsid w:val="00533FC5"/>
    <w:rsid w:val="00534083"/>
    <w:rsid w:val="00535320"/>
    <w:rsid w:val="005378D5"/>
    <w:rsid w:val="00540327"/>
    <w:rsid w:val="005414C7"/>
    <w:rsid w:val="005421D9"/>
    <w:rsid w:val="005426B9"/>
    <w:rsid w:val="0054401B"/>
    <w:rsid w:val="00544C0D"/>
    <w:rsid w:val="0054546F"/>
    <w:rsid w:val="00545493"/>
    <w:rsid w:val="00547331"/>
    <w:rsid w:val="00547E08"/>
    <w:rsid w:val="0055051D"/>
    <w:rsid w:val="0055103E"/>
    <w:rsid w:val="0055128F"/>
    <w:rsid w:val="005512CB"/>
    <w:rsid w:val="005525EC"/>
    <w:rsid w:val="0055345A"/>
    <w:rsid w:val="00553469"/>
    <w:rsid w:val="00553560"/>
    <w:rsid w:val="00553708"/>
    <w:rsid w:val="00553A18"/>
    <w:rsid w:val="005552E7"/>
    <w:rsid w:val="00556B70"/>
    <w:rsid w:val="0055722C"/>
    <w:rsid w:val="00557979"/>
    <w:rsid w:val="00561579"/>
    <w:rsid w:val="00562680"/>
    <w:rsid w:val="00562915"/>
    <w:rsid w:val="00562ACD"/>
    <w:rsid w:val="00564382"/>
    <w:rsid w:val="00565508"/>
    <w:rsid w:val="00565FD5"/>
    <w:rsid w:val="005700A5"/>
    <w:rsid w:val="00570251"/>
    <w:rsid w:val="00570BD1"/>
    <w:rsid w:val="00571759"/>
    <w:rsid w:val="00571DF2"/>
    <w:rsid w:val="00572C98"/>
    <w:rsid w:val="00573B53"/>
    <w:rsid w:val="00574392"/>
    <w:rsid w:val="005746D4"/>
    <w:rsid w:val="005747E4"/>
    <w:rsid w:val="00575406"/>
    <w:rsid w:val="005765E5"/>
    <w:rsid w:val="0057695E"/>
    <w:rsid w:val="00576A02"/>
    <w:rsid w:val="00576DFD"/>
    <w:rsid w:val="0057766E"/>
    <w:rsid w:val="00577B45"/>
    <w:rsid w:val="00577FA6"/>
    <w:rsid w:val="005802F1"/>
    <w:rsid w:val="00580E15"/>
    <w:rsid w:val="00580F0A"/>
    <w:rsid w:val="005817F9"/>
    <w:rsid w:val="0058334D"/>
    <w:rsid w:val="005833E5"/>
    <w:rsid w:val="0058389F"/>
    <w:rsid w:val="00583EF3"/>
    <w:rsid w:val="005858F9"/>
    <w:rsid w:val="00587BCE"/>
    <w:rsid w:val="00592FB0"/>
    <w:rsid w:val="00593904"/>
    <w:rsid w:val="0059448C"/>
    <w:rsid w:val="0059561E"/>
    <w:rsid w:val="00597781"/>
    <w:rsid w:val="005A2DA7"/>
    <w:rsid w:val="005A6206"/>
    <w:rsid w:val="005B29CC"/>
    <w:rsid w:val="005B2C46"/>
    <w:rsid w:val="005B3185"/>
    <w:rsid w:val="005B4586"/>
    <w:rsid w:val="005B471C"/>
    <w:rsid w:val="005B49B1"/>
    <w:rsid w:val="005B4B1C"/>
    <w:rsid w:val="005B516E"/>
    <w:rsid w:val="005B5BE6"/>
    <w:rsid w:val="005B7584"/>
    <w:rsid w:val="005C3DAE"/>
    <w:rsid w:val="005C54AB"/>
    <w:rsid w:val="005C5AA2"/>
    <w:rsid w:val="005C5D53"/>
    <w:rsid w:val="005C68D5"/>
    <w:rsid w:val="005C755A"/>
    <w:rsid w:val="005D03A9"/>
    <w:rsid w:val="005D123B"/>
    <w:rsid w:val="005D2374"/>
    <w:rsid w:val="005D256B"/>
    <w:rsid w:val="005D3C76"/>
    <w:rsid w:val="005D4D60"/>
    <w:rsid w:val="005D50D9"/>
    <w:rsid w:val="005D7958"/>
    <w:rsid w:val="005E15F8"/>
    <w:rsid w:val="005E1F85"/>
    <w:rsid w:val="005E2BB2"/>
    <w:rsid w:val="005E372E"/>
    <w:rsid w:val="005E41C3"/>
    <w:rsid w:val="005E44FF"/>
    <w:rsid w:val="005E5AB4"/>
    <w:rsid w:val="005E6793"/>
    <w:rsid w:val="005E67D3"/>
    <w:rsid w:val="005F0052"/>
    <w:rsid w:val="005F0256"/>
    <w:rsid w:val="005F1396"/>
    <w:rsid w:val="005F2166"/>
    <w:rsid w:val="005F30BA"/>
    <w:rsid w:val="005F3857"/>
    <w:rsid w:val="005F3C72"/>
    <w:rsid w:val="005F4A45"/>
    <w:rsid w:val="005F4BCC"/>
    <w:rsid w:val="005F5019"/>
    <w:rsid w:val="005F55C7"/>
    <w:rsid w:val="005F7DBB"/>
    <w:rsid w:val="00601B41"/>
    <w:rsid w:val="00601C28"/>
    <w:rsid w:val="00601FB9"/>
    <w:rsid w:val="0060247B"/>
    <w:rsid w:val="006027A7"/>
    <w:rsid w:val="00603CF3"/>
    <w:rsid w:val="00604AA2"/>
    <w:rsid w:val="00605A9F"/>
    <w:rsid w:val="0061082C"/>
    <w:rsid w:val="0061285B"/>
    <w:rsid w:val="00614A11"/>
    <w:rsid w:val="006163B5"/>
    <w:rsid w:val="00617056"/>
    <w:rsid w:val="00617B5A"/>
    <w:rsid w:val="00621CD1"/>
    <w:rsid w:val="00622C70"/>
    <w:rsid w:val="00624FDB"/>
    <w:rsid w:val="006253AD"/>
    <w:rsid w:val="00625FCC"/>
    <w:rsid w:val="00626587"/>
    <w:rsid w:val="00630054"/>
    <w:rsid w:val="006306D0"/>
    <w:rsid w:val="00630B0A"/>
    <w:rsid w:val="00630DFA"/>
    <w:rsid w:val="00633C68"/>
    <w:rsid w:val="00634F2F"/>
    <w:rsid w:val="00635AA0"/>
    <w:rsid w:val="00635E63"/>
    <w:rsid w:val="00637124"/>
    <w:rsid w:val="00637337"/>
    <w:rsid w:val="00637982"/>
    <w:rsid w:val="00637E6E"/>
    <w:rsid w:val="00640703"/>
    <w:rsid w:val="00640B9D"/>
    <w:rsid w:val="00642339"/>
    <w:rsid w:val="00642973"/>
    <w:rsid w:val="00644199"/>
    <w:rsid w:val="00644496"/>
    <w:rsid w:val="0064586B"/>
    <w:rsid w:val="00645D24"/>
    <w:rsid w:val="0064751F"/>
    <w:rsid w:val="00647778"/>
    <w:rsid w:val="006502C3"/>
    <w:rsid w:val="0065097F"/>
    <w:rsid w:val="00652281"/>
    <w:rsid w:val="006527D2"/>
    <w:rsid w:val="006545E2"/>
    <w:rsid w:val="00655FB8"/>
    <w:rsid w:val="006561CA"/>
    <w:rsid w:val="006564AD"/>
    <w:rsid w:val="006569D5"/>
    <w:rsid w:val="0065732C"/>
    <w:rsid w:val="006600B5"/>
    <w:rsid w:val="006603B0"/>
    <w:rsid w:val="006606AB"/>
    <w:rsid w:val="006608B6"/>
    <w:rsid w:val="00661399"/>
    <w:rsid w:val="00661B90"/>
    <w:rsid w:val="0066201A"/>
    <w:rsid w:val="00662390"/>
    <w:rsid w:val="006625E7"/>
    <w:rsid w:val="006629A5"/>
    <w:rsid w:val="0066365C"/>
    <w:rsid w:val="00663FB5"/>
    <w:rsid w:val="006648DE"/>
    <w:rsid w:val="006653D5"/>
    <w:rsid w:val="00665481"/>
    <w:rsid w:val="00666716"/>
    <w:rsid w:val="00667E40"/>
    <w:rsid w:val="006702D3"/>
    <w:rsid w:val="00671F0D"/>
    <w:rsid w:val="00674467"/>
    <w:rsid w:val="00675099"/>
    <w:rsid w:val="0067530E"/>
    <w:rsid w:val="0067616F"/>
    <w:rsid w:val="00676752"/>
    <w:rsid w:val="00676A3E"/>
    <w:rsid w:val="00677A1E"/>
    <w:rsid w:val="006802BB"/>
    <w:rsid w:val="00680C0F"/>
    <w:rsid w:val="00680F13"/>
    <w:rsid w:val="00681461"/>
    <w:rsid w:val="006815A4"/>
    <w:rsid w:val="0068456D"/>
    <w:rsid w:val="00685578"/>
    <w:rsid w:val="00685872"/>
    <w:rsid w:val="006859EA"/>
    <w:rsid w:val="00685AC8"/>
    <w:rsid w:val="00686B10"/>
    <w:rsid w:val="0068736B"/>
    <w:rsid w:val="00687890"/>
    <w:rsid w:val="00690973"/>
    <w:rsid w:val="00692246"/>
    <w:rsid w:val="006933F8"/>
    <w:rsid w:val="006934F2"/>
    <w:rsid w:val="00694652"/>
    <w:rsid w:val="0069580E"/>
    <w:rsid w:val="006960DF"/>
    <w:rsid w:val="00696979"/>
    <w:rsid w:val="00696C31"/>
    <w:rsid w:val="00697624"/>
    <w:rsid w:val="00697D90"/>
    <w:rsid w:val="006A2A47"/>
    <w:rsid w:val="006A42E7"/>
    <w:rsid w:val="006A4A48"/>
    <w:rsid w:val="006A4E74"/>
    <w:rsid w:val="006A4F28"/>
    <w:rsid w:val="006A51D2"/>
    <w:rsid w:val="006A6D52"/>
    <w:rsid w:val="006A7298"/>
    <w:rsid w:val="006A7B90"/>
    <w:rsid w:val="006B057C"/>
    <w:rsid w:val="006B0DFA"/>
    <w:rsid w:val="006B0EF6"/>
    <w:rsid w:val="006B164E"/>
    <w:rsid w:val="006B18D4"/>
    <w:rsid w:val="006B1BAB"/>
    <w:rsid w:val="006B5A7B"/>
    <w:rsid w:val="006B7717"/>
    <w:rsid w:val="006C06B3"/>
    <w:rsid w:val="006C1548"/>
    <w:rsid w:val="006C1CE7"/>
    <w:rsid w:val="006C2F51"/>
    <w:rsid w:val="006C3D9A"/>
    <w:rsid w:val="006C402E"/>
    <w:rsid w:val="006C456D"/>
    <w:rsid w:val="006C4781"/>
    <w:rsid w:val="006C7425"/>
    <w:rsid w:val="006D0327"/>
    <w:rsid w:val="006D0A3B"/>
    <w:rsid w:val="006D169A"/>
    <w:rsid w:val="006D274A"/>
    <w:rsid w:val="006D3156"/>
    <w:rsid w:val="006D3E45"/>
    <w:rsid w:val="006D3EBF"/>
    <w:rsid w:val="006D7812"/>
    <w:rsid w:val="006D7B10"/>
    <w:rsid w:val="006D7C8D"/>
    <w:rsid w:val="006E04EF"/>
    <w:rsid w:val="006E08D9"/>
    <w:rsid w:val="006E0933"/>
    <w:rsid w:val="006E12BC"/>
    <w:rsid w:val="006E17E5"/>
    <w:rsid w:val="006E1BBE"/>
    <w:rsid w:val="006E30F0"/>
    <w:rsid w:val="006E480F"/>
    <w:rsid w:val="006E5851"/>
    <w:rsid w:val="006E77C3"/>
    <w:rsid w:val="006E7972"/>
    <w:rsid w:val="006E7B7F"/>
    <w:rsid w:val="006F0ACA"/>
    <w:rsid w:val="006F4198"/>
    <w:rsid w:val="006F48AC"/>
    <w:rsid w:val="006F4DA7"/>
    <w:rsid w:val="006F5C17"/>
    <w:rsid w:val="006F5C44"/>
    <w:rsid w:val="006F707F"/>
    <w:rsid w:val="00700934"/>
    <w:rsid w:val="00700C49"/>
    <w:rsid w:val="00701242"/>
    <w:rsid w:val="0070149D"/>
    <w:rsid w:val="0070155C"/>
    <w:rsid w:val="0070244A"/>
    <w:rsid w:val="0070256F"/>
    <w:rsid w:val="0070275C"/>
    <w:rsid w:val="00704255"/>
    <w:rsid w:val="0070577D"/>
    <w:rsid w:val="00705997"/>
    <w:rsid w:val="00705C45"/>
    <w:rsid w:val="00706BF1"/>
    <w:rsid w:val="00707228"/>
    <w:rsid w:val="007103B8"/>
    <w:rsid w:val="0071105B"/>
    <w:rsid w:val="007141C4"/>
    <w:rsid w:val="007144AF"/>
    <w:rsid w:val="00716223"/>
    <w:rsid w:val="007164FE"/>
    <w:rsid w:val="007169DD"/>
    <w:rsid w:val="00716D0A"/>
    <w:rsid w:val="007170FE"/>
    <w:rsid w:val="00717BA3"/>
    <w:rsid w:val="0072034C"/>
    <w:rsid w:val="00720F49"/>
    <w:rsid w:val="00721D5A"/>
    <w:rsid w:val="00722791"/>
    <w:rsid w:val="0072283A"/>
    <w:rsid w:val="00723F3D"/>
    <w:rsid w:val="0072444E"/>
    <w:rsid w:val="00725E02"/>
    <w:rsid w:val="0072607D"/>
    <w:rsid w:val="00726188"/>
    <w:rsid w:val="00726BF0"/>
    <w:rsid w:val="00730070"/>
    <w:rsid w:val="0073058B"/>
    <w:rsid w:val="00731750"/>
    <w:rsid w:val="007317F9"/>
    <w:rsid w:val="00732192"/>
    <w:rsid w:val="00732450"/>
    <w:rsid w:val="00733641"/>
    <w:rsid w:val="00734180"/>
    <w:rsid w:val="007345BA"/>
    <w:rsid w:val="00735545"/>
    <w:rsid w:val="007356EE"/>
    <w:rsid w:val="007376F7"/>
    <w:rsid w:val="00740C96"/>
    <w:rsid w:val="00741935"/>
    <w:rsid w:val="007420E6"/>
    <w:rsid w:val="00743060"/>
    <w:rsid w:val="007430EF"/>
    <w:rsid w:val="007447EC"/>
    <w:rsid w:val="007449EA"/>
    <w:rsid w:val="00745E2C"/>
    <w:rsid w:val="0074693F"/>
    <w:rsid w:val="00751A7A"/>
    <w:rsid w:val="00751E65"/>
    <w:rsid w:val="00753030"/>
    <w:rsid w:val="007531D7"/>
    <w:rsid w:val="007554DF"/>
    <w:rsid w:val="00755C30"/>
    <w:rsid w:val="00756B08"/>
    <w:rsid w:val="00757122"/>
    <w:rsid w:val="007572CB"/>
    <w:rsid w:val="00757874"/>
    <w:rsid w:val="00760A4F"/>
    <w:rsid w:val="00763FAC"/>
    <w:rsid w:val="00766233"/>
    <w:rsid w:val="007679AD"/>
    <w:rsid w:val="00767FB2"/>
    <w:rsid w:val="007702BD"/>
    <w:rsid w:val="00770665"/>
    <w:rsid w:val="00773870"/>
    <w:rsid w:val="0077454F"/>
    <w:rsid w:val="00774A8D"/>
    <w:rsid w:val="007750B8"/>
    <w:rsid w:val="00777630"/>
    <w:rsid w:val="00781814"/>
    <w:rsid w:val="00781B99"/>
    <w:rsid w:val="00782792"/>
    <w:rsid w:val="007829D0"/>
    <w:rsid w:val="0078520F"/>
    <w:rsid w:val="0078572D"/>
    <w:rsid w:val="00785CE7"/>
    <w:rsid w:val="00786B4C"/>
    <w:rsid w:val="00787996"/>
    <w:rsid w:val="00787A7D"/>
    <w:rsid w:val="00790941"/>
    <w:rsid w:val="00790CEC"/>
    <w:rsid w:val="00790EB9"/>
    <w:rsid w:val="00790FD5"/>
    <w:rsid w:val="00792393"/>
    <w:rsid w:val="007934C8"/>
    <w:rsid w:val="0079356C"/>
    <w:rsid w:val="00793E88"/>
    <w:rsid w:val="007945F2"/>
    <w:rsid w:val="00794C92"/>
    <w:rsid w:val="00795531"/>
    <w:rsid w:val="0079669B"/>
    <w:rsid w:val="007A0924"/>
    <w:rsid w:val="007A335C"/>
    <w:rsid w:val="007A4541"/>
    <w:rsid w:val="007A4D06"/>
    <w:rsid w:val="007A56FB"/>
    <w:rsid w:val="007A6001"/>
    <w:rsid w:val="007A689E"/>
    <w:rsid w:val="007A6A0A"/>
    <w:rsid w:val="007A796C"/>
    <w:rsid w:val="007B045E"/>
    <w:rsid w:val="007B0866"/>
    <w:rsid w:val="007B0A99"/>
    <w:rsid w:val="007B0D7B"/>
    <w:rsid w:val="007B10AC"/>
    <w:rsid w:val="007B12FD"/>
    <w:rsid w:val="007B2549"/>
    <w:rsid w:val="007B2E6D"/>
    <w:rsid w:val="007B332C"/>
    <w:rsid w:val="007B37DD"/>
    <w:rsid w:val="007B5775"/>
    <w:rsid w:val="007B5AC1"/>
    <w:rsid w:val="007B5B28"/>
    <w:rsid w:val="007B6284"/>
    <w:rsid w:val="007B663D"/>
    <w:rsid w:val="007B6FA2"/>
    <w:rsid w:val="007C03E1"/>
    <w:rsid w:val="007C04BF"/>
    <w:rsid w:val="007C221D"/>
    <w:rsid w:val="007C2449"/>
    <w:rsid w:val="007C2A69"/>
    <w:rsid w:val="007C2BDF"/>
    <w:rsid w:val="007C427B"/>
    <w:rsid w:val="007C4967"/>
    <w:rsid w:val="007C5B69"/>
    <w:rsid w:val="007C60A4"/>
    <w:rsid w:val="007C67C6"/>
    <w:rsid w:val="007D0440"/>
    <w:rsid w:val="007D0FA9"/>
    <w:rsid w:val="007D1E5F"/>
    <w:rsid w:val="007D283D"/>
    <w:rsid w:val="007D3092"/>
    <w:rsid w:val="007D33BB"/>
    <w:rsid w:val="007D3FEB"/>
    <w:rsid w:val="007E2A2C"/>
    <w:rsid w:val="007E49DC"/>
    <w:rsid w:val="007E5C0E"/>
    <w:rsid w:val="007E670C"/>
    <w:rsid w:val="007F00FF"/>
    <w:rsid w:val="007F029D"/>
    <w:rsid w:val="007F2AC5"/>
    <w:rsid w:val="007F3361"/>
    <w:rsid w:val="007F3BB6"/>
    <w:rsid w:val="007F3E24"/>
    <w:rsid w:val="007F5C7E"/>
    <w:rsid w:val="007F6037"/>
    <w:rsid w:val="007F6BCC"/>
    <w:rsid w:val="0080028F"/>
    <w:rsid w:val="008012FC"/>
    <w:rsid w:val="00801B4E"/>
    <w:rsid w:val="00803C14"/>
    <w:rsid w:val="008044E3"/>
    <w:rsid w:val="00805143"/>
    <w:rsid w:val="0081220F"/>
    <w:rsid w:val="00812C3B"/>
    <w:rsid w:val="008135E1"/>
    <w:rsid w:val="00814646"/>
    <w:rsid w:val="00814B25"/>
    <w:rsid w:val="00815759"/>
    <w:rsid w:val="00816CAF"/>
    <w:rsid w:val="00816D13"/>
    <w:rsid w:val="008214B2"/>
    <w:rsid w:val="0082162E"/>
    <w:rsid w:val="00821960"/>
    <w:rsid w:val="00822214"/>
    <w:rsid w:val="0082406A"/>
    <w:rsid w:val="008248F2"/>
    <w:rsid w:val="0082520B"/>
    <w:rsid w:val="008258E2"/>
    <w:rsid w:val="00825B47"/>
    <w:rsid w:val="00827686"/>
    <w:rsid w:val="00831667"/>
    <w:rsid w:val="0083172A"/>
    <w:rsid w:val="00832859"/>
    <w:rsid w:val="008331F7"/>
    <w:rsid w:val="0083377E"/>
    <w:rsid w:val="00833AF6"/>
    <w:rsid w:val="00835C19"/>
    <w:rsid w:val="00835DA7"/>
    <w:rsid w:val="008449C2"/>
    <w:rsid w:val="00844D8F"/>
    <w:rsid w:val="00845C9B"/>
    <w:rsid w:val="00846084"/>
    <w:rsid w:val="00852C8A"/>
    <w:rsid w:val="00852DD5"/>
    <w:rsid w:val="00853114"/>
    <w:rsid w:val="008536B8"/>
    <w:rsid w:val="00853D7E"/>
    <w:rsid w:val="00856195"/>
    <w:rsid w:val="00856CBF"/>
    <w:rsid w:val="00860D0C"/>
    <w:rsid w:val="00860EC4"/>
    <w:rsid w:val="0086200D"/>
    <w:rsid w:val="00862DBF"/>
    <w:rsid w:val="00863E12"/>
    <w:rsid w:val="008647C8"/>
    <w:rsid w:val="0086587A"/>
    <w:rsid w:val="00866A49"/>
    <w:rsid w:val="0087018A"/>
    <w:rsid w:val="00871ACD"/>
    <w:rsid w:val="00871B85"/>
    <w:rsid w:val="00871C84"/>
    <w:rsid w:val="008727D9"/>
    <w:rsid w:val="0087301D"/>
    <w:rsid w:val="00874581"/>
    <w:rsid w:val="0087533B"/>
    <w:rsid w:val="00876951"/>
    <w:rsid w:val="008775EA"/>
    <w:rsid w:val="00877FE8"/>
    <w:rsid w:val="00880C49"/>
    <w:rsid w:val="00881772"/>
    <w:rsid w:val="0088183A"/>
    <w:rsid w:val="00882F30"/>
    <w:rsid w:val="00883224"/>
    <w:rsid w:val="008834DA"/>
    <w:rsid w:val="00883EA0"/>
    <w:rsid w:val="00885981"/>
    <w:rsid w:val="00886ABA"/>
    <w:rsid w:val="00887276"/>
    <w:rsid w:val="008874A8"/>
    <w:rsid w:val="008874E9"/>
    <w:rsid w:val="008877E2"/>
    <w:rsid w:val="00890F70"/>
    <w:rsid w:val="0089139A"/>
    <w:rsid w:val="00892B6C"/>
    <w:rsid w:val="0089341C"/>
    <w:rsid w:val="00894244"/>
    <w:rsid w:val="008961CB"/>
    <w:rsid w:val="0089631F"/>
    <w:rsid w:val="00896521"/>
    <w:rsid w:val="00896EFE"/>
    <w:rsid w:val="0089747A"/>
    <w:rsid w:val="00897687"/>
    <w:rsid w:val="008A05DA"/>
    <w:rsid w:val="008A13A7"/>
    <w:rsid w:val="008A23DE"/>
    <w:rsid w:val="008A2C34"/>
    <w:rsid w:val="008A3F8C"/>
    <w:rsid w:val="008A45DE"/>
    <w:rsid w:val="008A52E7"/>
    <w:rsid w:val="008A73CB"/>
    <w:rsid w:val="008A7A77"/>
    <w:rsid w:val="008A7C07"/>
    <w:rsid w:val="008A7F64"/>
    <w:rsid w:val="008B19B1"/>
    <w:rsid w:val="008B1D9A"/>
    <w:rsid w:val="008B1E8C"/>
    <w:rsid w:val="008B2127"/>
    <w:rsid w:val="008B21BE"/>
    <w:rsid w:val="008B2A90"/>
    <w:rsid w:val="008B48A6"/>
    <w:rsid w:val="008B5AC0"/>
    <w:rsid w:val="008B7256"/>
    <w:rsid w:val="008B78D3"/>
    <w:rsid w:val="008B7DA9"/>
    <w:rsid w:val="008C0F88"/>
    <w:rsid w:val="008C2550"/>
    <w:rsid w:val="008C355D"/>
    <w:rsid w:val="008C3DAC"/>
    <w:rsid w:val="008C42D5"/>
    <w:rsid w:val="008C4E3A"/>
    <w:rsid w:val="008C57A3"/>
    <w:rsid w:val="008C6A2F"/>
    <w:rsid w:val="008C7A9F"/>
    <w:rsid w:val="008D0D1B"/>
    <w:rsid w:val="008D1552"/>
    <w:rsid w:val="008D2441"/>
    <w:rsid w:val="008D2A03"/>
    <w:rsid w:val="008D2CFD"/>
    <w:rsid w:val="008D2FA5"/>
    <w:rsid w:val="008D369F"/>
    <w:rsid w:val="008D3D56"/>
    <w:rsid w:val="008D583C"/>
    <w:rsid w:val="008D58EF"/>
    <w:rsid w:val="008D5DCD"/>
    <w:rsid w:val="008D7CC6"/>
    <w:rsid w:val="008E0759"/>
    <w:rsid w:val="008E1DB6"/>
    <w:rsid w:val="008E34A6"/>
    <w:rsid w:val="008E3B90"/>
    <w:rsid w:val="008E444A"/>
    <w:rsid w:val="008E4C79"/>
    <w:rsid w:val="008E4FDF"/>
    <w:rsid w:val="008E5C36"/>
    <w:rsid w:val="008E5EBA"/>
    <w:rsid w:val="008E63E9"/>
    <w:rsid w:val="008E6DC2"/>
    <w:rsid w:val="008F0244"/>
    <w:rsid w:val="008F0370"/>
    <w:rsid w:val="008F0D00"/>
    <w:rsid w:val="008F1F63"/>
    <w:rsid w:val="008F237D"/>
    <w:rsid w:val="008F2572"/>
    <w:rsid w:val="008F475F"/>
    <w:rsid w:val="008F5724"/>
    <w:rsid w:val="008F7328"/>
    <w:rsid w:val="0090006A"/>
    <w:rsid w:val="00900AAE"/>
    <w:rsid w:val="00902E93"/>
    <w:rsid w:val="0090301E"/>
    <w:rsid w:val="00903113"/>
    <w:rsid w:val="00905579"/>
    <w:rsid w:val="009062AB"/>
    <w:rsid w:val="009108D7"/>
    <w:rsid w:val="00910958"/>
    <w:rsid w:val="00911279"/>
    <w:rsid w:val="00911E79"/>
    <w:rsid w:val="00911EB0"/>
    <w:rsid w:val="00911EC1"/>
    <w:rsid w:val="00912336"/>
    <w:rsid w:val="00912703"/>
    <w:rsid w:val="0091376B"/>
    <w:rsid w:val="00913DED"/>
    <w:rsid w:val="00914DB6"/>
    <w:rsid w:val="0091573F"/>
    <w:rsid w:val="00916211"/>
    <w:rsid w:val="0092125F"/>
    <w:rsid w:val="009229BA"/>
    <w:rsid w:val="00922A2C"/>
    <w:rsid w:val="00923004"/>
    <w:rsid w:val="0092329F"/>
    <w:rsid w:val="00925108"/>
    <w:rsid w:val="00926982"/>
    <w:rsid w:val="00930B1D"/>
    <w:rsid w:val="0093115E"/>
    <w:rsid w:val="00934398"/>
    <w:rsid w:val="0093564E"/>
    <w:rsid w:val="00935D0A"/>
    <w:rsid w:val="00936202"/>
    <w:rsid w:val="00936363"/>
    <w:rsid w:val="0093647B"/>
    <w:rsid w:val="009411AF"/>
    <w:rsid w:val="00941625"/>
    <w:rsid w:val="009422F4"/>
    <w:rsid w:val="0094257E"/>
    <w:rsid w:val="00943EF6"/>
    <w:rsid w:val="009446F2"/>
    <w:rsid w:val="00944FE0"/>
    <w:rsid w:val="009453D3"/>
    <w:rsid w:val="0094639D"/>
    <w:rsid w:val="00946776"/>
    <w:rsid w:val="009515F3"/>
    <w:rsid w:val="009520FC"/>
    <w:rsid w:val="0095271D"/>
    <w:rsid w:val="009537A6"/>
    <w:rsid w:val="0095404F"/>
    <w:rsid w:val="00954807"/>
    <w:rsid w:val="00956499"/>
    <w:rsid w:val="00956DD3"/>
    <w:rsid w:val="009572DA"/>
    <w:rsid w:val="00957393"/>
    <w:rsid w:val="009603E3"/>
    <w:rsid w:val="0096186D"/>
    <w:rsid w:val="00961EE8"/>
    <w:rsid w:val="009625D7"/>
    <w:rsid w:val="00963435"/>
    <w:rsid w:val="00963978"/>
    <w:rsid w:val="00963BAD"/>
    <w:rsid w:val="00963D9A"/>
    <w:rsid w:val="0096433D"/>
    <w:rsid w:val="009658B1"/>
    <w:rsid w:val="00970393"/>
    <w:rsid w:val="00970AD3"/>
    <w:rsid w:val="0097104E"/>
    <w:rsid w:val="00971958"/>
    <w:rsid w:val="00972126"/>
    <w:rsid w:val="009722C9"/>
    <w:rsid w:val="009726B0"/>
    <w:rsid w:val="00975771"/>
    <w:rsid w:val="009760D8"/>
    <w:rsid w:val="00976540"/>
    <w:rsid w:val="0097667D"/>
    <w:rsid w:val="00976DFF"/>
    <w:rsid w:val="00977122"/>
    <w:rsid w:val="00977F99"/>
    <w:rsid w:val="009812A4"/>
    <w:rsid w:val="0098356F"/>
    <w:rsid w:val="00983C4A"/>
    <w:rsid w:val="00983D88"/>
    <w:rsid w:val="00983FA7"/>
    <w:rsid w:val="00984334"/>
    <w:rsid w:val="00984F02"/>
    <w:rsid w:val="009922CB"/>
    <w:rsid w:val="00993C87"/>
    <w:rsid w:val="00996579"/>
    <w:rsid w:val="009A00C6"/>
    <w:rsid w:val="009A12CC"/>
    <w:rsid w:val="009A1A67"/>
    <w:rsid w:val="009A4214"/>
    <w:rsid w:val="009A53F9"/>
    <w:rsid w:val="009A6695"/>
    <w:rsid w:val="009A67CA"/>
    <w:rsid w:val="009A6F31"/>
    <w:rsid w:val="009B200A"/>
    <w:rsid w:val="009B22BD"/>
    <w:rsid w:val="009B2886"/>
    <w:rsid w:val="009B2B7F"/>
    <w:rsid w:val="009B3CA2"/>
    <w:rsid w:val="009B45C7"/>
    <w:rsid w:val="009B4C56"/>
    <w:rsid w:val="009B4E5F"/>
    <w:rsid w:val="009B54E3"/>
    <w:rsid w:val="009B5BF2"/>
    <w:rsid w:val="009B694D"/>
    <w:rsid w:val="009B7177"/>
    <w:rsid w:val="009B7D63"/>
    <w:rsid w:val="009B7DC5"/>
    <w:rsid w:val="009C0E8C"/>
    <w:rsid w:val="009C11F6"/>
    <w:rsid w:val="009C1640"/>
    <w:rsid w:val="009C2183"/>
    <w:rsid w:val="009C2A6F"/>
    <w:rsid w:val="009C2E01"/>
    <w:rsid w:val="009C3F70"/>
    <w:rsid w:val="009C58C8"/>
    <w:rsid w:val="009C6025"/>
    <w:rsid w:val="009C6355"/>
    <w:rsid w:val="009C6A49"/>
    <w:rsid w:val="009D01FD"/>
    <w:rsid w:val="009D0ABD"/>
    <w:rsid w:val="009D1294"/>
    <w:rsid w:val="009D1D73"/>
    <w:rsid w:val="009D335B"/>
    <w:rsid w:val="009D5277"/>
    <w:rsid w:val="009D6821"/>
    <w:rsid w:val="009D7A65"/>
    <w:rsid w:val="009E0976"/>
    <w:rsid w:val="009E4D44"/>
    <w:rsid w:val="009E7C16"/>
    <w:rsid w:val="009F1EE5"/>
    <w:rsid w:val="009F3BFC"/>
    <w:rsid w:val="009F41E7"/>
    <w:rsid w:val="009F4D3D"/>
    <w:rsid w:val="009F6CE7"/>
    <w:rsid w:val="009F70AC"/>
    <w:rsid w:val="00A00A87"/>
    <w:rsid w:val="00A018DE"/>
    <w:rsid w:val="00A02DB7"/>
    <w:rsid w:val="00A03038"/>
    <w:rsid w:val="00A03245"/>
    <w:rsid w:val="00A03C73"/>
    <w:rsid w:val="00A05345"/>
    <w:rsid w:val="00A05707"/>
    <w:rsid w:val="00A073E0"/>
    <w:rsid w:val="00A100E8"/>
    <w:rsid w:val="00A111C5"/>
    <w:rsid w:val="00A113F6"/>
    <w:rsid w:val="00A128E4"/>
    <w:rsid w:val="00A13573"/>
    <w:rsid w:val="00A139D3"/>
    <w:rsid w:val="00A13E8A"/>
    <w:rsid w:val="00A15059"/>
    <w:rsid w:val="00A17354"/>
    <w:rsid w:val="00A23B78"/>
    <w:rsid w:val="00A24FA1"/>
    <w:rsid w:val="00A25153"/>
    <w:rsid w:val="00A252F9"/>
    <w:rsid w:val="00A2721E"/>
    <w:rsid w:val="00A27751"/>
    <w:rsid w:val="00A27EEC"/>
    <w:rsid w:val="00A30271"/>
    <w:rsid w:val="00A302D7"/>
    <w:rsid w:val="00A311C0"/>
    <w:rsid w:val="00A322D6"/>
    <w:rsid w:val="00A3420B"/>
    <w:rsid w:val="00A344CE"/>
    <w:rsid w:val="00A36747"/>
    <w:rsid w:val="00A37200"/>
    <w:rsid w:val="00A37435"/>
    <w:rsid w:val="00A3752C"/>
    <w:rsid w:val="00A40B23"/>
    <w:rsid w:val="00A4356D"/>
    <w:rsid w:val="00A436E7"/>
    <w:rsid w:val="00A43D54"/>
    <w:rsid w:val="00A44E57"/>
    <w:rsid w:val="00A4526B"/>
    <w:rsid w:val="00A464E9"/>
    <w:rsid w:val="00A466A2"/>
    <w:rsid w:val="00A47B05"/>
    <w:rsid w:val="00A47EB9"/>
    <w:rsid w:val="00A50001"/>
    <w:rsid w:val="00A50A7C"/>
    <w:rsid w:val="00A50F0C"/>
    <w:rsid w:val="00A52AED"/>
    <w:rsid w:val="00A53FBC"/>
    <w:rsid w:val="00A54ED3"/>
    <w:rsid w:val="00A55663"/>
    <w:rsid w:val="00A557EA"/>
    <w:rsid w:val="00A55C83"/>
    <w:rsid w:val="00A56170"/>
    <w:rsid w:val="00A56834"/>
    <w:rsid w:val="00A57D2D"/>
    <w:rsid w:val="00A60083"/>
    <w:rsid w:val="00A617C6"/>
    <w:rsid w:val="00A61915"/>
    <w:rsid w:val="00A62DBF"/>
    <w:rsid w:val="00A62F89"/>
    <w:rsid w:val="00A634E0"/>
    <w:rsid w:val="00A64222"/>
    <w:rsid w:val="00A65516"/>
    <w:rsid w:val="00A66A8E"/>
    <w:rsid w:val="00A7026C"/>
    <w:rsid w:val="00A71636"/>
    <w:rsid w:val="00A722AC"/>
    <w:rsid w:val="00A73B55"/>
    <w:rsid w:val="00A73CD7"/>
    <w:rsid w:val="00A74C87"/>
    <w:rsid w:val="00A74F00"/>
    <w:rsid w:val="00A75047"/>
    <w:rsid w:val="00A75DDC"/>
    <w:rsid w:val="00A80610"/>
    <w:rsid w:val="00A81A6C"/>
    <w:rsid w:val="00A81E3B"/>
    <w:rsid w:val="00A84796"/>
    <w:rsid w:val="00A84833"/>
    <w:rsid w:val="00A85A83"/>
    <w:rsid w:val="00A86BDA"/>
    <w:rsid w:val="00A91363"/>
    <w:rsid w:val="00A91789"/>
    <w:rsid w:val="00A92DDE"/>
    <w:rsid w:val="00A92EA5"/>
    <w:rsid w:val="00A930DB"/>
    <w:rsid w:val="00A93757"/>
    <w:rsid w:val="00A939B1"/>
    <w:rsid w:val="00A94224"/>
    <w:rsid w:val="00A95289"/>
    <w:rsid w:val="00A96CCE"/>
    <w:rsid w:val="00AA0AEF"/>
    <w:rsid w:val="00AA15F1"/>
    <w:rsid w:val="00AA213E"/>
    <w:rsid w:val="00AA696D"/>
    <w:rsid w:val="00AB1323"/>
    <w:rsid w:val="00AB1B3D"/>
    <w:rsid w:val="00AB22EE"/>
    <w:rsid w:val="00AB36B5"/>
    <w:rsid w:val="00AB39FE"/>
    <w:rsid w:val="00AB3AFE"/>
    <w:rsid w:val="00AB3BFC"/>
    <w:rsid w:val="00AB708D"/>
    <w:rsid w:val="00AB789E"/>
    <w:rsid w:val="00AC042F"/>
    <w:rsid w:val="00AC0ACB"/>
    <w:rsid w:val="00AC1B8E"/>
    <w:rsid w:val="00AC275D"/>
    <w:rsid w:val="00AC2CB8"/>
    <w:rsid w:val="00AC2F5E"/>
    <w:rsid w:val="00AC408C"/>
    <w:rsid w:val="00AC49FB"/>
    <w:rsid w:val="00AC54E5"/>
    <w:rsid w:val="00AC6A26"/>
    <w:rsid w:val="00AC70F3"/>
    <w:rsid w:val="00AD0551"/>
    <w:rsid w:val="00AD07A1"/>
    <w:rsid w:val="00AD1448"/>
    <w:rsid w:val="00AD1DFD"/>
    <w:rsid w:val="00AD2A51"/>
    <w:rsid w:val="00AD4805"/>
    <w:rsid w:val="00AD4F29"/>
    <w:rsid w:val="00AD50E6"/>
    <w:rsid w:val="00AD544E"/>
    <w:rsid w:val="00AD645B"/>
    <w:rsid w:val="00AD70D7"/>
    <w:rsid w:val="00AD7110"/>
    <w:rsid w:val="00AD74DE"/>
    <w:rsid w:val="00AD74E3"/>
    <w:rsid w:val="00AE1DB5"/>
    <w:rsid w:val="00AE2761"/>
    <w:rsid w:val="00AE3F98"/>
    <w:rsid w:val="00AE419A"/>
    <w:rsid w:val="00AE5D32"/>
    <w:rsid w:val="00AE6B78"/>
    <w:rsid w:val="00AF0F22"/>
    <w:rsid w:val="00AF1760"/>
    <w:rsid w:val="00AF26B9"/>
    <w:rsid w:val="00AF3FF9"/>
    <w:rsid w:val="00AF4856"/>
    <w:rsid w:val="00AF586B"/>
    <w:rsid w:val="00AF6C18"/>
    <w:rsid w:val="00B007FA"/>
    <w:rsid w:val="00B00B9B"/>
    <w:rsid w:val="00B01A69"/>
    <w:rsid w:val="00B02E62"/>
    <w:rsid w:val="00B03D8E"/>
    <w:rsid w:val="00B04785"/>
    <w:rsid w:val="00B0543C"/>
    <w:rsid w:val="00B065BF"/>
    <w:rsid w:val="00B06B13"/>
    <w:rsid w:val="00B074F0"/>
    <w:rsid w:val="00B07626"/>
    <w:rsid w:val="00B10614"/>
    <w:rsid w:val="00B10D37"/>
    <w:rsid w:val="00B11E0C"/>
    <w:rsid w:val="00B11ED4"/>
    <w:rsid w:val="00B125B7"/>
    <w:rsid w:val="00B13270"/>
    <w:rsid w:val="00B132FA"/>
    <w:rsid w:val="00B13D61"/>
    <w:rsid w:val="00B13DCC"/>
    <w:rsid w:val="00B1671E"/>
    <w:rsid w:val="00B17787"/>
    <w:rsid w:val="00B17829"/>
    <w:rsid w:val="00B17A38"/>
    <w:rsid w:val="00B17ACD"/>
    <w:rsid w:val="00B17D55"/>
    <w:rsid w:val="00B17D6F"/>
    <w:rsid w:val="00B17DEF"/>
    <w:rsid w:val="00B201BF"/>
    <w:rsid w:val="00B20588"/>
    <w:rsid w:val="00B22602"/>
    <w:rsid w:val="00B22696"/>
    <w:rsid w:val="00B22B08"/>
    <w:rsid w:val="00B22C15"/>
    <w:rsid w:val="00B24EB2"/>
    <w:rsid w:val="00B26464"/>
    <w:rsid w:val="00B27F0F"/>
    <w:rsid w:val="00B31E5C"/>
    <w:rsid w:val="00B32360"/>
    <w:rsid w:val="00B32431"/>
    <w:rsid w:val="00B32B37"/>
    <w:rsid w:val="00B3312A"/>
    <w:rsid w:val="00B36011"/>
    <w:rsid w:val="00B37021"/>
    <w:rsid w:val="00B37F59"/>
    <w:rsid w:val="00B37FD7"/>
    <w:rsid w:val="00B427E5"/>
    <w:rsid w:val="00B46B93"/>
    <w:rsid w:val="00B47973"/>
    <w:rsid w:val="00B506C3"/>
    <w:rsid w:val="00B50F69"/>
    <w:rsid w:val="00B51241"/>
    <w:rsid w:val="00B52596"/>
    <w:rsid w:val="00B52F78"/>
    <w:rsid w:val="00B53375"/>
    <w:rsid w:val="00B536F9"/>
    <w:rsid w:val="00B54604"/>
    <w:rsid w:val="00B56918"/>
    <w:rsid w:val="00B56F88"/>
    <w:rsid w:val="00B6003E"/>
    <w:rsid w:val="00B618D5"/>
    <w:rsid w:val="00B6268E"/>
    <w:rsid w:val="00B630AE"/>
    <w:rsid w:val="00B64245"/>
    <w:rsid w:val="00B645A0"/>
    <w:rsid w:val="00B64A30"/>
    <w:rsid w:val="00B65152"/>
    <w:rsid w:val="00B65F1A"/>
    <w:rsid w:val="00B67AED"/>
    <w:rsid w:val="00B701B3"/>
    <w:rsid w:val="00B70757"/>
    <w:rsid w:val="00B73CD8"/>
    <w:rsid w:val="00B740E8"/>
    <w:rsid w:val="00B743EC"/>
    <w:rsid w:val="00B7598B"/>
    <w:rsid w:val="00B75A00"/>
    <w:rsid w:val="00B75A1E"/>
    <w:rsid w:val="00B77C1A"/>
    <w:rsid w:val="00B80A58"/>
    <w:rsid w:val="00B80B39"/>
    <w:rsid w:val="00B80F7A"/>
    <w:rsid w:val="00B819A8"/>
    <w:rsid w:val="00B81C60"/>
    <w:rsid w:val="00B82C9A"/>
    <w:rsid w:val="00B85871"/>
    <w:rsid w:val="00B85A13"/>
    <w:rsid w:val="00B861C8"/>
    <w:rsid w:val="00B8672F"/>
    <w:rsid w:val="00B86A37"/>
    <w:rsid w:val="00B86B14"/>
    <w:rsid w:val="00B86CAE"/>
    <w:rsid w:val="00B90365"/>
    <w:rsid w:val="00B92B09"/>
    <w:rsid w:val="00B9392C"/>
    <w:rsid w:val="00B93E2B"/>
    <w:rsid w:val="00B95A0A"/>
    <w:rsid w:val="00B9649E"/>
    <w:rsid w:val="00B96804"/>
    <w:rsid w:val="00B96BC0"/>
    <w:rsid w:val="00B96F19"/>
    <w:rsid w:val="00B97AF1"/>
    <w:rsid w:val="00BA06E9"/>
    <w:rsid w:val="00BA0B28"/>
    <w:rsid w:val="00BA23D9"/>
    <w:rsid w:val="00BA417A"/>
    <w:rsid w:val="00BA4AE0"/>
    <w:rsid w:val="00BA5B3A"/>
    <w:rsid w:val="00BA7B97"/>
    <w:rsid w:val="00BB0AD8"/>
    <w:rsid w:val="00BB1EDE"/>
    <w:rsid w:val="00BB2198"/>
    <w:rsid w:val="00BB31C7"/>
    <w:rsid w:val="00BB3BC1"/>
    <w:rsid w:val="00BB4516"/>
    <w:rsid w:val="00BB4848"/>
    <w:rsid w:val="00BB543D"/>
    <w:rsid w:val="00BC038D"/>
    <w:rsid w:val="00BC1913"/>
    <w:rsid w:val="00BC203D"/>
    <w:rsid w:val="00BC2218"/>
    <w:rsid w:val="00BC221E"/>
    <w:rsid w:val="00BC4081"/>
    <w:rsid w:val="00BC48FA"/>
    <w:rsid w:val="00BC5C18"/>
    <w:rsid w:val="00BC5FC8"/>
    <w:rsid w:val="00BC6DB7"/>
    <w:rsid w:val="00BD000A"/>
    <w:rsid w:val="00BD1118"/>
    <w:rsid w:val="00BD228F"/>
    <w:rsid w:val="00BD24AC"/>
    <w:rsid w:val="00BD3D36"/>
    <w:rsid w:val="00BD40B0"/>
    <w:rsid w:val="00BD4898"/>
    <w:rsid w:val="00BD4FA2"/>
    <w:rsid w:val="00BD503A"/>
    <w:rsid w:val="00BD52E0"/>
    <w:rsid w:val="00BD5315"/>
    <w:rsid w:val="00BD544B"/>
    <w:rsid w:val="00BD7846"/>
    <w:rsid w:val="00BE00DD"/>
    <w:rsid w:val="00BE0112"/>
    <w:rsid w:val="00BE055F"/>
    <w:rsid w:val="00BE0561"/>
    <w:rsid w:val="00BE0CB6"/>
    <w:rsid w:val="00BE238B"/>
    <w:rsid w:val="00BE2EF2"/>
    <w:rsid w:val="00BE3394"/>
    <w:rsid w:val="00BE3664"/>
    <w:rsid w:val="00BE36EB"/>
    <w:rsid w:val="00BE42FA"/>
    <w:rsid w:val="00BE4A39"/>
    <w:rsid w:val="00BE4C08"/>
    <w:rsid w:val="00BE4F4C"/>
    <w:rsid w:val="00BE677A"/>
    <w:rsid w:val="00BE6BB0"/>
    <w:rsid w:val="00BF002C"/>
    <w:rsid w:val="00BF03E1"/>
    <w:rsid w:val="00BF2E6A"/>
    <w:rsid w:val="00BF2F71"/>
    <w:rsid w:val="00BF3940"/>
    <w:rsid w:val="00BF4819"/>
    <w:rsid w:val="00BF49DD"/>
    <w:rsid w:val="00BF521A"/>
    <w:rsid w:val="00BF5376"/>
    <w:rsid w:val="00BF5A60"/>
    <w:rsid w:val="00BF5AE9"/>
    <w:rsid w:val="00BF60F0"/>
    <w:rsid w:val="00BF65D8"/>
    <w:rsid w:val="00BF7443"/>
    <w:rsid w:val="00C010C0"/>
    <w:rsid w:val="00C0255C"/>
    <w:rsid w:val="00C038AF"/>
    <w:rsid w:val="00C04B13"/>
    <w:rsid w:val="00C04C39"/>
    <w:rsid w:val="00C054BF"/>
    <w:rsid w:val="00C14E8E"/>
    <w:rsid w:val="00C151FA"/>
    <w:rsid w:val="00C1646A"/>
    <w:rsid w:val="00C22FA6"/>
    <w:rsid w:val="00C2397B"/>
    <w:rsid w:val="00C249D0"/>
    <w:rsid w:val="00C308D7"/>
    <w:rsid w:val="00C30D56"/>
    <w:rsid w:val="00C32465"/>
    <w:rsid w:val="00C33DF3"/>
    <w:rsid w:val="00C3511F"/>
    <w:rsid w:val="00C361CE"/>
    <w:rsid w:val="00C402EF"/>
    <w:rsid w:val="00C42169"/>
    <w:rsid w:val="00C45121"/>
    <w:rsid w:val="00C4522B"/>
    <w:rsid w:val="00C45868"/>
    <w:rsid w:val="00C45C63"/>
    <w:rsid w:val="00C474CC"/>
    <w:rsid w:val="00C52AAA"/>
    <w:rsid w:val="00C54100"/>
    <w:rsid w:val="00C56CEB"/>
    <w:rsid w:val="00C5746C"/>
    <w:rsid w:val="00C60486"/>
    <w:rsid w:val="00C608F7"/>
    <w:rsid w:val="00C61236"/>
    <w:rsid w:val="00C613EC"/>
    <w:rsid w:val="00C616D3"/>
    <w:rsid w:val="00C61ADF"/>
    <w:rsid w:val="00C637D1"/>
    <w:rsid w:val="00C6706D"/>
    <w:rsid w:val="00C67257"/>
    <w:rsid w:val="00C67C11"/>
    <w:rsid w:val="00C700DD"/>
    <w:rsid w:val="00C70671"/>
    <w:rsid w:val="00C70E34"/>
    <w:rsid w:val="00C71C4B"/>
    <w:rsid w:val="00C72D90"/>
    <w:rsid w:val="00C73667"/>
    <w:rsid w:val="00C73ED0"/>
    <w:rsid w:val="00C7653E"/>
    <w:rsid w:val="00C7755B"/>
    <w:rsid w:val="00C82888"/>
    <w:rsid w:val="00C82FB2"/>
    <w:rsid w:val="00C833B0"/>
    <w:rsid w:val="00C83433"/>
    <w:rsid w:val="00C85B9B"/>
    <w:rsid w:val="00C9095F"/>
    <w:rsid w:val="00C90E6D"/>
    <w:rsid w:val="00C910E7"/>
    <w:rsid w:val="00C92707"/>
    <w:rsid w:val="00C92739"/>
    <w:rsid w:val="00C9402E"/>
    <w:rsid w:val="00C94680"/>
    <w:rsid w:val="00C952FE"/>
    <w:rsid w:val="00C95EB3"/>
    <w:rsid w:val="00C97124"/>
    <w:rsid w:val="00CA18C4"/>
    <w:rsid w:val="00CA3D08"/>
    <w:rsid w:val="00CA44C5"/>
    <w:rsid w:val="00CA6BB5"/>
    <w:rsid w:val="00CA6CC8"/>
    <w:rsid w:val="00CA79BC"/>
    <w:rsid w:val="00CB0841"/>
    <w:rsid w:val="00CB14F8"/>
    <w:rsid w:val="00CB1925"/>
    <w:rsid w:val="00CB19A5"/>
    <w:rsid w:val="00CB2448"/>
    <w:rsid w:val="00CB28C1"/>
    <w:rsid w:val="00CB34C4"/>
    <w:rsid w:val="00CB3A70"/>
    <w:rsid w:val="00CB4B6D"/>
    <w:rsid w:val="00CB54ED"/>
    <w:rsid w:val="00CB5968"/>
    <w:rsid w:val="00CC01A6"/>
    <w:rsid w:val="00CC0DD7"/>
    <w:rsid w:val="00CC17DB"/>
    <w:rsid w:val="00CC1823"/>
    <w:rsid w:val="00CC4AF0"/>
    <w:rsid w:val="00CC586E"/>
    <w:rsid w:val="00CC5985"/>
    <w:rsid w:val="00CC71DE"/>
    <w:rsid w:val="00CC7FD1"/>
    <w:rsid w:val="00CD3A7D"/>
    <w:rsid w:val="00CD418D"/>
    <w:rsid w:val="00CD590B"/>
    <w:rsid w:val="00CD6FB4"/>
    <w:rsid w:val="00CD718A"/>
    <w:rsid w:val="00CD72B9"/>
    <w:rsid w:val="00CD78EA"/>
    <w:rsid w:val="00CD79DA"/>
    <w:rsid w:val="00CD7CC4"/>
    <w:rsid w:val="00CE06A1"/>
    <w:rsid w:val="00CE1E0E"/>
    <w:rsid w:val="00CE2091"/>
    <w:rsid w:val="00CE391F"/>
    <w:rsid w:val="00CE43A2"/>
    <w:rsid w:val="00CE4F34"/>
    <w:rsid w:val="00CE5593"/>
    <w:rsid w:val="00CE5EFF"/>
    <w:rsid w:val="00CE6F61"/>
    <w:rsid w:val="00CE711D"/>
    <w:rsid w:val="00CF1CED"/>
    <w:rsid w:val="00CF554D"/>
    <w:rsid w:val="00CF6F12"/>
    <w:rsid w:val="00CF72BE"/>
    <w:rsid w:val="00CF7456"/>
    <w:rsid w:val="00CF778A"/>
    <w:rsid w:val="00D0160A"/>
    <w:rsid w:val="00D0185C"/>
    <w:rsid w:val="00D019AC"/>
    <w:rsid w:val="00D024A6"/>
    <w:rsid w:val="00D025A7"/>
    <w:rsid w:val="00D025FB"/>
    <w:rsid w:val="00D03A38"/>
    <w:rsid w:val="00D03A85"/>
    <w:rsid w:val="00D03C8B"/>
    <w:rsid w:val="00D040B0"/>
    <w:rsid w:val="00D07F87"/>
    <w:rsid w:val="00D10A63"/>
    <w:rsid w:val="00D113C3"/>
    <w:rsid w:val="00D12655"/>
    <w:rsid w:val="00D12A41"/>
    <w:rsid w:val="00D12D62"/>
    <w:rsid w:val="00D12F94"/>
    <w:rsid w:val="00D15641"/>
    <w:rsid w:val="00D170EB"/>
    <w:rsid w:val="00D17353"/>
    <w:rsid w:val="00D2330D"/>
    <w:rsid w:val="00D24586"/>
    <w:rsid w:val="00D246C1"/>
    <w:rsid w:val="00D24CE8"/>
    <w:rsid w:val="00D26696"/>
    <w:rsid w:val="00D2689D"/>
    <w:rsid w:val="00D26C26"/>
    <w:rsid w:val="00D303B1"/>
    <w:rsid w:val="00D30CFE"/>
    <w:rsid w:val="00D3153B"/>
    <w:rsid w:val="00D31C7F"/>
    <w:rsid w:val="00D32B50"/>
    <w:rsid w:val="00D34C17"/>
    <w:rsid w:val="00D350E3"/>
    <w:rsid w:val="00D3641F"/>
    <w:rsid w:val="00D36D8E"/>
    <w:rsid w:val="00D40171"/>
    <w:rsid w:val="00D41954"/>
    <w:rsid w:val="00D41CFF"/>
    <w:rsid w:val="00D43313"/>
    <w:rsid w:val="00D44623"/>
    <w:rsid w:val="00D46DAC"/>
    <w:rsid w:val="00D47274"/>
    <w:rsid w:val="00D47911"/>
    <w:rsid w:val="00D5193B"/>
    <w:rsid w:val="00D52285"/>
    <w:rsid w:val="00D528CB"/>
    <w:rsid w:val="00D55961"/>
    <w:rsid w:val="00D55DF9"/>
    <w:rsid w:val="00D5676D"/>
    <w:rsid w:val="00D56915"/>
    <w:rsid w:val="00D57020"/>
    <w:rsid w:val="00D57167"/>
    <w:rsid w:val="00D579C5"/>
    <w:rsid w:val="00D57C5B"/>
    <w:rsid w:val="00D57F4F"/>
    <w:rsid w:val="00D60355"/>
    <w:rsid w:val="00D62C7B"/>
    <w:rsid w:val="00D653F5"/>
    <w:rsid w:val="00D665CF"/>
    <w:rsid w:val="00D67284"/>
    <w:rsid w:val="00D674D1"/>
    <w:rsid w:val="00D678CE"/>
    <w:rsid w:val="00D710D9"/>
    <w:rsid w:val="00D721C8"/>
    <w:rsid w:val="00D722AE"/>
    <w:rsid w:val="00D72443"/>
    <w:rsid w:val="00D73A1F"/>
    <w:rsid w:val="00D73F62"/>
    <w:rsid w:val="00D74A48"/>
    <w:rsid w:val="00D755E9"/>
    <w:rsid w:val="00D75861"/>
    <w:rsid w:val="00D764CD"/>
    <w:rsid w:val="00D764DA"/>
    <w:rsid w:val="00D77470"/>
    <w:rsid w:val="00D7755B"/>
    <w:rsid w:val="00D779F8"/>
    <w:rsid w:val="00D80D5A"/>
    <w:rsid w:val="00D80F33"/>
    <w:rsid w:val="00D819C9"/>
    <w:rsid w:val="00D81A47"/>
    <w:rsid w:val="00D83DC0"/>
    <w:rsid w:val="00D84363"/>
    <w:rsid w:val="00D8583D"/>
    <w:rsid w:val="00D85B90"/>
    <w:rsid w:val="00D87866"/>
    <w:rsid w:val="00D90719"/>
    <w:rsid w:val="00D90A9E"/>
    <w:rsid w:val="00D90D53"/>
    <w:rsid w:val="00D91F46"/>
    <w:rsid w:val="00D93A43"/>
    <w:rsid w:val="00D94CE9"/>
    <w:rsid w:val="00D953BD"/>
    <w:rsid w:val="00D957D0"/>
    <w:rsid w:val="00D966E9"/>
    <w:rsid w:val="00D96955"/>
    <w:rsid w:val="00D96A79"/>
    <w:rsid w:val="00D9718D"/>
    <w:rsid w:val="00D97858"/>
    <w:rsid w:val="00DA15B3"/>
    <w:rsid w:val="00DA2712"/>
    <w:rsid w:val="00DA3313"/>
    <w:rsid w:val="00DA4358"/>
    <w:rsid w:val="00DA4526"/>
    <w:rsid w:val="00DA50B5"/>
    <w:rsid w:val="00DA7906"/>
    <w:rsid w:val="00DA7EDD"/>
    <w:rsid w:val="00DB0606"/>
    <w:rsid w:val="00DB0C8F"/>
    <w:rsid w:val="00DB1D16"/>
    <w:rsid w:val="00DB2C96"/>
    <w:rsid w:val="00DB2E6C"/>
    <w:rsid w:val="00DB3A7D"/>
    <w:rsid w:val="00DB3E6E"/>
    <w:rsid w:val="00DB448D"/>
    <w:rsid w:val="00DB45D3"/>
    <w:rsid w:val="00DB4BDF"/>
    <w:rsid w:val="00DB531A"/>
    <w:rsid w:val="00DB5BCF"/>
    <w:rsid w:val="00DB6231"/>
    <w:rsid w:val="00DB6CFD"/>
    <w:rsid w:val="00DC26D7"/>
    <w:rsid w:val="00DC476E"/>
    <w:rsid w:val="00DC4F27"/>
    <w:rsid w:val="00DC5AF8"/>
    <w:rsid w:val="00DC7AE0"/>
    <w:rsid w:val="00DD060C"/>
    <w:rsid w:val="00DD1020"/>
    <w:rsid w:val="00DD1E48"/>
    <w:rsid w:val="00DD2827"/>
    <w:rsid w:val="00DD2F97"/>
    <w:rsid w:val="00DD56A9"/>
    <w:rsid w:val="00DD580E"/>
    <w:rsid w:val="00DD5FE4"/>
    <w:rsid w:val="00DE0F68"/>
    <w:rsid w:val="00DE29CA"/>
    <w:rsid w:val="00DE2B61"/>
    <w:rsid w:val="00DE41F0"/>
    <w:rsid w:val="00DE4B39"/>
    <w:rsid w:val="00DE5DD7"/>
    <w:rsid w:val="00DE6DBB"/>
    <w:rsid w:val="00DE796D"/>
    <w:rsid w:val="00DE7994"/>
    <w:rsid w:val="00DF1F17"/>
    <w:rsid w:val="00DF2F3C"/>
    <w:rsid w:val="00DF3547"/>
    <w:rsid w:val="00DF3ACA"/>
    <w:rsid w:val="00DF4824"/>
    <w:rsid w:val="00DF6BA5"/>
    <w:rsid w:val="00DF7D20"/>
    <w:rsid w:val="00E000B2"/>
    <w:rsid w:val="00E011AD"/>
    <w:rsid w:val="00E0178F"/>
    <w:rsid w:val="00E02CD0"/>
    <w:rsid w:val="00E02E41"/>
    <w:rsid w:val="00E039C2"/>
    <w:rsid w:val="00E03DCC"/>
    <w:rsid w:val="00E04FAF"/>
    <w:rsid w:val="00E0556B"/>
    <w:rsid w:val="00E05D8B"/>
    <w:rsid w:val="00E061F2"/>
    <w:rsid w:val="00E06CD0"/>
    <w:rsid w:val="00E078EB"/>
    <w:rsid w:val="00E10486"/>
    <w:rsid w:val="00E111CC"/>
    <w:rsid w:val="00E12A78"/>
    <w:rsid w:val="00E137B7"/>
    <w:rsid w:val="00E13DE5"/>
    <w:rsid w:val="00E152B1"/>
    <w:rsid w:val="00E152E5"/>
    <w:rsid w:val="00E17571"/>
    <w:rsid w:val="00E21A70"/>
    <w:rsid w:val="00E2403A"/>
    <w:rsid w:val="00E243F4"/>
    <w:rsid w:val="00E2537A"/>
    <w:rsid w:val="00E26ABF"/>
    <w:rsid w:val="00E30BCF"/>
    <w:rsid w:val="00E3309A"/>
    <w:rsid w:val="00E3360C"/>
    <w:rsid w:val="00E34EAC"/>
    <w:rsid w:val="00E3520F"/>
    <w:rsid w:val="00E35FF3"/>
    <w:rsid w:val="00E363CD"/>
    <w:rsid w:val="00E36A9E"/>
    <w:rsid w:val="00E4263F"/>
    <w:rsid w:val="00E42A14"/>
    <w:rsid w:val="00E45368"/>
    <w:rsid w:val="00E467E4"/>
    <w:rsid w:val="00E46968"/>
    <w:rsid w:val="00E502DC"/>
    <w:rsid w:val="00E50772"/>
    <w:rsid w:val="00E52971"/>
    <w:rsid w:val="00E52FA9"/>
    <w:rsid w:val="00E54466"/>
    <w:rsid w:val="00E54AD9"/>
    <w:rsid w:val="00E54B7A"/>
    <w:rsid w:val="00E55B55"/>
    <w:rsid w:val="00E55F36"/>
    <w:rsid w:val="00E56725"/>
    <w:rsid w:val="00E56E26"/>
    <w:rsid w:val="00E60208"/>
    <w:rsid w:val="00E60942"/>
    <w:rsid w:val="00E60A1B"/>
    <w:rsid w:val="00E618E2"/>
    <w:rsid w:val="00E61DD7"/>
    <w:rsid w:val="00E621BC"/>
    <w:rsid w:val="00E62ADD"/>
    <w:rsid w:val="00E62D4C"/>
    <w:rsid w:val="00E655F0"/>
    <w:rsid w:val="00E660A7"/>
    <w:rsid w:val="00E67E41"/>
    <w:rsid w:val="00E711CB"/>
    <w:rsid w:val="00E7130B"/>
    <w:rsid w:val="00E71F91"/>
    <w:rsid w:val="00E7279E"/>
    <w:rsid w:val="00E7337A"/>
    <w:rsid w:val="00E733D7"/>
    <w:rsid w:val="00E745B9"/>
    <w:rsid w:val="00E77455"/>
    <w:rsid w:val="00E77CF5"/>
    <w:rsid w:val="00E80F53"/>
    <w:rsid w:val="00E8164E"/>
    <w:rsid w:val="00E820C4"/>
    <w:rsid w:val="00E8254F"/>
    <w:rsid w:val="00E836DB"/>
    <w:rsid w:val="00E84135"/>
    <w:rsid w:val="00E86DD7"/>
    <w:rsid w:val="00E87513"/>
    <w:rsid w:val="00E9014B"/>
    <w:rsid w:val="00E92A39"/>
    <w:rsid w:val="00E93DC2"/>
    <w:rsid w:val="00E94B4B"/>
    <w:rsid w:val="00E94D41"/>
    <w:rsid w:val="00E95715"/>
    <w:rsid w:val="00E96323"/>
    <w:rsid w:val="00E965C9"/>
    <w:rsid w:val="00E966BD"/>
    <w:rsid w:val="00E97503"/>
    <w:rsid w:val="00EA19B5"/>
    <w:rsid w:val="00EA1FAC"/>
    <w:rsid w:val="00EA458D"/>
    <w:rsid w:val="00EA5A5B"/>
    <w:rsid w:val="00EA5ABF"/>
    <w:rsid w:val="00EA7DE6"/>
    <w:rsid w:val="00EB078F"/>
    <w:rsid w:val="00EB15EB"/>
    <w:rsid w:val="00EB1D58"/>
    <w:rsid w:val="00EB1D85"/>
    <w:rsid w:val="00EB2124"/>
    <w:rsid w:val="00EB21C0"/>
    <w:rsid w:val="00EB2598"/>
    <w:rsid w:val="00EB2E8F"/>
    <w:rsid w:val="00EB3C83"/>
    <w:rsid w:val="00EB4A30"/>
    <w:rsid w:val="00EB564F"/>
    <w:rsid w:val="00EB7461"/>
    <w:rsid w:val="00EC0F33"/>
    <w:rsid w:val="00EC1300"/>
    <w:rsid w:val="00EC1B0B"/>
    <w:rsid w:val="00EC534A"/>
    <w:rsid w:val="00EC5967"/>
    <w:rsid w:val="00EC6419"/>
    <w:rsid w:val="00EC644B"/>
    <w:rsid w:val="00ED112F"/>
    <w:rsid w:val="00ED1FB2"/>
    <w:rsid w:val="00ED2551"/>
    <w:rsid w:val="00ED40F0"/>
    <w:rsid w:val="00ED42CC"/>
    <w:rsid w:val="00ED595C"/>
    <w:rsid w:val="00ED786A"/>
    <w:rsid w:val="00ED7C29"/>
    <w:rsid w:val="00EE0226"/>
    <w:rsid w:val="00EE0283"/>
    <w:rsid w:val="00EE0C45"/>
    <w:rsid w:val="00EE0EFD"/>
    <w:rsid w:val="00EE18D4"/>
    <w:rsid w:val="00EE28B8"/>
    <w:rsid w:val="00EE3699"/>
    <w:rsid w:val="00EE3D74"/>
    <w:rsid w:val="00EE5D46"/>
    <w:rsid w:val="00EE6C9E"/>
    <w:rsid w:val="00EF061D"/>
    <w:rsid w:val="00EF2109"/>
    <w:rsid w:val="00EF2742"/>
    <w:rsid w:val="00EF2872"/>
    <w:rsid w:val="00EF29E9"/>
    <w:rsid w:val="00EF3114"/>
    <w:rsid w:val="00EF388F"/>
    <w:rsid w:val="00EF46D0"/>
    <w:rsid w:val="00EF4BF7"/>
    <w:rsid w:val="00EF54BF"/>
    <w:rsid w:val="00EF60DD"/>
    <w:rsid w:val="00EF63CE"/>
    <w:rsid w:val="00EF6EA0"/>
    <w:rsid w:val="00EF71A1"/>
    <w:rsid w:val="00F03672"/>
    <w:rsid w:val="00F04C56"/>
    <w:rsid w:val="00F0509F"/>
    <w:rsid w:val="00F073D9"/>
    <w:rsid w:val="00F07F16"/>
    <w:rsid w:val="00F1007D"/>
    <w:rsid w:val="00F1161B"/>
    <w:rsid w:val="00F12042"/>
    <w:rsid w:val="00F1247F"/>
    <w:rsid w:val="00F13434"/>
    <w:rsid w:val="00F13DF3"/>
    <w:rsid w:val="00F14DBA"/>
    <w:rsid w:val="00F155BE"/>
    <w:rsid w:val="00F156DF"/>
    <w:rsid w:val="00F15EE8"/>
    <w:rsid w:val="00F15FE4"/>
    <w:rsid w:val="00F16576"/>
    <w:rsid w:val="00F171C4"/>
    <w:rsid w:val="00F2003B"/>
    <w:rsid w:val="00F20140"/>
    <w:rsid w:val="00F20BC8"/>
    <w:rsid w:val="00F20D36"/>
    <w:rsid w:val="00F2212C"/>
    <w:rsid w:val="00F237DB"/>
    <w:rsid w:val="00F24A6D"/>
    <w:rsid w:val="00F26F33"/>
    <w:rsid w:val="00F27309"/>
    <w:rsid w:val="00F2734F"/>
    <w:rsid w:val="00F30620"/>
    <w:rsid w:val="00F30DF7"/>
    <w:rsid w:val="00F32B95"/>
    <w:rsid w:val="00F333A0"/>
    <w:rsid w:val="00F33863"/>
    <w:rsid w:val="00F33F71"/>
    <w:rsid w:val="00F33F9D"/>
    <w:rsid w:val="00F368AC"/>
    <w:rsid w:val="00F369C8"/>
    <w:rsid w:val="00F41B6F"/>
    <w:rsid w:val="00F43805"/>
    <w:rsid w:val="00F43993"/>
    <w:rsid w:val="00F447F8"/>
    <w:rsid w:val="00F44F82"/>
    <w:rsid w:val="00F467E9"/>
    <w:rsid w:val="00F50A5A"/>
    <w:rsid w:val="00F50E06"/>
    <w:rsid w:val="00F53675"/>
    <w:rsid w:val="00F57176"/>
    <w:rsid w:val="00F602AF"/>
    <w:rsid w:val="00F62545"/>
    <w:rsid w:val="00F65B73"/>
    <w:rsid w:val="00F67257"/>
    <w:rsid w:val="00F678EC"/>
    <w:rsid w:val="00F7029B"/>
    <w:rsid w:val="00F7077F"/>
    <w:rsid w:val="00F71F77"/>
    <w:rsid w:val="00F72760"/>
    <w:rsid w:val="00F72A55"/>
    <w:rsid w:val="00F73573"/>
    <w:rsid w:val="00F74257"/>
    <w:rsid w:val="00F74EC3"/>
    <w:rsid w:val="00F765D3"/>
    <w:rsid w:val="00F76776"/>
    <w:rsid w:val="00F76D2A"/>
    <w:rsid w:val="00F77741"/>
    <w:rsid w:val="00F8005F"/>
    <w:rsid w:val="00F80633"/>
    <w:rsid w:val="00F81169"/>
    <w:rsid w:val="00F81545"/>
    <w:rsid w:val="00F82190"/>
    <w:rsid w:val="00F84029"/>
    <w:rsid w:val="00F851DB"/>
    <w:rsid w:val="00F8524F"/>
    <w:rsid w:val="00F85408"/>
    <w:rsid w:val="00F860A0"/>
    <w:rsid w:val="00F86226"/>
    <w:rsid w:val="00F86CA4"/>
    <w:rsid w:val="00F86E49"/>
    <w:rsid w:val="00F87FE6"/>
    <w:rsid w:val="00F90F82"/>
    <w:rsid w:val="00F92C3F"/>
    <w:rsid w:val="00F92E4A"/>
    <w:rsid w:val="00F949B1"/>
    <w:rsid w:val="00F95451"/>
    <w:rsid w:val="00F96E42"/>
    <w:rsid w:val="00F97A7B"/>
    <w:rsid w:val="00F97C19"/>
    <w:rsid w:val="00FA0CAE"/>
    <w:rsid w:val="00FA113A"/>
    <w:rsid w:val="00FA2043"/>
    <w:rsid w:val="00FA2ACC"/>
    <w:rsid w:val="00FA2D0D"/>
    <w:rsid w:val="00FA31BA"/>
    <w:rsid w:val="00FA4304"/>
    <w:rsid w:val="00FA519B"/>
    <w:rsid w:val="00FA5597"/>
    <w:rsid w:val="00FB0A17"/>
    <w:rsid w:val="00FB0A9B"/>
    <w:rsid w:val="00FB1C7D"/>
    <w:rsid w:val="00FB3439"/>
    <w:rsid w:val="00FB3812"/>
    <w:rsid w:val="00FB56D0"/>
    <w:rsid w:val="00FB5A73"/>
    <w:rsid w:val="00FB66A6"/>
    <w:rsid w:val="00FB70A6"/>
    <w:rsid w:val="00FC2DA2"/>
    <w:rsid w:val="00FC3565"/>
    <w:rsid w:val="00FC51AE"/>
    <w:rsid w:val="00FC5A53"/>
    <w:rsid w:val="00FC5DD6"/>
    <w:rsid w:val="00FC6FF4"/>
    <w:rsid w:val="00FC765E"/>
    <w:rsid w:val="00FD0410"/>
    <w:rsid w:val="00FD093B"/>
    <w:rsid w:val="00FD1C85"/>
    <w:rsid w:val="00FD1E01"/>
    <w:rsid w:val="00FD59EB"/>
    <w:rsid w:val="00FD5B23"/>
    <w:rsid w:val="00FD7E68"/>
    <w:rsid w:val="00FE1E9A"/>
    <w:rsid w:val="00FE22BD"/>
    <w:rsid w:val="00FE2386"/>
    <w:rsid w:val="00FE25F7"/>
    <w:rsid w:val="00FE3258"/>
    <w:rsid w:val="00FE32E5"/>
    <w:rsid w:val="00FE33B6"/>
    <w:rsid w:val="00FE4100"/>
    <w:rsid w:val="00FE4C3A"/>
    <w:rsid w:val="00FE644D"/>
    <w:rsid w:val="00FE665C"/>
    <w:rsid w:val="00FE7A02"/>
    <w:rsid w:val="00FF0E1D"/>
    <w:rsid w:val="00FF2E0A"/>
    <w:rsid w:val="00FF4699"/>
    <w:rsid w:val="061EBCA2"/>
    <w:rsid w:val="085DEDAF"/>
    <w:rsid w:val="0D0287AB"/>
    <w:rsid w:val="0F4E0733"/>
    <w:rsid w:val="124C4EFB"/>
    <w:rsid w:val="1634D370"/>
    <w:rsid w:val="1AF0CDDE"/>
    <w:rsid w:val="1EC6DBE9"/>
    <w:rsid w:val="20D3CA7B"/>
    <w:rsid w:val="225B2D53"/>
    <w:rsid w:val="24997CC7"/>
    <w:rsid w:val="28045D82"/>
    <w:rsid w:val="2C3B4728"/>
    <w:rsid w:val="2E6B2008"/>
    <w:rsid w:val="3F7019BB"/>
    <w:rsid w:val="437A25B6"/>
    <w:rsid w:val="576E571D"/>
    <w:rsid w:val="5C928861"/>
    <w:rsid w:val="5CB07612"/>
    <w:rsid w:val="66DC6D79"/>
    <w:rsid w:val="6C9B0643"/>
    <w:rsid w:val="7088DB5F"/>
    <w:rsid w:val="7287DB69"/>
    <w:rsid w:val="77631921"/>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docId w15:val="{8D6915CD-2A14-410D-9EAB-D52317D5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outlineLvl w:val="0"/>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226F99"/>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E655F0"/>
    <w:rPr>
      <w:rFonts w:asciiTheme="minorHAnsi" w:hAnsiTheme="minorHAnsi"/>
      <w:sz w:val="22"/>
    </w:rPr>
  </w:style>
  <w:style w:type="paragraph" w:styleId="Footer">
    <w:name w:val="footer"/>
    <w:basedOn w:val="Normal"/>
    <w:link w:val="FooterChar"/>
    <w:rsid w:val="00562915"/>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E655F0"/>
    <w:rPr>
      <w:rFonts w:eastAsia="Times New Roman" w:cs="Times New Roman"/>
      <w:szCs w:val="24"/>
    </w:rPr>
  </w:style>
  <w:style w:type="character" w:styleId="Hyperlink">
    <w:name w:val="Hyperlink"/>
    <w:rsid w:val="00926982"/>
    <w:rPr>
      <w:color w:val="0000FF"/>
      <w:u w:val="single"/>
    </w:rPr>
  </w:style>
  <w:style w:type="paragraph" w:styleId="FootnoteText">
    <w:name w:val="footnote text"/>
    <w:basedOn w:val="Normal"/>
    <w:link w:val="FootnoteTextChar"/>
    <w:uiPriority w:val="99"/>
    <w:semiHidden/>
    <w:unhideWhenUsed/>
    <w:rsid w:val="005B2C4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73CD7"/>
    <w:rPr>
      <w:rFonts w:asciiTheme="minorHAnsi" w:hAnsiTheme="minorHAnsi"/>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890F70"/>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9A421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rFonts w:asciiTheme="minorHAnsi" w:hAnsiTheme="minorHAnsi"/>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26F99"/>
    <w:rPr>
      <w:rFonts w:asciiTheme="minorHAnsi" w:hAnsiTheme="minorHAnsi"/>
      <w:sz w:val="22"/>
    </w:rPr>
  </w:style>
  <w:style w:type="character" w:styleId="UnresolvedMention">
    <w:name w:val="Unresolved Mention"/>
    <w:basedOn w:val="DefaultParagraphFont"/>
    <w:uiPriority w:val="99"/>
    <w:semiHidden/>
    <w:unhideWhenUsed/>
    <w:rsid w:val="0055128F"/>
    <w:rPr>
      <w:color w:val="605E5C"/>
      <w:shd w:val="clear" w:color="auto" w:fill="E1DFDD"/>
    </w:rPr>
  </w:style>
  <w:style w:type="character" w:customStyle="1" w:styleId="Heading1Char">
    <w:name w:val="Heading 1 Char"/>
    <w:basedOn w:val="DefaultParagraphFont"/>
    <w:link w:val="Heading1"/>
    <w:rsid w:val="009E0976"/>
    <w:rPr>
      <w:rFonts w:eastAsia="Times New Roman" w:cs="Times New Roman"/>
      <w:b/>
      <w:sz w:val="28"/>
      <w:szCs w:val="20"/>
    </w:rPr>
  </w:style>
  <w:style w:type="paragraph" w:styleId="Title">
    <w:name w:val="Title"/>
    <w:basedOn w:val="Normal"/>
    <w:link w:val="TitleChar"/>
    <w:qFormat/>
    <w:rsid w:val="00562915"/>
    <w:pPr>
      <w:suppressAutoHyphens/>
      <w:jc w:val="center"/>
    </w:pPr>
    <w:rPr>
      <w:rFonts w:eastAsia="Times New Roman" w:cs="Times New Roman"/>
      <w:b/>
      <w:sz w:val="32"/>
      <w:szCs w:val="20"/>
    </w:rPr>
  </w:style>
  <w:style w:type="character" w:customStyle="1" w:styleId="TitleChar">
    <w:name w:val="Title Char"/>
    <w:basedOn w:val="DefaultParagraphFont"/>
    <w:link w:val="Title"/>
    <w:rsid w:val="009E0976"/>
    <w:rPr>
      <w:rFonts w:eastAsia="Times New Roman" w:cs="Times New Roman"/>
      <w:b/>
      <w:sz w:val="32"/>
      <w:szCs w:val="20"/>
    </w:rPr>
  </w:style>
  <w:style w:type="paragraph" w:styleId="BodyTextIndent">
    <w:name w:val="Body Text Indent"/>
    <w:basedOn w:val="Normal"/>
    <w:link w:val="BodyTextIndentChar"/>
    <w:rsid w:val="00562915"/>
    <w:pPr>
      <w:shd w:val="pct25" w:color="auto" w:fill="FFFFFF"/>
      <w:tabs>
        <w:tab w:val="left" w:pos="-720"/>
      </w:tabs>
      <w:suppressAutoHyphens/>
      <w:ind w:left="510"/>
    </w:pPr>
    <w:rPr>
      <w:rFonts w:eastAsia="Times New Roman" w:cs="Times New Roman"/>
      <w:sz w:val="26"/>
      <w:szCs w:val="20"/>
    </w:rPr>
  </w:style>
  <w:style w:type="character" w:customStyle="1" w:styleId="BodyTextIndentChar">
    <w:name w:val="Body Text Indent Char"/>
    <w:basedOn w:val="DefaultParagraphFont"/>
    <w:link w:val="BodyTextIndent"/>
    <w:rsid w:val="009E0976"/>
    <w:rPr>
      <w:rFonts w:eastAsia="Times New Roman" w:cs="Times New Roman"/>
      <w:sz w:val="26"/>
      <w:szCs w:val="20"/>
      <w:shd w:val="pct25" w:color="auto" w:fill="FFFFFF"/>
    </w:rPr>
  </w:style>
  <w:style w:type="character" w:styleId="PageNumber">
    <w:name w:val="page number"/>
    <w:basedOn w:val="DefaultParagraphFont"/>
    <w:rsid w:val="009E0976"/>
  </w:style>
  <w:style w:type="paragraph" w:styleId="NormalWeb">
    <w:name w:val="Normal (Web)"/>
    <w:basedOn w:val="Normal"/>
    <w:uiPriority w:val="99"/>
    <w:rsid w:val="00562915"/>
    <w:pPr>
      <w:spacing w:before="100" w:beforeAutospacing="1" w:after="100" w:afterAutospacing="1"/>
    </w:pPr>
    <w:rPr>
      <w:rFonts w:eastAsia="Times New Roman" w:cs="Times New Roman"/>
      <w:szCs w:val="24"/>
    </w:rPr>
  </w:style>
  <w:style w:type="paragraph" w:customStyle="1" w:styleId="ResponseLvl2">
    <w:name w:val="Response_Lvl2"/>
    <w:basedOn w:val="Normal"/>
    <w:link w:val="ResponseLvl2Char"/>
    <w:rsid w:val="00562915"/>
    <w:pPr>
      <w:spacing w:before="240"/>
      <w:ind w:left="720"/>
    </w:pPr>
    <w:rPr>
      <w:rFonts w:eastAsia="Times New Roman" w:cs="Times New Roman"/>
      <w:szCs w:val="24"/>
    </w:rPr>
  </w:style>
  <w:style w:type="character" w:customStyle="1" w:styleId="ResponseLvl2Char">
    <w:name w:val="Response_Lvl2 Char"/>
    <w:link w:val="ResponseLvl2"/>
    <w:rsid w:val="009E0976"/>
    <w:rPr>
      <w:rFonts w:eastAsia="Times New Roman" w:cs="Times New Roman"/>
      <w:szCs w:val="24"/>
    </w:rPr>
  </w:style>
  <w:style w:type="paragraph" w:customStyle="1" w:styleId="ResponseLvl1">
    <w:name w:val="Response_Lvl1"/>
    <w:basedOn w:val="Normal"/>
    <w:link w:val="ResponseLvl1Char"/>
    <w:rsid w:val="00562915"/>
    <w:pPr>
      <w:spacing w:before="240"/>
      <w:ind w:left="360"/>
    </w:pPr>
    <w:rPr>
      <w:rFonts w:eastAsia="Times New Roman" w:cs="Times New Roman"/>
      <w:szCs w:val="24"/>
    </w:rPr>
  </w:style>
  <w:style w:type="character" w:customStyle="1" w:styleId="ResponseLvl1Char">
    <w:name w:val="Response_Lvl1 Char"/>
    <w:link w:val="ResponseLvl1"/>
    <w:rsid w:val="009E0976"/>
    <w:rPr>
      <w:rFonts w:eastAsia="Times New Roman" w:cs="Times New Roman"/>
      <w:szCs w:val="24"/>
    </w:rPr>
  </w:style>
  <w:style w:type="paragraph" w:styleId="BalloonText">
    <w:name w:val="Balloon Text"/>
    <w:basedOn w:val="Normal"/>
    <w:link w:val="BalloonTextChar"/>
    <w:uiPriority w:val="99"/>
    <w:semiHidden/>
    <w:unhideWhenUsed/>
    <w:rsid w:val="00890F70"/>
    <w:rPr>
      <w:rFonts w:ascii="Tahoma" w:hAnsi="Tahoma" w:cs="Tahoma"/>
      <w:sz w:val="16"/>
      <w:szCs w:val="16"/>
    </w:rPr>
  </w:style>
  <w:style w:type="character" w:customStyle="1" w:styleId="BalloonTextChar">
    <w:name w:val="Balloon Text Char"/>
    <w:basedOn w:val="DefaultParagraphFont"/>
    <w:link w:val="BalloonText"/>
    <w:uiPriority w:val="99"/>
    <w:semiHidden/>
    <w:rsid w:val="009E0976"/>
    <w:rPr>
      <w:rFonts w:ascii="Tahoma" w:hAnsi="Tahoma" w:cs="Tahoma"/>
      <w:sz w:val="16"/>
      <w:szCs w:val="16"/>
    </w:rPr>
  </w:style>
  <w:style w:type="paragraph" w:customStyle="1" w:styleId="Default">
    <w:name w:val="Default"/>
    <w:rsid w:val="00533814"/>
    <w:pPr>
      <w:autoSpaceDE w:val="0"/>
      <w:autoSpaceDN w:val="0"/>
      <w:adjustRightInd w:val="0"/>
    </w:pPr>
    <w:rPr>
      <w:rFonts w:cs="Times New Roman"/>
      <w:color w:val="000000"/>
      <w:szCs w:val="24"/>
    </w:rPr>
  </w:style>
  <w:style w:type="character" w:customStyle="1" w:styleId="UnresolvedMention1">
    <w:name w:val="Unresolved Mention1"/>
    <w:basedOn w:val="DefaultParagraphFont"/>
    <w:uiPriority w:val="99"/>
    <w:semiHidden/>
    <w:unhideWhenUsed/>
    <w:rsid w:val="009E0976"/>
    <w:rPr>
      <w:color w:val="808080"/>
      <w:shd w:val="clear" w:color="auto" w:fill="E6E6E6"/>
    </w:rPr>
  </w:style>
  <w:style w:type="table" w:customStyle="1" w:styleId="TableGrid1">
    <w:name w:val="Table Grid1"/>
    <w:basedOn w:val="TableNormal"/>
    <w:next w:val="TableGrid"/>
    <w:uiPriority w:val="39"/>
    <w:rsid w:val="007A600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pdf/government/grant/resources/hbf_ii_9.pdf" TargetMode="External" /><Relationship Id="rId11" Type="http://schemas.openxmlformats.org/officeDocument/2006/relationships/hyperlink" Target="https://www.oig.dhs.gov/sites/default/files/assets/2019-07/OIG-19-55-Jul19.pdf" TargetMode="External" /><Relationship Id="rId12" Type="http://schemas.openxmlformats.org/officeDocument/2006/relationships/hyperlink" Target="https://www.opm.gov/policy-data-oversight/pay-leave/salaries-wages/salary-tables/pdf/2024/DCB.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tables.htm" TargetMode="External" /><Relationship Id="rId2" Type="http://schemas.openxmlformats.org/officeDocument/2006/relationships/hyperlink" Target="https://www.bls.gov/news.release/archives/ecec_03132024.pdf" TargetMode="External" /><Relationship Id="rId3" Type="http://schemas.openxmlformats.org/officeDocument/2006/relationships/hyperlink" Target="https://www.opm.gov/policy-data-oversight/pay-leave/salaries-wages/salary-tables/pdf/2024/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02c38d-516f-4d43-acca-cab79edca7a6">
      <Terms xmlns="http://schemas.microsoft.com/office/infopath/2007/PartnerControls"/>
    </lcf76f155ced4ddcb4097134ff3c332f>
    <TaxCatchAll xmlns="be695bbe-29cc-414d-9631-cd9a5eb5086c" xsi:nil="true"/>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2.xml><?xml version="1.0" encoding="utf-8"?>
<ds:datastoreItem xmlns:ds="http://schemas.openxmlformats.org/officeDocument/2006/customXml" ds:itemID="{F5A65DA8-843F-46E8-BC9A-920668103374}">
  <ds:schemaRefs>
    <ds:schemaRef ds:uri="http://schemas.microsoft.com/sharepoint/v3/contenttype/forms"/>
  </ds:schemaRefs>
</ds:datastoreItem>
</file>

<file path=customXml/itemProps3.xml><?xml version="1.0" encoding="utf-8"?>
<ds:datastoreItem xmlns:ds="http://schemas.openxmlformats.org/officeDocument/2006/customXml" ds:itemID="{5B0D43D9-3DF6-46EF-978A-33A3F8937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5.xml><?xml version="1.0" encoding="utf-8"?>
<ds:datastoreItem xmlns:ds="http://schemas.openxmlformats.org/officeDocument/2006/customXml" ds:itemID="{027C0D3A-9CE9-4CDD-9952-FDA8D67A95BA}">
  <ds:schemaRefs>
    <ds:schemaRef ds:uri="http://schemas.microsoft.com/sharepoint/v3/contenttype/forms"/>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6409</Words>
  <Characters>36537</Characters>
  <Application>Microsoft Office Word</Application>
  <DocSecurity>0</DocSecurity>
  <Lines>304</Lines>
  <Paragraphs>85</Paragraphs>
  <ScaleCrop>false</ScaleCrop>
  <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2024-05-29T12:27:00Z</dcterms:created>
  <dcterms:modified xsi:type="dcterms:W3CDTF">2024-05-29T12:28:00Z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