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44E8076E">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7BB876A7">
      <w:pPr>
        <w:jc w:val="center"/>
      </w:pPr>
      <w:r w:rsidRPr="00980E58">
        <w:t>[</w:t>
      </w:r>
      <w:r w:rsidRPr="007633DD">
        <w:t>Docket No</w:t>
      </w:r>
      <w:r w:rsidRPr="00413FDE">
        <w:t xml:space="preserve">. </w:t>
      </w:r>
      <w:r w:rsidRPr="00413FDE" w:rsidR="00613169">
        <w:t>IC</w:t>
      </w:r>
      <w:r w:rsidR="008B5F6D">
        <w:t>24-</w:t>
      </w:r>
      <w:r w:rsidR="00190F13">
        <w:t>11</w:t>
      </w:r>
      <w:r w:rsidRPr="00413FDE" w:rsidR="00613169">
        <w:t>-000</w:t>
      </w:r>
      <w:r w:rsidRPr="00413FDE">
        <w:t>]</w:t>
      </w:r>
    </w:p>
    <w:p w:rsidR="00A2604E" w:rsidP="00A2604E" w14:paraId="4D16FE54" w14:textId="77777777"/>
    <w:p w:rsidR="00A2604E" w:rsidP="00A2604E" w14:paraId="0627AE31" w14:textId="1CA3AA1E">
      <w:pPr>
        <w:jc w:val="center"/>
      </w:pPr>
      <w:r>
        <w:t>COMMISSION INFORMATION COLLECTION ACTIVITIES (FERC-</w:t>
      </w:r>
      <w:r w:rsidR="00190F13">
        <w:t>576</w:t>
      </w:r>
      <w:r>
        <w:t>)</w:t>
      </w:r>
      <w:r w:rsidR="002673C4">
        <w:t xml:space="preserve"> </w:t>
      </w:r>
    </w:p>
    <w:p w:rsidR="00A2604E" w:rsidP="00A2604E" w14:paraId="3B5240D4" w14:textId="77777777">
      <w:pPr>
        <w:jc w:val="center"/>
      </w:pPr>
      <w:r>
        <w:t>COMMENT REQUEST; EXTENSION</w:t>
      </w:r>
    </w:p>
    <w:p w:rsidR="00881405" w:rsidP="00A2604E" w14:paraId="5D8DD33D" w14:textId="77777777">
      <w:pPr>
        <w:jc w:val="center"/>
      </w:pPr>
    </w:p>
    <w:p w:rsidR="009562A5" w:rsidP="00EE33B9" w14:paraId="43EDA0D7" w14:textId="7FBE83B3">
      <w:pPr>
        <w:jc w:val="center"/>
      </w:pPr>
      <w:r w:rsidRPr="00EE33B9">
        <w:t>(</w:t>
      </w:r>
      <w:r w:rsidR="00F276F2">
        <w:t>May 6, 2024</w:t>
      </w:r>
      <w:r w:rsidRPr="00EE33B9">
        <w:t>)</w:t>
      </w:r>
    </w:p>
    <w:p w:rsidR="00EE33B9" w:rsidRPr="00EE33B9" w:rsidP="00EE33B9" w14:paraId="4F4A1DEC" w14:textId="77777777"/>
    <w:p w:rsidR="00651CE5" w:rsidP="00651CE5" w14:paraId="5DE1B7EA" w14:textId="77777777">
      <w:r w:rsidRPr="00AB4DBF">
        <w:rPr>
          <w:b/>
        </w:rPr>
        <w:t>AGENCY:</w:t>
      </w:r>
      <w:r w:rsidRPr="00AB4DBF">
        <w:t xml:space="preserve">  Federal Energy Regulatory Commission.</w:t>
      </w:r>
    </w:p>
    <w:p w:rsidR="00651CE5" w:rsidRPr="00AB4DBF" w:rsidP="00651CE5" w14:paraId="3759706A" w14:textId="77777777"/>
    <w:p w:rsidR="00651CE5" w:rsidP="00651CE5" w14:paraId="7D3A5544"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651CE5" w:rsidRPr="009907E2" w:rsidP="00651CE5" w14:paraId="41E60BD6" w14:textId="3E7938A8">
      <w:pPr>
        <w:spacing w:after="160" w:line="480" w:lineRule="auto"/>
      </w:pPr>
      <w:r w:rsidRPr="00CE64F2">
        <w:rPr>
          <w:b/>
        </w:rPr>
        <w:t>SUMMARY:</w:t>
      </w:r>
      <w:r>
        <w:t xml:space="preserve">  </w:t>
      </w:r>
      <w:bookmarkStart w:id="1" w:name="_Hlk102460280"/>
      <w:r w:rsidRPr="7F2CD91F">
        <w:rPr>
          <w:b/>
          <w:bCs/>
        </w:rPr>
        <w:t>:</w:t>
      </w:r>
      <w:r>
        <w:t xml:space="preserve">  In compliance with the requirements of the Paperwork Reduction Act of 1995 (PRA), the Federal Energy Regulatory Commission (Commission or FERC) is soliciting public comment on the currently approved information collection</w:t>
      </w:r>
      <w:r w:rsidRPr="009907E2" w:rsidR="009907E2">
        <w:t>, FERC-5</w:t>
      </w:r>
      <w:r w:rsidR="00D32F41">
        <w:t>76</w:t>
      </w:r>
      <w:r w:rsidRPr="009907E2" w:rsidR="009907E2">
        <w:t>,</w:t>
      </w:r>
      <w:r w:rsidR="0058621E">
        <w:t xml:space="preserve"> OMB Control Number 1902-0004</w:t>
      </w:r>
      <w:r w:rsidRPr="128FFB1D">
        <w:rPr>
          <w:rFonts w:eastAsiaTheme="minorEastAsia"/>
        </w:rPr>
        <w:t>, which will be submitted to the Office of Management and Budget (OMB) for review.</w:t>
      </w:r>
    </w:p>
    <w:bookmarkEnd w:id="1"/>
    <w:p w:rsidR="00651CE5" w:rsidRPr="00524164" w:rsidP="00651CE5" w14:paraId="3160ED94" w14:textId="77777777">
      <w:pPr>
        <w:spacing w:line="480" w:lineRule="auto"/>
      </w:pPr>
      <w:r w:rsidRPr="00CE64F2">
        <w:rPr>
          <w:b/>
        </w:rPr>
        <w:t>DATES:</w:t>
      </w:r>
      <w:r>
        <w:t xml:space="preserve">  Comments on the collection of information are </w:t>
      </w:r>
      <w:r w:rsidRPr="00B24588">
        <w:t>due [</w:t>
      </w:r>
      <w:r>
        <w:rPr>
          <w:b/>
        </w:rPr>
        <w:t>INSERT DATE</w:t>
      </w:r>
      <w:r w:rsidRPr="00A07154">
        <w:rPr>
          <w:b/>
        </w:rPr>
        <w:t xml:space="preserve"> </w:t>
      </w:r>
      <w:r>
        <w:rPr>
          <w:b/>
        </w:rPr>
        <w:t>3</w:t>
      </w:r>
      <w:r w:rsidRPr="00A07154">
        <w:rPr>
          <w:b/>
        </w:rPr>
        <w:t>0 days after date of publication in the Federal Register</w:t>
      </w:r>
      <w:r w:rsidRPr="00524164">
        <w:t xml:space="preserve">]. </w:t>
      </w:r>
    </w:p>
    <w:p w:rsidR="00651CE5" w:rsidRPr="00BB5EF5" w:rsidP="00651CE5" w14:paraId="6E8722A0" w14:textId="555273DF">
      <w:pPr>
        <w:spacing w:line="480" w:lineRule="auto"/>
      </w:pPr>
      <w:r w:rsidRPr="00524164">
        <w:rPr>
          <w:b/>
        </w:rPr>
        <w:t>ADDRESSES:</w:t>
      </w:r>
      <w:r w:rsidRPr="00524164">
        <w:t xml:space="preserve"> </w:t>
      </w:r>
      <w:r w:rsidRPr="00BB5EF5">
        <w:rPr>
          <w:iCs/>
        </w:rPr>
        <w:t>Send written comments on FERC-</w:t>
      </w:r>
      <w:r w:rsidR="0058621E">
        <w:rPr>
          <w:iCs/>
        </w:rPr>
        <w:t>576</w:t>
      </w:r>
      <w:r>
        <w:t xml:space="preserve"> </w:t>
      </w:r>
      <w:r w:rsidRPr="00BB5EF5">
        <w:rPr>
          <w:iCs/>
        </w:rPr>
        <w:t xml:space="preserve">to OMB through </w:t>
      </w:r>
      <w:hyperlink r:id="rId10">
        <w:r w:rsidRPr="3D33D731">
          <w:rPr>
            <w:rStyle w:val="Hyperlink"/>
          </w:rPr>
          <w:t>www.reginfo.gov/public/do/PRAMain</w:t>
        </w:r>
      </w:hyperlink>
      <w:r>
        <w:t>.</w:t>
      </w:r>
      <w:r w:rsidRPr="00BB5EF5">
        <w:rPr>
          <w:iCs/>
        </w:rPr>
        <w:t xml:space="preserve">  Attention:  Federal Energy Regulatory Commission Desk Officer.  Please identify the OMB Control Number (1902-</w:t>
      </w:r>
      <w:r w:rsidR="001A495D">
        <w:rPr>
          <w:iCs/>
        </w:rPr>
        <w:t>0004</w:t>
      </w:r>
      <w:r w:rsidRPr="00BB5EF5">
        <w:rPr>
          <w:iCs/>
        </w:rPr>
        <w:t>) in the subject line of your comments.  Comments</w:t>
      </w:r>
      <w:r w:rsidRPr="00BB5EF5">
        <w:t xml:space="preserve"> should be sent </w:t>
      </w:r>
      <w:bookmarkStart w:id="2" w:name="_Hlk35891527"/>
      <w:r w:rsidRPr="00BB5EF5">
        <w:t xml:space="preserve">within 30 days of publication of this notice to </w:t>
      </w:r>
      <w:bookmarkStart w:id="3" w:name="_Hlk38028221"/>
      <w:hyperlink r:id="rId10" w:history="1">
        <w:r w:rsidRPr="00BB5EF5">
          <w:rPr>
            <w:rStyle w:val="Hyperlink"/>
          </w:rPr>
          <w:t>www.reginfo.gov/public/do/PRAMain</w:t>
        </w:r>
      </w:hyperlink>
      <w:r w:rsidRPr="00BB5EF5">
        <w:t>.</w:t>
      </w:r>
      <w:bookmarkEnd w:id="2"/>
      <w:bookmarkEnd w:id="3"/>
    </w:p>
    <w:p w:rsidR="00651CE5" w:rsidRPr="00BB5EF5" w:rsidP="00651CE5" w14:paraId="5148487D" w14:textId="740446D1">
      <w:pPr>
        <w:spacing w:line="480" w:lineRule="auto"/>
      </w:pPr>
      <w:r>
        <w:t>Please submit copies of your comments to the Commission.  You may submit copies of your comments (identified by Docket No. IC</w:t>
      </w:r>
      <w:r w:rsidR="007A2BA5">
        <w:t>24-11</w:t>
      </w:r>
      <w:r>
        <w:t>-000</w:t>
      </w:r>
      <w:r w:rsidR="004042C9">
        <w:t xml:space="preserve"> and FERC-576</w:t>
      </w:r>
      <w:r>
        <w:t>) by one of the following methods:</w:t>
      </w:r>
    </w:p>
    <w:p w:rsidR="00651CE5" w:rsidRPr="00BB5EF5" w:rsidP="00651CE5" w14:paraId="5D11C0B2" w14:textId="77777777">
      <w:pPr>
        <w:spacing w:line="480" w:lineRule="auto"/>
      </w:pPr>
      <w:r>
        <w:t xml:space="preserve">Electronic filing through </w:t>
      </w:r>
      <w:hyperlink r:id="rId11" w:history="1">
        <w:r w:rsidRPr="00FC39BA">
          <w:rPr>
            <w:rStyle w:val="Hyperlink"/>
          </w:rPr>
          <w:t>https://www.ferc.gov</w:t>
        </w:r>
      </w:hyperlink>
      <w:r>
        <w:t>, is preferred.</w:t>
      </w:r>
    </w:p>
    <w:p w:rsidR="00651CE5" w:rsidRPr="00BB5EF5" w:rsidP="00651CE5" w14:paraId="0D1A4BFA" w14:textId="77777777">
      <w:pPr>
        <w:numPr>
          <w:ilvl w:val="0"/>
          <w:numId w:val="6"/>
        </w:numPr>
        <w:spacing w:line="480" w:lineRule="auto"/>
      </w:pPr>
      <w:r w:rsidRPr="00BB5EF5">
        <w:t xml:space="preserve">Electronic Filing: Documents must be filed in acceptable native applications and print-to-PDF, but not in scanned or picture format. </w:t>
      </w:r>
    </w:p>
    <w:p w:rsidR="00651CE5" w:rsidRPr="00BB5EF5" w:rsidP="00651CE5" w14:paraId="44E16B18" w14:textId="77777777">
      <w:pPr>
        <w:numPr>
          <w:ilvl w:val="0"/>
          <w:numId w:val="6"/>
        </w:numPr>
        <w:spacing w:line="480" w:lineRule="auto"/>
      </w:pPr>
      <w:r w:rsidRPr="00BB5EF5">
        <w:t>For those unable to file electronically, comments may be filed by USPS mail or by hand (including courier) delivery.</w:t>
      </w:r>
    </w:p>
    <w:p w:rsidR="00651CE5" w:rsidRPr="00BB5EF5" w:rsidP="00651CE5" w14:paraId="16D6572E"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00651CE5" w:rsidRPr="00BB5EF5" w:rsidP="00651CE5" w14:paraId="37DB42EC" w14:textId="77777777">
      <w:pPr>
        <w:numPr>
          <w:ilvl w:val="1"/>
          <w:numId w:val="6"/>
        </w:numPr>
        <w:spacing w:line="480" w:lineRule="auto"/>
      </w:pPr>
      <w:r w:rsidRPr="00BB5EF5">
        <w:t xml:space="preserve">Hand (including courier) delivery: Deliver to: Federal Energy Regulatory Commission, </w:t>
      </w:r>
      <w:r>
        <w:t xml:space="preserve">Secretary of the Commission, </w:t>
      </w:r>
      <w:r w:rsidRPr="00BB5EF5">
        <w:t>12225 Wilkins Avenue, Rockville, MD 20852.</w:t>
      </w:r>
    </w:p>
    <w:p w:rsidR="00651CE5" w:rsidRPr="00BB5EF5" w:rsidP="00651CE5" w14:paraId="71A32EF3" w14:textId="77777777">
      <w:pPr>
        <w:spacing w:line="480" w:lineRule="auto"/>
      </w:pPr>
      <w:bookmarkStart w:id="4" w:name="OLE_LINK1"/>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r:id="rId10" w:history="1">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00651CE5" w:rsidRPr="00BB5EF5" w:rsidP="00651CE5" w14:paraId="1C4D0A9A" w14:textId="77777777">
      <w:pPr>
        <w:spacing w:line="480" w:lineRule="auto"/>
      </w:pPr>
      <w:r w:rsidRPr="128FFB1D">
        <w:rPr>
          <w:i/>
          <w:iCs/>
        </w:rPr>
        <w:t>FERC submissions</w:t>
      </w:r>
      <w:r>
        <w:t xml:space="preserve"> </w:t>
      </w:r>
      <w:bookmarkStart w:id="5" w:name="_Hlk38028397"/>
      <w:r>
        <w:t>must be formatted and filed in accordance with submission guidelines at</w:t>
      </w:r>
      <w:bookmarkEnd w:id="5"/>
      <w:r>
        <w:t xml:space="preserve">: </w:t>
      </w:r>
      <w:hyperlink r:id="rId11" w:history="1">
        <w:r w:rsidRPr="00FC39BA">
          <w:rPr>
            <w:rStyle w:val="Hyperlink"/>
          </w:rPr>
          <w:t>https://www.ferc.gov</w:t>
        </w:r>
      </w:hyperlink>
      <w:r>
        <w:t>.  For user assistance, contact FERC Online Support by e-mail at ferconlinesupport@ferc.gov, or by phone at: (866) 208-3676 (toll-free).</w:t>
      </w:r>
    </w:p>
    <w:p w:rsidR="00651CE5" w:rsidRPr="00BB5EF5" w:rsidP="00651CE5" w14:paraId="529C8631" w14:textId="77777777">
      <w:pPr>
        <w:spacing w:line="480" w:lineRule="auto"/>
      </w:pPr>
      <w:r w:rsidRPr="00BB5EF5">
        <w:rPr>
          <w:i/>
        </w:rPr>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r:id="rId12" w:history="1">
        <w:r w:rsidRPr="00BB5EF5">
          <w:rPr>
            <w:rStyle w:val="Hyperlink"/>
          </w:rPr>
          <w:t>https://www.ferc.gov/ferc-online/overview</w:t>
        </w:r>
      </w:hyperlink>
      <w:r w:rsidRPr="00BB5EF5">
        <w:t xml:space="preserve">. </w:t>
      </w:r>
    </w:p>
    <w:bookmarkEnd w:id="4"/>
    <w:p w:rsidR="00651CE5" w:rsidRPr="00651CE5" w:rsidP="00206037" w14:paraId="3014A5B0" w14:textId="739C109B">
      <w:pPr>
        <w:spacing w:line="480" w:lineRule="auto"/>
      </w:pPr>
      <w:r w:rsidRPr="00BB5EF5">
        <w:rPr>
          <w:b/>
        </w:rPr>
        <w:t>FOR FURTHER INFORMATION CONTACT:</w:t>
      </w:r>
      <w:r w:rsidRPr="00BB5EF5">
        <w:t xml:space="preserve">  </w:t>
      </w:r>
      <w:r w:rsidR="001E6BA7">
        <w:t>Jean Sonneman</w:t>
      </w:r>
      <w:r w:rsidRPr="00BB5EF5">
        <w:t xml:space="preserve"> may be reached by e-mail at </w:t>
      </w:r>
      <w:r>
        <w:fldChar w:fldCharType="begin"/>
      </w:r>
      <w:r w:rsidRPr="4B4230D7">
        <w:rPr>
          <w:rStyle w:val="Hyperlink"/>
        </w:rPr>
        <w:instrText xml:space="preserve"> HYPERLINK "mailto:DataClearance@FERC.gov"  \h </w:instrText>
      </w:r>
      <w:r>
        <w:fldChar w:fldCharType="separate"/>
      </w:r>
      <w:r w:rsidRPr="4B4230D7">
        <w:rPr>
          <w:rStyle w:val="Hyperlink"/>
        </w:rPr>
        <w:t>DataClearance@FERC.gov</w:t>
      </w:r>
      <w:r>
        <w:fldChar w:fldCharType="end"/>
      </w:r>
      <w:r w:rsidRPr="00BB5EF5">
        <w:t>, telephone at (202) 502-</w:t>
      </w:r>
      <w:r w:rsidR="001E6BA7">
        <w:t>6362</w:t>
      </w:r>
      <w:r w:rsidRPr="00BB5EF5">
        <w:t>.</w:t>
      </w:r>
      <w:r w:rsidRPr="00524164">
        <w:t xml:space="preserve"> </w:t>
      </w:r>
    </w:p>
    <w:p w:rsidR="00206037" w:rsidRPr="00206037" w:rsidP="00206037" w14:paraId="466885D9" w14:textId="01C9A6E7">
      <w:pPr>
        <w:spacing w:line="480" w:lineRule="auto"/>
      </w:pPr>
      <w:r w:rsidRPr="00206037">
        <w:rPr>
          <w:b/>
        </w:rPr>
        <w:t>SUPPLEMENTARY INFORMATION:</w:t>
      </w:r>
      <w:r w:rsidRPr="00206037">
        <w:t xml:space="preserve">  </w:t>
      </w:r>
    </w:p>
    <w:p w:rsidR="009811AF" w:rsidRPr="009811AF" w:rsidP="009811AF" w14:paraId="5DB61BF7" w14:textId="77777777">
      <w:pPr>
        <w:autoSpaceDE w:val="0"/>
        <w:autoSpaceDN w:val="0"/>
        <w:adjustRightInd w:val="0"/>
        <w:spacing w:line="480" w:lineRule="auto"/>
        <w:rPr>
          <w:i/>
        </w:rPr>
      </w:pPr>
      <w:r w:rsidRPr="009811AF">
        <w:rPr>
          <w:i/>
        </w:rPr>
        <w:t>Title</w:t>
      </w:r>
      <w:r w:rsidRPr="009811AF">
        <w:rPr>
          <w:iCs/>
        </w:rPr>
        <w:t>: FERC–576, Report of Service Interruptions or Damage to Facilities.</w:t>
      </w:r>
    </w:p>
    <w:p w:rsidR="009811AF" w:rsidRPr="009811AF" w:rsidP="009811AF" w14:paraId="2E5BC41A" w14:textId="77777777">
      <w:pPr>
        <w:autoSpaceDE w:val="0"/>
        <w:autoSpaceDN w:val="0"/>
        <w:adjustRightInd w:val="0"/>
        <w:spacing w:line="480" w:lineRule="auto"/>
        <w:rPr>
          <w:i/>
        </w:rPr>
      </w:pPr>
      <w:r w:rsidRPr="009811AF">
        <w:rPr>
          <w:i/>
        </w:rPr>
        <w:t>OMB Control No</w:t>
      </w:r>
      <w:r w:rsidRPr="009811AF">
        <w:rPr>
          <w:iCs/>
        </w:rPr>
        <w:t>.: 1902-0004.</w:t>
      </w:r>
    </w:p>
    <w:p w:rsidR="009811AF" w:rsidRPr="009811AF" w:rsidP="009811AF" w14:paraId="117EDD1C" w14:textId="77777777">
      <w:pPr>
        <w:autoSpaceDE w:val="0"/>
        <w:autoSpaceDN w:val="0"/>
        <w:adjustRightInd w:val="0"/>
        <w:spacing w:line="480" w:lineRule="auto"/>
        <w:rPr>
          <w:i/>
        </w:rPr>
      </w:pPr>
      <w:r w:rsidRPr="009811AF">
        <w:rPr>
          <w:i/>
        </w:rPr>
        <w:t>Type of Request</w:t>
      </w:r>
      <w:r w:rsidRPr="009811AF">
        <w:rPr>
          <w:iCs/>
        </w:rPr>
        <w:t>: Three-year extension of the FERC-576 information collection requirements with no changes to the current reporting requirements.</w:t>
      </w:r>
      <w:r w:rsidRPr="009811AF">
        <w:rPr>
          <w:i/>
        </w:rPr>
        <w:t xml:space="preserve"> </w:t>
      </w:r>
    </w:p>
    <w:p w:rsidR="009811AF" w:rsidRPr="009811AF" w:rsidP="009811AF" w14:paraId="4AF52F79" w14:textId="77777777">
      <w:pPr>
        <w:autoSpaceDE w:val="0"/>
        <w:autoSpaceDN w:val="0"/>
        <w:adjustRightInd w:val="0"/>
        <w:spacing w:line="480" w:lineRule="auto"/>
        <w:rPr>
          <w:iCs/>
        </w:rPr>
      </w:pPr>
      <w:r w:rsidRPr="009811AF">
        <w:rPr>
          <w:i/>
        </w:rPr>
        <w:t>Abstract</w:t>
      </w:r>
      <w:r w:rsidRPr="009811AF">
        <w:rPr>
          <w:iCs/>
        </w:rPr>
        <w:t xml:space="preserve">: Per 18 CFR 260.9, natural gas pipeline companies must report (i) damage to any jurisdictional natural gas facilities other than liquefied natural gas facilities caused by a hurricane, earthquake or other natural disaster or terrorist activity that results in a loss of or reduction in pipeline throughput or storage deliverability; and (ii) serious interruptions of service to any shipper involving jurisdictional natural gas facilities other than liquefied natural gas facilities.  </w:t>
      </w:r>
    </w:p>
    <w:p w:rsidR="009811AF" w:rsidRPr="009811AF" w:rsidP="009811AF" w14:paraId="3B2B068E" w14:textId="11B95CEE">
      <w:pPr>
        <w:autoSpaceDE w:val="0"/>
        <w:autoSpaceDN w:val="0"/>
        <w:adjustRightInd w:val="0"/>
        <w:spacing w:line="480" w:lineRule="auto"/>
        <w:rPr>
          <w:iCs/>
        </w:rPr>
      </w:pPr>
      <w:r w:rsidRPr="009811AF">
        <w:rPr>
          <w:iCs/>
        </w:rPr>
        <w:t xml:space="preserve">The notifications, made to the Director, Division of Pipeline Certificates via email or fax as soon as feasibly possible, must state:  (1) The location of the service interruption or damage to natural gas pipeline or storage facilities; (2) The nature of any damage to pipeline or storage facilities; (3) Specific identification of the facilities damaged; (4) The time the service interruption or damage to the facilities occurred; (5) The customers affected by the service interruption or damage to the facilities; (6) Emergency actions </w:t>
      </w:r>
      <w:r w:rsidRPr="009811AF">
        <w:rPr>
          <w:iCs/>
        </w:rPr>
        <w:t>taken to maintain service; and (7) Company contact</w:t>
      </w:r>
      <w:r w:rsidR="00C46084">
        <w:rPr>
          <w:iCs/>
        </w:rPr>
        <w:t>s</w:t>
      </w:r>
      <w:r w:rsidRPr="009811AF">
        <w:rPr>
          <w:iCs/>
        </w:rPr>
        <w:t xml:space="preserve"> and telephone number</w:t>
      </w:r>
      <w:r w:rsidR="00C46084">
        <w:rPr>
          <w:iCs/>
        </w:rPr>
        <w:t>s</w:t>
      </w:r>
      <w:r w:rsidRPr="009811AF">
        <w:rPr>
          <w:iCs/>
        </w:rPr>
        <w:t>.  The information provided by these notifications are kept by the Commission and are not made part of the public record.</w:t>
      </w:r>
    </w:p>
    <w:p w:rsidR="00180096" w:rsidP="009811AF" w14:paraId="0132E8D0" w14:textId="77777777">
      <w:pPr>
        <w:autoSpaceDE w:val="0"/>
        <w:autoSpaceDN w:val="0"/>
        <w:adjustRightInd w:val="0"/>
        <w:spacing w:line="480" w:lineRule="auto"/>
        <w:rPr>
          <w:iCs/>
        </w:rPr>
      </w:pPr>
      <w:r w:rsidRPr="009811AF">
        <w:rPr>
          <w:iCs/>
        </w:rPr>
        <w:t>In addition, if the Department of Transportation requires an incident report</w:t>
      </w:r>
      <w:r>
        <w:rPr>
          <w:b/>
          <w:iCs/>
          <w:vertAlign w:val="superscript"/>
        </w:rPr>
        <w:footnoteReference w:id="3"/>
      </w:r>
      <w:r w:rsidRPr="009811AF">
        <w:rPr>
          <w:iCs/>
        </w:rPr>
        <w:t xml:space="preserve"> under the Natural Gas Pipeline Safety Act (49 U.S.C. 60101 through 60143), a copy of such report </w:t>
      </w:r>
      <w:r w:rsidR="00DD73B7">
        <w:rPr>
          <w:iCs/>
        </w:rPr>
        <w:t>must</w:t>
      </w:r>
      <w:r w:rsidRPr="009811AF">
        <w:rPr>
          <w:iCs/>
        </w:rPr>
        <w:t xml:space="preserve"> be submitted to the Director of the Commission’s Division of Pipeline Certificates, within 30 days of the reportable incident.  Natural gas companies must also send a copy of submitted incident reports to each state commission for the state(s) in which the reported service interruption occurred.</w:t>
      </w:r>
      <w:r>
        <w:rPr>
          <w:b/>
          <w:iCs/>
          <w:vertAlign w:val="superscript"/>
        </w:rPr>
        <w:footnoteReference w:id="4"/>
      </w:r>
      <w:r w:rsidRPr="009811AF">
        <w:rPr>
          <w:iCs/>
        </w:rPr>
        <w:t xml:space="preserve">  If the Commission did not collect this information, it would lose a data point that assists in the monitoring of transactions, operations, and reliability of interstate pipelines.</w:t>
      </w:r>
    </w:p>
    <w:p w:rsidR="009811AF" w:rsidRPr="009811AF" w:rsidP="009811AF" w14:paraId="7CA74801" w14:textId="1E44E820">
      <w:pPr>
        <w:autoSpaceDE w:val="0"/>
        <w:autoSpaceDN w:val="0"/>
        <w:adjustRightInd w:val="0"/>
        <w:spacing w:line="480" w:lineRule="auto"/>
        <w:rPr>
          <w:i/>
        </w:rPr>
      </w:pPr>
      <w:r>
        <w:rPr>
          <w:iCs/>
        </w:rPr>
        <w:t xml:space="preserve">The Commission published a 60-day notice for </w:t>
      </w:r>
      <w:r w:rsidR="003B52BC">
        <w:rPr>
          <w:iCs/>
        </w:rPr>
        <w:t>FERC-576 on May 4, 2024 (89 FR 15569)</w:t>
      </w:r>
      <w:r w:rsidR="00737D0C">
        <w:rPr>
          <w:iCs/>
        </w:rPr>
        <w:t>,  with a due date of May 3, 2024.  The Commission received no public comments in response.</w:t>
      </w:r>
      <w:r w:rsidRPr="009811AF">
        <w:rPr>
          <w:i/>
        </w:rPr>
        <w:t xml:space="preserve">  </w:t>
      </w:r>
    </w:p>
    <w:p w:rsidR="009811AF" w:rsidRPr="009811AF" w:rsidP="009811AF" w14:paraId="38824713" w14:textId="77777777">
      <w:pPr>
        <w:autoSpaceDE w:val="0"/>
        <w:autoSpaceDN w:val="0"/>
        <w:adjustRightInd w:val="0"/>
        <w:spacing w:line="480" w:lineRule="auto"/>
        <w:rPr>
          <w:iCs/>
        </w:rPr>
      </w:pPr>
      <w:r w:rsidRPr="009811AF">
        <w:rPr>
          <w:i/>
        </w:rPr>
        <w:t>Type of Respondents</w:t>
      </w:r>
      <w:r w:rsidRPr="009811AF">
        <w:rPr>
          <w:iCs/>
        </w:rPr>
        <w:t>: Natural gas companies experiencing service interruptions or damage to facilities.</w:t>
      </w:r>
      <w:r w:rsidRPr="009811AF">
        <w:rPr>
          <w:i/>
        </w:rPr>
        <w:t xml:space="preserve"> </w:t>
      </w:r>
    </w:p>
    <w:p w:rsidR="009811AF" w:rsidRPr="009811AF" w:rsidP="009811AF" w14:paraId="78ED6F5A" w14:textId="6B3B7773">
      <w:pPr>
        <w:autoSpaceDE w:val="0"/>
        <w:autoSpaceDN w:val="0"/>
        <w:adjustRightInd w:val="0"/>
        <w:spacing w:line="480" w:lineRule="auto"/>
        <w:rPr>
          <w:i/>
        </w:rPr>
      </w:pPr>
      <w:r w:rsidRPr="009811AF">
        <w:rPr>
          <w:i/>
        </w:rPr>
        <w:t>Estimate of Annual Burden</w:t>
      </w:r>
      <w:r w:rsidRPr="009811AF">
        <w:rPr>
          <w:iCs/>
        </w:rPr>
        <w:t>: The Commission estimates the average annual burden</w:t>
      </w:r>
      <w:r>
        <w:rPr>
          <w:rStyle w:val="FootnoteReference"/>
          <w:iCs/>
        </w:rPr>
        <w:footnoteReference w:id="5"/>
      </w:r>
      <w:r w:rsidRPr="009811AF">
        <w:rPr>
          <w:iCs/>
        </w:rPr>
        <w:t xml:space="preserve"> and cost</w:t>
      </w:r>
      <w:r>
        <w:rPr>
          <w:iCs/>
          <w:vertAlign w:val="superscript"/>
        </w:rPr>
        <w:footnoteReference w:id="6"/>
      </w:r>
      <w:r w:rsidRPr="009811AF">
        <w:rPr>
          <w:iCs/>
        </w:rPr>
        <w:t xml:space="preserve"> for this information collection as follows.</w:t>
      </w:r>
    </w:p>
    <w:tbl>
      <w:tblPr>
        <w:tblW w:w="493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9"/>
        <w:gridCol w:w="1390"/>
        <w:gridCol w:w="1440"/>
        <w:gridCol w:w="1170"/>
        <w:gridCol w:w="1082"/>
        <w:gridCol w:w="1347"/>
        <w:gridCol w:w="1310"/>
      </w:tblGrid>
      <w:tr w14:paraId="29A35914" w14:textId="77777777" w:rsidTr="007B6EEC">
        <w:tblPrEx>
          <w:tblW w:w="493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836"/>
          <w:tblHeader/>
        </w:trPr>
        <w:tc>
          <w:tcPr>
            <w:tcW w:w="807" w:type="pct"/>
            <w:tcBorders>
              <w:top w:val="single" w:sz="4" w:space="0" w:color="auto"/>
              <w:left w:val="single" w:sz="4" w:space="0" w:color="auto"/>
              <w:bottom w:val="single" w:sz="4" w:space="0" w:color="auto"/>
              <w:right w:val="single" w:sz="4" w:space="0" w:color="auto"/>
            </w:tcBorders>
            <w:shd w:val="clear" w:color="auto" w:fill="D9D9D9"/>
            <w:vAlign w:val="bottom"/>
          </w:tcPr>
          <w:p w:rsidR="009811AF" w:rsidRPr="009811AF" w:rsidP="007B6EEC" w14:paraId="47D5CC87" w14:textId="77777777">
            <w:pPr>
              <w:autoSpaceDE w:val="0"/>
              <w:autoSpaceDN w:val="0"/>
              <w:adjustRightInd w:val="0"/>
              <w:jc w:val="center"/>
              <w:rPr>
                <w:b/>
                <w:iCs/>
                <w:sz w:val="20"/>
              </w:rPr>
            </w:pPr>
          </w:p>
        </w:tc>
        <w:tc>
          <w:tcPr>
            <w:tcW w:w="75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9811AF" w:rsidRPr="009811AF" w:rsidP="007B6EEC" w14:paraId="70142232" w14:textId="77777777">
            <w:pPr>
              <w:autoSpaceDE w:val="0"/>
              <w:autoSpaceDN w:val="0"/>
              <w:adjustRightInd w:val="0"/>
              <w:jc w:val="center"/>
              <w:rPr>
                <w:b/>
                <w:iCs/>
                <w:sz w:val="20"/>
              </w:rPr>
            </w:pPr>
            <w:r w:rsidRPr="009811AF">
              <w:rPr>
                <w:b/>
                <w:iCs/>
                <w:sz w:val="20"/>
              </w:rPr>
              <w:t>Number of Respondents</w:t>
            </w:r>
          </w:p>
          <w:p w:rsidR="009811AF" w:rsidRPr="009811AF" w:rsidP="007B6EEC" w14:paraId="4F70B91F" w14:textId="77777777">
            <w:pPr>
              <w:autoSpaceDE w:val="0"/>
              <w:autoSpaceDN w:val="0"/>
              <w:adjustRightInd w:val="0"/>
              <w:jc w:val="center"/>
              <w:rPr>
                <w:b/>
                <w:iCs/>
                <w:sz w:val="20"/>
              </w:rPr>
            </w:pPr>
            <w:r w:rsidRPr="009811AF">
              <w:rPr>
                <w:b/>
                <w:iCs/>
                <w:sz w:val="20"/>
              </w:rPr>
              <w:t>(1)</w:t>
            </w:r>
          </w:p>
        </w:tc>
        <w:tc>
          <w:tcPr>
            <w:tcW w:w="78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9811AF" w:rsidRPr="009811AF" w:rsidP="007B6EEC" w14:paraId="327AB5E6" w14:textId="77777777">
            <w:pPr>
              <w:autoSpaceDE w:val="0"/>
              <w:autoSpaceDN w:val="0"/>
              <w:adjustRightInd w:val="0"/>
              <w:jc w:val="center"/>
              <w:rPr>
                <w:b/>
                <w:iCs/>
                <w:sz w:val="20"/>
              </w:rPr>
            </w:pPr>
            <w:r w:rsidRPr="009811AF">
              <w:rPr>
                <w:b/>
                <w:iCs/>
                <w:sz w:val="20"/>
              </w:rPr>
              <w:t>Annual Number of Responses per Respondent</w:t>
            </w:r>
          </w:p>
          <w:p w:rsidR="009811AF" w:rsidRPr="009811AF" w:rsidP="007B6EEC" w14:paraId="28A11804" w14:textId="77777777">
            <w:pPr>
              <w:autoSpaceDE w:val="0"/>
              <w:autoSpaceDN w:val="0"/>
              <w:adjustRightInd w:val="0"/>
              <w:jc w:val="center"/>
              <w:rPr>
                <w:b/>
                <w:iCs/>
                <w:sz w:val="20"/>
              </w:rPr>
            </w:pPr>
            <w:r w:rsidRPr="009811AF">
              <w:rPr>
                <w:b/>
                <w:iCs/>
                <w:sz w:val="20"/>
              </w:rPr>
              <w:t>(2)</w:t>
            </w:r>
          </w:p>
        </w:tc>
        <w:tc>
          <w:tcPr>
            <w:tcW w:w="63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9811AF" w:rsidRPr="009811AF" w:rsidP="007B6EEC" w14:paraId="472314AA" w14:textId="77777777">
            <w:pPr>
              <w:autoSpaceDE w:val="0"/>
              <w:autoSpaceDN w:val="0"/>
              <w:adjustRightInd w:val="0"/>
              <w:jc w:val="center"/>
              <w:rPr>
                <w:b/>
                <w:iCs/>
                <w:sz w:val="20"/>
              </w:rPr>
            </w:pPr>
            <w:r w:rsidRPr="009811AF">
              <w:rPr>
                <w:b/>
                <w:iCs/>
                <w:sz w:val="20"/>
              </w:rPr>
              <w:t>Total Number of Responses (1)*(2)=(3)</w:t>
            </w:r>
          </w:p>
        </w:tc>
        <w:tc>
          <w:tcPr>
            <w:tcW w:w="58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9811AF" w:rsidRPr="009811AF" w:rsidP="007B6EEC" w14:paraId="27DC94FA" w14:textId="77777777">
            <w:pPr>
              <w:autoSpaceDE w:val="0"/>
              <w:autoSpaceDN w:val="0"/>
              <w:adjustRightInd w:val="0"/>
              <w:jc w:val="center"/>
              <w:rPr>
                <w:b/>
                <w:iCs/>
                <w:sz w:val="20"/>
              </w:rPr>
            </w:pPr>
            <w:r w:rsidRPr="009811AF">
              <w:rPr>
                <w:b/>
                <w:iCs/>
                <w:sz w:val="20"/>
              </w:rPr>
              <w:t>Average Burden Hrs. &amp; Cost ($) Per Response</w:t>
            </w:r>
          </w:p>
          <w:p w:rsidR="009811AF" w:rsidRPr="009811AF" w:rsidP="007B6EEC" w14:paraId="544BFEC8" w14:textId="77777777">
            <w:pPr>
              <w:autoSpaceDE w:val="0"/>
              <w:autoSpaceDN w:val="0"/>
              <w:adjustRightInd w:val="0"/>
              <w:jc w:val="center"/>
              <w:rPr>
                <w:b/>
                <w:iCs/>
                <w:sz w:val="20"/>
              </w:rPr>
            </w:pPr>
            <w:r w:rsidRPr="009811AF">
              <w:rPr>
                <w:b/>
                <w:iCs/>
                <w:sz w:val="20"/>
              </w:rPr>
              <w:t>(4)</w:t>
            </w:r>
          </w:p>
        </w:tc>
        <w:tc>
          <w:tcPr>
            <w:tcW w:w="73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9811AF" w:rsidRPr="009811AF" w:rsidP="007B6EEC" w14:paraId="027A0ED5" w14:textId="77777777">
            <w:pPr>
              <w:autoSpaceDE w:val="0"/>
              <w:autoSpaceDN w:val="0"/>
              <w:adjustRightInd w:val="0"/>
              <w:jc w:val="center"/>
              <w:rPr>
                <w:b/>
                <w:iCs/>
                <w:sz w:val="20"/>
              </w:rPr>
            </w:pPr>
            <w:r w:rsidRPr="009811AF">
              <w:rPr>
                <w:b/>
                <w:iCs/>
                <w:sz w:val="20"/>
              </w:rPr>
              <w:t>Total Annual Burden Hrs. &amp; Total Annual Cost</w:t>
            </w:r>
          </w:p>
          <w:p w:rsidR="009811AF" w:rsidRPr="009811AF" w:rsidP="007B6EEC" w14:paraId="1F97C27E" w14:textId="77777777">
            <w:pPr>
              <w:autoSpaceDE w:val="0"/>
              <w:autoSpaceDN w:val="0"/>
              <w:adjustRightInd w:val="0"/>
              <w:jc w:val="center"/>
              <w:rPr>
                <w:b/>
                <w:iCs/>
                <w:sz w:val="20"/>
              </w:rPr>
            </w:pPr>
            <w:r w:rsidRPr="009811AF">
              <w:rPr>
                <w:b/>
                <w:iCs/>
                <w:sz w:val="20"/>
              </w:rPr>
              <w:t>(3)*(4)=(5)</w:t>
            </w:r>
          </w:p>
        </w:tc>
        <w:tc>
          <w:tcPr>
            <w:tcW w:w="71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9811AF" w:rsidRPr="009811AF" w:rsidP="007B6EEC" w14:paraId="1C0D2FB3" w14:textId="66A743B6">
            <w:pPr>
              <w:autoSpaceDE w:val="0"/>
              <w:autoSpaceDN w:val="0"/>
              <w:adjustRightInd w:val="0"/>
              <w:jc w:val="center"/>
              <w:rPr>
                <w:b/>
                <w:iCs/>
                <w:sz w:val="20"/>
              </w:rPr>
            </w:pPr>
            <w:r w:rsidRPr="009811AF">
              <w:rPr>
                <w:b/>
                <w:iCs/>
                <w:sz w:val="20"/>
              </w:rPr>
              <w:t>Cost per Respondent ($)</w:t>
            </w:r>
          </w:p>
          <w:p w:rsidR="009811AF" w:rsidRPr="009811AF" w:rsidP="007B6EEC" w14:paraId="40EB9AED" w14:textId="77777777">
            <w:pPr>
              <w:autoSpaceDE w:val="0"/>
              <w:autoSpaceDN w:val="0"/>
              <w:adjustRightInd w:val="0"/>
              <w:jc w:val="center"/>
              <w:rPr>
                <w:b/>
                <w:iCs/>
                <w:sz w:val="20"/>
              </w:rPr>
            </w:pPr>
            <w:r w:rsidRPr="009811AF">
              <w:rPr>
                <w:b/>
                <w:iCs/>
                <w:sz w:val="20"/>
              </w:rPr>
              <w:t>(5)÷(1)</w:t>
            </w:r>
          </w:p>
        </w:tc>
      </w:tr>
      <w:tr w14:paraId="31CA797F" w14:textId="77777777" w:rsidTr="00667A66">
        <w:tblPrEx>
          <w:tblW w:w="4935" w:type="pct"/>
          <w:tblInd w:w="265" w:type="dxa"/>
          <w:tblLayout w:type="fixed"/>
          <w:tblLook w:val="01E0"/>
        </w:tblPrEx>
        <w:trPr>
          <w:cantSplit/>
          <w:trHeight w:val="1038"/>
        </w:trPr>
        <w:tc>
          <w:tcPr>
            <w:tcW w:w="807"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7A9D2C14" w14:textId="77777777">
            <w:pPr>
              <w:autoSpaceDE w:val="0"/>
              <w:autoSpaceDN w:val="0"/>
              <w:adjustRightInd w:val="0"/>
              <w:jc w:val="center"/>
              <w:rPr>
                <w:iCs/>
                <w:sz w:val="20"/>
              </w:rPr>
            </w:pPr>
            <w:r w:rsidRPr="009811AF">
              <w:rPr>
                <w:iCs/>
                <w:sz w:val="20"/>
              </w:rPr>
              <w:t>Notification of Incident – Service Interruption</w:t>
            </w:r>
          </w:p>
        </w:tc>
        <w:tc>
          <w:tcPr>
            <w:tcW w:w="753"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7AB0F6F8" w14:textId="77777777">
            <w:pPr>
              <w:autoSpaceDE w:val="0"/>
              <w:autoSpaceDN w:val="0"/>
              <w:adjustRightInd w:val="0"/>
              <w:jc w:val="right"/>
              <w:rPr>
                <w:iCs/>
                <w:sz w:val="20"/>
              </w:rPr>
            </w:pPr>
            <w:r w:rsidRPr="009811AF">
              <w:rPr>
                <w:iCs/>
                <w:sz w:val="20"/>
              </w:rPr>
              <w:t>50</w:t>
            </w:r>
          </w:p>
        </w:tc>
        <w:tc>
          <w:tcPr>
            <w:tcW w:w="78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71FF8419" w14:textId="77777777">
            <w:pPr>
              <w:autoSpaceDE w:val="0"/>
              <w:autoSpaceDN w:val="0"/>
              <w:adjustRightInd w:val="0"/>
              <w:jc w:val="right"/>
              <w:rPr>
                <w:iCs/>
                <w:sz w:val="20"/>
              </w:rPr>
            </w:pPr>
            <w:r w:rsidRPr="009811AF">
              <w:rPr>
                <w:iCs/>
                <w:sz w:val="20"/>
              </w:rPr>
              <w:t>1</w:t>
            </w:r>
          </w:p>
        </w:tc>
        <w:tc>
          <w:tcPr>
            <w:tcW w:w="634"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727BA498" w14:textId="77777777">
            <w:pPr>
              <w:autoSpaceDE w:val="0"/>
              <w:autoSpaceDN w:val="0"/>
              <w:adjustRightInd w:val="0"/>
              <w:jc w:val="right"/>
              <w:rPr>
                <w:iCs/>
                <w:sz w:val="20"/>
              </w:rPr>
            </w:pPr>
            <w:r w:rsidRPr="009811AF">
              <w:rPr>
                <w:iCs/>
                <w:sz w:val="20"/>
              </w:rPr>
              <w:t>50</w:t>
            </w:r>
          </w:p>
        </w:tc>
        <w:tc>
          <w:tcPr>
            <w:tcW w:w="586"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0C66629E" w14:textId="77777777">
            <w:pPr>
              <w:autoSpaceDE w:val="0"/>
              <w:autoSpaceDN w:val="0"/>
              <w:adjustRightInd w:val="0"/>
              <w:jc w:val="right"/>
              <w:rPr>
                <w:iCs/>
                <w:sz w:val="20"/>
              </w:rPr>
            </w:pPr>
            <w:r w:rsidRPr="009811AF">
              <w:rPr>
                <w:iCs/>
                <w:sz w:val="20"/>
              </w:rPr>
              <w:t>1 hr.; $100.00</w:t>
            </w:r>
          </w:p>
        </w:tc>
        <w:tc>
          <w:tcPr>
            <w:tcW w:w="73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4EE20391" w14:textId="77777777">
            <w:pPr>
              <w:autoSpaceDE w:val="0"/>
              <w:autoSpaceDN w:val="0"/>
              <w:adjustRightInd w:val="0"/>
              <w:jc w:val="right"/>
              <w:rPr>
                <w:iCs/>
                <w:sz w:val="20"/>
              </w:rPr>
            </w:pPr>
            <w:r w:rsidRPr="009811AF">
              <w:rPr>
                <w:iCs/>
                <w:sz w:val="20"/>
              </w:rPr>
              <w:t xml:space="preserve">50 hrs.; </w:t>
            </w:r>
          </w:p>
          <w:p w:rsidR="009811AF" w:rsidRPr="009811AF" w:rsidP="00667A66" w14:paraId="4FAFA60B" w14:textId="77777777">
            <w:pPr>
              <w:autoSpaceDE w:val="0"/>
              <w:autoSpaceDN w:val="0"/>
              <w:adjustRightInd w:val="0"/>
              <w:jc w:val="right"/>
              <w:rPr>
                <w:iCs/>
                <w:sz w:val="20"/>
              </w:rPr>
            </w:pPr>
            <w:r w:rsidRPr="009811AF">
              <w:rPr>
                <w:iCs/>
                <w:sz w:val="20"/>
              </w:rPr>
              <w:t>$5,000.00</w:t>
            </w:r>
          </w:p>
        </w:tc>
        <w:tc>
          <w:tcPr>
            <w:tcW w:w="71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2081E211" w14:textId="77777777">
            <w:pPr>
              <w:autoSpaceDE w:val="0"/>
              <w:autoSpaceDN w:val="0"/>
              <w:adjustRightInd w:val="0"/>
              <w:jc w:val="right"/>
              <w:rPr>
                <w:iCs/>
                <w:sz w:val="20"/>
              </w:rPr>
            </w:pPr>
            <w:r w:rsidRPr="009811AF">
              <w:rPr>
                <w:iCs/>
                <w:sz w:val="20"/>
              </w:rPr>
              <w:t>$100.00</w:t>
            </w:r>
          </w:p>
        </w:tc>
      </w:tr>
      <w:tr w14:paraId="717D9923" w14:textId="77777777" w:rsidTr="00667A66">
        <w:tblPrEx>
          <w:tblW w:w="4935" w:type="pct"/>
          <w:tblInd w:w="265" w:type="dxa"/>
          <w:tblLayout w:type="fixed"/>
          <w:tblLook w:val="01E0"/>
        </w:tblPrEx>
        <w:trPr>
          <w:cantSplit/>
          <w:trHeight w:val="789"/>
        </w:trPr>
        <w:tc>
          <w:tcPr>
            <w:tcW w:w="807"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3FA3D660" w14:textId="77777777">
            <w:pPr>
              <w:autoSpaceDE w:val="0"/>
              <w:autoSpaceDN w:val="0"/>
              <w:adjustRightInd w:val="0"/>
              <w:jc w:val="center"/>
              <w:rPr>
                <w:iCs/>
                <w:sz w:val="20"/>
              </w:rPr>
            </w:pPr>
            <w:r w:rsidRPr="009811AF">
              <w:rPr>
                <w:iCs/>
                <w:sz w:val="20"/>
              </w:rPr>
              <w:t>Notification of Incident – Damage</w:t>
            </w:r>
          </w:p>
        </w:tc>
        <w:tc>
          <w:tcPr>
            <w:tcW w:w="753"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0B640788" w14:textId="77777777">
            <w:pPr>
              <w:autoSpaceDE w:val="0"/>
              <w:autoSpaceDN w:val="0"/>
              <w:adjustRightInd w:val="0"/>
              <w:jc w:val="right"/>
              <w:rPr>
                <w:iCs/>
                <w:sz w:val="20"/>
              </w:rPr>
            </w:pPr>
            <w:r w:rsidRPr="009811AF">
              <w:rPr>
                <w:iCs/>
                <w:sz w:val="20"/>
              </w:rPr>
              <w:t xml:space="preserve">22 </w:t>
            </w:r>
          </w:p>
        </w:tc>
        <w:tc>
          <w:tcPr>
            <w:tcW w:w="78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17819A0A" w14:textId="77777777">
            <w:pPr>
              <w:autoSpaceDE w:val="0"/>
              <w:autoSpaceDN w:val="0"/>
              <w:adjustRightInd w:val="0"/>
              <w:jc w:val="right"/>
              <w:rPr>
                <w:iCs/>
                <w:sz w:val="20"/>
              </w:rPr>
            </w:pPr>
            <w:r w:rsidRPr="009811AF">
              <w:rPr>
                <w:iCs/>
                <w:sz w:val="20"/>
              </w:rPr>
              <w:t>1</w:t>
            </w:r>
          </w:p>
        </w:tc>
        <w:tc>
          <w:tcPr>
            <w:tcW w:w="634"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61FF3CDC" w14:textId="77777777">
            <w:pPr>
              <w:autoSpaceDE w:val="0"/>
              <w:autoSpaceDN w:val="0"/>
              <w:adjustRightInd w:val="0"/>
              <w:jc w:val="right"/>
              <w:rPr>
                <w:iCs/>
                <w:sz w:val="20"/>
              </w:rPr>
            </w:pPr>
            <w:r w:rsidRPr="009811AF">
              <w:rPr>
                <w:iCs/>
                <w:sz w:val="20"/>
              </w:rPr>
              <w:t>22</w:t>
            </w:r>
          </w:p>
        </w:tc>
        <w:tc>
          <w:tcPr>
            <w:tcW w:w="586"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17CEABDA" w14:textId="77777777">
            <w:pPr>
              <w:autoSpaceDE w:val="0"/>
              <w:autoSpaceDN w:val="0"/>
              <w:adjustRightInd w:val="0"/>
              <w:jc w:val="right"/>
              <w:rPr>
                <w:iCs/>
                <w:sz w:val="20"/>
              </w:rPr>
            </w:pPr>
            <w:r w:rsidRPr="009811AF">
              <w:rPr>
                <w:iCs/>
                <w:sz w:val="20"/>
              </w:rPr>
              <w:t>0.25 hrs.; $25.00</w:t>
            </w:r>
          </w:p>
        </w:tc>
        <w:tc>
          <w:tcPr>
            <w:tcW w:w="73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6EA37B32" w14:textId="77777777">
            <w:pPr>
              <w:autoSpaceDE w:val="0"/>
              <w:autoSpaceDN w:val="0"/>
              <w:adjustRightInd w:val="0"/>
              <w:jc w:val="right"/>
              <w:rPr>
                <w:iCs/>
                <w:sz w:val="20"/>
              </w:rPr>
            </w:pPr>
            <w:r w:rsidRPr="009811AF">
              <w:rPr>
                <w:iCs/>
                <w:sz w:val="20"/>
              </w:rPr>
              <w:t>5.5 hrs.;</w:t>
            </w:r>
          </w:p>
          <w:p w:rsidR="009811AF" w:rsidRPr="009811AF" w:rsidP="00667A66" w14:paraId="10BA256D" w14:textId="77777777">
            <w:pPr>
              <w:autoSpaceDE w:val="0"/>
              <w:autoSpaceDN w:val="0"/>
              <w:adjustRightInd w:val="0"/>
              <w:jc w:val="right"/>
              <w:rPr>
                <w:iCs/>
                <w:sz w:val="20"/>
              </w:rPr>
            </w:pPr>
            <w:r w:rsidRPr="009811AF">
              <w:rPr>
                <w:iCs/>
                <w:sz w:val="20"/>
              </w:rPr>
              <w:t>$550.00</w:t>
            </w:r>
          </w:p>
        </w:tc>
        <w:tc>
          <w:tcPr>
            <w:tcW w:w="71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503A8E9A" w14:textId="77777777">
            <w:pPr>
              <w:autoSpaceDE w:val="0"/>
              <w:autoSpaceDN w:val="0"/>
              <w:adjustRightInd w:val="0"/>
              <w:jc w:val="right"/>
              <w:rPr>
                <w:iCs/>
                <w:sz w:val="20"/>
              </w:rPr>
            </w:pPr>
            <w:r w:rsidRPr="009811AF">
              <w:rPr>
                <w:iCs/>
                <w:sz w:val="20"/>
              </w:rPr>
              <w:t>$25.00</w:t>
            </w:r>
          </w:p>
        </w:tc>
      </w:tr>
      <w:tr w14:paraId="11E3F644" w14:textId="77777777" w:rsidTr="00667A66">
        <w:tblPrEx>
          <w:tblW w:w="4935" w:type="pct"/>
          <w:tblInd w:w="265" w:type="dxa"/>
          <w:tblLayout w:type="fixed"/>
          <w:tblLook w:val="01E0"/>
        </w:tblPrEx>
        <w:trPr>
          <w:cantSplit/>
          <w:trHeight w:val="780"/>
        </w:trPr>
        <w:tc>
          <w:tcPr>
            <w:tcW w:w="807"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7A68C2D5" w14:textId="77777777">
            <w:pPr>
              <w:autoSpaceDE w:val="0"/>
              <w:autoSpaceDN w:val="0"/>
              <w:adjustRightInd w:val="0"/>
              <w:jc w:val="center"/>
              <w:rPr>
                <w:iCs/>
                <w:sz w:val="20"/>
              </w:rPr>
            </w:pPr>
            <w:r w:rsidRPr="009811AF">
              <w:rPr>
                <w:iCs/>
                <w:sz w:val="20"/>
              </w:rPr>
              <w:t>Submittal of DOT Incident Report</w:t>
            </w:r>
          </w:p>
        </w:tc>
        <w:tc>
          <w:tcPr>
            <w:tcW w:w="753"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20074D9B" w14:textId="77777777">
            <w:pPr>
              <w:autoSpaceDE w:val="0"/>
              <w:autoSpaceDN w:val="0"/>
              <w:adjustRightInd w:val="0"/>
              <w:jc w:val="right"/>
              <w:rPr>
                <w:iCs/>
                <w:sz w:val="20"/>
              </w:rPr>
            </w:pPr>
            <w:r w:rsidRPr="009811AF">
              <w:rPr>
                <w:iCs/>
                <w:sz w:val="20"/>
              </w:rPr>
              <w:t>10</w:t>
            </w:r>
          </w:p>
        </w:tc>
        <w:tc>
          <w:tcPr>
            <w:tcW w:w="78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53390042" w14:textId="77777777">
            <w:pPr>
              <w:autoSpaceDE w:val="0"/>
              <w:autoSpaceDN w:val="0"/>
              <w:adjustRightInd w:val="0"/>
              <w:jc w:val="right"/>
              <w:rPr>
                <w:iCs/>
                <w:sz w:val="20"/>
              </w:rPr>
            </w:pPr>
            <w:r w:rsidRPr="009811AF">
              <w:rPr>
                <w:iCs/>
                <w:sz w:val="20"/>
              </w:rPr>
              <w:t>1</w:t>
            </w:r>
          </w:p>
        </w:tc>
        <w:tc>
          <w:tcPr>
            <w:tcW w:w="634"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4CCBD2B8" w14:textId="77777777">
            <w:pPr>
              <w:autoSpaceDE w:val="0"/>
              <w:autoSpaceDN w:val="0"/>
              <w:adjustRightInd w:val="0"/>
              <w:jc w:val="right"/>
              <w:rPr>
                <w:iCs/>
                <w:sz w:val="20"/>
              </w:rPr>
            </w:pPr>
            <w:r w:rsidRPr="009811AF">
              <w:rPr>
                <w:iCs/>
                <w:sz w:val="20"/>
              </w:rPr>
              <w:t>10</w:t>
            </w:r>
          </w:p>
        </w:tc>
        <w:tc>
          <w:tcPr>
            <w:tcW w:w="586"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425FC884" w14:textId="77777777">
            <w:pPr>
              <w:autoSpaceDE w:val="0"/>
              <w:autoSpaceDN w:val="0"/>
              <w:adjustRightInd w:val="0"/>
              <w:jc w:val="right"/>
              <w:rPr>
                <w:iCs/>
                <w:sz w:val="20"/>
              </w:rPr>
            </w:pPr>
            <w:r w:rsidRPr="009811AF">
              <w:rPr>
                <w:iCs/>
                <w:sz w:val="20"/>
              </w:rPr>
              <w:t>0.25 hrs.; $25.00</w:t>
            </w:r>
          </w:p>
        </w:tc>
        <w:tc>
          <w:tcPr>
            <w:tcW w:w="73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6F9C4A77" w14:textId="77777777">
            <w:pPr>
              <w:autoSpaceDE w:val="0"/>
              <w:autoSpaceDN w:val="0"/>
              <w:adjustRightInd w:val="0"/>
              <w:jc w:val="right"/>
              <w:rPr>
                <w:iCs/>
                <w:sz w:val="20"/>
              </w:rPr>
            </w:pPr>
            <w:r w:rsidRPr="009811AF">
              <w:rPr>
                <w:iCs/>
                <w:sz w:val="20"/>
              </w:rPr>
              <w:t>2.5 hrs.;</w:t>
            </w:r>
          </w:p>
          <w:p w:rsidR="009811AF" w:rsidRPr="009811AF" w:rsidP="00667A66" w14:paraId="59E1A141" w14:textId="77777777">
            <w:pPr>
              <w:autoSpaceDE w:val="0"/>
              <w:autoSpaceDN w:val="0"/>
              <w:adjustRightInd w:val="0"/>
              <w:jc w:val="right"/>
              <w:rPr>
                <w:iCs/>
                <w:sz w:val="20"/>
              </w:rPr>
            </w:pPr>
            <w:r w:rsidRPr="009811AF">
              <w:rPr>
                <w:iCs/>
                <w:sz w:val="20"/>
              </w:rPr>
              <w:t>$250.00</w:t>
            </w:r>
          </w:p>
        </w:tc>
        <w:tc>
          <w:tcPr>
            <w:tcW w:w="71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3FF4155A" w14:textId="77777777">
            <w:pPr>
              <w:autoSpaceDE w:val="0"/>
              <w:autoSpaceDN w:val="0"/>
              <w:adjustRightInd w:val="0"/>
              <w:jc w:val="right"/>
              <w:rPr>
                <w:iCs/>
                <w:sz w:val="20"/>
              </w:rPr>
            </w:pPr>
            <w:r w:rsidRPr="009811AF">
              <w:rPr>
                <w:iCs/>
                <w:sz w:val="20"/>
              </w:rPr>
              <w:t>$25.00</w:t>
            </w:r>
          </w:p>
        </w:tc>
      </w:tr>
      <w:tr w14:paraId="67EEBF3F" w14:textId="77777777" w:rsidTr="00667A66">
        <w:tblPrEx>
          <w:tblW w:w="4935" w:type="pct"/>
          <w:tblInd w:w="265" w:type="dxa"/>
          <w:tblLayout w:type="fixed"/>
          <w:tblLook w:val="01E0"/>
        </w:tblPrEx>
        <w:trPr>
          <w:cantSplit/>
          <w:trHeight w:val="430"/>
        </w:trPr>
        <w:tc>
          <w:tcPr>
            <w:tcW w:w="807"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716B36A3" w14:textId="77777777">
            <w:pPr>
              <w:autoSpaceDE w:val="0"/>
              <w:autoSpaceDN w:val="0"/>
              <w:adjustRightInd w:val="0"/>
              <w:jc w:val="center"/>
              <w:rPr>
                <w:b/>
                <w:iCs/>
                <w:sz w:val="20"/>
              </w:rPr>
            </w:pPr>
            <w:r w:rsidRPr="009811AF">
              <w:rPr>
                <w:b/>
                <w:iCs/>
                <w:sz w:val="20"/>
              </w:rPr>
              <w:t>TOTAL</w:t>
            </w:r>
          </w:p>
        </w:tc>
        <w:tc>
          <w:tcPr>
            <w:tcW w:w="753" w:type="pct"/>
            <w:tcBorders>
              <w:top w:val="single" w:sz="4" w:space="0" w:color="auto"/>
              <w:left w:val="single" w:sz="4" w:space="0" w:color="auto"/>
              <w:bottom w:val="single" w:sz="4" w:space="0" w:color="auto"/>
              <w:right w:val="single" w:sz="4" w:space="0" w:color="auto"/>
            </w:tcBorders>
            <w:shd w:val="clear" w:color="auto" w:fill="auto"/>
            <w:vAlign w:val="bottom"/>
          </w:tcPr>
          <w:p w:rsidR="009811AF" w:rsidRPr="009811AF" w:rsidP="00667A66" w14:paraId="391C044D" w14:textId="77777777">
            <w:pPr>
              <w:autoSpaceDE w:val="0"/>
              <w:autoSpaceDN w:val="0"/>
              <w:adjustRightInd w:val="0"/>
              <w:jc w:val="right"/>
              <w:rPr>
                <w:iCs/>
                <w:sz w:val="20"/>
              </w:rPr>
            </w:pPr>
            <w:r w:rsidRPr="009811AF">
              <w:rPr>
                <w:iCs/>
                <w:sz w:val="20"/>
              </w:rPr>
              <w:t>82</w:t>
            </w:r>
          </w:p>
        </w:tc>
        <w:tc>
          <w:tcPr>
            <w:tcW w:w="2000" w:type="pct"/>
            <w:gridSpan w:val="3"/>
            <w:tcBorders>
              <w:top w:val="single" w:sz="4" w:space="0" w:color="auto"/>
              <w:left w:val="single" w:sz="4" w:space="0" w:color="auto"/>
              <w:bottom w:val="single" w:sz="4" w:space="0" w:color="auto"/>
              <w:right w:val="single" w:sz="4" w:space="0" w:color="auto"/>
            </w:tcBorders>
            <w:shd w:val="clear" w:color="auto" w:fill="D9D9D9"/>
            <w:vAlign w:val="bottom"/>
          </w:tcPr>
          <w:p w:rsidR="009811AF" w:rsidRPr="009811AF" w:rsidP="00667A66" w14:paraId="02DDC5D5" w14:textId="77777777">
            <w:pPr>
              <w:autoSpaceDE w:val="0"/>
              <w:autoSpaceDN w:val="0"/>
              <w:adjustRightInd w:val="0"/>
              <w:jc w:val="right"/>
              <w:rPr>
                <w:iCs/>
                <w:sz w:val="20"/>
              </w:rPr>
            </w:pPr>
          </w:p>
        </w:tc>
        <w:tc>
          <w:tcPr>
            <w:tcW w:w="730" w:type="pct"/>
            <w:tcBorders>
              <w:top w:val="single" w:sz="4" w:space="0" w:color="auto"/>
              <w:left w:val="single" w:sz="4" w:space="0" w:color="auto"/>
              <w:bottom w:val="single" w:sz="4" w:space="0" w:color="auto"/>
              <w:right w:val="single" w:sz="4" w:space="0" w:color="auto"/>
            </w:tcBorders>
            <w:vAlign w:val="bottom"/>
            <w:hideMark/>
          </w:tcPr>
          <w:p w:rsidR="009811AF" w:rsidRPr="009811AF" w:rsidP="00667A66" w14:paraId="10FB3747" w14:textId="77777777">
            <w:pPr>
              <w:autoSpaceDE w:val="0"/>
              <w:autoSpaceDN w:val="0"/>
              <w:adjustRightInd w:val="0"/>
              <w:jc w:val="right"/>
              <w:rPr>
                <w:iCs/>
                <w:sz w:val="20"/>
              </w:rPr>
            </w:pPr>
            <w:r w:rsidRPr="009811AF">
              <w:rPr>
                <w:iCs/>
                <w:sz w:val="20"/>
              </w:rPr>
              <w:t>58 hrs.;</w:t>
            </w:r>
          </w:p>
          <w:p w:rsidR="009811AF" w:rsidRPr="009811AF" w:rsidP="00667A66" w14:paraId="1084496F" w14:textId="77777777">
            <w:pPr>
              <w:autoSpaceDE w:val="0"/>
              <w:autoSpaceDN w:val="0"/>
              <w:adjustRightInd w:val="0"/>
              <w:jc w:val="right"/>
              <w:rPr>
                <w:iCs/>
                <w:sz w:val="20"/>
              </w:rPr>
            </w:pPr>
            <w:r w:rsidRPr="009811AF">
              <w:rPr>
                <w:iCs/>
                <w:sz w:val="20"/>
              </w:rPr>
              <w:t>$5,800</w:t>
            </w:r>
          </w:p>
        </w:tc>
        <w:tc>
          <w:tcPr>
            <w:tcW w:w="710" w:type="pct"/>
            <w:tcBorders>
              <w:top w:val="single" w:sz="4" w:space="0" w:color="auto"/>
              <w:left w:val="single" w:sz="4" w:space="0" w:color="auto"/>
              <w:bottom w:val="single" w:sz="4" w:space="0" w:color="auto"/>
              <w:right w:val="single" w:sz="4" w:space="0" w:color="auto"/>
            </w:tcBorders>
            <w:shd w:val="clear" w:color="auto" w:fill="D9D9D9"/>
            <w:vAlign w:val="bottom"/>
          </w:tcPr>
          <w:p w:rsidR="009811AF" w:rsidRPr="009811AF" w:rsidP="00667A66" w14:paraId="3E01D901" w14:textId="77777777">
            <w:pPr>
              <w:autoSpaceDE w:val="0"/>
              <w:autoSpaceDN w:val="0"/>
              <w:adjustRightInd w:val="0"/>
              <w:jc w:val="right"/>
              <w:rPr>
                <w:iCs/>
                <w:sz w:val="20"/>
              </w:rPr>
            </w:pPr>
          </w:p>
        </w:tc>
      </w:tr>
    </w:tbl>
    <w:p w:rsidR="00914C88" w:rsidP="002906E5" w14:paraId="4A808746" w14:textId="77777777">
      <w:pPr>
        <w:autoSpaceDE w:val="0"/>
        <w:autoSpaceDN w:val="0"/>
        <w:adjustRightInd w:val="0"/>
        <w:spacing w:line="480" w:lineRule="auto"/>
        <w:rPr>
          <w:i/>
        </w:rPr>
      </w:pPr>
    </w:p>
    <w:p w:rsidR="00881405" w:rsidP="002906E5" w14:paraId="40735770" w14:textId="31B6BD14">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w:t>
      </w:r>
      <w:r>
        <w:t xml:space="preserve">the methodology and assumptions used; (3) ways to enhance the quality, utility and clarity of the information collection; and (4) ways to minimize the burden of the </w:t>
      </w:r>
    </w:p>
    <w:p w:rsidR="00FF4CC0" w:rsidRPr="00FF4CC0" w:rsidP="007355FF" w14:paraId="19201E37" w14:textId="52301EEC">
      <w:pPr>
        <w:spacing w:line="480" w:lineRule="auto"/>
      </w:pPr>
      <w:r>
        <w:t>collection of information on those who are to respond, including the use of automated collection techniques or other forms of information technology.</w:t>
      </w:r>
    </w:p>
    <w:p w:rsidR="00853ABC" w14:paraId="212DCDEF" w14:textId="6E2732B7">
      <w:pPr>
        <w:spacing w:after="160" w:line="259" w:lineRule="auto"/>
      </w:pPr>
    </w:p>
    <w:p w:rsidR="00FF4CC0" w14:paraId="70D18DEA" w14:textId="08E9F0F3">
      <w:pPr>
        <w:spacing w:after="160" w:line="259" w:lineRule="auto"/>
      </w:pPr>
    </w:p>
    <w:p w:rsidR="00F276F2" w14:paraId="2E22E677" w14:textId="77777777">
      <w:pPr>
        <w:spacing w:after="160" w:line="259" w:lineRule="auto"/>
      </w:pPr>
    </w:p>
    <w:p w:rsidR="00F276F2" w:rsidRPr="00F276F2" w:rsidP="00F276F2" w14:paraId="7C39EAE8" w14:textId="1FED2194">
      <w:pPr>
        <w:ind w:firstLine="2606"/>
        <w:jc w:val="center"/>
      </w:pPr>
      <w:r w:rsidRPr="00F276F2">
        <w:t>Debbie-Anne A. Reese,</w:t>
      </w:r>
    </w:p>
    <w:p w:rsidR="00F276F2" w:rsidRPr="00F276F2" w:rsidP="00F276F2" w14:paraId="71E0CAD5" w14:textId="672DE894">
      <w:pPr>
        <w:ind w:firstLine="2606"/>
        <w:jc w:val="center"/>
      </w:pPr>
      <w:r w:rsidRPr="00F276F2">
        <w:t>Acting Secretary.</w:t>
      </w:r>
    </w:p>
    <w:p w:rsidR="00F276F2" w14:paraId="36456980" w14:textId="77777777">
      <w:pPr>
        <w:spacing w:after="160" w:line="259" w:lineRule="auto"/>
      </w:pPr>
    </w:p>
    <w:sectPr w:rsidSect="00BF2D74">
      <w:headerReference w:type="default" r:id="rId13"/>
      <w:head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592D" w:rsidP="00B01B16" w14:paraId="6D569F97" w14:textId="77777777">
      <w:r>
        <w:separator/>
      </w:r>
    </w:p>
  </w:footnote>
  <w:footnote w:type="continuationSeparator" w:id="1">
    <w:p w:rsidR="0088592D" w:rsidP="00B01B16" w14:paraId="2AD42D3C" w14:textId="77777777">
      <w:r>
        <w:continuationSeparator/>
      </w:r>
    </w:p>
  </w:footnote>
  <w:footnote w:type="continuationNotice" w:id="2">
    <w:p w:rsidR="0088592D" w14:paraId="0630ED06" w14:textId="77777777"/>
  </w:footnote>
  <w:footnote w:id="3">
    <w:p w:rsidR="009811AF" w:rsidP="009811AF" w14:paraId="22F624BD" w14:textId="69B18EA9">
      <w:pPr>
        <w:pStyle w:val="FootnoteText"/>
      </w:pPr>
      <w:r w:rsidRPr="001773DC">
        <w:rPr>
          <w:rStyle w:val="FootnoteReference"/>
        </w:rPr>
        <w:footnoteRef/>
      </w:r>
      <w:r w:rsidRPr="001773DC">
        <w:rPr>
          <w:sz w:val="26"/>
        </w:rPr>
        <w:t xml:space="preserve"> The Department of Transportation defines “incident” at 49 CFR 191.3.  The regulatory thresholds for an “incident</w:t>
      </w:r>
      <w:r>
        <w:rPr>
          <w:sz w:val="26"/>
        </w:rPr>
        <w:t xml:space="preserve"> report</w:t>
      </w:r>
      <w:r w:rsidRPr="001773DC">
        <w:rPr>
          <w:sz w:val="26"/>
        </w:rPr>
        <w:t xml:space="preserve">” include (1) </w:t>
      </w:r>
      <w:r w:rsidRPr="00A75D89">
        <w:rPr>
          <w:sz w:val="26"/>
        </w:rPr>
        <w:t>A death, or personal injury necessitating in-patient hospitalization; (</w:t>
      </w:r>
      <w:r w:rsidRPr="001773DC">
        <w:rPr>
          <w:sz w:val="26"/>
        </w:rPr>
        <w:t>2</w:t>
      </w:r>
      <w:r w:rsidRPr="00A75D89">
        <w:rPr>
          <w:sz w:val="26"/>
        </w:rPr>
        <w:t>) Estimated property damage of $122,000 or more</w:t>
      </w:r>
      <w:r w:rsidRPr="001773DC">
        <w:rPr>
          <w:sz w:val="26"/>
        </w:rPr>
        <w:t xml:space="preserve">; </w:t>
      </w:r>
      <w:r w:rsidRPr="00A75D89">
        <w:rPr>
          <w:sz w:val="26"/>
        </w:rPr>
        <w:t>(</w:t>
      </w:r>
      <w:r w:rsidRPr="001773DC">
        <w:rPr>
          <w:sz w:val="26"/>
        </w:rPr>
        <w:t>3</w:t>
      </w:r>
      <w:r w:rsidRPr="00A75D89">
        <w:rPr>
          <w:sz w:val="26"/>
        </w:rPr>
        <w:t>) Unintentional estimated gas loss of three million cubic feet or more</w:t>
      </w:r>
      <w:r w:rsidRPr="001773DC">
        <w:rPr>
          <w:sz w:val="26"/>
        </w:rPr>
        <w:t>; (4) E</w:t>
      </w:r>
      <w:r w:rsidRPr="00A75D89">
        <w:rPr>
          <w:sz w:val="26"/>
        </w:rPr>
        <w:t>mergency shutdown of a</w:t>
      </w:r>
      <w:r w:rsidRPr="001773DC">
        <w:rPr>
          <w:sz w:val="26"/>
        </w:rPr>
        <w:t xml:space="preserve"> fa</w:t>
      </w:r>
      <w:r w:rsidRPr="00A75D89">
        <w:rPr>
          <w:sz w:val="26"/>
        </w:rPr>
        <w:t>cility</w:t>
      </w:r>
      <w:r w:rsidRPr="001773DC">
        <w:rPr>
          <w:sz w:val="26"/>
        </w:rPr>
        <w:t xml:space="preserve">; or (5) </w:t>
      </w:r>
      <w:r w:rsidRPr="00A75D89">
        <w:rPr>
          <w:sz w:val="26"/>
        </w:rPr>
        <w:t>An event that is significant in the judgment of the operator</w:t>
      </w:r>
      <w:r w:rsidRPr="001773DC">
        <w:rPr>
          <w:sz w:val="26"/>
        </w:rPr>
        <w:t>.</w:t>
      </w:r>
    </w:p>
  </w:footnote>
  <w:footnote w:id="4">
    <w:p w:rsidR="009811AF" w:rsidRPr="0033464B" w:rsidP="00454576" w14:paraId="1C81CB0A" w14:textId="19F40AFE">
      <w:pPr>
        <w:pStyle w:val="FootnoteText"/>
        <w:rPr>
          <w:sz w:val="26"/>
        </w:rPr>
      </w:pPr>
      <w:r w:rsidRPr="0033464B">
        <w:rPr>
          <w:rStyle w:val="FootnoteReference"/>
        </w:rPr>
        <w:footnoteRef/>
      </w:r>
      <w:r w:rsidRPr="0033464B">
        <w:rPr>
          <w:sz w:val="26"/>
        </w:rPr>
        <w:t xml:space="preserve"> </w:t>
      </w:r>
      <w:r w:rsidRPr="0033464B">
        <w:rPr>
          <w:i/>
          <w:iCs/>
          <w:sz w:val="26"/>
        </w:rPr>
        <w:t>See</w:t>
      </w:r>
      <w:r w:rsidRPr="0033464B">
        <w:rPr>
          <w:sz w:val="26"/>
        </w:rPr>
        <w:t xml:space="preserve"> 18 CFR 260.9(d) and 260.9(e).</w:t>
      </w:r>
      <w:r w:rsidR="00454576">
        <w:rPr>
          <w:sz w:val="26"/>
        </w:rPr>
        <w:tab/>
      </w:r>
    </w:p>
  </w:footnote>
  <w:footnote w:id="5">
    <w:p w:rsidR="007B5C30" w:rsidRPr="00A138AC" w14:paraId="636260E0" w14:textId="5528960B">
      <w:pPr>
        <w:pStyle w:val="FootnoteText"/>
        <w:rPr>
          <w:sz w:val="26"/>
        </w:rPr>
      </w:pPr>
      <w:r w:rsidRPr="00A138AC">
        <w:rPr>
          <w:rStyle w:val="FootnoteReference"/>
        </w:rPr>
        <w:footnoteRef/>
      </w:r>
      <w:r w:rsidRPr="00A138AC">
        <w:rPr>
          <w:sz w:val="26"/>
        </w:rPr>
        <w:t xml:space="preserve"> </w:t>
      </w:r>
      <w:r w:rsidRPr="00A138AC" w:rsidR="00A138AC">
        <w:rPr>
          <w:sz w:val="26"/>
        </w:rPr>
        <w:t>Burden is defined as the total time, effort, or financial resources expended by persons to generate, maintain, retain, or disclose or provide information to or for a Federal agency. For further explanation of what is included in the information collection burden, refer to 5 CFR Part 1320.</w:t>
      </w:r>
    </w:p>
  </w:footnote>
  <w:footnote w:id="6">
    <w:p w:rsidR="009811AF" w:rsidRPr="005622B9" w:rsidP="009811AF" w14:paraId="3A56F28F" w14:textId="77777777">
      <w:pPr>
        <w:pStyle w:val="FootnoteText"/>
        <w:rPr>
          <w:b/>
          <w:sz w:val="26"/>
          <w:szCs w:val="26"/>
        </w:rPr>
      </w:pPr>
      <w:r w:rsidRPr="00DC177A">
        <w:rPr>
          <w:rStyle w:val="FootnoteReference"/>
        </w:rPr>
        <w:footnoteRef/>
      </w:r>
      <w:r w:rsidRPr="00DC177A">
        <w:rPr>
          <w:b/>
          <w:sz w:val="26"/>
          <w:szCs w:val="26"/>
        </w:rPr>
        <w:t xml:space="preserve"> </w:t>
      </w:r>
      <w:r w:rsidRPr="005622B9">
        <w:rPr>
          <w:bCs/>
          <w:sz w:val="26"/>
          <w:szCs w:val="26"/>
        </w:rPr>
        <w:t>The Commission staff estimates that the average respondent for FERC-576 is similarly situated to the Commission, in terms of salary plus benefits. Based on FERC’s current annual average of $207,786  (for salary plus benefits), the average hourly cost is $100/hour.</w:t>
      </w:r>
      <w:r w:rsidRPr="005622B9">
        <w:rPr>
          <w:b/>
          <w:sz w:val="26"/>
          <w:szCs w:val="26"/>
        </w:rPr>
        <w:t xml:space="preserve"> </w:t>
      </w:r>
    </w:p>
    <w:p w:rsidR="009811AF" w:rsidRPr="00DC177A" w:rsidP="009811AF" w14:paraId="34A42D12" w14:textId="77777777">
      <w:pPr>
        <w:pStyle w:val="FootnoteText"/>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7451640"/>
      <w:docPartObj>
        <w:docPartGallery w:val="Page Numbers (Top of Page)"/>
        <w:docPartUnique/>
      </w:docPartObj>
    </w:sdtPr>
    <w:sdtEndPr>
      <w:rPr>
        <w:noProof/>
      </w:rPr>
    </w:sdtEndPr>
    <w:sdtContent>
      <w:p w:rsidR="00C80D25" w14:paraId="13B0CC0F" w14:textId="6F9EF0D8">
        <w:pPr>
          <w:pStyle w:val="Header"/>
        </w:pPr>
        <w:r w:rsidRPr="00D954AE">
          <w:t>Docket No. IC2</w:t>
        </w:r>
        <w:r w:rsidR="007A2BA5">
          <w:t>4-11-000</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C81407">
          <w:rPr>
            <w:noProof/>
          </w:rPr>
          <w:t>4</w:t>
        </w:r>
        <w:r>
          <w:rPr>
            <w:noProof/>
            <w:color w:val="2B579A"/>
            <w:shd w:val="clear" w:color="auto" w:fill="E6E6E6"/>
          </w:rPr>
          <w:fldChar w:fldCharType="end"/>
        </w:r>
      </w:p>
    </w:sdtContent>
  </w:sdt>
  <w:p w:rsidR="00F82EE1" w14:paraId="0E155F8B" w14:textId="2CD57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95D" w14:paraId="19B5AE10" w14:textId="04D00F7D">
    <w:pPr>
      <w:pStyle w:val="Header"/>
    </w:pPr>
  </w:p>
  <w:p w:rsidR="001A495D" w14:paraId="7A3097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27EA7F6E"/>
    <w:multiLevelType w:val="hybridMultilevel"/>
    <w:tmpl w:val="D786B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9">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826870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89615">
    <w:abstractNumId w:val="4"/>
  </w:num>
  <w:num w:numId="3" w16cid:durableId="1999458098">
    <w:abstractNumId w:val="10"/>
  </w:num>
  <w:num w:numId="4" w16cid:durableId="1220245001">
    <w:abstractNumId w:val="7"/>
  </w:num>
  <w:num w:numId="5" w16cid:durableId="1296061172">
    <w:abstractNumId w:val="15"/>
  </w:num>
  <w:num w:numId="6" w16cid:durableId="700517710">
    <w:abstractNumId w:val="2"/>
  </w:num>
  <w:num w:numId="7" w16cid:durableId="743530515">
    <w:abstractNumId w:val="11"/>
  </w:num>
  <w:num w:numId="8" w16cid:durableId="130486807">
    <w:abstractNumId w:val="1"/>
  </w:num>
  <w:num w:numId="9" w16cid:durableId="387070222">
    <w:abstractNumId w:val="9"/>
  </w:num>
  <w:num w:numId="10" w16cid:durableId="699210254">
    <w:abstractNumId w:val="14"/>
  </w:num>
  <w:num w:numId="11" w16cid:durableId="168524488">
    <w:abstractNumId w:val="3"/>
  </w:num>
  <w:num w:numId="12" w16cid:durableId="1962495118">
    <w:abstractNumId w:val="12"/>
  </w:num>
  <w:num w:numId="13" w16cid:durableId="769161136">
    <w:abstractNumId w:val="0"/>
  </w:num>
  <w:num w:numId="14" w16cid:durableId="1564872408">
    <w:abstractNumId w:val="13"/>
  </w:num>
  <w:num w:numId="15" w16cid:durableId="1819686678">
    <w:abstractNumId w:val="8"/>
  </w:num>
  <w:num w:numId="16" w16cid:durableId="1729111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0447"/>
    <w:rsid w:val="00002F5C"/>
    <w:rsid w:val="0000758F"/>
    <w:rsid w:val="00014343"/>
    <w:rsid w:val="00023B2D"/>
    <w:rsid w:val="00026C2D"/>
    <w:rsid w:val="000379D6"/>
    <w:rsid w:val="00042F33"/>
    <w:rsid w:val="000459B6"/>
    <w:rsid w:val="0005167F"/>
    <w:rsid w:val="00052169"/>
    <w:rsid w:val="000578D5"/>
    <w:rsid w:val="00062427"/>
    <w:rsid w:val="00065637"/>
    <w:rsid w:val="0006681D"/>
    <w:rsid w:val="00072E34"/>
    <w:rsid w:val="00082413"/>
    <w:rsid w:val="00084E3D"/>
    <w:rsid w:val="0008692A"/>
    <w:rsid w:val="00086BAE"/>
    <w:rsid w:val="00097607"/>
    <w:rsid w:val="000A0250"/>
    <w:rsid w:val="000A2903"/>
    <w:rsid w:val="000A3078"/>
    <w:rsid w:val="000A3C2F"/>
    <w:rsid w:val="000A6164"/>
    <w:rsid w:val="000A6F37"/>
    <w:rsid w:val="000A7E68"/>
    <w:rsid w:val="000B431B"/>
    <w:rsid w:val="000B5B66"/>
    <w:rsid w:val="000B5C78"/>
    <w:rsid w:val="000B62BA"/>
    <w:rsid w:val="000C5E3A"/>
    <w:rsid w:val="000D2970"/>
    <w:rsid w:val="000D318C"/>
    <w:rsid w:val="000D6969"/>
    <w:rsid w:val="000E1256"/>
    <w:rsid w:val="000E2568"/>
    <w:rsid w:val="000E4C61"/>
    <w:rsid w:val="000F23F7"/>
    <w:rsid w:val="000F3BC3"/>
    <w:rsid w:val="000F606E"/>
    <w:rsid w:val="00112B6B"/>
    <w:rsid w:val="00116326"/>
    <w:rsid w:val="00117A32"/>
    <w:rsid w:val="00125991"/>
    <w:rsid w:val="001309CE"/>
    <w:rsid w:val="0013255C"/>
    <w:rsid w:val="00135FC5"/>
    <w:rsid w:val="00137823"/>
    <w:rsid w:val="00150CBC"/>
    <w:rsid w:val="0015445B"/>
    <w:rsid w:val="00156BBB"/>
    <w:rsid w:val="001600DF"/>
    <w:rsid w:val="00161AE8"/>
    <w:rsid w:val="00164215"/>
    <w:rsid w:val="0017164F"/>
    <w:rsid w:val="00171725"/>
    <w:rsid w:val="00176042"/>
    <w:rsid w:val="0017684C"/>
    <w:rsid w:val="001773DC"/>
    <w:rsid w:val="00177704"/>
    <w:rsid w:val="00180096"/>
    <w:rsid w:val="00181BF7"/>
    <w:rsid w:val="00182110"/>
    <w:rsid w:val="001841BB"/>
    <w:rsid w:val="00184A26"/>
    <w:rsid w:val="00184B43"/>
    <w:rsid w:val="0018602B"/>
    <w:rsid w:val="00187FF1"/>
    <w:rsid w:val="00190F13"/>
    <w:rsid w:val="0019402A"/>
    <w:rsid w:val="001971AD"/>
    <w:rsid w:val="00197435"/>
    <w:rsid w:val="001974A9"/>
    <w:rsid w:val="001A14E5"/>
    <w:rsid w:val="001A2DAA"/>
    <w:rsid w:val="001A495D"/>
    <w:rsid w:val="001A4D96"/>
    <w:rsid w:val="001A6645"/>
    <w:rsid w:val="001A6AD6"/>
    <w:rsid w:val="001B0BD2"/>
    <w:rsid w:val="001B5398"/>
    <w:rsid w:val="001B619F"/>
    <w:rsid w:val="001B78B8"/>
    <w:rsid w:val="001C543C"/>
    <w:rsid w:val="001C7064"/>
    <w:rsid w:val="001D0BC7"/>
    <w:rsid w:val="001D578A"/>
    <w:rsid w:val="001D5F38"/>
    <w:rsid w:val="001E3237"/>
    <w:rsid w:val="001E58E6"/>
    <w:rsid w:val="001E6BA7"/>
    <w:rsid w:val="001F00EE"/>
    <w:rsid w:val="001F1CDF"/>
    <w:rsid w:val="001F5A3B"/>
    <w:rsid w:val="0020200A"/>
    <w:rsid w:val="00202E41"/>
    <w:rsid w:val="0020446B"/>
    <w:rsid w:val="00206037"/>
    <w:rsid w:val="00207AE7"/>
    <w:rsid w:val="00211105"/>
    <w:rsid w:val="002131D0"/>
    <w:rsid w:val="00213696"/>
    <w:rsid w:val="00223204"/>
    <w:rsid w:val="00224BF8"/>
    <w:rsid w:val="00224DD2"/>
    <w:rsid w:val="00237AB9"/>
    <w:rsid w:val="0024271E"/>
    <w:rsid w:val="0024309C"/>
    <w:rsid w:val="0024309D"/>
    <w:rsid w:val="00253F98"/>
    <w:rsid w:val="00257CC2"/>
    <w:rsid w:val="00262096"/>
    <w:rsid w:val="00265B23"/>
    <w:rsid w:val="00266431"/>
    <w:rsid w:val="002673C4"/>
    <w:rsid w:val="00270ED7"/>
    <w:rsid w:val="002721E8"/>
    <w:rsid w:val="00272AAF"/>
    <w:rsid w:val="00274ABD"/>
    <w:rsid w:val="002906E5"/>
    <w:rsid w:val="00292A4C"/>
    <w:rsid w:val="00297211"/>
    <w:rsid w:val="002B5874"/>
    <w:rsid w:val="002C2C8B"/>
    <w:rsid w:val="002C3223"/>
    <w:rsid w:val="002C3579"/>
    <w:rsid w:val="002C5E0E"/>
    <w:rsid w:val="002D17E5"/>
    <w:rsid w:val="002D57E8"/>
    <w:rsid w:val="002E06A0"/>
    <w:rsid w:val="002E1C29"/>
    <w:rsid w:val="002E68D4"/>
    <w:rsid w:val="002E6DAA"/>
    <w:rsid w:val="002E7818"/>
    <w:rsid w:val="002F1BDD"/>
    <w:rsid w:val="002F4401"/>
    <w:rsid w:val="002F708A"/>
    <w:rsid w:val="00301E3D"/>
    <w:rsid w:val="00303516"/>
    <w:rsid w:val="00306318"/>
    <w:rsid w:val="0030749E"/>
    <w:rsid w:val="00311D90"/>
    <w:rsid w:val="00314219"/>
    <w:rsid w:val="003149BC"/>
    <w:rsid w:val="0033092C"/>
    <w:rsid w:val="0033340D"/>
    <w:rsid w:val="0033464B"/>
    <w:rsid w:val="00336AD9"/>
    <w:rsid w:val="00340D3C"/>
    <w:rsid w:val="0034294E"/>
    <w:rsid w:val="00353270"/>
    <w:rsid w:val="00365468"/>
    <w:rsid w:val="003658A2"/>
    <w:rsid w:val="003673EC"/>
    <w:rsid w:val="00373A2E"/>
    <w:rsid w:val="003758CE"/>
    <w:rsid w:val="00376525"/>
    <w:rsid w:val="003844D3"/>
    <w:rsid w:val="00397ABE"/>
    <w:rsid w:val="003A2C3F"/>
    <w:rsid w:val="003A32E7"/>
    <w:rsid w:val="003B2D6D"/>
    <w:rsid w:val="003B435C"/>
    <w:rsid w:val="003B52BC"/>
    <w:rsid w:val="003B5B0B"/>
    <w:rsid w:val="003C08DE"/>
    <w:rsid w:val="003C3E7A"/>
    <w:rsid w:val="003C546A"/>
    <w:rsid w:val="003D0BB4"/>
    <w:rsid w:val="003D28D2"/>
    <w:rsid w:val="003D361D"/>
    <w:rsid w:val="003D5AEC"/>
    <w:rsid w:val="003E1657"/>
    <w:rsid w:val="003E1B25"/>
    <w:rsid w:val="003E1B5A"/>
    <w:rsid w:val="003E40B2"/>
    <w:rsid w:val="003E44AD"/>
    <w:rsid w:val="003F0FE7"/>
    <w:rsid w:val="003F2E32"/>
    <w:rsid w:val="003F2EC7"/>
    <w:rsid w:val="003F50FD"/>
    <w:rsid w:val="003F570B"/>
    <w:rsid w:val="003F6466"/>
    <w:rsid w:val="003F7A51"/>
    <w:rsid w:val="004042C9"/>
    <w:rsid w:val="00407BCE"/>
    <w:rsid w:val="00410A8B"/>
    <w:rsid w:val="00411B62"/>
    <w:rsid w:val="00413AA8"/>
    <w:rsid w:val="00413FDE"/>
    <w:rsid w:val="004177CD"/>
    <w:rsid w:val="0042688C"/>
    <w:rsid w:val="0042765E"/>
    <w:rsid w:val="00427AE5"/>
    <w:rsid w:val="00433F15"/>
    <w:rsid w:val="004417C4"/>
    <w:rsid w:val="00441F16"/>
    <w:rsid w:val="00443282"/>
    <w:rsid w:val="00447C9E"/>
    <w:rsid w:val="004509A3"/>
    <w:rsid w:val="00450D64"/>
    <w:rsid w:val="00454576"/>
    <w:rsid w:val="004562F1"/>
    <w:rsid w:val="00456DDE"/>
    <w:rsid w:val="004628F2"/>
    <w:rsid w:val="00465456"/>
    <w:rsid w:val="00471921"/>
    <w:rsid w:val="00480D2D"/>
    <w:rsid w:val="00491543"/>
    <w:rsid w:val="00492E7E"/>
    <w:rsid w:val="00496F03"/>
    <w:rsid w:val="00497A62"/>
    <w:rsid w:val="004A2FEC"/>
    <w:rsid w:val="004A661D"/>
    <w:rsid w:val="004A6FC8"/>
    <w:rsid w:val="004B7463"/>
    <w:rsid w:val="004C0BC3"/>
    <w:rsid w:val="004C70C8"/>
    <w:rsid w:val="004D7E8A"/>
    <w:rsid w:val="004E44F8"/>
    <w:rsid w:val="004E683E"/>
    <w:rsid w:val="004F56E3"/>
    <w:rsid w:val="004F7B5D"/>
    <w:rsid w:val="00506F3A"/>
    <w:rsid w:val="00524164"/>
    <w:rsid w:val="00527733"/>
    <w:rsid w:val="00531000"/>
    <w:rsid w:val="005401E0"/>
    <w:rsid w:val="00544424"/>
    <w:rsid w:val="005452CC"/>
    <w:rsid w:val="0054746C"/>
    <w:rsid w:val="0055326E"/>
    <w:rsid w:val="00561908"/>
    <w:rsid w:val="005622B9"/>
    <w:rsid w:val="00565830"/>
    <w:rsid w:val="00565B5E"/>
    <w:rsid w:val="00566B5F"/>
    <w:rsid w:val="00567315"/>
    <w:rsid w:val="005739F7"/>
    <w:rsid w:val="005749DE"/>
    <w:rsid w:val="0058195F"/>
    <w:rsid w:val="00582191"/>
    <w:rsid w:val="00584A11"/>
    <w:rsid w:val="0058621E"/>
    <w:rsid w:val="00587D1F"/>
    <w:rsid w:val="00592484"/>
    <w:rsid w:val="0059421A"/>
    <w:rsid w:val="005953A1"/>
    <w:rsid w:val="00596526"/>
    <w:rsid w:val="00597970"/>
    <w:rsid w:val="005A0B82"/>
    <w:rsid w:val="005A0D62"/>
    <w:rsid w:val="005A1E8A"/>
    <w:rsid w:val="005A2F24"/>
    <w:rsid w:val="005A5AB9"/>
    <w:rsid w:val="005A6119"/>
    <w:rsid w:val="005B0254"/>
    <w:rsid w:val="005B46F0"/>
    <w:rsid w:val="005B4DA4"/>
    <w:rsid w:val="005B7231"/>
    <w:rsid w:val="005C09F1"/>
    <w:rsid w:val="005C12CF"/>
    <w:rsid w:val="005C180F"/>
    <w:rsid w:val="005C77BE"/>
    <w:rsid w:val="005D0259"/>
    <w:rsid w:val="005D0FDC"/>
    <w:rsid w:val="005D238D"/>
    <w:rsid w:val="005D4628"/>
    <w:rsid w:val="005D580E"/>
    <w:rsid w:val="005E0B1A"/>
    <w:rsid w:val="005E410C"/>
    <w:rsid w:val="005E45C6"/>
    <w:rsid w:val="005E68E7"/>
    <w:rsid w:val="005F7CE1"/>
    <w:rsid w:val="00602995"/>
    <w:rsid w:val="006128A5"/>
    <w:rsid w:val="00613169"/>
    <w:rsid w:val="0062572C"/>
    <w:rsid w:val="00630E07"/>
    <w:rsid w:val="00632079"/>
    <w:rsid w:val="0063784F"/>
    <w:rsid w:val="00637F43"/>
    <w:rsid w:val="00641F0D"/>
    <w:rsid w:val="00643772"/>
    <w:rsid w:val="00644A1B"/>
    <w:rsid w:val="00650E6C"/>
    <w:rsid w:val="00651CE5"/>
    <w:rsid w:val="006536D8"/>
    <w:rsid w:val="00654399"/>
    <w:rsid w:val="00654BA4"/>
    <w:rsid w:val="0066195A"/>
    <w:rsid w:val="0066281B"/>
    <w:rsid w:val="00663FBE"/>
    <w:rsid w:val="00664931"/>
    <w:rsid w:val="006670C8"/>
    <w:rsid w:val="00667A66"/>
    <w:rsid w:val="00672790"/>
    <w:rsid w:val="00683CDC"/>
    <w:rsid w:val="006841A7"/>
    <w:rsid w:val="00687348"/>
    <w:rsid w:val="00691D3A"/>
    <w:rsid w:val="00693721"/>
    <w:rsid w:val="00694C22"/>
    <w:rsid w:val="006963BC"/>
    <w:rsid w:val="006970F4"/>
    <w:rsid w:val="006A2E15"/>
    <w:rsid w:val="006A4398"/>
    <w:rsid w:val="006B3479"/>
    <w:rsid w:val="006B3A1E"/>
    <w:rsid w:val="006C7177"/>
    <w:rsid w:val="006C73D0"/>
    <w:rsid w:val="006D5669"/>
    <w:rsid w:val="006E079A"/>
    <w:rsid w:val="006E7CBB"/>
    <w:rsid w:val="006E7EBE"/>
    <w:rsid w:val="006F7028"/>
    <w:rsid w:val="006F749E"/>
    <w:rsid w:val="007024F1"/>
    <w:rsid w:val="00707D60"/>
    <w:rsid w:val="00713417"/>
    <w:rsid w:val="007142E3"/>
    <w:rsid w:val="00714EDD"/>
    <w:rsid w:val="0071596F"/>
    <w:rsid w:val="00723505"/>
    <w:rsid w:val="007263B9"/>
    <w:rsid w:val="007352F2"/>
    <w:rsid w:val="007355FF"/>
    <w:rsid w:val="00737D0C"/>
    <w:rsid w:val="007432C3"/>
    <w:rsid w:val="0075009F"/>
    <w:rsid w:val="00752A48"/>
    <w:rsid w:val="00757503"/>
    <w:rsid w:val="00757707"/>
    <w:rsid w:val="00761148"/>
    <w:rsid w:val="007633DD"/>
    <w:rsid w:val="007755E3"/>
    <w:rsid w:val="00775977"/>
    <w:rsid w:val="00781E6A"/>
    <w:rsid w:val="007922B7"/>
    <w:rsid w:val="007A2BA5"/>
    <w:rsid w:val="007A5C0A"/>
    <w:rsid w:val="007B1F57"/>
    <w:rsid w:val="007B370F"/>
    <w:rsid w:val="007B4938"/>
    <w:rsid w:val="007B5C30"/>
    <w:rsid w:val="007B6EEC"/>
    <w:rsid w:val="007B71AB"/>
    <w:rsid w:val="007D02D8"/>
    <w:rsid w:val="007E3706"/>
    <w:rsid w:val="007F4CD3"/>
    <w:rsid w:val="007F61C2"/>
    <w:rsid w:val="007F7B74"/>
    <w:rsid w:val="00800590"/>
    <w:rsid w:val="00801456"/>
    <w:rsid w:val="008018DB"/>
    <w:rsid w:val="00802851"/>
    <w:rsid w:val="008037D8"/>
    <w:rsid w:val="00803CA2"/>
    <w:rsid w:val="00807CAC"/>
    <w:rsid w:val="008115BF"/>
    <w:rsid w:val="008143B0"/>
    <w:rsid w:val="00816942"/>
    <w:rsid w:val="008212DA"/>
    <w:rsid w:val="00823681"/>
    <w:rsid w:val="00824D81"/>
    <w:rsid w:val="0082638F"/>
    <w:rsid w:val="00835322"/>
    <w:rsid w:val="008376AE"/>
    <w:rsid w:val="008416FD"/>
    <w:rsid w:val="00845FCF"/>
    <w:rsid w:val="008507FE"/>
    <w:rsid w:val="00851F24"/>
    <w:rsid w:val="00853ABC"/>
    <w:rsid w:val="00863E08"/>
    <w:rsid w:val="00866D16"/>
    <w:rsid w:val="00871D53"/>
    <w:rsid w:val="00871DCE"/>
    <w:rsid w:val="008755D6"/>
    <w:rsid w:val="00880340"/>
    <w:rsid w:val="00881405"/>
    <w:rsid w:val="00882BFE"/>
    <w:rsid w:val="00883F45"/>
    <w:rsid w:val="0088592D"/>
    <w:rsid w:val="00886E29"/>
    <w:rsid w:val="0089069F"/>
    <w:rsid w:val="0089298D"/>
    <w:rsid w:val="00893C9F"/>
    <w:rsid w:val="0089501F"/>
    <w:rsid w:val="00895B40"/>
    <w:rsid w:val="00895DA2"/>
    <w:rsid w:val="00897359"/>
    <w:rsid w:val="008A050A"/>
    <w:rsid w:val="008A1C9C"/>
    <w:rsid w:val="008A55FC"/>
    <w:rsid w:val="008A7371"/>
    <w:rsid w:val="008B5F6D"/>
    <w:rsid w:val="008B7EC5"/>
    <w:rsid w:val="008D25B7"/>
    <w:rsid w:val="008D5479"/>
    <w:rsid w:val="008D6B4D"/>
    <w:rsid w:val="008E0DC0"/>
    <w:rsid w:val="008E0DF5"/>
    <w:rsid w:val="008E145A"/>
    <w:rsid w:val="008E3273"/>
    <w:rsid w:val="008F0C45"/>
    <w:rsid w:val="008F6412"/>
    <w:rsid w:val="00904B00"/>
    <w:rsid w:val="009112D0"/>
    <w:rsid w:val="00914C88"/>
    <w:rsid w:val="00920472"/>
    <w:rsid w:val="009330C3"/>
    <w:rsid w:val="00940C0F"/>
    <w:rsid w:val="00944E3A"/>
    <w:rsid w:val="00951DA7"/>
    <w:rsid w:val="00951DC3"/>
    <w:rsid w:val="0095548F"/>
    <w:rsid w:val="009562A5"/>
    <w:rsid w:val="00957820"/>
    <w:rsid w:val="009744C8"/>
    <w:rsid w:val="00974530"/>
    <w:rsid w:val="00974659"/>
    <w:rsid w:val="00976F19"/>
    <w:rsid w:val="00980E58"/>
    <w:rsid w:val="009811AF"/>
    <w:rsid w:val="009815BD"/>
    <w:rsid w:val="00981886"/>
    <w:rsid w:val="00990102"/>
    <w:rsid w:val="009907E2"/>
    <w:rsid w:val="00990FEC"/>
    <w:rsid w:val="00992257"/>
    <w:rsid w:val="009928CD"/>
    <w:rsid w:val="009949AA"/>
    <w:rsid w:val="00995921"/>
    <w:rsid w:val="009A1B08"/>
    <w:rsid w:val="009B0524"/>
    <w:rsid w:val="009B166F"/>
    <w:rsid w:val="009B3667"/>
    <w:rsid w:val="009C3CB9"/>
    <w:rsid w:val="009C4A13"/>
    <w:rsid w:val="009C745D"/>
    <w:rsid w:val="009D2BE4"/>
    <w:rsid w:val="009D50C1"/>
    <w:rsid w:val="009E2D84"/>
    <w:rsid w:val="009F279E"/>
    <w:rsid w:val="009F7DE3"/>
    <w:rsid w:val="00A00123"/>
    <w:rsid w:val="00A04C8E"/>
    <w:rsid w:val="00A07154"/>
    <w:rsid w:val="00A11868"/>
    <w:rsid w:val="00A127D3"/>
    <w:rsid w:val="00A1386C"/>
    <w:rsid w:val="00A138AC"/>
    <w:rsid w:val="00A14335"/>
    <w:rsid w:val="00A14B43"/>
    <w:rsid w:val="00A166E7"/>
    <w:rsid w:val="00A178B0"/>
    <w:rsid w:val="00A23612"/>
    <w:rsid w:val="00A2604E"/>
    <w:rsid w:val="00A26D4A"/>
    <w:rsid w:val="00A27C67"/>
    <w:rsid w:val="00A32860"/>
    <w:rsid w:val="00A334E0"/>
    <w:rsid w:val="00A417A2"/>
    <w:rsid w:val="00A52189"/>
    <w:rsid w:val="00A57463"/>
    <w:rsid w:val="00A60C77"/>
    <w:rsid w:val="00A664DF"/>
    <w:rsid w:val="00A71219"/>
    <w:rsid w:val="00A713D0"/>
    <w:rsid w:val="00A722D4"/>
    <w:rsid w:val="00A75AAA"/>
    <w:rsid w:val="00A75D89"/>
    <w:rsid w:val="00A82A29"/>
    <w:rsid w:val="00A86B6F"/>
    <w:rsid w:val="00A959E1"/>
    <w:rsid w:val="00A9648A"/>
    <w:rsid w:val="00AA516A"/>
    <w:rsid w:val="00AA5B0E"/>
    <w:rsid w:val="00AA6A4A"/>
    <w:rsid w:val="00AB4DBF"/>
    <w:rsid w:val="00AC0504"/>
    <w:rsid w:val="00AC1DB7"/>
    <w:rsid w:val="00AC381D"/>
    <w:rsid w:val="00AC3A7C"/>
    <w:rsid w:val="00AC62A6"/>
    <w:rsid w:val="00AC664F"/>
    <w:rsid w:val="00AC750B"/>
    <w:rsid w:val="00AD1E15"/>
    <w:rsid w:val="00AD4E71"/>
    <w:rsid w:val="00AD6937"/>
    <w:rsid w:val="00AE1F12"/>
    <w:rsid w:val="00AE24CC"/>
    <w:rsid w:val="00AE2B18"/>
    <w:rsid w:val="00AE4155"/>
    <w:rsid w:val="00AE4B7C"/>
    <w:rsid w:val="00AE66F6"/>
    <w:rsid w:val="00AF17CE"/>
    <w:rsid w:val="00AF336D"/>
    <w:rsid w:val="00AF349B"/>
    <w:rsid w:val="00AF60E7"/>
    <w:rsid w:val="00AF65F0"/>
    <w:rsid w:val="00B009E9"/>
    <w:rsid w:val="00B01711"/>
    <w:rsid w:val="00B01B16"/>
    <w:rsid w:val="00B04635"/>
    <w:rsid w:val="00B062D0"/>
    <w:rsid w:val="00B11D16"/>
    <w:rsid w:val="00B17A95"/>
    <w:rsid w:val="00B20043"/>
    <w:rsid w:val="00B20A44"/>
    <w:rsid w:val="00B24588"/>
    <w:rsid w:val="00B274AE"/>
    <w:rsid w:val="00B30F2D"/>
    <w:rsid w:val="00B34928"/>
    <w:rsid w:val="00B35B74"/>
    <w:rsid w:val="00B403F1"/>
    <w:rsid w:val="00B40AB8"/>
    <w:rsid w:val="00B4163B"/>
    <w:rsid w:val="00B447D7"/>
    <w:rsid w:val="00B51621"/>
    <w:rsid w:val="00B556C9"/>
    <w:rsid w:val="00B57033"/>
    <w:rsid w:val="00B60113"/>
    <w:rsid w:val="00B6081E"/>
    <w:rsid w:val="00B61016"/>
    <w:rsid w:val="00B624EB"/>
    <w:rsid w:val="00B65D21"/>
    <w:rsid w:val="00B71BAA"/>
    <w:rsid w:val="00B76A1F"/>
    <w:rsid w:val="00B806DD"/>
    <w:rsid w:val="00B82F8C"/>
    <w:rsid w:val="00B8460F"/>
    <w:rsid w:val="00B84D34"/>
    <w:rsid w:val="00B95303"/>
    <w:rsid w:val="00B95477"/>
    <w:rsid w:val="00B96886"/>
    <w:rsid w:val="00B978A7"/>
    <w:rsid w:val="00BA1D81"/>
    <w:rsid w:val="00BA258F"/>
    <w:rsid w:val="00BA7130"/>
    <w:rsid w:val="00BB436B"/>
    <w:rsid w:val="00BB5EF5"/>
    <w:rsid w:val="00BC58DF"/>
    <w:rsid w:val="00BC6431"/>
    <w:rsid w:val="00BD205B"/>
    <w:rsid w:val="00BD74AE"/>
    <w:rsid w:val="00BE16BC"/>
    <w:rsid w:val="00BE35F6"/>
    <w:rsid w:val="00BE3971"/>
    <w:rsid w:val="00BE3FE7"/>
    <w:rsid w:val="00BE6EDF"/>
    <w:rsid w:val="00BF2922"/>
    <w:rsid w:val="00BF2D74"/>
    <w:rsid w:val="00BF4CC8"/>
    <w:rsid w:val="00BF51ED"/>
    <w:rsid w:val="00BF75B6"/>
    <w:rsid w:val="00C02547"/>
    <w:rsid w:val="00C025C8"/>
    <w:rsid w:val="00C04E54"/>
    <w:rsid w:val="00C058D5"/>
    <w:rsid w:val="00C1124F"/>
    <w:rsid w:val="00C14903"/>
    <w:rsid w:val="00C1686C"/>
    <w:rsid w:val="00C168F3"/>
    <w:rsid w:val="00C30486"/>
    <w:rsid w:val="00C30740"/>
    <w:rsid w:val="00C30A20"/>
    <w:rsid w:val="00C30DED"/>
    <w:rsid w:val="00C367A6"/>
    <w:rsid w:val="00C37BFF"/>
    <w:rsid w:val="00C42500"/>
    <w:rsid w:val="00C43470"/>
    <w:rsid w:val="00C45F17"/>
    <w:rsid w:val="00C46084"/>
    <w:rsid w:val="00C47B34"/>
    <w:rsid w:val="00C50BD5"/>
    <w:rsid w:val="00C50EB1"/>
    <w:rsid w:val="00C51458"/>
    <w:rsid w:val="00C51E5F"/>
    <w:rsid w:val="00C52E2C"/>
    <w:rsid w:val="00C53580"/>
    <w:rsid w:val="00C55838"/>
    <w:rsid w:val="00C56745"/>
    <w:rsid w:val="00C57DC6"/>
    <w:rsid w:val="00C63C66"/>
    <w:rsid w:val="00C70729"/>
    <w:rsid w:val="00C71475"/>
    <w:rsid w:val="00C76958"/>
    <w:rsid w:val="00C77EF7"/>
    <w:rsid w:val="00C80D25"/>
    <w:rsid w:val="00C81407"/>
    <w:rsid w:val="00C82053"/>
    <w:rsid w:val="00C820F1"/>
    <w:rsid w:val="00C822C1"/>
    <w:rsid w:val="00C859F7"/>
    <w:rsid w:val="00C85A38"/>
    <w:rsid w:val="00C87CCA"/>
    <w:rsid w:val="00C91512"/>
    <w:rsid w:val="00C93B03"/>
    <w:rsid w:val="00C94A53"/>
    <w:rsid w:val="00C94AD8"/>
    <w:rsid w:val="00CA0DEC"/>
    <w:rsid w:val="00CA2DE2"/>
    <w:rsid w:val="00CA3A85"/>
    <w:rsid w:val="00CA6636"/>
    <w:rsid w:val="00CA6D76"/>
    <w:rsid w:val="00CA7FBE"/>
    <w:rsid w:val="00CB51CC"/>
    <w:rsid w:val="00CC0389"/>
    <w:rsid w:val="00CC1A72"/>
    <w:rsid w:val="00CC3633"/>
    <w:rsid w:val="00CC5692"/>
    <w:rsid w:val="00CC65F3"/>
    <w:rsid w:val="00CD0783"/>
    <w:rsid w:val="00CD09E8"/>
    <w:rsid w:val="00CD56E5"/>
    <w:rsid w:val="00CD6896"/>
    <w:rsid w:val="00CE0C1B"/>
    <w:rsid w:val="00CE64F2"/>
    <w:rsid w:val="00CF0C67"/>
    <w:rsid w:val="00CF0F40"/>
    <w:rsid w:val="00CF3AED"/>
    <w:rsid w:val="00CF4753"/>
    <w:rsid w:val="00D0083B"/>
    <w:rsid w:val="00D04DF4"/>
    <w:rsid w:val="00D15403"/>
    <w:rsid w:val="00D157B8"/>
    <w:rsid w:val="00D172D8"/>
    <w:rsid w:val="00D26488"/>
    <w:rsid w:val="00D3231A"/>
    <w:rsid w:val="00D32F41"/>
    <w:rsid w:val="00D35B2D"/>
    <w:rsid w:val="00D44183"/>
    <w:rsid w:val="00D44A55"/>
    <w:rsid w:val="00D46678"/>
    <w:rsid w:val="00D47931"/>
    <w:rsid w:val="00D47B74"/>
    <w:rsid w:val="00D47F3F"/>
    <w:rsid w:val="00D5276C"/>
    <w:rsid w:val="00D61B79"/>
    <w:rsid w:val="00D62C84"/>
    <w:rsid w:val="00D6384D"/>
    <w:rsid w:val="00D653F3"/>
    <w:rsid w:val="00D65EC2"/>
    <w:rsid w:val="00D66B24"/>
    <w:rsid w:val="00D67237"/>
    <w:rsid w:val="00D67307"/>
    <w:rsid w:val="00D75AC7"/>
    <w:rsid w:val="00D808E3"/>
    <w:rsid w:val="00D83210"/>
    <w:rsid w:val="00D84798"/>
    <w:rsid w:val="00D85E13"/>
    <w:rsid w:val="00D86288"/>
    <w:rsid w:val="00D872BC"/>
    <w:rsid w:val="00D954AE"/>
    <w:rsid w:val="00D96929"/>
    <w:rsid w:val="00DA1B6F"/>
    <w:rsid w:val="00DA529F"/>
    <w:rsid w:val="00DA59A2"/>
    <w:rsid w:val="00DB5AAE"/>
    <w:rsid w:val="00DB62D5"/>
    <w:rsid w:val="00DB636B"/>
    <w:rsid w:val="00DB6882"/>
    <w:rsid w:val="00DC177A"/>
    <w:rsid w:val="00DC4B63"/>
    <w:rsid w:val="00DC5017"/>
    <w:rsid w:val="00DC5129"/>
    <w:rsid w:val="00DD01A0"/>
    <w:rsid w:val="00DD73B7"/>
    <w:rsid w:val="00DD7F1B"/>
    <w:rsid w:val="00DE1A87"/>
    <w:rsid w:val="00DE451F"/>
    <w:rsid w:val="00DE61E1"/>
    <w:rsid w:val="00E03D2D"/>
    <w:rsid w:val="00E04568"/>
    <w:rsid w:val="00E12A7A"/>
    <w:rsid w:val="00E21B31"/>
    <w:rsid w:val="00E27FD6"/>
    <w:rsid w:val="00E36A0F"/>
    <w:rsid w:val="00E36F8A"/>
    <w:rsid w:val="00E400C7"/>
    <w:rsid w:val="00E40322"/>
    <w:rsid w:val="00E40CB4"/>
    <w:rsid w:val="00E41DB9"/>
    <w:rsid w:val="00E434F0"/>
    <w:rsid w:val="00E4627E"/>
    <w:rsid w:val="00E47C92"/>
    <w:rsid w:val="00E56612"/>
    <w:rsid w:val="00E67CB0"/>
    <w:rsid w:val="00E71CC0"/>
    <w:rsid w:val="00E731AE"/>
    <w:rsid w:val="00E73797"/>
    <w:rsid w:val="00E74310"/>
    <w:rsid w:val="00E762BB"/>
    <w:rsid w:val="00E865C8"/>
    <w:rsid w:val="00E8661B"/>
    <w:rsid w:val="00E9084E"/>
    <w:rsid w:val="00E9567A"/>
    <w:rsid w:val="00E962E6"/>
    <w:rsid w:val="00E97D7C"/>
    <w:rsid w:val="00EA1793"/>
    <w:rsid w:val="00EA689F"/>
    <w:rsid w:val="00EB5157"/>
    <w:rsid w:val="00EC1434"/>
    <w:rsid w:val="00EC72B0"/>
    <w:rsid w:val="00EC77B3"/>
    <w:rsid w:val="00ED0142"/>
    <w:rsid w:val="00ED74AF"/>
    <w:rsid w:val="00EE18F2"/>
    <w:rsid w:val="00EE33B9"/>
    <w:rsid w:val="00EE365D"/>
    <w:rsid w:val="00EF33BE"/>
    <w:rsid w:val="00EF4F97"/>
    <w:rsid w:val="00F05673"/>
    <w:rsid w:val="00F05B5B"/>
    <w:rsid w:val="00F061C4"/>
    <w:rsid w:val="00F126FC"/>
    <w:rsid w:val="00F12983"/>
    <w:rsid w:val="00F15359"/>
    <w:rsid w:val="00F175C4"/>
    <w:rsid w:val="00F23714"/>
    <w:rsid w:val="00F245A2"/>
    <w:rsid w:val="00F276F2"/>
    <w:rsid w:val="00F309CB"/>
    <w:rsid w:val="00F33EED"/>
    <w:rsid w:val="00F33EEE"/>
    <w:rsid w:val="00F3751C"/>
    <w:rsid w:val="00F37677"/>
    <w:rsid w:val="00F37B05"/>
    <w:rsid w:val="00F44A0E"/>
    <w:rsid w:val="00F4763C"/>
    <w:rsid w:val="00F51559"/>
    <w:rsid w:val="00F540BA"/>
    <w:rsid w:val="00F570C8"/>
    <w:rsid w:val="00F570F0"/>
    <w:rsid w:val="00F60E60"/>
    <w:rsid w:val="00F64069"/>
    <w:rsid w:val="00F64D6D"/>
    <w:rsid w:val="00F654D4"/>
    <w:rsid w:val="00F66182"/>
    <w:rsid w:val="00F71399"/>
    <w:rsid w:val="00F82EE1"/>
    <w:rsid w:val="00F90A66"/>
    <w:rsid w:val="00F93134"/>
    <w:rsid w:val="00FA3E17"/>
    <w:rsid w:val="00FB078F"/>
    <w:rsid w:val="00FB0E5A"/>
    <w:rsid w:val="00FB3586"/>
    <w:rsid w:val="00FC128B"/>
    <w:rsid w:val="00FC39BA"/>
    <w:rsid w:val="00FC3F00"/>
    <w:rsid w:val="00FC750D"/>
    <w:rsid w:val="00FD0EA3"/>
    <w:rsid w:val="00FE34E4"/>
    <w:rsid w:val="00FF0339"/>
    <w:rsid w:val="00FF1D71"/>
    <w:rsid w:val="00FF4CC0"/>
    <w:rsid w:val="00FF5141"/>
    <w:rsid w:val="00FF74B3"/>
    <w:rsid w:val="128FFB1D"/>
    <w:rsid w:val="2B7BEA93"/>
    <w:rsid w:val="2C5D4E46"/>
    <w:rsid w:val="35D2C7CD"/>
    <w:rsid w:val="3D33D731"/>
    <w:rsid w:val="4B4230D7"/>
    <w:rsid w:val="5F4054FE"/>
    <w:rsid w:val="63988364"/>
    <w:rsid w:val="655BEAE6"/>
    <w:rsid w:val="6E7C09D0"/>
    <w:rsid w:val="793EF6C8"/>
    <w:rsid w:val="7F2CD9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F4B8ED87-9E93-4B9C-9898-66CDFCAB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Char2 Char Char,fn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customStyle="1" w:styleId="UnresolvedMention1">
    <w:name w:val="Unresolved Mention1"/>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2BE4"/>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BAA0E044-8E26-43C9-904B-F4760BBA343A}">
  <ds:schemaRefs>
    <ds:schemaRef ds:uri="http://schemas.openxmlformats.org/officeDocument/2006/bibliography"/>
  </ds:schemaRefs>
</ds:datastoreItem>
</file>

<file path=customXml/itemProps3.xml><?xml version="1.0" encoding="utf-8"?>
<ds:datastoreItem xmlns:ds="http://schemas.openxmlformats.org/officeDocument/2006/customXml" ds:itemID="{817D92B8-BC5D-447D-AAD8-A66F000D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B1DD4-8130-4FE7-964C-24C804F058DC}">
  <ds:schemaRef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B62FF2E-FA4A-42BE-AA47-8BC2AF67756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30-day Notice for FERC-516H</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Jean Sonneman</cp:lastModifiedBy>
  <cp:revision>2</cp:revision>
  <cp:lastPrinted>2016-12-20T16:40:00Z</cp:lastPrinted>
  <dcterms:created xsi:type="dcterms:W3CDTF">2024-05-06T16:19:00Z</dcterms:created>
  <dcterms:modified xsi:type="dcterms:W3CDTF">2024-05-06T16:19:00Z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de7ffd14-08b9-47bb-beda-7e44057d4949</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2023-12-20T16:27:35Z</vt:lpwstr>
  </property>
  <property fmtid="{D5CDD505-2E9C-101B-9397-08002B2CF9AE}" pid="8" name="MSIP_Label_6155a89b-0f08-4a93-8ea2-8a916d6643b5_SiteId">
    <vt:lpwstr>19caa9e9-04ff-43fa-885f-d77fac387903</vt:lpwstr>
  </property>
</Properties>
</file>