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1CFE" w:rsidRPr="00280B5F" w:rsidP="00280B5F" w14:paraId="1093B5C4" w14:textId="77777777">
      <w:pPr>
        <w:spacing w:after="0" w:line="240" w:lineRule="auto"/>
        <w:jc w:val="center"/>
        <w:rPr>
          <w:rFonts w:ascii="Times New Roman" w:hAnsi="Times New Roman" w:cs="Times New Roman"/>
        </w:rPr>
      </w:pPr>
      <w:r w:rsidRPr="00280B5F">
        <w:rPr>
          <w:rFonts w:ascii="Times New Roman" w:hAnsi="Times New Roman" w:cs="Times New Roman"/>
          <w:sz w:val="26"/>
        </w:rPr>
        <w:t>186 FERC ¶ 61,199</w:t>
      </w:r>
    </w:p>
    <w:p w:rsidR="0072600F" w:rsidRPr="00F66D0C" w:rsidP="006A72F0" w14:paraId="0DB0D6AE" w14:textId="77777777">
      <w:pPr>
        <w:spacing w:after="0" w:line="240" w:lineRule="auto"/>
        <w:jc w:val="center"/>
        <w:rPr>
          <w:rFonts w:ascii="Times New Roman" w:eastAsia="Calibri" w:hAnsi="Times New Roman" w:cs="Times New Roman"/>
          <w:sz w:val="26"/>
        </w:rPr>
      </w:pPr>
      <w:r w:rsidRPr="00D34502">
        <w:rPr>
          <w:rFonts w:ascii="Times New Roman" w:eastAsia="Calibri" w:hAnsi="Times New Roman" w:cs="Times New Roman"/>
          <w:sz w:val="26"/>
        </w:rPr>
        <w:t>UNITED STATES OF AM</w:t>
      </w:r>
      <w:r w:rsidRPr="00F66D0C">
        <w:rPr>
          <w:rFonts w:ascii="Times New Roman" w:eastAsia="Calibri" w:hAnsi="Times New Roman" w:cs="Times New Roman"/>
          <w:sz w:val="26"/>
        </w:rPr>
        <w:t>ERICA</w:t>
      </w:r>
    </w:p>
    <w:p w:rsidR="00F66D0C" w:rsidP="006B02A7" w14:paraId="542886B5" w14:textId="77777777">
      <w:pPr>
        <w:spacing w:after="0" w:line="240" w:lineRule="auto"/>
        <w:jc w:val="center"/>
        <w:rPr>
          <w:rFonts w:ascii="Times New Roman" w:eastAsia="Calibri" w:hAnsi="Times New Roman" w:cs="Times New Roman"/>
          <w:sz w:val="26"/>
        </w:rPr>
      </w:pPr>
      <w:r w:rsidRPr="00F66D0C">
        <w:rPr>
          <w:rFonts w:ascii="Times New Roman" w:eastAsia="Calibri" w:hAnsi="Times New Roman" w:cs="Times New Roman"/>
          <w:sz w:val="26"/>
        </w:rPr>
        <w:t>FEDERAL ENERGY REGULATORY COMMISSION</w:t>
      </w:r>
    </w:p>
    <w:p w:rsidR="00F66D0C" w:rsidP="006B02A7" w14:paraId="31C4C21E" w14:textId="77777777">
      <w:pPr>
        <w:spacing w:after="0" w:line="240" w:lineRule="auto"/>
        <w:jc w:val="center"/>
        <w:rPr>
          <w:rFonts w:ascii="Times New Roman" w:eastAsia="Calibri" w:hAnsi="Times New Roman" w:cs="Times New Roman"/>
          <w:sz w:val="26"/>
        </w:rPr>
      </w:pPr>
    </w:p>
    <w:p w:rsidR="0072600F" w:rsidRPr="00561297" w:rsidP="0072600F" w14:paraId="6457D61B" w14:textId="77777777">
      <w:pPr>
        <w:widowControl w:val="0"/>
        <w:spacing w:after="0" w:line="240" w:lineRule="auto"/>
        <w:jc w:val="center"/>
        <w:rPr>
          <w:rFonts w:ascii="Times New Roman" w:eastAsia="Calibri" w:hAnsi="Times New Roman" w:cs="Times New Roman"/>
          <w:sz w:val="26"/>
        </w:rPr>
      </w:pPr>
      <w:r w:rsidRPr="00561297">
        <w:rPr>
          <w:rFonts w:ascii="Times New Roman" w:eastAsia="Calibri" w:hAnsi="Times New Roman" w:cs="Times New Roman"/>
          <w:sz w:val="26"/>
        </w:rPr>
        <w:t>18 CFR Part 35</w:t>
      </w:r>
    </w:p>
    <w:p w:rsidR="0072600F" w:rsidRPr="00561297" w:rsidP="0072600F" w14:paraId="18BDC884" w14:textId="77777777">
      <w:pPr>
        <w:widowControl w:val="0"/>
        <w:spacing w:after="0" w:line="240" w:lineRule="auto"/>
        <w:jc w:val="center"/>
        <w:rPr>
          <w:rFonts w:ascii="Times New Roman" w:eastAsia="Calibri" w:hAnsi="Times New Roman" w:cs="Times New Roman"/>
          <w:sz w:val="26"/>
        </w:rPr>
      </w:pPr>
    </w:p>
    <w:p w:rsidR="0072600F" w:rsidRPr="00561297" w:rsidP="0072600F" w14:paraId="43C22959" w14:textId="77777777">
      <w:pPr>
        <w:widowControl w:val="0"/>
        <w:spacing w:after="0" w:line="240" w:lineRule="auto"/>
        <w:jc w:val="center"/>
        <w:rPr>
          <w:rFonts w:ascii="Times New Roman" w:eastAsia="Calibri" w:hAnsi="Times New Roman" w:cs="Times New Roman"/>
          <w:sz w:val="26"/>
        </w:rPr>
      </w:pPr>
      <w:r w:rsidRPr="00561297">
        <w:rPr>
          <w:rFonts w:ascii="Times New Roman" w:eastAsia="Calibri" w:hAnsi="Times New Roman" w:cs="Times New Roman"/>
          <w:sz w:val="26"/>
        </w:rPr>
        <w:t>[Docket No. RM22-14-001; Order No. 2023-A]</w:t>
      </w:r>
    </w:p>
    <w:p w:rsidR="0072600F" w:rsidRPr="00561297" w:rsidP="0072600F" w14:paraId="0AB91A6B" w14:textId="77777777">
      <w:pPr>
        <w:widowControl w:val="0"/>
        <w:spacing w:after="0" w:line="240" w:lineRule="auto"/>
        <w:jc w:val="center"/>
        <w:rPr>
          <w:rFonts w:ascii="Times New Roman" w:eastAsia="Calibri" w:hAnsi="Times New Roman" w:cs="Times New Roman"/>
          <w:sz w:val="26"/>
        </w:rPr>
      </w:pPr>
    </w:p>
    <w:p w:rsidR="0072600F" w:rsidRPr="00561297" w:rsidP="0072600F" w14:paraId="7A37419A" w14:textId="77777777">
      <w:pPr>
        <w:widowControl w:val="0"/>
        <w:spacing w:after="0" w:line="240" w:lineRule="auto"/>
        <w:jc w:val="center"/>
        <w:rPr>
          <w:rFonts w:ascii="Times New Roman" w:eastAsia="Calibri" w:hAnsi="Times New Roman" w:cs="Times New Roman"/>
          <w:sz w:val="26"/>
        </w:rPr>
      </w:pPr>
      <w:bookmarkStart w:id="0" w:name="_Hlk160784126"/>
      <w:r w:rsidRPr="00561297">
        <w:rPr>
          <w:rFonts w:ascii="Times New Roman" w:eastAsia="Calibri" w:hAnsi="Times New Roman" w:cs="Times New Roman"/>
          <w:sz w:val="26"/>
        </w:rPr>
        <w:t>Improvements to Generator Interconnection Procedures and Agreements</w:t>
      </w:r>
      <w:bookmarkEnd w:id="0"/>
    </w:p>
    <w:p w:rsidR="0072600F" w:rsidRPr="00561297" w:rsidP="0072600F" w14:paraId="34DC9CC5" w14:textId="77777777">
      <w:pPr>
        <w:widowControl w:val="0"/>
        <w:spacing w:after="0" w:line="240" w:lineRule="auto"/>
        <w:jc w:val="center"/>
        <w:rPr>
          <w:rFonts w:ascii="Times New Roman" w:eastAsia="Calibri" w:hAnsi="Times New Roman" w:cs="Times New Roman"/>
          <w:sz w:val="26"/>
        </w:rPr>
      </w:pPr>
    </w:p>
    <w:p w:rsidR="0072600F" w:rsidP="006B02A7" w14:paraId="0E76F3BB" w14:textId="77777777">
      <w:pPr>
        <w:spacing w:after="0" w:line="240" w:lineRule="auto"/>
        <w:jc w:val="center"/>
        <w:rPr>
          <w:rFonts w:ascii="Times New Roman" w:eastAsia="Calibri" w:hAnsi="Times New Roman" w:cs="Times New Roman"/>
          <w:sz w:val="26"/>
        </w:rPr>
      </w:pPr>
      <w:r w:rsidRPr="00F66D0C">
        <w:rPr>
          <w:rFonts w:ascii="Times New Roman" w:eastAsia="Calibri" w:hAnsi="Times New Roman" w:cs="Times New Roman"/>
          <w:sz w:val="26"/>
        </w:rPr>
        <w:t>(Issued March 21, 2024)</w:t>
      </w:r>
    </w:p>
    <w:p w:rsidR="00760048" w:rsidRPr="0072600F" w:rsidP="00071614" w14:paraId="04710F53" w14:textId="77777777">
      <w:pPr>
        <w:rPr>
          <w:rFonts w:ascii="Times New Roman" w:hAnsi="Times New Roman" w:cs="Times New Roman"/>
          <w:sz w:val="26"/>
          <w:szCs w:val="26"/>
        </w:rPr>
      </w:pPr>
    </w:p>
    <w:p w:rsidR="00760048" w:rsidRPr="0072600F" w:rsidP="00071614" w14:paraId="00659416" w14:textId="77777777">
      <w:pPr>
        <w:spacing w:after="260"/>
        <w:rPr>
          <w:rFonts w:ascii="Times New Roman" w:hAnsi="Times New Roman" w:cs="Times New Roman"/>
          <w:sz w:val="26"/>
          <w:szCs w:val="26"/>
        </w:rPr>
      </w:pPr>
      <w:r w:rsidRPr="0072600F">
        <w:rPr>
          <w:rFonts w:ascii="Times New Roman" w:hAnsi="Times New Roman" w:cs="Times New Roman"/>
          <w:b/>
          <w:bCs/>
          <w:sz w:val="26"/>
          <w:szCs w:val="26"/>
        </w:rPr>
        <w:t>AGENCY</w:t>
      </w:r>
      <w:r w:rsidRPr="0072600F">
        <w:rPr>
          <w:rFonts w:ascii="Times New Roman" w:hAnsi="Times New Roman" w:cs="Times New Roman"/>
          <w:sz w:val="26"/>
          <w:szCs w:val="26"/>
        </w:rPr>
        <w:t>:  Federal Energy Regulatory Commission.</w:t>
      </w:r>
    </w:p>
    <w:p w:rsidR="00760048" w:rsidRPr="0072600F" w:rsidP="00071614" w14:paraId="53EEB48E" w14:textId="77777777">
      <w:pPr>
        <w:spacing w:after="260"/>
        <w:rPr>
          <w:rFonts w:ascii="Times New Roman" w:hAnsi="Times New Roman" w:cs="Times New Roman"/>
          <w:sz w:val="26"/>
          <w:szCs w:val="26"/>
        </w:rPr>
      </w:pPr>
      <w:r w:rsidRPr="0072600F">
        <w:rPr>
          <w:rFonts w:ascii="Times New Roman" w:hAnsi="Times New Roman" w:cs="Times New Roman"/>
          <w:b/>
          <w:bCs/>
          <w:sz w:val="26"/>
          <w:szCs w:val="26"/>
        </w:rPr>
        <w:t>ACTION</w:t>
      </w:r>
      <w:r w:rsidRPr="0072600F">
        <w:rPr>
          <w:rFonts w:ascii="Times New Roman" w:hAnsi="Times New Roman" w:cs="Times New Roman"/>
          <w:sz w:val="26"/>
          <w:szCs w:val="26"/>
        </w:rPr>
        <w:t>:  Order on rehearing and clarification.</w:t>
      </w:r>
    </w:p>
    <w:p w:rsidR="00760048" w:rsidRPr="0072600F" w:rsidP="00071614" w14:paraId="07919E02" w14:textId="77777777">
      <w:pPr>
        <w:spacing w:line="480" w:lineRule="auto"/>
        <w:rPr>
          <w:rFonts w:ascii="Times New Roman" w:hAnsi="Times New Roman" w:cs="Times New Roman"/>
          <w:sz w:val="26"/>
          <w:szCs w:val="26"/>
        </w:rPr>
      </w:pPr>
      <w:r w:rsidRPr="0072600F">
        <w:rPr>
          <w:rFonts w:ascii="Times New Roman" w:hAnsi="Times New Roman" w:cs="Times New Roman"/>
          <w:b/>
          <w:sz w:val="26"/>
          <w:szCs w:val="26"/>
        </w:rPr>
        <w:t>SUMMARY</w:t>
      </w:r>
      <w:r w:rsidRPr="0072600F">
        <w:rPr>
          <w:rFonts w:ascii="Times New Roman" w:hAnsi="Times New Roman" w:cs="Times New Roman"/>
          <w:sz w:val="26"/>
          <w:szCs w:val="26"/>
        </w:rPr>
        <w:t xml:space="preserve">:  In this order, the Federal Energy Regulatory Commission addresses arguments raised on rehearing, sets aside, in part, and clarifies Order No. 2023, which amended the Commission’s regulations and its </w:t>
      </w:r>
      <w:r w:rsidRPr="0072600F">
        <w:rPr>
          <w:rFonts w:ascii="Times New Roman" w:hAnsi="Times New Roman" w:cs="Times New Roman"/>
          <w:i/>
          <w:iCs/>
          <w:sz w:val="26"/>
          <w:szCs w:val="26"/>
        </w:rPr>
        <w:t>pro forma</w:t>
      </w:r>
      <w:r w:rsidRPr="0072600F">
        <w:rPr>
          <w:rFonts w:ascii="Times New Roman" w:hAnsi="Times New Roman" w:cs="Times New Roman"/>
          <w:sz w:val="26"/>
          <w:szCs w:val="26"/>
        </w:rPr>
        <w:t xml:space="preserve"> Large Generator Interconnection Procedures, </w:t>
      </w:r>
      <w:r w:rsidRPr="0072600F">
        <w:rPr>
          <w:rFonts w:ascii="Times New Roman" w:hAnsi="Times New Roman" w:cs="Times New Roman"/>
          <w:i/>
          <w:iCs/>
          <w:sz w:val="26"/>
          <w:szCs w:val="26"/>
        </w:rPr>
        <w:t xml:space="preserve">pro forma </w:t>
      </w:r>
      <w:r w:rsidRPr="0072600F">
        <w:rPr>
          <w:rFonts w:ascii="Times New Roman" w:hAnsi="Times New Roman" w:cs="Times New Roman"/>
          <w:sz w:val="26"/>
          <w:szCs w:val="26"/>
        </w:rPr>
        <w:t>Large Generator Interconnection Agreement,</w:t>
      </w:r>
      <w:r w:rsidR="000204B6">
        <w:rPr>
          <w:rFonts w:ascii="Times New Roman" w:hAnsi="Times New Roman" w:cs="Times New Roman"/>
          <w:sz w:val="26"/>
          <w:szCs w:val="26"/>
        </w:rPr>
        <w:t xml:space="preserve">   </w:t>
      </w:r>
      <w:r w:rsidRPr="0072600F">
        <w:rPr>
          <w:rFonts w:ascii="Times New Roman" w:hAnsi="Times New Roman" w:cs="Times New Roman"/>
          <w:i/>
          <w:iCs/>
          <w:sz w:val="26"/>
          <w:szCs w:val="26"/>
        </w:rPr>
        <w:t xml:space="preserve"> pro forma </w:t>
      </w:r>
      <w:r w:rsidRPr="0072600F">
        <w:rPr>
          <w:rFonts w:ascii="Times New Roman" w:hAnsi="Times New Roman" w:cs="Times New Roman"/>
          <w:sz w:val="26"/>
          <w:szCs w:val="26"/>
        </w:rPr>
        <w:t xml:space="preserve">Small Generator Interconnection Procedures, and </w:t>
      </w:r>
      <w:r w:rsidRPr="0072600F">
        <w:rPr>
          <w:rFonts w:ascii="Times New Roman" w:hAnsi="Times New Roman" w:cs="Times New Roman"/>
          <w:i/>
          <w:iCs/>
          <w:sz w:val="26"/>
          <w:szCs w:val="26"/>
        </w:rPr>
        <w:t xml:space="preserve">pro forma </w:t>
      </w:r>
      <w:r w:rsidRPr="0072600F">
        <w:rPr>
          <w:rFonts w:ascii="Times New Roman" w:hAnsi="Times New Roman" w:cs="Times New Roman"/>
          <w:sz w:val="26"/>
          <w:szCs w:val="26"/>
        </w:rPr>
        <w:t xml:space="preserve">Small Generator Interconnection Agreement to address interconnection queue backlogs, improve certainty, and prevent undue discrimination for new technologies. </w:t>
      </w:r>
    </w:p>
    <w:p w:rsidR="00760048" w:rsidRPr="0072600F" w:rsidP="00E831AD" w14:paraId="78675C3C" w14:textId="77777777">
      <w:pPr>
        <w:spacing w:after="0" w:line="480" w:lineRule="auto"/>
        <w:rPr>
          <w:rFonts w:ascii="Times New Roman" w:hAnsi="Times New Roman" w:cs="Times New Roman"/>
          <w:b/>
          <w:sz w:val="26"/>
          <w:szCs w:val="26"/>
        </w:rPr>
      </w:pPr>
      <w:r w:rsidRPr="0072600F">
        <w:rPr>
          <w:rFonts w:ascii="Times New Roman" w:hAnsi="Times New Roman" w:cs="Times New Roman"/>
          <w:b/>
          <w:bCs/>
          <w:sz w:val="26"/>
          <w:szCs w:val="26"/>
        </w:rPr>
        <w:t>DATES</w:t>
      </w:r>
      <w:r w:rsidRPr="0072600F">
        <w:rPr>
          <w:rFonts w:ascii="Times New Roman" w:hAnsi="Times New Roman" w:cs="Times New Roman"/>
          <w:sz w:val="26"/>
          <w:szCs w:val="26"/>
        </w:rPr>
        <w:t xml:space="preserve">: </w:t>
      </w:r>
      <w:r w:rsidR="000204B6">
        <w:rPr>
          <w:rFonts w:ascii="Times New Roman" w:hAnsi="Times New Roman" w:cs="Times New Roman"/>
          <w:sz w:val="26"/>
          <w:szCs w:val="26"/>
        </w:rPr>
        <w:t xml:space="preserve"> </w:t>
      </w:r>
      <w:r w:rsidRPr="0072600F">
        <w:rPr>
          <w:rFonts w:ascii="Times New Roman" w:hAnsi="Times New Roman" w:cs="Times New Roman"/>
          <w:sz w:val="26"/>
          <w:szCs w:val="26"/>
        </w:rPr>
        <w:t xml:space="preserve">This rule is effective </w:t>
      </w:r>
      <w:r w:rsidRPr="0072600F">
        <w:rPr>
          <w:rFonts w:ascii="Times New Roman" w:hAnsi="Times New Roman" w:cs="Times New Roman"/>
          <w:b/>
          <w:sz w:val="26"/>
          <w:szCs w:val="26"/>
        </w:rPr>
        <w:t xml:space="preserve">[INSERT DATE 30 </w:t>
      </w:r>
      <w:r w:rsidRPr="0072600F">
        <w:rPr>
          <w:rFonts w:ascii="Times New Roman" w:hAnsi="Times New Roman" w:cs="Times New Roman"/>
          <w:b/>
          <w:bCs/>
          <w:sz w:val="26"/>
          <w:szCs w:val="26"/>
        </w:rPr>
        <w:t xml:space="preserve">DAYS </w:t>
      </w:r>
      <w:r w:rsidRPr="0072600F">
        <w:rPr>
          <w:rFonts w:ascii="Times New Roman" w:hAnsi="Times New Roman" w:cs="Times New Roman"/>
          <w:b/>
          <w:sz w:val="26"/>
          <w:szCs w:val="26"/>
        </w:rPr>
        <w:t>AFTER DATE OF</w:t>
      </w:r>
      <w:r w:rsidR="0072600F">
        <w:rPr>
          <w:rFonts w:ascii="Times New Roman" w:hAnsi="Times New Roman" w:cs="Times New Roman"/>
          <w:b/>
          <w:sz w:val="26"/>
          <w:szCs w:val="26"/>
        </w:rPr>
        <w:t xml:space="preserve"> </w:t>
      </w:r>
      <w:r w:rsidRPr="0072600F">
        <w:rPr>
          <w:rFonts w:ascii="Times New Roman" w:hAnsi="Times New Roman" w:cs="Times New Roman"/>
          <w:b/>
          <w:sz w:val="26"/>
          <w:szCs w:val="26"/>
        </w:rPr>
        <w:t>PUBLICATION IN THE FEDERAL REGISTER]</w:t>
      </w:r>
      <w:r w:rsidR="000204B6">
        <w:rPr>
          <w:rFonts w:ascii="Times New Roman" w:hAnsi="Times New Roman" w:cs="Times New Roman"/>
          <w:b/>
          <w:sz w:val="26"/>
          <w:szCs w:val="26"/>
        </w:rPr>
        <w:t>.</w:t>
      </w:r>
    </w:p>
    <w:p w:rsidR="00760048" w:rsidRPr="0072600F" w:rsidP="00071614" w14:paraId="304A5BC4" w14:textId="77777777">
      <w:pPr>
        <w:rPr>
          <w:rFonts w:ascii="Times New Roman" w:hAnsi="Times New Roman" w:cs="Times New Roman"/>
          <w:sz w:val="26"/>
          <w:szCs w:val="26"/>
        </w:rPr>
      </w:pPr>
      <w:r w:rsidRPr="0072600F">
        <w:rPr>
          <w:rFonts w:ascii="Times New Roman" w:hAnsi="Times New Roman" w:cs="Times New Roman"/>
          <w:b/>
          <w:bCs/>
          <w:sz w:val="26"/>
          <w:szCs w:val="26"/>
        </w:rPr>
        <w:t>FOR FURTHER INFORMATION CONTACT</w:t>
      </w:r>
      <w:r w:rsidRPr="0072600F">
        <w:rPr>
          <w:rFonts w:ascii="Times New Roman" w:hAnsi="Times New Roman" w:cs="Times New Roman"/>
          <w:sz w:val="26"/>
          <w:szCs w:val="26"/>
        </w:rPr>
        <w:t>:</w:t>
      </w:r>
    </w:p>
    <w:p w:rsidR="00760048" w:rsidRPr="0072600F" w:rsidP="0072600F" w14:paraId="2FAF2C52"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Anne Marie Hirschberger (Legal Information)</w:t>
      </w:r>
    </w:p>
    <w:p w:rsidR="00760048" w:rsidRPr="0072600F" w:rsidP="0072600F" w14:paraId="6E440F84"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Office of the General Counsel</w:t>
      </w:r>
    </w:p>
    <w:p w:rsidR="00760048" w:rsidRPr="0072600F" w:rsidP="0072600F" w14:paraId="441430F7"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888 First Street, NE</w:t>
      </w:r>
    </w:p>
    <w:p w:rsidR="00760048" w:rsidRPr="0072600F" w:rsidP="0072600F" w14:paraId="55A750DE"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Washington, DC 20426</w:t>
      </w:r>
    </w:p>
    <w:p w:rsidR="00760048" w:rsidRPr="0072600F" w:rsidP="0072600F" w14:paraId="0ED62606"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(202) 502-8387</w:t>
      </w:r>
    </w:p>
    <w:p w:rsidR="00760048" w:rsidRPr="0072600F" w:rsidP="0072600F" w14:paraId="487D71B2"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annemarie.hirschberger@ferc.gov</w:t>
      </w:r>
    </w:p>
    <w:p w:rsidR="00760048" w:rsidRPr="0072600F" w:rsidP="0072600F" w14:paraId="2D056521"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Sarah Greenberg (Legal Information)</w:t>
      </w:r>
    </w:p>
    <w:p w:rsidR="00760048" w:rsidRPr="0072600F" w:rsidP="0072600F" w14:paraId="43057D0D"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Office of the General Counsel</w:t>
      </w:r>
    </w:p>
    <w:p w:rsidR="00760048" w:rsidRPr="0072600F" w:rsidP="0072600F" w14:paraId="449B424D"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888 First St, NE</w:t>
      </w:r>
    </w:p>
    <w:p w:rsidR="00760048" w:rsidRPr="0072600F" w:rsidP="0072600F" w14:paraId="134B5101"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Washington, DC 20426</w:t>
      </w:r>
    </w:p>
    <w:p w:rsidR="00760048" w:rsidRPr="0072600F" w:rsidP="0072600F" w14:paraId="4B6F3C59"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(202) 502-6230</w:t>
      </w:r>
    </w:p>
    <w:p w:rsidR="00760048" w:rsidRPr="0072600F" w:rsidP="0072600F" w14:paraId="056B09E3"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sarah.greenberg@ferc.gov</w:t>
      </w:r>
    </w:p>
    <w:p w:rsidR="00760048" w:rsidRPr="0072600F" w:rsidP="0072600F" w14:paraId="7666FDFD" w14:textId="77777777">
      <w:pPr>
        <w:spacing w:after="0" w:line="240" w:lineRule="auto"/>
        <w:rPr>
          <w:rFonts w:ascii="Times New Roman" w:hAnsi="Times New Roman" w:cs="Times New Roman"/>
          <w:sz w:val="26"/>
          <w:szCs w:val="26"/>
        </w:rPr>
      </w:pPr>
    </w:p>
    <w:p w:rsidR="00760048" w:rsidRPr="0072600F" w:rsidP="0072600F" w14:paraId="682AB969"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Franklin Jackson (Technical Information)</w:t>
      </w:r>
    </w:p>
    <w:p w:rsidR="00760048" w:rsidRPr="0072600F" w:rsidP="0072600F" w14:paraId="4A17DD91"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Office of Energy Market Regulation</w:t>
      </w:r>
    </w:p>
    <w:p w:rsidR="00760048" w:rsidRPr="0072600F" w:rsidP="0072600F" w14:paraId="109BD726"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888 First Street, NE</w:t>
      </w:r>
    </w:p>
    <w:p w:rsidR="00760048" w:rsidRPr="0072600F" w:rsidP="0072600F" w14:paraId="45998D9E"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Washington, DC 20426</w:t>
      </w:r>
    </w:p>
    <w:p w:rsidR="00760048" w:rsidRPr="0072600F" w:rsidP="0072600F" w14:paraId="2EDAC4CF"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(202) 502-6464</w:t>
      </w:r>
    </w:p>
    <w:p w:rsidR="00760048" w:rsidRPr="0072600F" w:rsidP="0072600F" w14:paraId="19BD0DF2"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 xml:space="preserve">franklin.jackson@ferc.gov </w:t>
      </w:r>
    </w:p>
    <w:p w:rsidR="00760048" w:rsidRPr="0072600F" w:rsidP="0072600F" w14:paraId="04CCC11A" w14:textId="77777777">
      <w:pPr>
        <w:spacing w:after="0" w:line="240" w:lineRule="auto"/>
        <w:rPr>
          <w:rFonts w:ascii="Times New Roman" w:hAnsi="Times New Roman" w:cs="Times New Roman"/>
          <w:sz w:val="26"/>
          <w:szCs w:val="26"/>
        </w:rPr>
      </w:pPr>
    </w:p>
    <w:p w:rsidR="00760048" w:rsidRPr="0072600F" w:rsidP="0072600F" w14:paraId="3E18C129"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Michael G. Henry</w:t>
      </w:r>
    </w:p>
    <w:p w:rsidR="00760048" w:rsidRPr="0072600F" w:rsidP="0072600F" w14:paraId="56B71D02"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Office of Energy Policy and Innovation</w:t>
      </w:r>
    </w:p>
    <w:p w:rsidR="00760048" w:rsidRPr="0072600F" w:rsidP="0072600F" w14:paraId="49E0AAC5"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888 First Street, NE</w:t>
      </w:r>
    </w:p>
    <w:p w:rsidR="00760048" w:rsidRPr="0072600F" w:rsidP="0072600F" w14:paraId="4B0427A0"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Washington, DC 20426</w:t>
      </w:r>
    </w:p>
    <w:p w:rsidR="00760048" w:rsidRPr="0072600F" w:rsidP="0072600F" w14:paraId="7970F9B7"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(202) 502-8583</w:t>
      </w:r>
    </w:p>
    <w:p w:rsidR="00760048" w:rsidRPr="0072600F" w:rsidP="0072600F" w14:paraId="7E28E474"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michael.henry@ferc.gov</w:t>
      </w:r>
    </w:p>
    <w:p w:rsidR="00760048" w:rsidRPr="0072600F" w:rsidP="00071614" w14:paraId="01D12377" w14:textId="77777777">
      <w:pPr>
        <w:rPr>
          <w:rFonts w:ascii="Times New Roman" w:hAnsi="Times New Roman" w:cs="Times New Roman"/>
          <w:sz w:val="26"/>
          <w:szCs w:val="26"/>
        </w:rPr>
      </w:pPr>
    </w:p>
    <w:p w:rsidR="00760048" w:rsidRPr="0072600F" w:rsidP="00071614" w14:paraId="4F4A404E" w14:textId="77777777">
      <w:pPr>
        <w:rPr>
          <w:rFonts w:ascii="Times New Roman" w:hAnsi="Times New Roman" w:cs="Times New Roman"/>
          <w:sz w:val="26"/>
          <w:szCs w:val="26"/>
        </w:rPr>
      </w:pPr>
    </w:p>
    <w:p w:rsidR="00760048" w:rsidRPr="0072600F" w:rsidP="00071614" w14:paraId="6E91D364" w14:textId="77777777">
      <w:pPr>
        <w:rPr>
          <w:rFonts w:ascii="Times New Roman" w:hAnsi="Times New Roman" w:cs="Times New Roman"/>
          <w:sz w:val="26"/>
          <w:szCs w:val="26"/>
        </w:rPr>
        <w:sectPr w:rsidSect="00A36830">
          <w:headerReference w:type="even" r:id="rId11"/>
          <w:headerReference w:type="default" r:id="rId12"/>
          <w:pgSz w:w="12240" w:h="15840"/>
          <w:pgMar w:top="1440" w:right="1440" w:bottom="1440" w:left="1440" w:header="720" w:footer="720" w:gutter="0"/>
          <w:pgNumType w:fmt="numberInDash"/>
          <w:cols w:space="720"/>
          <w:noEndnote/>
          <w:titlePg/>
          <w:docGrid w:linePitch="299"/>
        </w:sectPr>
      </w:pPr>
      <w:r w:rsidRPr="0072600F">
        <w:rPr>
          <w:rFonts w:ascii="Times New Roman" w:hAnsi="Times New Roman" w:cs="Times New Roman"/>
          <w:b/>
          <w:bCs/>
          <w:sz w:val="26"/>
          <w:szCs w:val="26"/>
        </w:rPr>
        <w:t>SUPPLEMENTARY INFORMATION</w:t>
      </w:r>
      <w:r w:rsidRPr="0072600F">
        <w:rPr>
          <w:rFonts w:ascii="Times New Roman" w:hAnsi="Times New Roman" w:cs="Times New Roman"/>
          <w:sz w:val="26"/>
          <w:szCs w:val="26"/>
        </w:rPr>
        <w:t>:</w:t>
      </w:r>
    </w:p>
    <w:p w:rsidR="00760048" w:rsidRPr="0072600F" w:rsidP="0072600F" w14:paraId="6B67991D" w14:textId="77777777">
      <w:pPr>
        <w:spacing w:after="0"/>
        <w:jc w:val="center"/>
        <w:rPr>
          <w:rFonts w:ascii="Times New Roman" w:hAnsi="Times New Roman" w:cs="Times New Roman"/>
          <w:sz w:val="26"/>
          <w:szCs w:val="26"/>
        </w:rPr>
      </w:pPr>
      <w:r w:rsidRPr="0072600F">
        <w:rPr>
          <w:rFonts w:ascii="Times New Roman" w:hAnsi="Times New Roman" w:cs="Times New Roman"/>
          <w:sz w:val="26"/>
          <w:szCs w:val="26"/>
        </w:rPr>
        <w:t>UNITED STATES OF AMERICA</w:t>
      </w:r>
    </w:p>
    <w:p w:rsidR="00760048" w:rsidRPr="0072600F" w:rsidP="0072600F" w14:paraId="0069DC0F" w14:textId="77777777">
      <w:pPr>
        <w:spacing w:after="0"/>
        <w:jc w:val="center"/>
        <w:rPr>
          <w:rFonts w:ascii="Times New Roman" w:hAnsi="Times New Roman" w:cs="Times New Roman"/>
          <w:sz w:val="26"/>
          <w:szCs w:val="26"/>
        </w:rPr>
      </w:pPr>
      <w:r w:rsidRPr="0072600F">
        <w:rPr>
          <w:rFonts w:ascii="Times New Roman" w:hAnsi="Times New Roman" w:cs="Times New Roman"/>
          <w:sz w:val="26"/>
          <w:szCs w:val="26"/>
        </w:rPr>
        <w:t>FEDERAL ENERGY REGULATORY COMMISSION</w:t>
      </w:r>
    </w:p>
    <w:p w:rsidR="00760048" w:rsidRPr="00F66D0C" w:rsidP="006A72F0" w14:paraId="782BDBED" w14:textId="77777777">
      <w:pPr>
        <w:spacing w:after="0" w:line="240" w:lineRule="auto"/>
        <w:rPr>
          <w:rFonts w:ascii="Times New Roman" w:hAnsi="Times New Roman" w:cs="Times New Roman"/>
          <w:sz w:val="26"/>
          <w:szCs w:val="26"/>
        </w:rPr>
      </w:pPr>
    </w:p>
    <w:p w:rsidR="00760048" w:rsidRPr="00F66D0C" w:rsidP="006A72F0" w14:paraId="45A100F2" w14:textId="77777777">
      <w:pPr>
        <w:spacing w:after="0" w:line="240" w:lineRule="auto"/>
        <w:rPr>
          <w:rFonts w:ascii="Times New Roman" w:hAnsi="Times New Roman" w:cs="Times New Roman"/>
          <w:sz w:val="26"/>
          <w:szCs w:val="26"/>
        </w:rPr>
      </w:pPr>
      <w:r w:rsidRPr="00F66D0C">
        <w:rPr>
          <w:rFonts w:ascii="Times New Roman" w:hAnsi="Times New Roman" w:cs="Times New Roman"/>
          <w:sz w:val="26"/>
          <w:szCs w:val="26"/>
        </w:rPr>
        <w:t>Before Commissioners:  Willie L. Phillips, Chairman;</w:t>
      </w:r>
    </w:p>
    <w:p w:rsidR="00F66D0C" w:rsidRPr="0072600F" w:rsidP="006A72F0" w14:paraId="4CAE10B7" w14:textId="77777777">
      <w:pPr>
        <w:spacing w:after="0" w:line="240" w:lineRule="auto"/>
        <w:rPr>
          <w:rFonts w:ascii="Times New Roman" w:hAnsi="Times New Roman" w:cs="Times New Roman"/>
          <w:sz w:val="26"/>
          <w:szCs w:val="26"/>
        </w:rPr>
      </w:pPr>
      <w:r w:rsidRPr="00F66D0C">
        <w:rPr>
          <w:rFonts w:ascii="Times New Roman" w:hAnsi="Times New Roman" w:cs="Times New Roman"/>
          <w:sz w:val="26"/>
          <w:szCs w:val="26"/>
        </w:rPr>
        <w:t xml:space="preserve">                                        Allison Clements and Mark C. Christie.</w:t>
      </w:r>
    </w:p>
    <w:p w:rsidR="00760048" w:rsidRPr="0072600F" w:rsidP="00071614" w14:paraId="4CC41D4A" w14:textId="77777777">
      <w:pPr>
        <w:rPr>
          <w:rFonts w:ascii="Times New Roman" w:hAnsi="Times New Roman" w:cs="Times New Roman"/>
          <w:sz w:val="26"/>
          <w:szCs w:val="26"/>
        </w:rPr>
      </w:pPr>
    </w:p>
    <w:tbl>
      <w:tblPr>
        <w:tblW w:w="0" w:type="auto"/>
        <w:tblLook w:val="01E0"/>
      </w:tblPr>
      <w:tblGrid>
        <w:gridCol w:w="5930"/>
        <w:gridCol w:w="1720"/>
        <w:gridCol w:w="1710"/>
      </w:tblGrid>
      <w:tr w14:paraId="3D13C2F6" w14:textId="77777777" w:rsidTr="006A72F0">
        <w:tblPrEx>
          <w:tblW w:w="0" w:type="auto"/>
          <w:tblLook w:val="01E0"/>
        </w:tblPrEx>
        <w:tc>
          <w:tcPr>
            <w:tcW w:w="5930" w:type="dxa"/>
            <w:shd w:val="clear" w:color="auto" w:fill="auto"/>
          </w:tcPr>
          <w:p w:rsidR="00760048" w:rsidRPr="0072600F" w:rsidP="00071614" w14:paraId="1AA46D70" w14:textId="77777777">
            <w:pPr>
              <w:rPr>
                <w:rFonts w:ascii="Times New Roman" w:hAnsi="Times New Roman" w:cs="Times New Roman"/>
                <w:sz w:val="26"/>
                <w:szCs w:val="26"/>
              </w:rPr>
            </w:pPr>
            <w:r w:rsidRPr="0072600F">
              <w:rPr>
                <w:rFonts w:ascii="Times New Roman" w:hAnsi="Times New Roman" w:cs="Times New Roman"/>
                <w:sz w:val="26"/>
                <w:szCs w:val="26"/>
              </w:rPr>
              <w:t>Improvements to Generator Interconnection Procedures and Agreements</w:t>
            </w:r>
          </w:p>
        </w:tc>
        <w:tc>
          <w:tcPr>
            <w:tcW w:w="1720" w:type="dxa"/>
            <w:shd w:val="clear" w:color="auto" w:fill="auto"/>
          </w:tcPr>
          <w:p w:rsidR="00760048" w:rsidRPr="0072600F" w:rsidP="006A72F0" w14:paraId="31071517" w14:textId="77777777">
            <w:pPr>
              <w:jc w:val="right"/>
              <w:rPr>
                <w:rFonts w:ascii="Times New Roman" w:hAnsi="Times New Roman" w:cs="Times New Roman"/>
                <w:sz w:val="26"/>
                <w:szCs w:val="26"/>
              </w:rPr>
            </w:pPr>
            <w:r w:rsidRPr="0072600F">
              <w:rPr>
                <w:rFonts w:ascii="Times New Roman" w:hAnsi="Times New Roman" w:cs="Times New Roman"/>
                <w:sz w:val="26"/>
                <w:szCs w:val="26"/>
              </w:rPr>
              <w:t>Docket No.</w:t>
            </w:r>
          </w:p>
        </w:tc>
        <w:tc>
          <w:tcPr>
            <w:tcW w:w="1710" w:type="dxa"/>
            <w:shd w:val="clear" w:color="auto" w:fill="auto"/>
          </w:tcPr>
          <w:p w:rsidR="00760048" w:rsidRPr="0072600F" w:rsidP="006A72F0" w14:paraId="77C0DE0E" w14:textId="77777777">
            <w:pPr>
              <w:ind w:left="-105"/>
              <w:rPr>
                <w:rFonts w:ascii="Times New Roman" w:hAnsi="Times New Roman" w:cs="Times New Roman"/>
                <w:sz w:val="26"/>
                <w:szCs w:val="26"/>
              </w:rPr>
            </w:pPr>
            <w:r>
              <w:rPr>
                <w:rFonts w:ascii="Times New Roman" w:hAnsi="Times New Roman" w:cs="Times New Roman"/>
                <w:sz w:val="26"/>
                <w:szCs w:val="26"/>
              </w:rPr>
              <w:t xml:space="preserve"> </w:t>
            </w:r>
            <w:r w:rsidRPr="0072600F">
              <w:rPr>
                <w:rFonts w:ascii="Times New Roman" w:hAnsi="Times New Roman" w:cs="Times New Roman"/>
                <w:sz w:val="26"/>
                <w:szCs w:val="26"/>
              </w:rPr>
              <w:t>RM22-14-001</w:t>
            </w:r>
          </w:p>
        </w:tc>
      </w:tr>
    </w:tbl>
    <w:p w:rsidR="00760048" w:rsidRPr="0072600F" w:rsidP="00071614" w14:paraId="3A2B2538" w14:textId="77777777">
      <w:pPr>
        <w:rPr>
          <w:rFonts w:ascii="Times New Roman" w:hAnsi="Times New Roman" w:cs="Times New Roman"/>
          <w:sz w:val="26"/>
          <w:szCs w:val="26"/>
        </w:rPr>
      </w:pPr>
    </w:p>
    <w:p w:rsidR="00760048" w:rsidRPr="0072600F" w:rsidP="00071614" w14:paraId="243FA49F" w14:textId="77777777">
      <w:pPr>
        <w:jc w:val="center"/>
        <w:rPr>
          <w:rFonts w:ascii="Times New Roman" w:hAnsi="Times New Roman" w:cs="Times New Roman"/>
          <w:sz w:val="26"/>
          <w:szCs w:val="26"/>
        </w:rPr>
      </w:pPr>
      <w:r w:rsidRPr="0072600F">
        <w:rPr>
          <w:rFonts w:ascii="Times New Roman" w:hAnsi="Times New Roman" w:cs="Times New Roman"/>
          <w:sz w:val="26"/>
          <w:szCs w:val="26"/>
        </w:rPr>
        <w:t>ORDER NO. 2023-A</w:t>
      </w:r>
    </w:p>
    <w:p w:rsidR="00760048" w:rsidRPr="0072600F" w:rsidP="00071614" w14:paraId="389B21FB" w14:textId="77777777">
      <w:pPr>
        <w:jc w:val="center"/>
        <w:rPr>
          <w:rFonts w:ascii="Times New Roman" w:hAnsi="Times New Roman" w:cs="Times New Roman"/>
          <w:sz w:val="26"/>
          <w:szCs w:val="26"/>
        </w:rPr>
      </w:pPr>
      <w:r w:rsidRPr="0072600F">
        <w:rPr>
          <w:rFonts w:ascii="Times New Roman" w:hAnsi="Times New Roman" w:cs="Times New Roman"/>
          <w:sz w:val="26"/>
          <w:szCs w:val="26"/>
        </w:rPr>
        <w:t>ORDER ADDRESSING ARGUMENTS RAISED ON REHEARING, SETTING ASIDE PRIOR ORDER, IN PART, AND GRANTING CLARIFICATION</w:t>
      </w:r>
    </w:p>
    <w:p w:rsidR="00760048" w:rsidP="006B02A7" w14:paraId="32737932" w14:textId="77777777">
      <w:pPr>
        <w:spacing w:after="0" w:line="240" w:lineRule="auto"/>
        <w:jc w:val="center"/>
        <w:rPr>
          <w:rFonts w:ascii="Times New Roman" w:hAnsi="Times New Roman" w:cs="Times New Roman"/>
          <w:sz w:val="26"/>
          <w:szCs w:val="26"/>
        </w:rPr>
      </w:pPr>
      <w:r w:rsidRPr="00F66D0C">
        <w:rPr>
          <w:rFonts w:ascii="Times New Roman" w:hAnsi="Times New Roman" w:cs="Times New Roman"/>
          <w:sz w:val="26"/>
          <w:szCs w:val="26"/>
        </w:rPr>
        <w:t>(Issued March 21, 2024)</w:t>
      </w:r>
    </w:p>
    <w:p w:rsidR="00760048" w:rsidRPr="0072600F" w:rsidP="0072600F" w14:paraId="12FD32EE" w14:textId="77777777">
      <w:pPr>
        <w:spacing w:before="240"/>
        <w:jc w:val="center"/>
        <w:rPr>
          <w:rFonts w:ascii="Times New Roman" w:hAnsi="Times New Roman" w:cs="Times New Roman"/>
          <w:sz w:val="26"/>
          <w:szCs w:val="26"/>
        </w:rPr>
      </w:pPr>
      <w:r w:rsidRPr="0072600F">
        <w:rPr>
          <w:rFonts w:ascii="Times New Roman" w:hAnsi="Times New Roman" w:cs="Times New Roman"/>
          <w:sz w:val="26"/>
          <w:szCs w:val="26"/>
        </w:rPr>
        <w:t>TABLE OF CONTENTS</w:t>
      </w:r>
    </w:p>
    <w:p w:rsidR="00760048" w:rsidRPr="0072600F" w:rsidP="00071614" w14:paraId="16979E0B" w14:textId="77777777">
      <w:pPr>
        <w:rPr>
          <w:rFonts w:ascii="Times New Roman" w:hAnsi="Times New Roman" w:cs="Times New Roman"/>
          <w:sz w:val="26"/>
          <w:szCs w:val="26"/>
        </w:rPr>
      </w:pPr>
    </w:p>
    <w:p w:rsidR="007258E8" w:rsidRPr="007258E8" w:rsidP="007258E8" w14:paraId="5196CDB5" w14:textId="77777777">
      <w:pPr>
        <w:tabs>
          <w:tab w:val="right" w:pos="9360"/>
        </w:tabs>
        <w:rPr>
          <w:rFonts w:ascii="Times New Roman" w:hAnsi="Times New Roman" w:cs="Times New Roman"/>
          <w:sz w:val="26"/>
          <w:szCs w:val="26"/>
          <w:u w:val="single"/>
        </w:rPr>
      </w:pPr>
      <w:r w:rsidRPr="0072600F">
        <w:rPr>
          <w:rFonts w:ascii="Times New Roman" w:hAnsi="Times New Roman" w:cs="Times New Roman"/>
          <w:sz w:val="26"/>
          <w:szCs w:val="26"/>
        </w:rPr>
        <w:tab/>
      </w:r>
      <w:r w:rsidRPr="0072600F">
        <w:rPr>
          <w:rFonts w:ascii="Times New Roman" w:hAnsi="Times New Roman" w:cs="Times New Roman"/>
          <w:sz w:val="26"/>
          <w:szCs w:val="26"/>
          <w:u w:val="single"/>
        </w:rPr>
        <w:t>Paragraph Numbers</w:t>
      </w:r>
      <w:bookmarkStart w:id="1" w:name="_Start_TOC"/>
      <w:bookmarkEnd w:id="1"/>
    </w:p>
    <w:p w:rsidR="007258E8" w:rsidRPr="007258E8" w:rsidP="007258E8" w14:paraId="215E7E0F"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I. Background</w:t>
      </w:r>
      <w:r w:rsidRPr="007258E8">
        <w:rPr>
          <w:rFonts w:ascii="Times New Roman" w:eastAsia="Times New Roman" w:hAnsi="Times New Roman" w:cs="Times New Roman"/>
          <w:sz w:val="26"/>
          <w:szCs w:val="26"/>
        </w:rPr>
        <w:tab/>
      </w:r>
      <w:hyperlink w:anchor="_bmk1" w:history="1">
        <w:r w:rsidRPr="007258E8">
          <w:rPr>
            <w:rFonts w:ascii="Times New Roman" w:eastAsia="Calibri" w:hAnsi="Times New Roman" w:cs="Times New Roman"/>
            <w:color w:val="0563C1"/>
            <w:sz w:val="26"/>
            <w:u w:val="single"/>
          </w:rPr>
          <w:t>1.</w:t>
        </w:r>
      </w:hyperlink>
    </w:p>
    <w:p w:rsidR="007258E8" w:rsidRPr="007258E8" w:rsidP="007258E8" w14:paraId="4116CF1B"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II. Discussion</w:t>
      </w:r>
      <w:r w:rsidRPr="007258E8">
        <w:rPr>
          <w:rFonts w:ascii="Times New Roman" w:eastAsia="Times New Roman" w:hAnsi="Times New Roman" w:cs="Times New Roman"/>
          <w:sz w:val="26"/>
          <w:szCs w:val="26"/>
        </w:rPr>
        <w:tab/>
      </w:r>
      <w:hyperlink w:anchor="_bmk2" w:history="1">
        <w:r w:rsidRPr="007258E8">
          <w:rPr>
            <w:rFonts w:ascii="Times New Roman" w:eastAsia="Calibri" w:hAnsi="Times New Roman" w:cs="Times New Roman"/>
            <w:color w:val="0563C1"/>
            <w:sz w:val="26"/>
            <w:u w:val="single"/>
          </w:rPr>
          <w:t>10.</w:t>
        </w:r>
      </w:hyperlink>
    </w:p>
    <w:p w:rsidR="007258E8" w:rsidRPr="007258E8" w:rsidP="007258E8" w14:paraId="2314077E" w14:textId="77777777">
      <w:pPr>
        <w:tabs>
          <w:tab w:val="right" w:leader="dot" w:pos="9360"/>
        </w:tabs>
        <w:autoSpaceDE w:val="0"/>
        <w:autoSpaceDN w:val="0"/>
        <w:adjustRightInd w:val="0"/>
        <w:spacing w:after="0" w:line="240" w:lineRule="auto"/>
        <w:ind w:left="288"/>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A. Need for Reform</w:t>
      </w:r>
      <w:r w:rsidRPr="007258E8">
        <w:rPr>
          <w:rFonts w:ascii="Times New Roman" w:eastAsia="Times New Roman" w:hAnsi="Times New Roman" w:cs="Times New Roman"/>
          <w:sz w:val="26"/>
          <w:szCs w:val="26"/>
        </w:rPr>
        <w:tab/>
      </w:r>
      <w:hyperlink w:anchor="_bmk3" w:history="1">
        <w:r w:rsidRPr="007258E8">
          <w:rPr>
            <w:rFonts w:ascii="Times New Roman" w:eastAsia="Calibri" w:hAnsi="Times New Roman" w:cs="Times New Roman"/>
            <w:color w:val="0563C1"/>
            <w:sz w:val="26"/>
            <w:u w:val="single"/>
          </w:rPr>
          <w:t>10.</w:t>
        </w:r>
      </w:hyperlink>
    </w:p>
    <w:p w:rsidR="007258E8" w:rsidRPr="007258E8" w:rsidP="007258E8" w14:paraId="52702797"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1. Order No. 2023</w:t>
      </w:r>
      <w:r w:rsidRPr="007258E8">
        <w:rPr>
          <w:rFonts w:ascii="Times New Roman" w:eastAsia="Times New Roman" w:hAnsi="Times New Roman" w:cs="Times New Roman"/>
          <w:sz w:val="26"/>
          <w:szCs w:val="26"/>
        </w:rPr>
        <w:tab/>
      </w:r>
      <w:hyperlink w:anchor="_bmk4" w:history="1">
        <w:r w:rsidRPr="007258E8">
          <w:rPr>
            <w:rFonts w:ascii="Times New Roman" w:eastAsia="Calibri" w:hAnsi="Times New Roman" w:cs="Times New Roman"/>
            <w:color w:val="0563C1"/>
            <w:sz w:val="26"/>
            <w:u w:val="single"/>
          </w:rPr>
          <w:t>10.</w:t>
        </w:r>
      </w:hyperlink>
    </w:p>
    <w:p w:rsidR="007258E8" w:rsidRPr="007258E8" w:rsidP="007258E8" w14:paraId="33ABBC40"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2. Requests for Rehearing and Clarification</w:t>
      </w:r>
      <w:r w:rsidRPr="007258E8">
        <w:rPr>
          <w:rFonts w:ascii="Times New Roman" w:eastAsia="Times New Roman" w:hAnsi="Times New Roman" w:cs="Times New Roman"/>
          <w:sz w:val="26"/>
          <w:szCs w:val="26"/>
        </w:rPr>
        <w:tab/>
      </w:r>
      <w:hyperlink w:anchor="_bmk5" w:history="1">
        <w:r w:rsidRPr="007258E8">
          <w:rPr>
            <w:rFonts w:ascii="Times New Roman" w:eastAsia="Calibri" w:hAnsi="Times New Roman" w:cs="Times New Roman"/>
            <w:color w:val="0563C1"/>
            <w:sz w:val="26"/>
            <w:u w:val="single"/>
          </w:rPr>
          <w:t>27.</w:t>
        </w:r>
      </w:hyperlink>
    </w:p>
    <w:p w:rsidR="007258E8" w:rsidRPr="007258E8" w:rsidP="007258E8" w14:paraId="5E61A868"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3. Determination</w:t>
      </w:r>
      <w:r w:rsidRPr="007258E8">
        <w:rPr>
          <w:rFonts w:ascii="Times New Roman" w:eastAsia="Times New Roman" w:hAnsi="Times New Roman" w:cs="Times New Roman"/>
          <w:sz w:val="26"/>
          <w:szCs w:val="26"/>
        </w:rPr>
        <w:tab/>
      </w:r>
      <w:hyperlink w:anchor="_bmk6" w:history="1">
        <w:r w:rsidRPr="007258E8">
          <w:rPr>
            <w:rFonts w:ascii="Times New Roman" w:eastAsia="Calibri" w:hAnsi="Times New Roman" w:cs="Times New Roman"/>
            <w:color w:val="0563C1"/>
            <w:sz w:val="26"/>
            <w:u w:val="single"/>
          </w:rPr>
          <w:t>35.</w:t>
        </w:r>
      </w:hyperlink>
    </w:p>
    <w:p w:rsidR="007258E8" w:rsidRPr="007258E8" w:rsidP="007258E8" w14:paraId="638690B8" w14:textId="77777777">
      <w:pPr>
        <w:tabs>
          <w:tab w:val="right" w:leader="dot" w:pos="9360"/>
        </w:tabs>
        <w:autoSpaceDE w:val="0"/>
        <w:autoSpaceDN w:val="0"/>
        <w:adjustRightInd w:val="0"/>
        <w:spacing w:after="0" w:line="240" w:lineRule="auto"/>
        <w:ind w:left="288"/>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B. Arguments Regarding Conflicts with Ongoing Queue Reform Efforts and Evaluation of Variations on Compliance</w:t>
      </w:r>
      <w:r w:rsidRPr="007258E8">
        <w:rPr>
          <w:rFonts w:ascii="Times New Roman" w:eastAsia="Times New Roman" w:hAnsi="Times New Roman" w:cs="Times New Roman"/>
          <w:sz w:val="26"/>
          <w:szCs w:val="26"/>
        </w:rPr>
        <w:tab/>
      </w:r>
      <w:hyperlink w:anchor="_bmk7" w:history="1">
        <w:r w:rsidRPr="007258E8">
          <w:rPr>
            <w:rFonts w:ascii="Times New Roman" w:eastAsia="Calibri" w:hAnsi="Times New Roman" w:cs="Times New Roman"/>
            <w:color w:val="0563C1"/>
            <w:sz w:val="26"/>
            <w:u w:val="single"/>
          </w:rPr>
          <w:t>51.</w:t>
        </w:r>
      </w:hyperlink>
    </w:p>
    <w:p w:rsidR="007258E8" w:rsidRPr="007258E8" w:rsidP="007258E8" w14:paraId="3C6AD51C"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1. Order No. 2023 Requirements</w:t>
      </w:r>
      <w:r w:rsidRPr="007258E8">
        <w:rPr>
          <w:rFonts w:ascii="Times New Roman" w:eastAsia="Times New Roman" w:hAnsi="Times New Roman" w:cs="Times New Roman"/>
          <w:sz w:val="26"/>
          <w:szCs w:val="26"/>
        </w:rPr>
        <w:tab/>
      </w:r>
      <w:hyperlink w:anchor="_bmk8" w:history="1">
        <w:r w:rsidRPr="007258E8">
          <w:rPr>
            <w:rFonts w:ascii="Times New Roman" w:eastAsia="Calibri" w:hAnsi="Times New Roman" w:cs="Times New Roman"/>
            <w:color w:val="0563C1"/>
            <w:sz w:val="26"/>
            <w:u w:val="single"/>
          </w:rPr>
          <w:t>51.</w:t>
        </w:r>
      </w:hyperlink>
    </w:p>
    <w:p w:rsidR="007258E8" w:rsidRPr="007258E8" w:rsidP="007258E8" w14:paraId="697E6D15"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2. Requests for Rehearing and Clarification</w:t>
      </w:r>
      <w:r w:rsidRPr="007258E8">
        <w:rPr>
          <w:rFonts w:ascii="Times New Roman" w:eastAsia="Times New Roman" w:hAnsi="Times New Roman" w:cs="Times New Roman"/>
          <w:sz w:val="26"/>
          <w:szCs w:val="26"/>
        </w:rPr>
        <w:tab/>
      </w:r>
      <w:hyperlink w:anchor="_bmk9" w:history="1">
        <w:r w:rsidRPr="007258E8">
          <w:rPr>
            <w:rFonts w:ascii="Times New Roman" w:eastAsia="Calibri" w:hAnsi="Times New Roman" w:cs="Times New Roman"/>
            <w:color w:val="0563C1"/>
            <w:sz w:val="26"/>
            <w:u w:val="single"/>
          </w:rPr>
          <w:t>54.</w:t>
        </w:r>
      </w:hyperlink>
    </w:p>
    <w:p w:rsidR="007258E8" w:rsidRPr="007258E8" w:rsidP="007258E8" w14:paraId="322BBDA2"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3. Determination</w:t>
      </w:r>
      <w:r w:rsidRPr="007258E8">
        <w:rPr>
          <w:rFonts w:ascii="Times New Roman" w:eastAsia="Times New Roman" w:hAnsi="Times New Roman" w:cs="Times New Roman"/>
          <w:sz w:val="26"/>
          <w:szCs w:val="26"/>
        </w:rPr>
        <w:tab/>
      </w:r>
      <w:hyperlink w:anchor="_bmk10" w:history="1">
        <w:r w:rsidRPr="007258E8">
          <w:rPr>
            <w:rFonts w:ascii="Times New Roman" w:eastAsia="Calibri" w:hAnsi="Times New Roman" w:cs="Times New Roman"/>
            <w:color w:val="0563C1"/>
            <w:sz w:val="26"/>
            <w:u w:val="single"/>
          </w:rPr>
          <w:t>73.</w:t>
        </w:r>
      </w:hyperlink>
    </w:p>
    <w:p w:rsidR="007258E8" w:rsidRPr="007258E8" w:rsidP="007258E8" w14:paraId="5316C51E" w14:textId="77777777">
      <w:pPr>
        <w:tabs>
          <w:tab w:val="right" w:leader="dot" w:pos="9360"/>
        </w:tabs>
        <w:autoSpaceDE w:val="0"/>
        <w:autoSpaceDN w:val="0"/>
        <w:adjustRightInd w:val="0"/>
        <w:spacing w:after="0" w:line="240" w:lineRule="auto"/>
        <w:ind w:left="288"/>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C. Reforms to Implement a First-Ready, First-Served Cluster Study Process</w:t>
      </w:r>
      <w:r w:rsidRPr="007258E8">
        <w:rPr>
          <w:rFonts w:ascii="Times New Roman" w:eastAsia="Times New Roman" w:hAnsi="Times New Roman" w:cs="Times New Roman"/>
          <w:sz w:val="26"/>
          <w:szCs w:val="26"/>
        </w:rPr>
        <w:tab/>
      </w:r>
      <w:hyperlink w:anchor="_bmk11" w:history="1">
        <w:r w:rsidRPr="007258E8">
          <w:rPr>
            <w:rFonts w:ascii="Times New Roman" w:eastAsia="Calibri" w:hAnsi="Times New Roman" w:cs="Times New Roman"/>
            <w:color w:val="0563C1"/>
            <w:sz w:val="26"/>
            <w:u w:val="single"/>
          </w:rPr>
          <w:t>80.</w:t>
        </w:r>
      </w:hyperlink>
    </w:p>
    <w:p w:rsidR="007258E8" w:rsidRPr="007258E8" w:rsidP="007258E8" w14:paraId="2B9504DD"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1. Public Interconnection Information</w:t>
      </w:r>
      <w:r w:rsidRPr="007258E8">
        <w:rPr>
          <w:rFonts w:ascii="Times New Roman" w:eastAsia="Times New Roman" w:hAnsi="Times New Roman" w:cs="Times New Roman"/>
          <w:sz w:val="26"/>
          <w:szCs w:val="26"/>
        </w:rPr>
        <w:tab/>
      </w:r>
      <w:hyperlink w:anchor="_bmk12" w:history="1">
        <w:r w:rsidRPr="007258E8">
          <w:rPr>
            <w:rFonts w:ascii="Times New Roman" w:eastAsia="Calibri" w:hAnsi="Times New Roman" w:cs="Times New Roman"/>
            <w:color w:val="0563C1"/>
            <w:sz w:val="26"/>
            <w:u w:val="single"/>
          </w:rPr>
          <w:t>80.</w:t>
        </w:r>
      </w:hyperlink>
    </w:p>
    <w:p w:rsidR="007258E8" w:rsidRPr="007258E8" w:rsidP="007258E8" w14:paraId="0EE85A85"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2. Cluster Study Process</w:t>
      </w:r>
      <w:r w:rsidRPr="007258E8">
        <w:rPr>
          <w:rFonts w:ascii="Times New Roman" w:eastAsia="Times New Roman" w:hAnsi="Times New Roman" w:cs="Times New Roman"/>
          <w:sz w:val="26"/>
          <w:szCs w:val="26"/>
        </w:rPr>
        <w:tab/>
      </w:r>
      <w:hyperlink w:anchor="_bmk13" w:history="1">
        <w:r w:rsidRPr="007258E8">
          <w:rPr>
            <w:rFonts w:ascii="Times New Roman" w:eastAsia="Calibri" w:hAnsi="Times New Roman" w:cs="Times New Roman"/>
            <w:color w:val="0563C1"/>
            <w:sz w:val="26"/>
            <w:u w:val="single"/>
          </w:rPr>
          <w:t>107.</w:t>
        </w:r>
      </w:hyperlink>
    </w:p>
    <w:p w:rsidR="007258E8" w:rsidRPr="007258E8" w:rsidP="007258E8" w14:paraId="02E557B1"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3. Allocation of Cluster Network Upgrade Costs</w:t>
      </w:r>
      <w:r w:rsidRPr="007258E8">
        <w:rPr>
          <w:rFonts w:ascii="Times New Roman" w:eastAsia="Times New Roman" w:hAnsi="Times New Roman" w:cs="Times New Roman"/>
          <w:sz w:val="26"/>
          <w:szCs w:val="26"/>
        </w:rPr>
        <w:tab/>
      </w:r>
      <w:hyperlink w:anchor="_bmk14" w:history="1">
        <w:r w:rsidRPr="007258E8">
          <w:rPr>
            <w:rFonts w:ascii="Times New Roman" w:eastAsia="Calibri" w:hAnsi="Times New Roman" w:cs="Times New Roman"/>
            <w:color w:val="0563C1"/>
            <w:sz w:val="26"/>
            <w:u w:val="single"/>
          </w:rPr>
          <w:t>168.</w:t>
        </w:r>
      </w:hyperlink>
    </w:p>
    <w:p w:rsidR="007258E8" w:rsidRPr="007258E8" w:rsidP="007258E8" w14:paraId="3361DDB2"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4. Shared Network Upgrades</w:t>
      </w:r>
      <w:r w:rsidRPr="007258E8">
        <w:rPr>
          <w:rFonts w:ascii="Times New Roman" w:eastAsia="Times New Roman" w:hAnsi="Times New Roman" w:cs="Times New Roman"/>
          <w:sz w:val="26"/>
          <w:szCs w:val="26"/>
        </w:rPr>
        <w:tab/>
      </w:r>
      <w:hyperlink w:anchor="_bmk15" w:history="1">
        <w:r w:rsidRPr="007258E8">
          <w:rPr>
            <w:rFonts w:ascii="Times New Roman" w:eastAsia="Calibri" w:hAnsi="Times New Roman" w:cs="Times New Roman"/>
            <w:color w:val="0563C1"/>
            <w:sz w:val="26"/>
            <w:u w:val="single"/>
          </w:rPr>
          <w:t>179.</w:t>
        </w:r>
      </w:hyperlink>
    </w:p>
    <w:p w:rsidR="007258E8" w:rsidRPr="007258E8" w:rsidP="007258E8" w14:paraId="4C82B894"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5. Increased Financial Commitments and Readiness Requirements</w:t>
      </w:r>
      <w:r w:rsidRPr="007258E8">
        <w:rPr>
          <w:rFonts w:ascii="Times New Roman" w:eastAsia="Times New Roman" w:hAnsi="Times New Roman" w:cs="Times New Roman"/>
          <w:sz w:val="26"/>
          <w:szCs w:val="26"/>
        </w:rPr>
        <w:tab/>
      </w:r>
      <w:hyperlink w:anchor="_bmk16" w:history="1">
        <w:r w:rsidRPr="007258E8">
          <w:rPr>
            <w:rFonts w:ascii="Times New Roman" w:eastAsia="Calibri" w:hAnsi="Times New Roman" w:cs="Times New Roman"/>
            <w:color w:val="0563C1"/>
            <w:sz w:val="26"/>
            <w:u w:val="single"/>
          </w:rPr>
          <w:t>182.</w:t>
        </w:r>
      </w:hyperlink>
    </w:p>
    <w:p w:rsidR="007258E8" w:rsidRPr="007258E8" w:rsidP="007258E8" w14:paraId="4DEFD81C"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6. Transition Process</w:t>
      </w:r>
      <w:r w:rsidRPr="007258E8">
        <w:rPr>
          <w:rFonts w:ascii="Times New Roman" w:eastAsia="Times New Roman" w:hAnsi="Times New Roman" w:cs="Times New Roman"/>
          <w:sz w:val="26"/>
          <w:szCs w:val="26"/>
        </w:rPr>
        <w:tab/>
      </w:r>
      <w:hyperlink w:anchor="_bmk17" w:history="1">
        <w:r w:rsidRPr="007258E8">
          <w:rPr>
            <w:rFonts w:ascii="Times New Roman" w:eastAsia="Calibri" w:hAnsi="Times New Roman" w:cs="Times New Roman"/>
            <w:color w:val="0563C1"/>
            <w:sz w:val="26"/>
            <w:u w:val="single"/>
          </w:rPr>
          <w:t>244.</w:t>
        </w:r>
      </w:hyperlink>
    </w:p>
    <w:p w:rsidR="007258E8" w:rsidRPr="007258E8" w:rsidP="007258E8" w14:paraId="05429BEB" w14:textId="77777777">
      <w:pPr>
        <w:tabs>
          <w:tab w:val="right" w:leader="dot" w:pos="9360"/>
        </w:tabs>
        <w:autoSpaceDE w:val="0"/>
        <w:autoSpaceDN w:val="0"/>
        <w:adjustRightInd w:val="0"/>
        <w:spacing w:after="0" w:line="240" w:lineRule="auto"/>
        <w:ind w:left="288"/>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D. Reforms to Increase the Speed of Interconnection Queue Processing</w:t>
      </w:r>
      <w:r w:rsidRPr="007258E8">
        <w:rPr>
          <w:rFonts w:ascii="Times New Roman" w:eastAsia="Times New Roman" w:hAnsi="Times New Roman" w:cs="Times New Roman"/>
          <w:sz w:val="26"/>
          <w:szCs w:val="26"/>
        </w:rPr>
        <w:tab/>
      </w:r>
      <w:hyperlink w:anchor="_bmk18" w:history="1">
        <w:r w:rsidRPr="007258E8">
          <w:rPr>
            <w:rFonts w:ascii="Times New Roman" w:eastAsia="Calibri" w:hAnsi="Times New Roman" w:cs="Times New Roman"/>
            <w:color w:val="0563C1"/>
            <w:sz w:val="26"/>
            <w:u w:val="single"/>
          </w:rPr>
          <w:t>264.</w:t>
        </w:r>
      </w:hyperlink>
    </w:p>
    <w:p w:rsidR="007258E8" w:rsidRPr="007258E8" w:rsidP="007258E8" w14:paraId="67642F81"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1. Elimination of Reasonable Efforts Standard and Implementation of a Replacement Rate</w:t>
      </w:r>
      <w:r w:rsidRPr="007258E8">
        <w:rPr>
          <w:rFonts w:ascii="Times New Roman" w:eastAsia="Times New Roman" w:hAnsi="Times New Roman" w:cs="Times New Roman"/>
          <w:sz w:val="26"/>
          <w:szCs w:val="26"/>
        </w:rPr>
        <w:tab/>
      </w:r>
      <w:hyperlink w:anchor="_bmk19" w:history="1">
        <w:r w:rsidRPr="007258E8">
          <w:rPr>
            <w:rFonts w:ascii="Times New Roman" w:eastAsia="Calibri" w:hAnsi="Times New Roman" w:cs="Times New Roman"/>
            <w:color w:val="0563C1"/>
            <w:sz w:val="26"/>
            <w:u w:val="single"/>
          </w:rPr>
          <w:t>264.</w:t>
        </w:r>
      </w:hyperlink>
    </w:p>
    <w:p w:rsidR="007258E8" w:rsidRPr="007258E8" w:rsidP="007258E8" w14:paraId="097F5D5B"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2. Affected Systems</w:t>
      </w:r>
      <w:r w:rsidRPr="007258E8">
        <w:rPr>
          <w:rFonts w:ascii="Times New Roman" w:eastAsia="Times New Roman" w:hAnsi="Times New Roman" w:cs="Times New Roman"/>
          <w:sz w:val="26"/>
          <w:szCs w:val="26"/>
        </w:rPr>
        <w:tab/>
      </w:r>
      <w:hyperlink w:anchor="_bmk20" w:history="1">
        <w:r w:rsidRPr="007258E8">
          <w:rPr>
            <w:rFonts w:ascii="Times New Roman" w:eastAsia="Calibri" w:hAnsi="Times New Roman" w:cs="Times New Roman"/>
            <w:color w:val="0563C1"/>
            <w:sz w:val="26"/>
            <w:u w:val="single"/>
          </w:rPr>
          <w:t>466.</w:t>
        </w:r>
      </w:hyperlink>
    </w:p>
    <w:p w:rsidR="007258E8" w:rsidRPr="007258E8" w:rsidP="007258E8" w14:paraId="762D1857" w14:textId="77777777">
      <w:pPr>
        <w:tabs>
          <w:tab w:val="right" w:leader="dot" w:pos="9360"/>
        </w:tabs>
        <w:autoSpaceDE w:val="0"/>
        <w:autoSpaceDN w:val="0"/>
        <w:adjustRightInd w:val="0"/>
        <w:spacing w:after="0" w:line="240" w:lineRule="auto"/>
        <w:ind w:left="288"/>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E. Reforms to Incorporate Technological Advancements into the Interconnection Process</w:t>
      </w:r>
      <w:r w:rsidRPr="007258E8">
        <w:rPr>
          <w:rFonts w:ascii="Times New Roman" w:eastAsia="Times New Roman" w:hAnsi="Times New Roman" w:cs="Times New Roman"/>
          <w:sz w:val="26"/>
          <w:szCs w:val="26"/>
        </w:rPr>
        <w:tab/>
      </w:r>
      <w:hyperlink w:anchor="_bmk21" w:history="1">
        <w:r w:rsidRPr="007258E8">
          <w:rPr>
            <w:rFonts w:ascii="Times New Roman" w:eastAsia="Calibri" w:hAnsi="Times New Roman" w:cs="Times New Roman"/>
            <w:color w:val="0563C1"/>
            <w:sz w:val="26"/>
            <w:u w:val="single"/>
          </w:rPr>
          <w:t>541.</w:t>
        </w:r>
      </w:hyperlink>
    </w:p>
    <w:p w:rsidR="007258E8" w:rsidRPr="007258E8" w:rsidP="007258E8" w14:paraId="3B0BA8DB"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1. Increasing Flexibility in the Generation Interconnection Process</w:t>
      </w:r>
      <w:r w:rsidRPr="007258E8">
        <w:rPr>
          <w:rFonts w:ascii="Times New Roman" w:eastAsia="Times New Roman" w:hAnsi="Times New Roman" w:cs="Times New Roman"/>
          <w:sz w:val="26"/>
          <w:szCs w:val="26"/>
        </w:rPr>
        <w:tab/>
      </w:r>
      <w:hyperlink w:anchor="_bmk22" w:history="1">
        <w:r w:rsidRPr="007258E8">
          <w:rPr>
            <w:rFonts w:ascii="Times New Roman" w:eastAsia="Calibri" w:hAnsi="Times New Roman" w:cs="Times New Roman"/>
            <w:color w:val="0563C1"/>
            <w:sz w:val="26"/>
            <w:u w:val="single"/>
          </w:rPr>
          <w:t>541.</w:t>
        </w:r>
      </w:hyperlink>
    </w:p>
    <w:p w:rsidR="007258E8" w:rsidRPr="007258E8" w:rsidP="007258E8" w14:paraId="4959BF16"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2. Incorporating the Enumerated Alternative Transmission Technologies into the Generator Interconnection Process</w:t>
      </w:r>
      <w:r w:rsidRPr="007258E8">
        <w:rPr>
          <w:rFonts w:ascii="Times New Roman" w:eastAsia="Times New Roman" w:hAnsi="Times New Roman" w:cs="Times New Roman"/>
          <w:sz w:val="26"/>
          <w:szCs w:val="26"/>
        </w:rPr>
        <w:tab/>
      </w:r>
      <w:hyperlink w:anchor="_bmk23" w:history="1">
        <w:r w:rsidRPr="007258E8">
          <w:rPr>
            <w:rFonts w:ascii="Times New Roman" w:eastAsia="Calibri" w:hAnsi="Times New Roman" w:cs="Times New Roman"/>
            <w:color w:val="0563C1"/>
            <w:sz w:val="26"/>
            <w:u w:val="single"/>
          </w:rPr>
          <w:t>588.</w:t>
        </w:r>
      </w:hyperlink>
    </w:p>
    <w:p w:rsidR="007258E8" w:rsidRPr="007258E8" w:rsidP="007258E8" w14:paraId="13048D8E"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3. Modeling and Ride Through Requirements for Non-Synchronous Generating Facilities</w:t>
      </w:r>
      <w:r w:rsidRPr="007258E8">
        <w:rPr>
          <w:rFonts w:ascii="Times New Roman" w:eastAsia="Times New Roman" w:hAnsi="Times New Roman" w:cs="Times New Roman"/>
          <w:sz w:val="26"/>
          <w:szCs w:val="26"/>
        </w:rPr>
        <w:tab/>
      </w:r>
      <w:hyperlink w:anchor="_bmk24" w:history="1">
        <w:r w:rsidRPr="007258E8">
          <w:rPr>
            <w:rFonts w:ascii="Times New Roman" w:eastAsia="Calibri" w:hAnsi="Times New Roman" w:cs="Times New Roman"/>
            <w:color w:val="0563C1"/>
            <w:sz w:val="26"/>
            <w:u w:val="single"/>
          </w:rPr>
          <w:t>641.</w:t>
        </w:r>
      </w:hyperlink>
    </w:p>
    <w:p w:rsidR="007258E8" w:rsidRPr="007258E8" w:rsidP="007258E8" w14:paraId="30B73CE8" w14:textId="77777777">
      <w:pPr>
        <w:tabs>
          <w:tab w:val="right" w:leader="dot" w:pos="9360"/>
        </w:tabs>
        <w:autoSpaceDE w:val="0"/>
        <w:autoSpaceDN w:val="0"/>
        <w:adjustRightInd w:val="0"/>
        <w:spacing w:after="0" w:line="240" w:lineRule="auto"/>
        <w:ind w:left="288"/>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F. Compliance Procedures</w:t>
      </w:r>
      <w:r w:rsidRPr="007258E8">
        <w:rPr>
          <w:rFonts w:ascii="Times New Roman" w:eastAsia="Times New Roman" w:hAnsi="Times New Roman" w:cs="Times New Roman"/>
          <w:sz w:val="26"/>
          <w:szCs w:val="26"/>
        </w:rPr>
        <w:tab/>
      </w:r>
      <w:hyperlink w:anchor="_bmk25" w:history="1">
        <w:r w:rsidRPr="007258E8">
          <w:rPr>
            <w:rFonts w:ascii="Times New Roman" w:eastAsia="Calibri" w:hAnsi="Times New Roman" w:cs="Times New Roman"/>
            <w:color w:val="0563C1"/>
            <w:sz w:val="26"/>
            <w:u w:val="single"/>
          </w:rPr>
          <w:t>663.</w:t>
        </w:r>
      </w:hyperlink>
    </w:p>
    <w:p w:rsidR="007258E8" w:rsidRPr="007258E8" w:rsidP="007258E8" w14:paraId="00A84C3A"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1. Order No. 2023 Requirements</w:t>
      </w:r>
      <w:r w:rsidRPr="007258E8">
        <w:rPr>
          <w:rFonts w:ascii="Times New Roman" w:eastAsia="Times New Roman" w:hAnsi="Times New Roman" w:cs="Times New Roman"/>
          <w:sz w:val="26"/>
          <w:szCs w:val="26"/>
        </w:rPr>
        <w:tab/>
      </w:r>
      <w:hyperlink w:anchor="_bmk26" w:history="1">
        <w:r w:rsidRPr="007258E8">
          <w:rPr>
            <w:rFonts w:ascii="Times New Roman" w:eastAsia="Calibri" w:hAnsi="Times New Roman" w:cs="Times New Roman"/>
            <w:color w:val="0563C1"/>
            <w:sz w:val="26"/>
            <w:u w:val="single"/>
          </w:rPr>
          <w:t>663.</w:t>
        </w:r>
      </w:hyperlink>
    </w:p>
    <w:p w:rsidR="007258E8" w:rsidRPr="007258E8" w:rsidP="007258E8" w14:paraId="53810C89"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2. Requests for Rehearing and Clarification</w:t>
      </w:r>
      <w:r w:rsidRPr="007258E8">
        <w:rPr>
          <w:rFonts w:ascii="Times New Roman" w:eastAsia="Times New Roman" w:hAnsi="Times New Roman" w:cs="Times New Roman"/>
          <w:sz w:val="26"/>
          <w:szCs w:val="26"/>
        </w:rPr>
        <w:tab/>
      </w:r>
      <w:hyperlink w:anchor="_bmk27" w:history="1">
        <w:r w:rsidRPr="007258E8">
          <w:rPr>
            <w:rFonts w:ascii="Times New Roman" w:eastAsia="Calibri" w:hAnsi="Times New Roman" w:cs="Times New Roman"/>
            <w:color w:val="0563C1"/>
            <w:sz w:val="26"/>
            <w:u w:val="single"/>
          </w:rPr>
          <w:t>664.</w:t>
        </w:r>
      </w:hyperlink>
    </w:p>
    <w:p w:rsidR="007258E8" w:rsidRPr="007258E8" w:rsidP="007258E8" w14:paraId="18CAB7D8" w14:textId="77777777">
      <w:pPr>
        <w:tabs>
          <w:tab w:val="right" w:leader="dot" w:pos="9360"/>
        </w:tabs>
        <w:autoSpaceDE w:val="0"/>
        <w:autoSpaceDN w:val="0"/>
        <w:adjustRightInd w:val="0"/>
        <w:spacing w:after="0" w:line="240" w:lineRule="auto"/>
        <w:ind w:left="576"/>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3. Determination</w:t>
      </w:r>
      <w:r w:rsidRPr="007258E8">
        <w:rPr>
          <w:rFonts w:ascii="Times New Roman" w:eastAsia="Times New Roman" w:hAnsi="Times New Roman" w:cs="Times New Roman"/>
          <w:sz w:val="26"/>
          <w:szCs w:val="26"/>
        </w:rPr>
        <w:tab/>
      </w:r>
      <w:hyperlink w:anchor="_bmk28" w:history="1">
        <w:r w:rsidRPr="007258E8">
          <w:rPr>
            <w:rFonts w:ascii="Times New Roman" w:eastAsia="Calibri" w:hAnsi="Times New Roman" w:cs="Times New Roman"/>
            <w:color w:val="0563C1"/>
            <w:sz w:val="26"/>
            <w:u w:val="single"/>
          </w:rPr>
          <w:t>667.</w:t>
        </w:r>
      </w:hyperlink>
    </w:p>
    <w:p w:rsidR="007258E8" w:rsidRPr="007258E8" w:rsidP="007258E8" w14:paraId="33FB90C4"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III. Information Collection Statement</w:t>
      </w:r>
      <w:r w:rsidRPr="007258E8">
        <w:rPr>
          <w:rFonts w:ascii="Times New Roman" w:eastAsia="Times New Roman" w:hAnsi="Times New Roman" w:cs="Times New Roman"/>
          <w:sz w:val="26"/>
          <w:szCs w:val="26"/>
        </w:rPr>
        <w:tab/>
      </w:r>
      <w:hyperlink w:anchor="_bmk29" w:history="1">
        <w:r w:rsidRPr="007258E8">
          <w:rPr>
            <w:rFonts w:ascii="Times New Roman" w:eastAsia="Calibri" w:hAnsi="Times New Roman" w:cs="Times New Roman"/>
            <w:color w:val="0563C1"/>
            <w:sz w:val="26"/>
            <w:u w:val="single"/>
          </w:rPr>
          <w:t>670.</w:t>
        </w:r>
      </w:hyperlink>
    </w:p>
    <w:p w:rsidR="007258E8" w:rsidRPr="007258E8" w:rsidP="007258E8" w14:paraId="54ED8AFD"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IV. Environmental Analysis</w:t>
      </w:r>
      <w:r w:rsidRPr="007258E8">
        <w:rPr>
          <w:rFonts w:ascii="Times New Roman" w:eastAsia="Times New Roman" w:hAnsi="Times New Roman" w:cs="Times New Roman"/>
          <w:sz w:val="26"/>
          <w:szCs w:val="26"/>
        </w:rPr>
        <w:tab/>
      </w:r>
      <w:hyperlink w:anchor="_bmk30" w:history="1">
        <w:r w:rsidRPr="007258E8">
          <w:rPr>
            <w:rFonts w:ascii="Times New Roman" w:eastAsia="Calibri" w:hAnsi="Times New Roman" w:cs="Times New Roman"/>
            <w:color w:val="0563C1"/>
            <w:sz w:val="26"/>
            <w:u w:val="single"/>
          </w:rPr>
          <w:t>675.</w:t>
        </w:r>
      </w:hyperlink>
    </w:p>
    <w:p w:rsidR="007258E8" w:rsidRPr="007258E8" w:rsidP="007258E8" w14:paraId="37F9F94E"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V. Regulatory Flexibility Act</w:t>
      </w:r>
      <w:r w:rsidRPr="007258E8">
        <w:rPr>
          <w:rFonts w:ascii="Times New Roman" w:eastAsia="Times New Roman" w:hAnsi="Times New Roman" w:cs="Times New Roman"/>
          <w:sz w:val="26"/>
          <w:szCs w:val="26"/>
        </w:rPr>
        <w:tab/>
      </w:r>
      <w:hyperlink w:anchor="_bmk31" w:history="1">
        <w:r w:rsidRPr="007258E8">
          <w:rPr>
            <w:rFonts w:ascii="Times New Roman" w:eastAsia="Calibri" w:hAnsi="Times New Roman" w:cs="Times New Roman"/>
            <w:color w:val="0563C1"/>
            <w:sz w:val="26"/>
            <w:u w:val="single"/>
          </w:rPr>
          <w:t>676.</w:t>
        </w:r>
      </w:hyperlink>
    </w:p>
    <w:p w:rsidR="007258E8" w:rsidRPr="007258E8" w:rsidP="007258E8" w14:paraId="0BDE06AC"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VI. Document Availability</w:t>
      </w:r>
      <w:r w:rsidRPr="007258E8">
        <w:rPr>
          <w:rFonts w:ascii="Times New Roman" w:eastAsia="Times New Roman" w:hAnsi="Times New Roman" w:cs="Times New Roman"/>
          <w:sz w:val="26"/>
          <w:szCs w:val="26"/>
        </w:rPr>
        <w:tab/>
      </w:r>
      <w:hyperlink w:anchor="_bmk32" w:history="1">
        <w:r w:rsidRPr="007258E8">
          <w:rPr>
            <w:rFonts w:ascii="Times New Roman" w:eastAsia="Calibri" w:hAnsi="Times New Roman" w:cs="Times New Roman"/>
            <w:color w:val="0563C1"/>
            <w:sz w:val="26"/>
            <w:u w:val="single"/>
          </w:rPr>
          <w:t>680.</w:t>
        </w:r>
      </w:hyperlink>
    </w:p>
    <w:p w:rsidR="007258E8" w:rsidRPr="007258E8" w:rsidP="007258E8" w14:paraId="5FB2A616" w14:textId="77777777">
      <w:pPr>
        <w:tabs>
          <w:tab w:val="right" w:leader="dot" w:pos="9360"/>
        </w:tabs>
        <w:autoSpaceDE w:val="0"/>
        <w:autoSpaceDN w:val="0"/>
        <w:adjustRightInd w:val="0"/>
        <w:spacing w:before="144" w:beforeLines="60" w:after="0" w:line="240" w:lineRule="auto"/>
        <w:rPr>
          <w:rFonts w:ascii="Times New Roman" w:eastAsia="Times New Roman" w:hAnsi="Times New Roman" w:cs="Times New Roman"/>
          <w:sz w:val="26"/>
          <w:szCs w:val="26"/>
        </w:rPr>
      </w:pPr>
      <w:r w:rsidRPr="007258E8">
        <w:rPr>
          <w:rFonts w:ascii="Times New Roman" w:eastAsia="Times New Roman" w:hAnsi="Times New Roman" w:cs="Times New Roman"/>
          <w:sz w:val="26"/>
          <w:szCs w:val="26"/>
        </w:rPr>
        <w:t>VII. Effective Date</w:t>
      </w:r>
      <w:r w:rsidRPr="007258E8">
        <w:rPr>
          <w:rFonts w:ascii="Times New Roman" w:eastAsia="Times New Roman" w:hAnsi="Times New Roman" w:cs="Times New Roman"/>
          <w:sz w:val="26"/>
          <w:szCs w:val="26"/>
        </w:rPr>
        <w:tab/>
      </w:r>
      <w:hyperlink w:anchor="_bmk33" w:history="1">
        <w:r w:rsidRPr="007258E8">
          <w:rPr>
            <w:rFonts w:ascii="Times New Roman" w:eastAsia="Calibri" w:hAnsi="Times New Roman" w:cs="Times New Roman"/>
            <w:color w:val="0563C1"/>
            <w:sz w:val="26"/>
            <w:u w:val="single"/>
          </w:rPr>
          <w:t>683.</w:t>
        </w:r>
      </w:hyperlink>
    </w:p>
    <w:p w:rsidR="00FE47B2" w:rsidRPr="0072600F" w:rsidP="00071614" w14:paraId="639A7D45" w14:textId="77777777">
      <w:pPr>
        <w:tabs>
          <w:tab w:val="right" w:pos="9360"/>
        </w:tabs>
        <w:rPr>
          <w:rFonts w:ascii="Times New Roman" w:hAnsi="Times New Roman" w:cs="Times New Roman"/>
          <w:sz w:val="26"/>
          <w:szCs w:val="26"/>
        </w:rPr>
      </w:pPr>
    </w:p>
    <w:p w:rsidR="00760048" w:rsidP="00071614" w14:paraId="38C4B3C2" w14:textId="77777777">
      <w:pPr>
        <w:rPr>
          <w:rFonts w:ascii="Times New Roman" w:hAnsi="Times New Roman" w:cs="Times New Roman"/>
          <w:sz w:val="26"/>
          <w:szCs w:val="26"/>
        </w:rPr>
      </w:pPr>
    </w:p>
    <w:p w:rsidR="0008174D" w14:paraId="6D30DE55" w14:textId="77777777">
      <w:pPr>
        <w:rPr>
          <w:rFonts w:ascii="Times New Roman" w:hAnsi="Times New Roman" w:cs="Times New Roman"/>
          <w:sz w:val="26"/>
          <w:szCs w:val="26"/>
        </w:rPr>
      </w:pPr>
      <w:r>
        <w:rPr>
          <w:rFonts w:ascii="Times New Roman" w:hAnsi="Times New Roman" w:cs="Times New Roman"/>
          <w:sz w:val="26"/>
          <w:szCs w:val="26"/>
        </w:rPr>
        <w:br w:type="page"/>
      </w:r>
    </w:p>
    <w:p w:rsidR="00760048" w:rsidRPr="00B067F0" w14:paraId="3651933D" w14:textId="77777777">
      <w:pPr>
        <w:pStyle w:val="Heading1"/>
        <w:keepNext/>
        <w:keepLines/>
        <w:widowControl/>
        <w:numPr>
          <w:ilvl w:val="0"/>
          <w:numId w:val="24"/>
        </w:numPr>
        <w:autoSpaceDE/>
        <w:autoSpaceDN/>
        <w:adjustRightInd/>
        <w:spacing w:line="480" w:lineRule="auto"/>
        <w:rPr>
          <w:sz w:val="26"/>
          <w:szCs w:val="26"/>
          <w:u w:val="single"/>
        </w:rPr>
      </w:pPr>
      <w:bookmarkStart w:id="2" w:name="_bmk1"/>
      <w:r w:rsidRPr="00B067F0">
        <w:rPr>
          <w:sz w:val="26"/>
          <w:szCs w:val="26"/>
          <w:u w:val="single"/>
        </w:rPr>
        <w:t>B</w:t>
      </w:r>
      <w:bookmarkEnd w:id="2"/>
      <w:r w:rsidRPr="00B067F0">
        <w:rPr>
          <w:sz w:val="26"/>
          <w:szCs w:val="26"/>
          <w:u w:val="single"/>
        </w:rPr>
        <w:t>ackground</w:t>
      </w:r>
    </w:p>
    <w:p w:rsidR="00760048" w:rsidRPr="0072600F" w:rsidP="00FE47B2" w14:paraId="728A4B25" w14:textId="77777777">
      <w:pPr>
        <w:numPr>
          <w:ilvl w:val="0"/>
          <w:numId w:val="25"/>
        </w:numPr>
        <w:spacing w:after="0" w:line="480" w:lineRule="auto"/>
        <w:rPr>
          <w:rFonts w:ascii="Times New Roman" w:hAnsi="Times New Roman" w:cs="Times New Roman"/>
          <w:sz w:val="26"/>
          <w:szCs w:val="26"/>
        </w:rPr>
      </w:pPr>
      <w:r w:rsidRPr="0072600F">
        <w:rPr>
          <w:rFonts w:ascii="Times New Roman" w:hAnsi="Times New Roman" w:cs="Times New Roman"/>
          <w:sz w:val="26"/>
          <w:szCs w:val="26"/>
        </w:rPr>
        <w:t>On July 28, 2023, the Federal Energy Regulatory Commission (Commission) issued Order No. 2023.</w:t>
      </w:r>
      <w:r>
        <w:rPr>
          <w:rStyle w:val="FootnoteReference"/>
        </w:rPr>
        <w:footnoteReference w:id="3"/>
      </w:r>
      <w:r w:rsidRPr="0072600F">
        <w:rPr>
          <w:rFonts w:ascii="Times New Roman" w:hAnsi="Times New Roman" w:cs="Times New Roman"/>
          <w:sz w:val="26"/>
          <w:szCs w:val="26"/>
        </w:rPr>
        <w:t xml:space="preserve">  Order No. 2023 required all public utility transmission providers to adopt revised </w:t>
      </w:r>
      <w:r w:rsidRPr="0072600F">
        <w:rPr>
          <w:rFonts w:ascii="Times New Roman" w:hAnsi="Times New Roman" w:cs="Times New Roman"/>
          <w:i/>
          <w:iCs/>
          <w:sz w:val="26"/>
          <w:szCs w:val="26"/>
        </w:rPr>
        <w:t>pro forma</w:t>
      </w:r>
      <w:r w:rsidRPr="0072600F">
        <w:rPr>
          <w:rFonts w:ascii="Times New Roman" w:hAnsi="Times New Roman" w:cs="Times New Roman"/>
          <w:sz w:val="26"/>
          <w:szCs w:val="26"/>
        </w:rPr>
        <w:t xml:space="preserve"> Large Generator Interconnection Procedures (LGIP), </w:t>
      </w:r>
      <w:r w:rsidRPr="0072600F">
        <w:rPr>
          <w:rFonts w:ascii="Times New Roman" w:hAnsi="Times New Roman" w:cs="Times New Roman"/>
          <w:i/>
          <w:iCs/>
          <w:sz w:val="26"/>
          <w:szCs w:val="26"/>
        </w:rPr>
        <w:t>pro forma</w:t>
      </w:r>
      <w:r w:rsidRPr="0072600F">
        <w:rPr>
          <w:rFonts w:ascii="Times New Roman" w:hAnsi="Times New Roman" w:cs="Times New Roman"/>
          <w:sz w:val="26"/>
          <w:szCs w:val="26"/>
        </w:rPr>
        <w:t xml:space="preserve"> Large Generator Interconnection Agreements (LGIA), </w:t>
      </w:r>
      <w:r w:rsidRPr="0072600F">
        <w:rPr>
          <w:rFonts w:ascii="Times New Roman" w:hAnsi="Times New Roman" w:cs="Times New Roman"/>
          <w:i/>
          <w:iCs/>
          <w:sz w:val="26"/>
          <w:szCs w:val="26"/>
        </w:rPr>
        <w:t>pro forma</w:t>
      </w:r>
      <w:r w:rsidRPr="0072600F">
        <w:rPr>
          <w:rFonts w:ascii="Times New Roman" w:hAnsi="Times New Roman" w:cs="Times New Roman"/>
          <w:sz w:val="26"/>
          <w:szCs w:val="26"/>
        </w:rPr>
        <w:t xml:space="preserve"> Small Generator Interconnection Procedures (SGIP), and </w:t>
      </w:r>
      <w:r w:rsidRPr="0072600F">
        <w:rPr>
          <w:rFonts w:ascii="Times New Roman" w:hAnsi="Times New Roman" w:cs="Times New Roman"/>
          <w:i/>
          <w:iCs/>
          <w:sz w:val="26"/>
          <w:szCs w:val="26"/>
        </w:rPr>
        <w:t>pro forma</w:t>
      </w:r>
      <w:r w:rsidRPr="0072600F">
        <w:rPr>
          <w:rFonts w:ascii="Times New Roman" w:hAnsi="Times New Roman" w:cs="Times New Roman"/>
          <w:sz w:val="26"/>
          <w:szCs w:val="26"/>
        </w:rPr>
        <w:t xml:space="preserve"> Small Generator Interconnection Agreements (SGIA).</w:t>
      </w:r>
      <w:r>
        <w:rPr>
          <w:rStyle w:val="FootnoteReference"/>
        </w:rPr>
        <w:footnoteReference w:id="4"/>
      </w:r>
      <w:r w:rsidRPr="0072600F">
        <w:rPr>
          <w:rFonts w:ascii="Times New Roman" w:hAnsi="Times New Roman" w:cs="Times New Roman"/>
          <w:sz w:val="26"/>
          <w:szCs w:val="26"/>
        </w:rPr>
        <w:t xml:space="preserve">  These revisions ensure that interconnection customers are able to interconnect to the transmission system in a reliable, efficient, transparent, and timely </w:t>
      </w:r>
      <w:r w:rsidRPr="0072600F">
        <w:rPr>
          <w:rFonts w:ascii="Times New Roman" w:hAnsi="Times New Roman" w:cs="Times New Roman"/>
          <w:sz w:val="26"/>
          <w:szCs w:val="26"/>
        </w:rPr>
        <w:t>manner, and will prevent</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undue discrimination.</w:t>
      </w:r>
      <w:r>
        <w:rPr>
          <w:rStyle w:val="FootnoteReference"/>
        </w:rPr>
        <w:footnoteReference w:id="5"/>
      </w:r>
      <w:r w:rsidRPr="0072600F">
        <w:rPr>
          <w:rFonts w:ascii="Times New Roman" w:hAnsi="Times New Roman" w:cs="Times New Roman"/>
          <w:sz w:val="26"/>
          <w:szCs w:val="26"/>
        </w:rPr>
        <w:t xml:space="preserve">  In Order No. 2023, the Commission adopted a comprehensive package of reforms in three general categories:  (1) reforms to implement a first-ready, first-served cluster study process, (2) reforms to increase the speed of interconnection queue processing, and (3) reforms to incorporate technological advancements into the interconnection process.  </w:t>
      </w:r>
    </w:p>
    <w:p w:rsidR="00760048" w:rsidRPr="0072600F" w:rsidP="00FE47B2" w14:paraId="3E71CF4A" w14:textId="77777777">
      <w:pPr>
        <w:numPr>
          <w:ilvl w:val="0"/>
          <w:numId w:val="25"/>
        </w:numPr>
        <w:spacing w:after="0" w:line="480" w:lineRule="auto"/>
        <w:rPr>
          <w:rFonts w:ascii="Times New Roman" w:hAnsi="Times New Roman" w:cs="Times New Roman"/>
          <w:sz w:val="26"/>
          <w:szCs w:val="26"/>
        </w:rPr>
      </w:pPr>
      <w:r w:rsidRPr="0072600F">
        <w:rPr>
          <w:rFonts w:ascii="Times New Roman" w:hAnsi="Times New Roman" w:cs="Times New Roman"/>
          <w:sz w:val="26"/>
          <w:szCs w:val="26"/>
        </w:rPr>
        <w:t xml:space="preserve">To implement a first-ready, first served cluster study process, Order No. 2023:  </w:t>
      </w:r>
      <w:r w:rsidR="00F66D0C">
        <w:rPr>
          <w:rFonts w:ascii="Times New Roman" w:hAnsi="Times New Roman" w:cs="Times New Roman"/>
          <w:sz w:val="26"/>
          <w:szCs w:val="26"/>
        </w:rPr>
        <w:t xml:space="preserve">  </w:t>
      </w:r>
      <w:r w:rsidRPr="0072600F">
        <w:rPr>
          <w:rFonts w:ascii="Times New Roman" w:hAnsi="Times New Roman" w:cs="Times New Roman"/>
          <w:sz w:val="26"/>
          <w:szCs w:val="26"/>
        </w:rPr>
        <w:t>(1) required transmission providers to post public interconnection information in an interactive heatmap to provide interconnection customers information before they enter the queue; (2) eliminated individual serial feasibility and system impact studies and created a cluster study; (3) created a range of allowable allocations of cluster study costs; (4) required transmission providers to use a proportional impact method to assign network upgrade costs within a cluster; (5) required increased financial commitments and readiness requirements from interconnection customers, including increased study deposits, site control, commercial readiness deposits, an LGIA deposit, and required transmission providers to institute penalties for withdrawn interconnection requests; and (6) created a transition mechanism for moving to the cluster study process adopted in Order No. 2023 from the existing serial study process.</w:t>
      </w:r>
      <w:r>
        <w:rPr>
          <w:rStyle w:val="FootnoteReference"/>
        </w:rPr>
        <w:footnoteReference w:id="6"/>
      </w:r>
    </w:p>
    <w:p w:rsidR="00760048" w:rsidRPr="0072600F" w:rsidP="00FE47B2" w14:paraId="2F2A25AC" w14:textId="77777777">
      <w:pPr>
        <w:numPr>
          <w:ilvl w:val="0"/>
          <w:numId w:val="25"/>
        </w:numPr>
        <w:spacing w:after="0" w:line="480" w:lineRule="auto"/>
        <w:rPr>
          <w:rFonts w:ascii="Times New Roman" w:hAnsi="Times New Roman" w:cs="Times New Roman"/>
          <w:sz w:val="26"/>
          <w:szCs w:val="26"/>
        </w:rPr>
      </w:pPr>
      <w:r w:rsidRPr="0072600F">
        <w:rPr>
          <w:rFonts w:ascii="Times New Roman" w:hAnsi="Times New Roman" w:cs="Times New Roman"/>
          <w:sz w:val="26"/>
          <w:szCs w:val="26"/>
        </w:rPr>
        <w:t xml:space="preserve">To increase the speed of interconnection queue processing, Order No. 2023:  </w:t>
      </w:r>
      <w:r w:rsidR="00B13EF6">
        <w:rPr>
          <w:rFonts w:ascii="Times New Roman" w:hAnsi="Times New Roman" w:cs="Times New Roman"/>
          <w:sz w:val="26"/>
          <w:szCs w:val="26"/>
        </w:rPr>
        <w:t xml:space="preserve">     </w:t>
      </w:r>
      <w:r w:rsidRPr="0072600F">
        <w:rPr>
          <w:rFonts w:ascii="Times New Roman" w:hAnsi="Times New Roman" w:cs="Times New Roman"/>
          <w:sz w:val="26"/>
          <w:szCs w:val="26"/>
        </w:rPr>
        <w:t xml:space="preserve">(1) eliminated the reasonable efforts standard for completing interconnection studies and adopted study delay penalties applicable when transmission providers fail to complete interconnection studies by the deadlines in their tariff; and (2) established a more detailed affected system study process in the </w:t>
      </w:r>
      <w:r w:rsidRPr="0072600F">
        <w:rPr>
          <w:rFonts w:ascii="Times New Roman" w:hAnsi="Times New Roman" w:cs="Times New Roman"/>
          <w:i/>
          <w:iCs/>
          <w:sz w:val="26"/>
          <w:szCs w:val="26"/>
        </w:rPr>
        <w:t>pro forma</w:t>
      </w:r>
      <w:r w:rsidRPr="0072600F">
        <w:rPr>
          <w:rFonts w:ascii="Times New Roman" w:hAnsi="Times New Roman" w:cs="Times New Roman"/>
          <w:sz w:val="26"/>
          <w:szCs w:val="26"/>
        </w:rPr>
        <w:t xml:space="preserve"> LGIP, including </w:t>
      </w:r>
      <w:r w:rsidRPr="0072600F">
        <w:rPr>
          <w:rFonts w:ascii="Times New Roman" w:hAnsi="Times New Roman" w:cs="Times New Roman"/>
          <w:i/>
          <w:iCs/>
          <w:sz w:val="26"/>
          <w:szCs w:val="26"/>
        </w:rPr>
        <w:t xml:space="preserve">pro forma </w:t>
      </w:r>
      <w:r w:rsidRPr="0072600F">
        <w:rPr>
          <w:rFonts w:ascii="Times New Roman" w:hAnsi="Times New Roman" w:cs="Times New Roman"/>
          <w:sz w:val="26"/>
          <w:szCs w:val="26"/>
        </w:rPr>
        <w:t>affected system agreements and uniform modeling standards.</w:t>
      </w:r>
      <w:r>
        <w:rPr>
          <w:rStyle w:val="FootnoteReference"/>
        </w:rPr>
        <w:footnoteReference w:id="7"/>
      </w:r>
    </w:p>
    <w:p w:rsidR="00760048" w:rsidRPr="0072600F" w:rsidP="006A72F0" w14:paraId="7EF3FE83" w14:textId="77777777">
      <w:pPr>
        <w:numPr>
          <w:ilvl w:val="0"/>
          <w:numId w:val="25"/>
        </w:numPr>
        <w:spacing w:after="0" w:line="480" w:lineRule="auto"/>
        <w:ind w:right="-180"/>
        <w:rPr>
          <w:rFonts w:ascii="Times New Roman" w:hAnsi="Times New Roman" w:cs="Times New Roman"/>
          <w:sz w:val="26"/>
          <w:szCs w:val="26"/>
        </w:rPr>
      </w:pPr>
      <w:r w:rsidRPr="0072600F">
        <w:rPr>
          <w:rFonts w:ascii="Times New Roman" w:hAnsi="Times New Roman" w:cs="Times New Roman"/>
          <w:sz w:val="26"/>
          <w:szCs w:val="26"/>
        </w:rPr>
        <w:t xml:space="preserve">To incorporate technological advancements into the interconnection process, Order No. 2023:  (1) required transmission providers to allow more than one generating facility to co-locate on a shared site behind a single point of interconnection and share a single interconnection request; (2) required transmission providers to evaluate the proposed addition of a generating facility to an existing interconnection request prior to deeming such an addition a material modification; (3) required transmission providers to allow interconnection customers to access the surplus interconnection service process once the original interconnection customer has an executed LGIA or requests the filing of an unexecuted LGIA; (4) required transmission providers, at the request of the interconnection customer, to use operating assumptions in interconnection studies that reflect the proposed charging behavior of electric storage resources; (5) required transmission providers to evaluate an enumerated list </w:t>
      </w:r>
      <w:r w:rsidRPr="0072600F">
        <w:rPr>
          <w:rFonts w:ascii="Times New Roman" w:hAnsi="Times New Roman" w:cs="Times New Roman"/>
          <w:sz w:val="26"/>
          <w:szCs w:val="26"/>
        </w:rPr>
        <w:t>of</w:t>
      </w:r>
      <w:r w:rsidRPr="0072600F">
        <w:rPr>
          <w:rFonts w:ascii="Times New Roman" w:hAnsi="Times New Roman" w:cs="Times New Roman"/>
          <w:sz w:val="26"/>
          <w:szCs w:val="26"/>
        </w:rPr>
        <w:t xml:space="preserve"> alternative transmission technologies during the study process; (6) required each interconnection customer requesting to interconnect a non-</w:t>
      </w:r>
      <w:r w:rsidRPr="0072600F">
        <w:rPr>
          <w:rFonts w:ascii="Times New Roman" w:hAnsi="Times New Roman" w:cs="Times New Roman"/>
          <w:sz w:val="26"/>
          <w:szCs w:val="26"/>
        </w:rPr>
        <w:t>synchronous generating facility to submit to the transmission provider certain specific models of the generating facility; (7) established ride through requirements during abnormal frequency conditions and voltage conditions within the “no trip zone” defined by NERC Reliability Standard PRC-024-3 or successor mandatory ride through reliability standards; and (8) required that all newly interconnecting large generating facilities provide frequency and voltage ride through capability consistent with any standards and guidelines that are applied to other generating facilities in the balancing authority area on a comparable basis.</w:t>
      </w:r>
      <w:r>
        <w:rPr>
          <w:rStyle w:val="FootnoteReference"/>
        </w:rPr>
        <w:footnoteReference w:id="8"/>
      </w:r>
    </w:p>
    <w:p w:rsidR="00760048" w:rsidRPr="0072600F" w:rsidP="006A72F0" w14:paraId="7177EF48" w14:textId="77777777">
      <w:pPr>
        <w:numPr>
          <w:ilvl w:val="0"/>
          <w:numId w:val="25"/>
        </w:numPr>
        <w:spacing w:after="0" w:line="480" w:lineRule="auto"/>
        <w:ind w:right="-180"/>
        <w:rPr>
          <w:rFonts w:ascii="Times New Roman" w:hAnsi="Times New Roman" w:cs="Times New Roman"/>
          <w:sz w:val="26"/>
          <w:szCs w:val="26"/>
        </w:rPr>
      </w:pPr>
      <w:r w:rsidRPr="0072600F">
        <w:rPr>
          <w:rFonts w:ascii="Times New Roman" w:hAnsi="Times New Roman" w:cs="Times New Roman"/>
          <w:sz w:val="26"/>
          <w:szCs w:val="26"/>
        </w:rPr>
        <w:t>The Commission received 32 timely filed requests for rehearing and/or clarification, and two additional requests for clarification.</w:t>
      </w:r>
      <w:r>
        <w:rPr>
          <w:rStyle w:val="FootnoteReference"/>
        </w:rPr>
        <w:footnoteReference w:id="9"/>
      </w:r>
      <w:r w:rsidRPr="0072600F">
        <w:rPr>
          <w:rFonts w:ascii="Times New Roman" w:hAnsi="Times New Roman" w:cs="Times New Roman"/>
          <w:sz w:val="26"/>
          <w:szCs w:val="26"/>
        </w:rPr>
        <w:t xml:space="preserve">  The rehearing requests raise issues related to nearly all reforms adopted in Order No. 2023.  </w:t>
      </w:r>
    </w:p>
    <w:p w:rsidR="00760048" w:rsidRPr="0072600F" w:rsidP="00FE47B2" w14:paraId="21239B90" w14:textId="77777777">
      <w:pPr>
        <w:numPr>
          <w:ilvl w:val="0"/>
          <w:numId w:val="25"/>
        </w:numPr>
        <w:spacing w:after="0" w:line="480" w:lineRule="auto"/>
        <w:rPr>
          <w:rFonts w:ascii="Times New Roman" w:hAnsi="Times New Roman" w:cs="Times New Roman"/>
          <w:sz w:val="26"/>
          <w:szCs w:val="26"/>
        </w:rPr>
      </w:pPr>
      <w:r w:rsidRPr="0072600F">
        <w:rPr>
          <w:rFonts w:ascii="Times New Roman" w:hAnsi="Times New Roman" w:cs="Times New Roman"/>
          <w:sz w:val="26"/>
          <w:szCs w:val="26"/>
        </w:rPr>
        <w:t xml:space="preserve">Pursuant to </w:t>
      </w:r>
      <w:r w:rsidRPr="0072600F">
        <w:rPr>
          <w:rFonts w:ascii="Times New Roman" w:hAnsi="Times New Roman" w:cs="Times New Roman"/>
          <w:i/>
          <w:iCs/>
          <w:sz w:val="26"/>
          <w:szCs w:val="26"/>
        </w:rPr>
        <w:t>Allegheny Defense Project v. FERC</w:t>
      </w:r>
      <w:r w:rsidRPr="0072600F">
        <w:rPr>
          <w:rFonts w:ascii="Times New Roman" w:hAnsi="Times New Roman" w:cs="Times New Roman"/>
          <w:sz w:val="26"/>
          <w:szCs w:val="26"/>
        </w:rPr>
        <w:t>,</w:t>
      </w:r>
      <w:r w:rsidRPr="0072600F">
        <w:rPr>
          <w:rFonts w:ascii="Times New Roman" w:hAnsi="Times New Roman" w:cs="Times New Roman"/>
          <w:b/>
          <w:sz w:val="26"/>
          <w:szCs w:val="26"/>
          <w:vertAlign w:val="superscript"/>
        </w:rPr>
        <w:t xml:space="preserve"> </w:t>
      </w:r>
      <w:r>
        <w:rPr>
          <w:rStyle w:val="FootnoteReference"/>
        </w:rPr>
        <w:footnoteReference w:id="10"/>
      </w:r>
      <w:r w:rsidRPr="0072600F">
        <w:rPr>
          <w:rFonts w:ascii="Times New Roman" w:hAnsi="Times New Roman" w:cs="Times New Roman"/>
          <w:sz w:val="26"/>
          <w:szCs w:val="26"/>
        </w:rPr>
        <w:t xml:space="preserve"> the rehearing requests filed in this proceeding may be deemed denied by operation of law.  However, as permitted by section 313(a) of the Federal Power Act (FPA),</w:t>
      </w:r>
      <w:r>
        <w:rPr>
          <w:rStyle w:val="FootnoteReference"/>
        </w:rPr>
        <w:footnoteReference w:id="11"/>
      </w:r>
      <w:r w:rsidRPr="0072600F">
        <w:rPr>
          <w:rFonts w:ascii="Times New Roman" w:hAnsi="Times New Roman" w:cs="Times New Roman"/>
          <w:sz w:val="26"/>
          <w:szCs w:val="26"/>
        </w:rPr>
        <w:t xml:space="preserve"> we are modifying the discussion in </w:t>
      </w:r>
      <w:r w:rsidRPr="0072600F">
        <w:rPr>
          <w:rFonts w:ascii="Times New Roman" w:hAnsi="Times New Roman" w:cs="Times New Roman"/>
          <w:sz w:val="26"/>
          <w:szCs w:val="26"/>
        </w:rPr>
        <w:t>Order No. 2023, setting aside the order, in part, and clarifying the order, as discussed below.</w:t>
      </w:r>
      <w:r>
        <w:rPr>
          <w:rStyle w:val="FootnoteReference"/>
        </w:rPr>
        <w:footnoteReference w:id="12"/>
      </w:r>
      <w:r w:rsidRPr="0072600F">
        <w:rPr>
          <w:rFonts w:ascii="Times New Roman" w:hAnsi="Times New Roman" w:cs="Times New Roman"/>
          <w:sz w:val="26"/>
          <w:szCs w:val="26"/>
        </w:rPr>
        <w:t xml:space="preserve">  </w:t>
      </w:r>
    </w:p>
    <w:p w:rsidR="00760048" w:rsidRPr="0072600F" w:rsidP="00FE47B2" w14:paraId="6E13A745" w14:textId="77777777">
      <w:pPr>
        <w:numPr>
          <w:ilvl w:val="0"/>
          <w:numId w:val="25"/>
        </w:numPr>
        <w:spacing w:after="0" w:line="480" w:lineRule="auto"/>
        <w:rPr>
          <w:rFonts w:ascii="Times New Roman" w:hAnsi="Times New Roman" w:cs="Times New Roman"/>
          <w:sz w:val="26"/>
          <w:szCs w:val="26"/>
        </w:rPr>
      </w:pPr>
      <w:r w:rsidRPr="0072600F">
        <w:rPr>
          <w:rFonts w:ascii="Times New Roman" w:hAnsi="Times New Roman" w:cs="Times New Roman"/>
          <w:sz w:val="26"/>
          <w:szCs w:val="26"/>
        </w:rPr>
        <w:t xml:space="preserve">Specifically, we set aside the order, in part, to specify that:  (1) where an interconnection customer is in the interconnection queue of a transmission provider that currently uses, or is transitioning to, a cluster study process and the transmission provider proposes on compliance to adopt new readiness requirements for its annual cluster study, the interconnection customer must comply with the transmission provider’s new readiness requirements within 60 days of the Commission-approved effective date of the transmission provider’s compliance filing, where such readiness requirements are applicable given the status of the individual interconnection customer in the queue; (2) a network upgrade that is required for multiple interconnection customers in a cluster may be considered a </w:t>
      </w:r>
      <w:r w:rsidRPr="0072600F">
        <w:rPr>
          <w:rFonts w:ascii="Times New Roman" w:hAnsi="Times New Roman" w:cs="Times New Roman"/>
          <w:sz w:val="26"/>
          <w:szCs w:val="26"/>
        </w:rPr>
        <w:t>stand alone</w:t>
      </w:r>
      <w:r w:rsidRPr="0072600F">
        <w:rPr>
          <w:rFonts w:ascii="Times New Roman" w:hAnsi="Times New Roman" w:cs="Times New Roman"/>
          <w:sz w:val="26"/>
          <w:szCs w:val="26"/>
        </w:rPr>
        <w:t xml:space="preserve"> network upgrade if all such interconnection customers mutually agree to exercise the option to build; (3) transmission providers must complete their determination that an interconnection request is valid by the close of the cluster request window such that only interconnection customers with valid interconnection </w:t>
      </w:r>
      <w:r w:rsidRPr="0072600F">
        <w:rPr>
          <w:rFonts w:ascii="Times New Roman" w:hAnsi="Times New Roman" w:cs="Times New Roman"/>
          <w:sz w:val="26"/>
          <w:szCs w:val="26"/>
        </w:rPr>
        <w:t>requests proceed to the customer engagement window; and (4) acceptable forms of security for the Commercial Readiness Deposit and deposits prior to the Transitional Serial Study, Transitional Cluster Study, Cluster Restudy and the Interconnection Facilities Study should include not only cash or an irrevocable letter of credit, but also surety bonds or other forms of financial security that are reasonably acceptable to the transmission provider.</w:t>
      </w:r>
    </w:p>
    <w:p w:rsidR="00760048" w:rsidRPr="0072600F" w:rsidP="00FE47B2" w14:paraId="0304F89B" w14:textId="77777777">
      <w:pPr>
        <w:numPr>
          <w:ilvl w:val="0"/>
          <w:numId w:val="25"/>
        </w:numPr>
        <w:spacing w:after="0" w:line="480" w:lineRule="auto"/>
        <w:rPr>
          <w:rFonts w:ascii="Times New Roman" w:hAnsi="Times New Roman" w:cs="Times New Roman"/>
          <w:sz w:val="26"/>
          <w:szCs w:val="26"/>
        </w:rPr>
      </w:pPr>
      <w:r w:rsidRPr="0072600F">
        <w:rPr>
          <w:rFonts w:ascii="Times New Roman" w:hAnsi="Times New Roman" w:cs="Times New Roman"/>
          <w:sz w:val="26"/>
          <w:szCs w:val="26"/>
        </w:rPr>
        <w:t xml:space="preserve">Additionally, we grant several clarifications on the following topics, as further discussed below:  (1) conflicts with ongoing queue reform efforts; (2) public interconnection information; (3) cluster study process; (4) allocation of cluster network upgrade costs; (5) shared network upgrades; (6) withdrawal penalties; (7) </w:t>
      </w:r>
      <w:r w:rsidR="00B06BB2">
        <w:rPr>
          <w:rFonts w:ascii="Times New Roman" w:hAnsi="Times New Roman" w:cs="Times New Roman"/>
          <w:sz w:val="26"/>
          <w:szCs w:val="26"/>
        </w:rPr>
        <w:t>study delay penalty and appeal structure</w:t>
      </w:r>
      <w:r w:rsidRPr="0072600F">
        <w:rPr>
          <w:rFonts w:ascii="Times New Roman" w:hAnsi="Times New Roman" w:cs="Times New Roman"/>
          <w:sz w:val="26"/>
          <w:szCs w:val="26"/>
        </w:rPr>
        <w:t xml:space="preserve">; (8) affected systems; (9) revisions to the material modification process to require consideration of generating facility additions; </w:t>
      </w:r>
      <w:r w:rsidR="006A72F0">
        <w:rPr>
          <w:rFonts w:ascii="Times New Roman" w:hAnsi="Times New Roman" w:cs="Times New Roman"/>
          <w:sz w:val="26"/>
          <w:szCs w:val="26"/>
        </w:rPr>
        <w:t xml:space="preserve">              </w:t>
      </w:r>
      <w:r w:rsidRPr="0072600F">
        <w:rPr>
          <w:rFonts w:ascii="Times New Roman" w:hAnsi="Times New Roman" w:cs="Times New Roman"/>
          <w:sz w:val="26"/>
          <w:szCs w:val="26"/>
        </w:rPr>
        <w:t>(10) availability of surplus interconnection service; (11) operating assumptions for interconnection studies; (12) consideration of the enumerated alternative transmission technologies in interconnection studies; and (13) ride-through requirements.</w:t>
      </w:r>
    </w:p>
    <w:p w:rsidR="00760048" w:rsidRPr="0072600F" w:rsidP="00FE47B2" w14:paraId="70C21392" w14:textId="77777777">
      <w:pPr>
        <w:pStyle w:val="FERCparanumber"/>
        <w:widowControl/>
        <w:numPr>
          <w:ilvl w:val="0"/>
          <w:numId w:val="25"/>
        </w:numPr>
        <w:autoSpaceDE/>
        <w:autoSpaceDN/>
        <w:adjustRightInd/>
        <w:spacing w:line="480" w:lineRule="auto"/>
        <w:rPr>
          <w:sz w:val="26"/>
          <w:szCs w:val="26"/>
        </w:rPr>
      </w:pPr>
      <w:r w:rsidRPr="0072600F">
        <w:rPr>
          <w:sz w:val="26"/>
          <w:szCs w:val="26"/>
        </w:rPr>
        <w:t>Finally, in light of the revisions made to the</w:t>
      </w:r>
      <w:r w:rsidRPr="0072600F">
        <w:rPr>
          <w:i/>
          <w:iCs/>
          <w:sz w:val="26"/>
          <w:szCs w:val="26"/>
        </w:rPr>
        <w:t xml:space="preserve"> pro forma </w:t>
      </w:r>
      <w:r w:rsidRPr="0072600F">
        <w:rPr>
          <w:sz w:val="26"/>
          <w:szCs w:val="26"/>
        </w:rPr>
        <w:t xml:space="preserve">LGIP, </w:t>
      </w:r>
      <w:r w:rsidRPr="0072600F">
        <w:rPr>
          <w:i/>
          <w:iCs/>
          <w:sz w:val="26"/>
          <w:szCs w:val="26"/>
        </w:rPr>
        <w:t>pro forma</w:t>
      </w:r>
      <w:r w:rsidRPr="0072600F">
        <w:rPr>
          <w:sz w:val="26"/>
          <w:szCs w:val="26"/>
        </w:rPr>
        <w:t xml:space="preserve"> LGIA, </w:t>
      </w:r>
      <w:r w:rsidRPr="0072600F">
        <w:rPr>
          <w:i/>
          <w:iCs/>
          <w:sz w:val="26"/>
          <w:szCs w:val="26"/>
        </w:rPr>
        <w:t xml:space="preserve">pro forma </w:t>
      </w:r>
      <w:r w:rsidRPr="0072600F">
        <w:rPr>
          <w:sz w:val="26"/>
          <w:szCs w:val="26"/>
        </w:rPr>
        <w:t xml:space="preserve">SGIP, and </w:t>
      </w:r>
      <w:r w:rsidRPr="0072600F">
        <w:rPr>
          <w:i/>
          <w:iCs/>
          <w:sz w:val="26"/>
          <w:szCs w:val="26"/>
        </w:rPr>
        <w:t xml:space="preserve">pro forma </w:t>
      </w:r>
      <w:r w:rsidRPr="0072600F">
        <w:rPr>
          <w:sz w:val="26"/>
          <w:szCs w:val="26"/>
        </w:rPr>
        <w:t xml:space="preserve">SGIA herein, we extend the deadline for transmission providers to submit compliance filings </w:t>
      </w:r>
      <w:r w:rsidR="004A55C6">
        <w:rPr>
          <w:sz w:val="26"/>
          <w:szCs w:val="26"/>
        </w:rPr>
        <w:t>until the effective date of this order</w:t>
      </w:r>
      <w:r w:rsidRPr="0072600F">
        <w:rPr>
          <w:sz w:val="26"/>
          <w:szCs w:val="26"/>
        </w:rPr>
        <w:t xml:space="preserve"> (i.e., the new deadline for compliance with Order No. 2023 will </w:t>
      </w:r>
      <w:r w:rsidR="00C37D6E">
        <w:rPr>
          <w:sz w:val="26"/>
          <w:szCs w:val="26"/>
        </w:rPr>
        <w:t>be</w:t>
      </w:r>
      <w:r w:rsidRPr="0072600F">
        <w:rPr>
          <w:sz w:val="26"/>
          <w:szCs w:val="26"/>
        </w:rPr>
        <w:t xml:space="preserve"> </w:t>
      </w:r>
      <w:r w:rsidR="004A55C6">
        <w:rPr>
          <w:sz w:val="26"/>
          <w:szCs w:val="26"/>
        </w:rPr>
        <w:t xml:space="preserve">30 days after </w:t>
      </w:r>
      <w:r w:rsidR="00E534A4">
        <w:rPr>
          <w:sz w:val="26"/>
          <w:szCs w:val="26"/>
        </w:rPr>
        <w:t>the</w:t>
      </w:r>
      <w:r w:rsidR="004A55C6">
        <w:rPr>
          <w:sz w:val="26"/>
          <w:szCs w:val="26"/>
        </w:rPr>
        <w:t xml:space="preserve"> publi</w:t>
      </w:r>
      <w:r w:rsidR="00E534A4">
        <w:rPr>
          <w:sz w:val="26"/>
          <w:szCs w:val="26"/>
        </w:rPr>
        <w:t>cation of this order</w:t>
      </w:r>
      <w:r w:rsidR="004A55C6">
        <w:rPr>
          <w:sz w:val="26"/>
          <w:szCs w:val="26"/>
        </w:rPr>
        <w:t xml:space="preserve"> in the Federal Register</w:t>
      </w:r>
      <w:r w:rsidR="00E534A4">
        <w:rPr>
          <w:sz w:val="26"/>
          <w:szCs w:val="26"/>
        </w:rPr>
        <w:t xml:space="preserve">, and </w:t>
      </w:r>
      <w:r w:rsidR="002664E5">
        <w:rPr>
          <w:sz w:val="26"/>
          <w:szCs w:val="26"/>
        </w:rPr>
        <w:t>must</w:t>
      </w:r>
      <w:r w:rsidR="00E534A4">
        <w:rPr>
          <w:sz w:val="26"/>
          <w:szCs w:val="26"/>
        </w:rPr>
        <w:t xml:space="preserve"> include the further revisions </w:t>
      </w:r>
      <w:r w:rsidR="006A6851">
        <w:rPr>
          <w:sz w:val="26"/>
          <w:szCs w:val="26"/>
        </w:rPr>
        <w:t>reflected</w:t>
      </w:r>
      <w:r w:rsidR="00E534A4">
        <w:rPr>
          <w:sz w:val="26"/>
          <w:szCs w:val="26"/>
        </w:rPr>
        <w:t xml:space="preserve"> in this order</w:t>
      </w:r>
      <w:r w:rsidRPr="0072600F">
        <w:rPr>
          <w:sz w:val="26"/>
          <w:szCs w:val="26"/>
        </w:rPr>
        <w:t>).</w:t>
      </w:r>
    </w:p>
    <w:p w:rsidR="00760048" w:rsidRPr="00724ECF" w14:paraId="6075A9E5" w14:textId="77777777">
      <w:pPr>
        <w:pStyle w:val="Heading1"/>
        <w:keepNext/>
        <w:keepLines/>
        <w:widowControl/>
        <w:numPr>
          <w:ilvl w:val="0"/>
          <w:numId w:val="24"/>
        </w:numPr>
        <w:autoSpaceDE/>
        <w:autoSpaceDN/>
        <w:adjustRightInd/>
        <w:spacing w:after="260"/>
        <w:rPr>
          <w:sz w:val="26"/>
          <w:szCs w:val="26"/>
          <w:u w:val="single"/>
        </w:rPr>
      </w:pPr>
      <w:bookmarkStart w:id="4" w:name="_bmk2"/>
      <w:r w:rsidRPr="00724ECF">
        <w:rPr>
          <w:sz w:val="26"/>
          <w:szCs w:val="26"/>
          <w:u w:val="single"/>
        </w:rPr>
        <w:t>D</w:t>
      </w:r>
      <w:bookmarkEnd w:id="4"/>
      <w:r w:rsidRPr="00724ECF">
        <w:rPr>
          <w:sz w:val="26"/>
          <w:szCs w:val="26"/>
          <w:u w:val="single"/>
        </w:rPr>
        <w:t>iscussion</w:t>
      </w:r>
    </w:p>
    <w:p w:rsidR="00760048" w:rsidRPr="00724ECF" w14:paraId="1D03AFA7"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u w:val="single"/>
        </w:rPr>
      </w:pPr>
      <w:bookmarkStart w:id="5" w:name="_bmk3"/>
      <w:r w:rsidRPr="00724ECF">
        <w:rPr>
          <w:b/>
          <w:bCs/>
          <w:sz w:val="26"/>
          <w:szCs w:val="26"/>
          <w:u w:val="single"/>
        </w:rPr>
        <w:t>N</w:t>
      </w:r>
      <w:bookmarkEnd w:id="5"/>
      <w:r w:rsidRPr="00724ECF">
        <w:rPr>
          <w:b/>
          <w:bCs/>
          <w:sz w:val="26"/>
          <w:szCs w:val="26"/>
          <w:u w:val="single"/>
        </w:rPr>
        <w:t xml:space="preserve">eed for Reform </w:t>
      </w:r>
    </w:p>
    <w:p w:rsidR="00760048" w:rsidRPr="00724ECF" w14:paraId="31765E01"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6" w:name="_bmk4"/>
      <w:r w:rsidRPr="00724ECF">
        <w:rPr>
          <w:b/>
          <w:bCs/>
          <w:sz w:val="26"/>
          <w:u w:val="single"/>
        </w:rPr>
        <w:t>O</w:t>
      </w:r>
      <w:bookmarkEnd w:id="6"/>
      <w:r w:rsidRPr="00724ECF">
        <w:rPr>
          <w:b/>
          <w:bCs/>
          <w:sz w:val="26"/>
          <w:u w:val="single"/>
        </w:rPr>
        <w:t>rder No. 2023</w:t>
      </w:r>
    </w:p>
    <w:p w:rsidR="00760048" w:rsidRPr="0072600F" w:rsidP="006A72F0" w14:paraId="25011904"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 xml:space="preserve">The Commission stated that it found substantial evidence in the record to support the conclusion that the existing </w:t>
      </w:r>
      <w:r w:rsidRPr="0072600F">
        <w:rPr>
          <w:i/>
          <w:sz w:val="26"/>
          <w:szCs w:val="26"/>
        </w:rPr>
        <w:t xml:space="preserve">pro </w:t>
      </w:r>
      <w:r w:rsidRPr="0072600F">
        <w:rPr>
          <w:i/>
          <w:iCs/>
          <w:sz w:val="26"/>
          <w:szCs w:val="26"/>
        </w:rPr>
        <w:t>forma</w:t>
      </w:r>
      <w:r w:rsidRPr="0072600F">
        <w:rPr>
          <w:sz w:val="26"/>
          <w:szCs w:val="26"/>
        </w:rPr>
        <w:t xml:space="preserve"> generator interconnection procedures and agreements were unjust, unreasonable, and unduly discriminatory or preferential.</w:t>
      </w:r>
      <w:r>
        <w:rPr>
          <w:rStyle w:val="FootnoteReference"/>
        </w:rPr>
        <w:footnoteReference w:id="13"/>
      </w:r>
      <w:r w:rsidRPr="0072600F">
        <w:rPr>
          <w:sz w:val="26"/>
          <w:szCs w:val="26"/>
        </w:rPr>
        <w:t xml:space="preserve">  Therefore, pursuant to FPA section 206, the Commission concluded that certain revisions to the </w:t>
      </w:r>
      <w:r w:rsidRPr="0072600F">
        <w:rPr>
          <w:i/>
          <w:sz w:val="26"/>
          <w:szCs w:val="26"/>
        </w:rPr>
        <w:t>pro forma</w:t>
      </w:r>
      <w:r w:rsidRPr="0072600F">
        <w:rPr>
          <w:sz w:val="26"/>
          <w:szCs w:val="26"/>
        </w:rPr>
        <w:t xml:space="preserve"> open access transmission tariff and the Commission’s regulations were necessary to ensure rates that are just, reasonable, and not unduly discriminatory or preferential.  Specifically, the Commission found that the existing </w:t>
      </w:r>
      <w:r w:rsidRPr="0072600F">
        <w:rPr>
          <w:i/>
          <w:sz w:val="26"/>
          <w:szCs w:val="26"/>
        </w:rPr>
        <w:t>pro forma</w:t>
      </w:r>
      <w:r w:rsidRPr="0072600F">
        <w:rPr>
          <w:sz w:val="26"/>
          <w:szCs w:val="26"/>
        </w:rPr>
        <w:t xml:space="preserve"> generator interconnection procedures and agreements were insufficient to ensure that interconnection customers are able to interconnect to the transmission system in a reliable, efficient, transparent, and timely manner, thereby ensuring that rates, terms, and conditions for Commission-jurisdictional services are just, reasonable, and not unduly discriminatory or preferential.  The Commission stated that, absent reform, the interconnection process will continue to cause interconnection </w:t>
      </w:r>
      <w:r w:rsidRPr="0072600F">
        <w:rPr>
          <w:sz w:val="26"/>
          <w:szCs w:val="26"/>
        </w:rPr>
        <w:t xml:space="preserve">queue </w:t>
      </w:r>
      <w:r w:rsidRPr="0072600F">
        <w:rPr>
          <w:sz w:val="26"/>
          <w:szCs w:val="26"/>
        </w:rPr>
        <w:t xml:space="preserve">backlogs, longer development timelines, and increased uncertainty regarding the cost and timing of interconnecting to the transmission system.  The Commission explained that these backlogs and delays, and the resulting timing and cost uncertainty, hinder the timely development of new generation and thereby </w:t>
      </w:r>
      <w:r w:rsidRPr="0072600F">
        <w:rPr>
          <w:sz w:val="26"/>
          <w:szCs w:val="26"/>
        </w:rPr>
        <w:t>stifle competition in the wholesale electric markets resulting in rates, terms, and conditions that are unjust, unreasonable, and unduly discriminatory or preferential.</w:t>
      </w:r>
    </w:p>
    <w:p w:rsidR="00760048" w:rsidRPr="0072600F" w14:paraId="36298153"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cited recent data to support its findings that the dramatic increase in the number of interconnection requests and limited transmission capacity are increasing interconnection queue backlogs across all regions of the country.</w:t>
      </w:r>
      <w:r>
        <w:rPr>
          <w:rStyle w:val="FootnoteReference"/>
        </w:rPr>
        <w:footnoteReference w:id="14"/>
      </w:r>
      <w:r w:rsidRPr="0072600F">
        <w:rPr>
          <w:sz w:val="26"/>
          <w:szCs w:val="26"/>
        </w:rPr>
        <w:t xml:space="preserve">  This data indicated that, as of the end of 2022, there were over 10,000 active interconnection requests in interconnection queues throughout the United States, representing over </w:t>
      </w:r>
      <w:r w:rsidR="00DA4CD0">
        <w:rPr>
          <w:sz w:val="26"/>
          <w:szCs w:val="26"/>
        </w:rPr>
        <w:t xml:space="preserve">    </w:t>
      </w:r>
      <w:r w:rsidRPr="0072600F">
        <w:rPr>
          <w:sz w:val="26"/>
          <w:szCs w:val="26"/>
        </w:rPr>
        <w:t>2,000 gigawatts (GW) of potential generation and storage capacity.</w:t>
      </w:r>
      <w:r>
        <w:rPr>
          <w:rStyle w:val="FootnoteReference"/>
        </w:rPr>
        <w:footnoteReference w:id="15"/>
      </w:r>
      <w:r w:rsidRPr="0072600F">
        <w:rPr>
          <w:sz w:val="26"/>
          <w:szCs w:val="26"/>
        </w:rPr>
        <w:t xml:space="preserve">  These interconnection requests and the generating facilities they represent amount to the largest interconnection queue size on record, more than four times the total volume (in GW) of the interconnection queues in 2010, and a 40% increase over the interconnection queue size from just the year prior.  The Commission explained that these trends are not exclusive to any specific region of the country; rather, every region, including regional transmission organizations (RTO), independent system operators (ISO), and non-RTOs/ISOs, has faced an increase in both interconnection queue size and</w:t>
      </w:r>
      <w:r w:rsidRPr="0072600F">
        <w:rPr>
          <w:sz w:val="26"/>
          <w:szCs w:val="26"/>
        </w:rPr>
        <w:t xml:space="preserve"> </w:t>
      </w:r>
      <w:r w:rsidRPr="0072600F">
        <w:rPr>
          <w:sz w:val="26"/>
          <w:szCs w:val="26"/>
        </w:rPr>
        <w:t xml:space="preserve">the length of time interconnection customers are spending in the interconnection queue prior to </w:t>
      </w:r>
      <w:r w:rsidRPr="0072600F">
        <w:rPr>
          <w:sz w:val="26"/>
          <w:szCs w:val="26"/>
        </w:rPr>
        <w:t xml:space="preserve">commercial operation in recent years.  The Commission noted that the uncertainty and delays in the interconnection queues have resulted in fewer than 25% of interconnection requests, by capacity, reaching commercial operation between 2000 and 2017 in </w:t>
      </w:r>
      <w:r w:rsidRPr="0072600F">
        <w:rPr>
          <w:i/>
          <w:iCs/>
          <w:sz w:val="26"/>
          <w:szCs w:val="26"/>
        </w:rPr>
        <w:t xml:space="preserve">any </w:t>
      </w:r>
      <w:r w:rsidRPr="0072600F">
        <w:rPr>
          <w:sz w:val="26"/>
          <w:szCs w:val="26"/>
        </w:rPr>
        <w:t xml:space="preserve">region of the country—with some regions as low as 8%. </w:t>
      </w:r>
    </w:p>
    <w:p w:rsidR="00760048" w:rsidRPr="0072600F" w14:paraId="715322F1"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also cited recent data that interconnection customers are waiting longer in the interconnection queue before withdrawing their interconnection requests, even as overall interconnection study timelines are increasing in many regions.</w:t>
      </w:r>
      <w:r>
        <w:rPr>
          <w:rStyle w:val="FootnoteReference"/>
        </w:rPr>
        <w:footnoteReference w:id="16"/>
      </w:r>
      <w:r w:rsidRPr="0072600F">
        <w:rPr>
          <w:sz w:val="26"/>
          <w:szCs w:val="26"/>
        </w:rPr>
        <w:t xml:space="preserve">  Despite efforts to address these challenges, the Commission observed that interconnection queue backlogs and delays have persisted and worsened.  For generating facilities built in 2022, wait times in the interconnection queue saw a marked increase from 2.1 years for generating facilities built in 2000-2010 to roughly five years for generating facilities built in 2022. </w:t>
      </w:r>
    </w:p>
    <w:p w:rsidR="00760048" w:rsidRPr="0072600F" w:rsidP="006A72F0" w14:paraId="1D7076EE" w14:textId="77777777">
      <w:pPr>
        <w:pStyle w:val="FERCparanumber"/>
        <w:widowControl/>
        <w:numPr>
          <w:ilvl w:val="0"/>
          <w:numId w:val="25"/>
        </w:numPr>
        <w:autoSpaceDE/>
        <w:autoSpaceDN/>
        <w:adjustRightInd/>
        <w:spacing w:line="480" w:lineRule="auto"/>
        <w:ind w:right="-270"/>
        <w:rPr>
          <w:sz w:val="26"/>
          <w:szCs w:val="26"/>
        </w:rPr>
      </w:pPr>
      <w:r w:rsidRPr="0072600F">
        <w:rPr>
          <w:sz w:val="26"/>
          <w:szCs w:val="26"/>
        </w:rPr>
        <w:t>The Commission explained that delays in the interconnection study process are an important contributor to interconnection queue backlogs nationwide.</w:t>
      </w:r>
      <w:r>
        <w:rPr>
          <w:rStyle w:val="FootnoteReference"/>
        </w:rPr>
        <w:footnoteReference w:id="17"/>
      </w:r>
      <w:r w:rsidRPr="0072600F">
        <w:rPr>
          <w:sz w:val="26"/>
          <w:szCs w:val="26"/>
        </w:rPr>
        <w:t xml:space="preserve">  The Commission cited recent interconnection study metrics transmission providers filed with the Commission, as required by Order No. 845, which showed that of the 2,179 interconnection studies completed in 2022, 68% were issued late.  At the end of 2022, an additional </w:t>
      </w:r>
      <w:r w:rsidR="00DA4CD0">
        <w:rPr>
          <w:sz w:val="26"/>
          <w:szCs w:val="26"/>
        </w:rPr>
        <w:t xml:space="preserve">      </w:t>
      </w:r>
      <w:r w:rsidRPr="0072600F">
        <w:rPr>
          <w:sz w:val="26"/>
          <w:szCs w:val="26"/>
        </w:rPr>
        <w:t xml:space="preserve">2,544 studies were delayed (i.e., ongoing and past their deadline).  All of the RTOs/ISOs </w:t>
      </w:r>
      <w:r w:rsidRPr="0072600F">
        <w:rPr>
          <w:sz w:val="26"/>
          <w:szCs w:val="26"/>
        </w:rPr>
        <w:t>except CAISO and most</w:t>
      </w:r>
      <w:r w:rsidRPr="0072600F">
        <w:rPr>
          <w:sz w:val="26"/>
          <w:szCs w:val="26"/>
        </w:rPr>
        <w:t xml:space="preserve"> </w:t>
      </w:r>
      <w:r w:rsidRPr="0072600F">
        <w:rPr>
          <w:sz w:val="26"/>
          <w:szCs w:val="26"/>
        </w:rPr>
        <w:t>non-RTO/ISO transmission providers (14 of 38) reported pending delayed studies at the end of 2022.</w:t>
      </w:r>
    </w:p>
    <w:p w:rsidR="00760048" w:rsidRPr="0072600F" w14:paraId="7E8F5A34"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found that numerous factors have contributed to the increasing volume of interconnection requests, including a rapidly changing resource mix, market forces, and emerging technologies.</w:t>
      </w:r>
      <w:r>
        <w:rPr>
          <w:rStyle w:val="FootnoteReference"/>
        </w:rPr>
        <w:footnoteReference w:id="18"/>
      </w:r>
      <w:r w:rsidRPr="0072600F">
        <w:rPr>
          <w:sz w:val="26"/>
          <w:szCs w:val="26"/>
        </w:rPr>
        <w:t xml:space="preserve">  The Commission also found that available transmission capacity has been largely or fully used in many regions, creating situations where interconnection customers face significant network upgrade cost assignments to interconnect their proposed generating facilities.  As an example, the Commission cited a U.S. DOE report that found that interconnection costs in MISO doubled for generating facilities for which the interconnection studies were completed between 2019 and 2021 as compared to those completed prior to 2019, and cost estimates tripled for proposed generating facilities still active in the interconnection queue between the same time periods.</w:t>
      </w:r>
      <w:r>
        <w:rPr>
          <w:rStyle w:val="FootnoteReference"/>
        </w:rPr>
        <w:footnoteReference w:id="19"/>
      </w:r>
      <w:r w:rsidRPr="0072600F">
        <w:rPr>
          <w:sz w:val="26"/>
          <w:szCs w:val="26"/>
        </w:rPr>
        <w:t xml:space="preserve">  The Commission also noted that other reports show similar cost increases in NYISO and PJM.</w:t>
      </w:r>
      <w:r>
        <w:rPr>
          <w:rStyle w:val="FootnoteReference"/>
        </w:rPr>
        <w:footnoteReference w:id="20"/>
      </w:r>
      <w:r w:rsidRPr="0072600F">
        <w:rPr>
          <w:sz w:val="26"/>
          <w:szCs w:val="26"/>
        </w:rPr>
        <w:t xml:space="preserve">  The Commission found that this combination of increased volume of </w:t>
      </w:r>
      <w:r w:rsidRPr="0072600F">
        <w:rPr>
          <w:sz w:val="26"/>
          <w:szCs w:val="26"/>
        </w:rPr>
        <w:t xml:space="preserve">interconnection requests and insufficient transmission capacity and therefore higher costs to interconnect, which can result in interconnection request withdrawals, has resulted in longer interconnection queue processing times and larger, more delayed interconnection queues. </w:t>
      </w:r>
    </w:p>
    <w:p w:rsidR="00760048" w:rsidRPr="0072600F" w14:paraId="5C84839C"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explained that interconnection queue backlogs and delays have created uncertainty for interconnection customers regarding the timing and cost of ultimately interconnecting to the transmission system, which may lead to an increase in costs to consumers.</w:t>
      </w:r>
      <w:r>
        <w:rPr>
          <w:rStyle w:val="FootnoteReference"/>
        </w:rPr>
        <w:footnoteReference w:id="21"/>
      </w:r>
      <w:r w:rsidRPr="0072600F">
        <w:rPr>
          <w:sz w:val="26"/>
          <w:szCs w:val="26"/>
        </w:rPr>
        <w:t xml:space="preserve">  The Commission stated that delayed interconnection study results or unexpected cost increases can disrupt numerous aspects of generating facility development and such uncertainty, either on the part of transmission providers or interconnection customers, is ultimately passed through to consumers through higher transmission or energy rates.  The Commission explained that increases in energy rates may result from wholesale customers having limited access to new and more competitive supplies of generation and that, conversely, efficient interconnection queues and well-functioning wholesale markets deliver benefits to consumers by driving down wholesale electricity costs.</w:t>
      </w:r>
    </w:p>
    <w:p w:rsidR="00760048" w:rsidRPr="0072600F" w14:paraId="62B9E84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Overall, due to continuing and increasing interconnection queue backlogs and study delays, the Commission found that the Commission’s existing rules contained in </w:t>
      </w:r>
      <w:r w:rsidRPr="0072600F">
        <w:rPr>
          <w:sz w:val="26"/>
          <w:szCs w:val="26"/>
        </w:rPr>
        <w:t xml:space="preserve">the </w:t>
      </w:r>
      <w:r w:rsidRPr="0072600F">
        <w:rPr>
          <w:i/>
          <w:iCs/>
          <w:sz w:val="26"/>
          <w:szCs w:val="26"/>
        </w:rPr>
        <w:t xml:space="preserve">pro forma </w:t>
      </w:r>
      <w:r w:rsidRPr="0072600F">
        <w:rPr>
          <w:sz w:val="26"/>
          <w:szCs w:val="26"/>
        </w:rPr>
        <w:t xml:space="preserve">LGIP, </w:t>
      </w:r>
      <w:r w:rsidRPr="0072600F">
        <w:rPr>
          <w:i/>
          <w:iCs/>
          <w:sz w:val="26"/>
          <w:szCs w:val="26"/>
        </w:rPr>
        <w:t xml:space="preserve">pro forma </w:t>
      </w:r>
      <w:r w:rsidRPr="0072600F">
        <w:rPr>
          <w:sz w:val="26"/>
          <w:szCs w:val="26"/>
        </w:rPr>
        <w:t xml:space="preserve">LGIA, </w:t>
      </w:r>
      <w:r w:rsidRPr="0072600F">
        <w:rPr>
          <w:i/>
          <w:iCs/>
          <w:sz w:val="26"/>
          <w:szCs w:val="26"/>
        </w:rPr>
        <w:t xml:space="preserve">pro forma </w:t>
      </w:r>
      <w:r w:rsidRPr="0072600F">
        <w:rPr>
          <w:sz w:val="26"/>
          <w:szCs w:val="26"/>
        </w:rPr>
        <w:t xml:space="preserve">SGIP, and </w:t>
      </w:r>
      <w:r w:rsidRPr="0072600F">
        <w:rPr>
          <w:i/>
          <w:iCs/>
          <w:sz w:val="26"/>
          <w:szCs w:val="26"/>
        </w:rPr>
        <w:t xml:space="preserve">pro forma </w:t>
      </w:r>
      <w:r w:rsidRPr="0072600F">
        <w:rPr>
          <w:sz w:val="26"/>
          <w:szCs w:val="26"/>
        </w:rPr>
        <w:t>SGIA resulted in rates, terms, and conditions for Commission-jurisdictional services that are unjust, unreasonable, and unduly discriminatory or preferential.</w:t>
      </w:r>
      <w:r>
        <w:rPr>
          <w:rStyle w:val="FootnoteReference"/>
        </w:rPr>
        <w:footnoteReference w:id="22"/>
      </w:r>
      <w:r w:rsidRPr="0072600F">
        <w:rPr>
          <w:sz w:val="26"/>
          <w:szCs w:val="26"/>
        </w:rPr>
        <w:t xml:space="preserve">  The Commission found that the problems described above lead to an inability of interconnection customers to interconnect to the transmission system in a reliable, efficient, transparent, and timely manner, and hindered the timely development of new generation, thereby stifling competition in the wholesale electric markets.  Therefore, the Commission found that reform to the Commission’s existing </w:t>
      </w:r>
      <w:r w:rsidRPr="0072600F">
        <w:rPr>
          <w:i/>
          <w:sz w:val="26"/>
          <w:szCs w:val="26"/>
        </w:rPr>
        <w:t>pro forma</w:t>
      </w:r>
      <w:r w:rsidRPr="0072600F">
        <w:rPr>
          <w:sz w:val="26"/>
          <w:szCs w:val="26"/>
        </w:rPr>
        <w:t xml:space="preserve"> generator interconnection procedures and agreements was necessary.   </w:t>
      </w:r>
    </w:p>
    <w:p w:rsidR="00760048" w:rsidRPr="0072600F" w:rsidP="006A72F0" w14:paraId="111138F3"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 xml:space="preserve">The Commission based its findings that the </w:t>
      </w:r>
      <w:r w:rsidRPr="0072600F">
        <w:rPr>
          <w:i/>
          <w:iCs/>
          <w:sz w:val="26"/>
          <w:szCs w:val="26"/>
        </w:rPr>
        <w:t xml:space="preserve">pro forma </w:t>
      </w:r>
      <w:r w:rsidRPr="0072600F">
        <w:rPr>
          <w:sz w:val="26"/>
          <w:szCs w:val="26"/>
        </w:rPr>
        <w:t xml:space="preserve">LGIP, </w:t>
      </w:r>
      <w:r w:rsidRPr="0072600F">
        <w:rPr>
          <w:i/>
          <w:iCs/>
          <w:sz w:val="26"/>
          <w:szCs w:val="26"/>
        </w:rPr>
        <w:t xml:space="preserve">pro forma </w:t>
      </w:r>
      <w:r w:rsidRPr="0072600F">
        <w:rPr>
          <w:sz w:val="26"/>
          <w:szCs w:val="26"/>
        </w:rPr>
        <w:t xml:space="preserve">LGIA, </w:t>
      </w:r>
      <w:r w:rsidR="00DA4CD0">
        <w:rPr>
          <w:sz w:val="26"/>
          <w:szCs w:val="26"/>
        </w:rPr>
        <w:t xml:space="preserve">      </w:t>
      </w:r>
      <w:r w:rsidRPr="0072600F">
        <w:rPr>
          <w:i/>
          <w:iCs/>
          <w:sz w:val="26"/>
          <w:szCs w:val="26"/>
        </w:rPr>
        <w:t xml:space="preserve">pro forma </w:t>
      </w:r>
      <w:r w:rsidRPr="0072600F">
        <w:rPr>
          <w:sz w:val="26"/>
          <w:szCs w:val="26"/>
        </w:rPr>
        <w:t xml:space="preserve">SGIP, and </w:t>
      </w:r>
      <w:r w:rsidRPr="0072600F">
        <w:rPr>
          <w:i/>
          <w:iCs/>
          <w:sz w:val="26"/>
          <w:szCs w:val="26"/>
        </w:rPr>
        <w:t xml:space="preserve">pro forma </w:t>
      </w:r>
      <w:r w:rsidRPr="0072600F">
        <w:rPr>
          <w:sz w:val="26"/>
          <w:szCs w:val="26"/>
        </w:rPr>
        <w:t xml:space="preserve">SGIA must be reformed on the following features:  (1) the information (or lack thereof) available to prospective interconnection customers and the commitments required of them to enter and progress through the interconnection queue; </w:t>
      </w:r>
      <w:r w:rsidR="00DA4CD0">
        <w:rPr>
          <w:sz w:val="26"/>
          <w:szCs w:val="26"/>
        </w:rPr>
        <w:t xml:space="preserve">    </w:t>
      </w:r>
      <w:r w:rsidRPr="0072600F">
        <w:rPr>
          <w:sz w:val="26"/>
          <w:szCs w:val="26"/>
        </w:rPr>
        <w:t xml:space="preserve">(2) the reliance on a serial first-come, first-served study process and the reasonable </w:t>
      </w:r>
      <w:r w:rsidR="00DA4CD0">
        <w:rPr>
          <w:sz w:val="26"/>
          <w:szCs w:val="26"/>
        </w:rPr>
        <w:t xml:space="preserve">       </w:t>
      </w:r>
      <w:r w:rsidRPr="0072600F">
        <w:rPr>
          <w:sz w:val="26"/>
          <w:szCs w:val="26"/>
        </w:rPr>
        <w:t>efforts standard that transmission providers are held to for meeting interconnection study deadlines; (3) the protocols (or lack thereof) for affected system studies; (4) the provisions for studying new generating facility</w:t>
      </w:r>
      <w:r w:rsidRPr="0072600F">
        <w:rPr>
          <w:sz w:val="26"/>
          <w:szCs w:val="26"/>
        </w:rPr>
        <w:t xml:space="preserve"> </w:t>
      </w:r>
      <w:r w:rsidRPr="0072600F">
        <w:rPr>
          <w:sz w:val="26"/>
          <w:szCs w:val="26"/>
        </w:rPr>
        <w:t xml:space="preserve">technologies and evaluating the list of alternative transmission technologies enumerated in Order No. 2023; and (5) the modeling or performance requirements (or lack thereof) for non-synchronous generating facilities, </w:t>
      </w:r>
      <w:r w:rsidRPr="0072600F">
        <w:rPr>
          <w:sz w:val="26"/>
          <w:szCs w:val="26"/>
        </w:rPr>
        <w:t>including wind, solar, and electric storage facilities.</w:t>
      </w:r>
      <w:r>
        <w:rPr>
          <w:rStyle w:val="FootnoteReference"/>
        </w:rPr>
        <w:footnoteReference w:id="23"/>
      </w:r>
      <w:r w:rsidRPr="0072600F">
        <w:rPr>
          <w:sz w:val="26"/>
          <w:szCs w:val="26"/>
        </w:rPr>
        <w:t xml:space="preserve">  The Commission further explained each of these five features. </w:t>
      </w:r>
    </w:p>
    <w:p w:rsidR="00760048" w:rsidRPr="0072600F" w:rsidP="006A72F0" w14:paraId="5CC2827D"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First, the Commission explained that, without a process by which an interconnection customer can obtain information about potential interconnection costs at a specific location or point of interconnection prior to submitting an interconnection request, it is difficult for interconnection customers to assess the commercial viability of a specific proposed generating facility prior to entering the interconnection queue.</w:t>
      </w:r>
      <w:r>
        <w:rPr>
          <w:rStyle w:val="FootnoteReference"/>
        </w:rPr>
        <w:footnoteReference w:id="24"/>
      </w:r>
      <w:r w:rsidRPr="0072600F">
        <w:rPr>
          <w:sz w:val="26"/>
          <w:szCs w:val="26"/>
        </w:rPr>
        <w:t xml:space="preserve">  The Commission also found that the </w:t>
      </w:r>
      <w:r w:rsidRPr="0072600F">
        <w:rPr>
          <w:i/>
          <w:iCs/>
          <w:sz w:val="26"/>
          <w:szCs w:val="26"/>
        </w:rPr>
        <w:t xml:space="preserve">pro forma </w:t>
      </w:r>
      <w:r w:rsidRPr="0072600F">
        <w:rPr>
          <w:sz w:val="26"/>
          <w:szCs w:val="26"/>
        </w:rPr>
        <w:t xml:space="preserve">interconnection procedures and agreements failed to include meaningful financial commitments and readiness requirements to enter and stay in the interconnection queue and lacked stringent requirements to establish the commercial viability of proposed generating facilities.  As a result, the Commission explained, interconnection customers often submit multiple interconnection requests for proposed generating facilities at various points of interconnection, knowing that not all of them will reach commercial operation, as an exploratory mechanism to obtain information to allow the interconnection customer to choose to proceed with the interconnection request representing the most favorable site in terms of potential interconnection-related costs.  </w:t>
      </w:r>
    </w:p>
    <w:p w:rsidR="00760048" w:rsidRPr="0072600F" w:rsidP="006A72F0" w14:paraId="2D14E8CD"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 xml:space="preserve">Second, the Commission explained that the existing serial first-come, first-served study process created incentives for interconnection customers to submit exploratory or </w:t>
      </w:r>
      <w:r w:rsidRPr="0072600F">
        <w:rPr>
          <w:sz w:val="26"/>
          <w:szCs w:val="26"/>
        </w:rPr>
        <w:t>speculative interconnection requests pursuant to which interconnection customers seek to secure valuable queue positions as early as possible, even if they are not prepared to move forward with the proposed generating facility.</w:t>
      </w:r>
      <w:r>
        <w:rPr>
          <w:rStyle w:val="FootnoteReference"/>
        </w:rPr>
        <w:footnoteReference w:id="25"/>
      </w:r>
      <w:r w:rsidRPr="0072600F">
        <w:rPr>
          <w:sz w:val="26"/>
          <w:szCs w:val="26"/>
        </w:rPr>
        <w:t xml:space="preserve">  Such generating facilities are often not commercially viable: thus, the interconnection customers ultimately withdraw their interconnection requests from the interconnection queue, which triggers reassessments and possible restudies by the transmission provider that can delay the timing and increase the cost to interconnect for lower-queued interconnection requests.  The Commission found that the lack of access to information about a specific location or point of interconnection prior to submitting an interconnection request, the lack of any meaningful financial commitments in the </w:t>
      </w:r>
      <w:r w:rsidRPr="0072600F">
        <w:rPr>
          <w:i/>
          <w:iCs/>
          <w:sz w:val="26"/>
          <w:szCs w:val="26"/>
        </w:rPr>
        <w:t xml:space="preserve">pro forma </w:t>
      </w:r>
      <w:r w:rsidRPr="0072600F">
        <w:rPr>
          <w:sz w:val="26"/>
          <w:szCs w:val="26"/>
        </w:rPr>
        <w:t>interconnection procedures and agreements for interconnection customers to enter and stay in the interconnection queue, as well as the existing serial first-come, first-served study process, together incentivized interconnection customers to submit speculative interconnection requests that contribute to interconnection study backlogs, delays, and uncertainty, and, in turn, unjust and unreasonable Commission-jurisdictional rates.</w:t>
      </w:r>
      <w:r>
        <w:rPr>
          <w:rStyle w:val="FootnoteReference"/>
        </w:rPr>
        <w:footnoteReference w:id="26"/>
      </w:r>
      <w:r w:rsidRPr="0072600F">
        <w:rPr>
          <w:sz w:val="26"/>
          <w:szCs w:val="26"/>
        </w:rPr>
        <w:t xml:space="preserve"> </w:t>
      </w:r>
    </w:p>
    <w:p w:rsidR="00760048" w:rsidRPr="0072600F" w14:paraId="1633CFD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also found that interconnection queue backlogs and delays, and the accompanying uncertainty, have been further compounded because transmission </w:t>
      </w:r>
      <w:r w:rsidRPr="0072600F">
        <w:rPr>
          <w:sz w:val="26"/>
          <w:szCs w:val="26"/>
        </w:rPr>
        <w:t>providers have limited incentive to perform interconnection studies in a timely manner.</w:t>
      </w:r>
      <w:r>
        <w:rPr>
          <w:rStyle w:val="FootnoteReference"/>
        </w:rPr>
        <w:footnoteReference w:id="27"/>
      </w:r>
      <w:r w:rsidRPr="0072600F">
        <w:rPr>
          <w:sz w:val="26"/>
          <w:szCs w:val="26"/>
        </w:rPr>
        <w:t xml:space="preserve">  The Commission stated that, despite pervasive delays in completing interconnection studies by transmission providers, transmission providers have faced few, if any, consequences for failing to meet their tariff-imposed study deadlines under the reasonable efforts standard.  The Commission therefore found that the existing </w:t>
      </w:r>
      <w:r w:rsidRPr="0072600F">
        <w:rPr>
          <w:i/>
          <w:iCs/>
          <w:sz w:val="26"/>
          <w:szCs w:val="26"/>
        </w:rPr>
        <w:t>pro forma</w:t>
      </w:r>
      <w:r w:rsidRPr="0072600F">
        <w:rPr>
          <w:sz w:val="26"/>
          <w:szCs w:val="26"/>
        </w:rPr>
        <w:t xml:space="preserve"> LGIP requirement for transmission providers to make a reasonable effort to meet interconnection study deadlines contributes to the interconnection study backlogs, delays, and uncertainty that erects barriers to new generation, resulting in Commission-jurisdictional rates that are unjust and unreasonable.</w:t>
      </w:r>
    </w:p>
    <w:p w:rsidR="00760048" w:rsidRPr="0072600F" w14:paraId="5CB892D7" w14:textId="77777777">
      <w:pPr>
        <w:pStyle w:val="FERCparanumber"/>
        <w:widowControl/>
        <w:numPr>
          <w:ilvl w:val="0"/>
          <w:numId w:val="25"/>
        </w:numPr>
        <w:autoSpaceDE/>
        <w:autoSpaceDN/>
        <w:adjustRightInd/>
        <w:spacing w:line="480" w:lineRule="auto"/>
        <w:rPr>
          <w:sz w:val="26"/>
          <w:szCs w:val="26"/>
        </w:rPr>
      </w:pPr>
      <w:r w:rsidRPr="0072600F">
        <w:rPr>
          <w:sz w:val="26"/>
          <w:szCs w:val="26"/>
        </w:rPr>
        <w:t>Third, the Commission found that, without requirements for how and when transmission providers should complete affected system studies, those studies often lag behind those completed by the transmission provider to whose transmission system the interconnection customer proposes to interconnect (the host transmission provider) and are sometimes completed very late in the interconnection process, causing an additional round of delays and cost uncertainty for interconnection customers.</w:t>
      </w:r>
      <w:r>
        <w:rPr>
          <w:rStyle w:val="FootnoteReference"/>
        </w:rPr>
        <w:footnoteReference w:id="28"/>
      </w:r>
      <w:r w:rsidRPr="0072600F">
        <w:rPr>
          <w:sz w:val="26"/>
          <w:szCs w:val="26"/>
        </w:rPr>
        <w:t xml:space="preserve">  Additionally, for transmission providers that have procedures for how to complete affected system studies in their tariffs or other documents (e.g., business practice manuals or joint operating agreements), the Commission found that those procedures are not consistent, may be hard </w:t>
      </w:r>
      <w:r w:rsidRPr="0072600F">
        <w:rPr>
          <w:sz w:val="26"/>
          <w:szCs w:val="26"/>
        </w:rPr>
        <w:t>for interconnection customers to locate, and may not represent the actual practices in use by the transmission provider, thus still creating uncertainty for interconnection customers.  As a result, the Commission found that the lack of consistent requirements for affected system modeling and procedures results in Commission-jurisdictional rates that are unjust, unreasonable, and unduly discriminatory or preferential.</w:t>
      </w:r>
    </w:p>
    <w:p w:rsidR="00760048" w:rsidRPr="0072600F" w14:paraId="2FE61CF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Fourth, the Commission found that the Commission’s </w:t>
      </w:r>
      <w:r w:rsidRPr="0072600F">
        <w:rPr>
          <w:i/>
          <w:sz w:val="26"/>
          <w:szCs w:val="26"/>
        </w:rPr>
        <w:t>pro forma</w:t>
      </w:r>
      <w:r w:rsidRPr="0072600F">
        <w:rPr>
          <w:sz w:val="26"/>
          <w:szCs w:val="26"/>
        </w:rPr>
        <w:t xml:space="preserve"> LGIP failed to accommodate the operating characteristics and technical capabilities of electric storage resources when it comes to specific interconnection procedures and modeling.</w:t>
      </w:r>
      <w:r>
        <w:rPr>
          <w:rStyle w:val="FootnoteReference"/>
        </w:rPr>
        <w:footnoteReference w:id="29"/>
      </w:r>
      <w:r w:rsidRPr="0072600F">
        <w:rPr>
          <w:sz w:val="26"/>
          <w:szCs w:val="26"/>
        </w:rPr>
        <w:t xml:space="preserve">  The Commission noted that interconnection queues predominantly consist of new technologies which have operating characteristics that differ from synchronous resources and were not anticipated when the Commission established the </w:t>
      </w:r>
      <w:r w:rsidRPr="0072600F">
        <w:rPr>
          <w:i/>
          <w:iCs/>
          <w:sz w:val="26"/>
          <w:szCs w:val="26"/>
        </w:rPr>
        <w:t>pro forma</w:t>
      </w:r>
      <w:r w:rsidRPr="0072600F">
        <w:rPr>
          <w:sz w:val="26"/>
          <w:szCs w:val="26"/>
        </w:rPr>
        <w:t xml:space="preserve"> generator interconnection procedures and agreements in Order Nos. 2003 and 2006.  The Commission noted that the existing </w:t>
      </w:r>
      <w:r w:rsidRPr="0072600F">
        <w:rPr>
          <w:i/>
          <w:iCs/>
          <w:sz w:val="26"/>
          <w:szCs w:val="26"/>
        </w:rPr>
        <w:t xml:space="preserve">pro forma </w:t>
      </w:r>
      <w:r w:rsidRPr="0072600F">
        <w:rPr>
          <w:sz w:val="26"/>
          <w:szCs w:val="26"/>
        </w:rPr>
        <w:t xml:space="preserve">generator interconnection procedures and agreements did not contemplate the operating characteristics or technical capabilities of electric storage resources, leading to electric storage resources being studied under inappropriate operating assumptions (e.g., charging at full capacity during peak load conditions) that result in the assignment of unnecessary network upgrades which increase costs to interconnection customers.  Therefore, the Commission found that the inability to modify operating assumptions for electric storage resources pursuant to the </w:t>
      </w:r>
      <w:r w:rsidRPr="0072600F">
        <w:rPr>
          <w:i/>
          <w:sz w:val="26"/>
          <w:szCs w:val="26"/>
        </w:rPr>
        <w:t>pro forma</w:t>
      </w:r>
      <w:r w:rsidRPr="0072600F">
        <w:rPr>
          <w:sz w:val="26"/>
          <w:szCs w:val="26"/>
        </w:rPr>
        <w:t xml:space="preserve"> </w:t>
      </w:r>
      <w:r w:rsidRPr="0072600F">
        <w:rPr>
          <w:sz w:val="26"/>
          <w:szCs w:val="26"/>
        </w:rPr>
        <w:t>LGIP resulted in Commission-jurisdictional rates that are unjust, unreasonable, and unduly discriminatory or preferential.</w:t>
      </w:r>
    </w:p>
    <w:p w:rsidR="00760048" w:rsidRPr="0072600F" w14:paraId="29F322C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also found that the existing </w:t>
      </w:r>
      <w:r w:rsidRPr="0072600F">
        <w:rPr>
          <w:i/>
          <w:iCs/>
          <w:sz w:val="26"/>
          <w:szCs w:val="26"/>
        </w:rPr>
        <w:t>pro forma</w:t>
      </w:r>
      <w:r w:rsidRPr="0072600F">
        <w:rPr>
          <w:sz w:val="26"/>
          <w:szCs w:val="26"/>
        </w:rPr>
        <w:t xml:space="preserve"> interconnection procedures regarding material modifications did not provide for consistent evaluation of technology additions to an existing interconnection request, and that automatically deeming a request to add a generating facility to an existing interconnection request to be a material modification creates </w:t>
      </w:r>
      <w:r w:rsidRPr="0072600F">
        <w:rPr>
          <w:bCs/>
          <w:sz w:val="26"/>
          <w:szCs w:val="26"/>
        </w:rPr>
        <w:t>a significant barrier to access to the transmission system</w:t>
      </w:r>
      <w:r w:rsidRPr="0072600F">
        <w:rPr>
          <w:sz w:val="26"/>
          <w:szCs w:val="26"/>
        </w:rPr>
        <w:t>.</w:t>
      </w:r>
      <w:r>
        <w:rPr>
          <w:rStyle w:val="FootnoteReference"/>
        </w:rPr>
        <w:footnoteReference w:id="30"/>
      </w:r>
    </w:p>
    <w:p w:rsidR="00760048" w:rsidRPr="0072600F" w14:paraId="6F89F25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Finally, the Commission found that the </w:t>
      </w:r>
      <w:r w:rsidRPr="0072600F">
        <w:rPr>
          <w:i/>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SGIP failed to require the consideration of alternative transmission technologies that can be used as network upgrades and can be deployed more quickly and at a lower cost than, traditional network upgrades.</w:t>
      </w:r>
      <w:r>
        <w:rPr>
          <w:rStyle w:val="FootnoteReference"/>
        </w:rPr>
        <w:footnoteReference w:id="31"/>
      </w:r>
      <w:r w:rsidRPr="0072600F">
        <w:rPr>
          <w:sz w:val="26"/>
          <w:szCs w:val="26"/>
        </w:rPr>
        <w:t xml:space="preserve">  The Commission found that failing to require transmission providers to evaluate the enumerated list of alternative transmission technologies resulted in interconnection customers paying more than is just and reasonable to reliably interconnect new generating facilities, ultimately creating Commission-jurisdictional rates that are unjust, unreasonable, and unduly discriminatory or preferential.</w:t>
      </w:r>
    </w:p>
    <w:p w:rsidR="00760048" w:rsidRPr="0072600F" w14:paraId="1A233A2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Fifth, the Commission found that the Commission’s existing </w:t>
      </w:r>
      <w:r w:rsidRPr="0072600F">
        <w:rPr>
          <w:i/>
          <w:iCs/>
          <w:sz w:val="26"/>
          <w:szCs w:val="26"/>
        </w:rPr>
        <w:t>pro forma</w:t>
      </w:r>
      <w:r w:rsidRPr="0072600F">
        <w:rPr>
          <w:sz w:val="26"/>
          <w:szCs w:val="26"/>
        </w:rPr>
        <w:t xml:space="preserve"> LGIP and </w:t>
      </w:r>
      <w:r w:rsidRPr="0072600F">
        <w:rPr>
          <w:i/>
          <w:iCs/>
          <w:sz w:val="26"/>
          <w:szCs w:val="26"/>
        </w:rPr>
        <w:t xml:space="preserve">pro forma </w:t>
      </w:r>
      <w:r w:rsidRPr="0072600F">
        <w:rPr>
          <w:sz w:val="26"/>
          <w:szCs w:val="26"/>
        </w:rPr>
        <w:t>SGIP did not include a modeling requirement for non-synchronous generating facilities, which is necessary to enable the transmission provider to assess and model the facility’s ability to respond appropriately to transmission system disturbances.</w:t>
      </w:r>
      <w:r>
        <w:rPr>
          <w:rStyle w:val="FootnoteReference"/>
        </w:rPr>
        <w:footnoteReference w:id="32"/>
      </w:r>
      <w:r w:rsidRPr="0072600F">
        <w:rPr>
          <w:sz w:val="26"/>
          <w:szCs w:val="26"/>
        </w:rPr>
        <w:t xml:space="preserve">  The Commission explained that interconnection customers must submit accurate and validated models, which will prevent study delays and ensure that transmission providers identify the necessary interconnection facilities and network upgrades to accommodate the interconnection request and thus allow the appropriate</w:t>
      </w:r>
      <w:bookmarkStart w:id="7" w:name="_Hlk137048671"/>
      <w:r w:rsidRPr="0072600F">
        <w:rPr>
          <w:sz w:val="26"/>
          <w:szCs w:val="26"/>
        </w:rPr>
        <w:t xml:space="preserve"> assignment of interconnection costs</w:t>
      </w:r>
      <w:bookmarkEnd w:id="7"/>
      <w:r w:rsidRPr="0072600F">
        <w:rPr>
          <w:sz w:val="26"/>
          <w:szCs w:val="26"/>
        </w:rPr>
        <w:t xml:space="preserve"> to the interconnection request.  Therefore, the Commission found that the lack of a modeling requirement for non-synchronous generating facilities in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 xml:space="preserve">SGIP results in rates that are unjust, unreasonable, and unduly discriminatory or preferential.  Additionally, the Commission explained that the physical characteristics of synchronous generating facilities allow them to continue to inject electric current during transmission system disturbances, as required by the </w:t>
      </w:r>
      <w:r w:rsidRPr="0072600F">
        <w:rPr>
          <w:i/>
          <w:iCs/>
          <w:sz w:val="26"/>
          <w:szCs w:val="26"/>
        </w:rPr>
        <w:t>pro forma</w:t>
      </w:r>
      <w:r w:rsidRPr="0072600F">
        <w:rPr>
          <w:sz w:val="26"/>
          <w:szCs w:val="26"/>
        </w:rPr>
        <w:t xml:space="preserve"> LGIA and </w:t>
      </w:r>
      <w:r w:rsidRPr="0072600F">
        <w:rPr>
          <w:i/>
          <w:sz w:val="26"/>
          <w:szCs w:val="26"/>
        </w:rPr>
        <w:t>pro forma</w:t>
      </w:r>
      <w:r w:rsidRPr="0072600F">
        <w:rPr>
          <w:sz w:val="26"/>
          <w:szCs w:val="26"/>
        </w:rPr>
        <w:t xml:space="preserve"> SGIA.</w:t>
      </w:r>
      <w:r>
        <w:rPr>
          <w:rStyle w:val="FootnoteReference"/>
        </w:rPr>
        <w:footnoteReference w:id="33"/>
      </w:r>
      <w:r w:rsidRPr="0072600F">
        <w:rPr>
          <w:sz w:val="26"/>
          <w:szCs w:val="26"/>
        </w:rPr>
        <w:t xml:space="preserve">  However, non-synchronous generating facilities did not face a comparable requirement and many cease injecting current during system disturbances through “momentary cessation,” which creates reliability issues on the transmission system.  The Commission stated that, without requirements for non-</w:t>
      </w:r>
      <w:r w:rsidRPr="0072600F">
        <w:rPr>
          <w:sz w:val="26"/>
          <w:szCs w:val="26"/>
        </w:rPr>
        <w:t>synchronous generating facilities to remain connected to and synchronized with the transmission system during system disturbances, interconnection studies may not accurately model expected behavior and identify the appropriate interconnection facilities and network upgrades to accommodate the interconnection request, skewing the assignment of interconnection costs.  As a result, the Commission found that the lack of comparable requirements for non-synchronous generating facilities to remain “connected to and synchronized with the [t]</w:t>
      </w:r>
      <w:r w:rsidRPr="0072600F">
        <w:rPr>
          <w:sz w:val="26"/>
          <w:szCs w:val="26"/>
        </w:rPr>
        <w:t>ransmission</w:t>
      </w:r>
      <w:r w:rsidRPr="0072600F">
        <w:rPr>
          <w:sz w:val="26"/>
          <w:szCs w:val="26"/>
        </w:rPr>
        <w:t xml:space="preserve"> [s]</w:t>
      </w:r>
      <w:r w:rsidRPr="0072600F">
        <w:rPr>
          <w:sz w:val="26"/>
          <w:szCs w:val="26"/>
        </w:rPr>
        <w:t>ystem</w:t>
      </w:r>
      <w:r w:rsidRPr="0072600F">
        <w:rPr>
          <w:sz w:val="26"/>
          <w:szCs w:val="26"/>
        </w:rPr>
        <w:t xml:space="preserve">” in the </w:t>
      </w:r>
      <w:r w:rsidRPr="0072600F">
        <w:rPr>
          <w:i/>
          <w:iCs/>
          <w:sz w:val="26"/>
          <w:szCs w:val="26"/>
        </w:rPr>
        <w:t>pro forma</w:t>
      </w:r>
      <w:r w:rsidRPr="0072600F">
        <w:rPr>
          <w:sz w:val="26"/>
          <w:szCs w:val="26"/>
        </w:rPr>
        <w:t xml:space="preserve"> LGIA and </w:t>
      </w:r>
      <w:r w:rsidRPr="0072600F">
        <w:rPr>
          <w:i/>
          <w:iCs/>
          <w:sz w:val="26"/>
          <w:szCs w:val="26"/>
        </w:rPr>
        <w:t xml:space="preserve">pro forma </w:t>
      </w:r>
      <w:r w:rsidRPr="0072600F">
        <w:rPr>
          <w:sz w:val="26"/>
          <w:szCs w:val="26"/>
        </w:rPr>
        <w:t xml:space="preserve">SGIA results in rates that are unjust, unreasonable, and unduly discriminatory or preferential.  </w:t>
      </w:r>
    </w:p>
    <w:p w:rsidR="00760048" w:rsidRPr="0072600F" w14:paraId="547B4495"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further found that the reforms adopted in Order No. 2023 will improve the efficiency of study processes, reduce interconnection queue backlogs, and thereby ensure just, reasonable, and not unduly discriminatory or preferential rates.</w:t>
      </w:r>
      <w:r>
        <w:rPr>
          <w:rStyle w:val="FootnoteReference"/>
        </w:rPr>
        <w:footnoteReference w:id="34"/>
      </w:r>
      <w:r w:rsidRPr="0072600F">
        <w:rPr>
          <w:sz w:val="26"/>
          <w:szCs w:val="26"/>
        </w:rPr>
        <w:t xml:space="preserve">  The Commission explained that the majority of the individual reforms that the Commission adopted have already been implemented in one or more regions in order to improve the interconnection process, demonstrating incremental improvements.  The Commission compiled a package of such reforms that, in their entirety, have not yet been adopted by any region, and will ensure that interconnection customers are able to interconnect to the transmission system in a reliable, efficient, transparent, and timely manner.</w:t>
      </w:r>
      <w:r w:rsidRPr="0072600F">
        <w:rPr>
          <w:sz w:val="26"/>
          <w:szCs w:val="26"/>
        </w:rPr>
        <w:t xml:space="preserve"> </w:t>
      </w:r>
    </w:p>
    <w:p w:rsidR="00760048" w:rsidRPr="00FE47B2" w14:paraId="1802F47A"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8" w:name="_bmk5"/>
      <w:r w:rsidRPr="00FE47B2">
        <w:rPr>
          <w:b/>
          <w:bCs/>
          <w:sz w:val="26"/>
          <w:u w:val="single"/>
        </w:rPr>
        <w:t>R</w:t>
      </w:r>
      <w:bookmarkEnd w:id="8"/>
      <w:r w:rsidRPr="00FE47B2">
        <w:rPr>
          <w:b/>
          <w:bCs/>
          <w:sz w:val="26"/>
          <w:u w:val="single"/>
        </w:rPr>
        <w:t>equests for Rehearing and Clarification</w:t>
      </w:r>
    </w:p>
    <w:p w:rsidR="00760048" w:rsidRPr="0072600F" w14:paraId="4469B8D2"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seeks rehearing, asserting that the Commission exceeded its FPA section 206 authority by declaring all existing interconnection tariffs, including recently accepted reforms by PJM and Dominion Energy South Carolina (DESC), as unjust, unreasonable, and unduly discriminatory or preferential without substantial evidence.</w:t>
      </w:r>
      <w:r>
        <w:rPr>
          <w:rStyle w:val="FootnoteReference"/>
        </w:rPr>
        <w:footnoteReference w:id="35"/>
      </w:r>
      <w:r w:rsidRPr="0072600F">
        <w:rPr>
          <w:b/>
          <w:sz w:val="26"/>
          <w:szCs w:val="26"/>
        </w:rPr>
        <w:t xml:space="preserve"> </w:t>
      </w:r>
      <w:r w:rsidRPr="0072600F">
        <w:rPr>
          <w:sz w:val="26"/>
          <w:szCs w:val="26"/>
        </w:rPr>
        <w:t xml:space="preserve"> Dominion asserts that the Commission did not establish a sufficient legal foundation to generically find that all tariffs are unjust and unreasonable.</w:t>
      </w:r>
      <w:r>
        <w:rPr>
          <w:rStyle w:val="FootnoteReference"/>
        </w:rPr>
        <w:footnoteReference w:id="36"/>
      </w:r>
      <w:r w:rsidRPr="0072600F">
        <w:rPr>
          <w:sz w:val="26"/>
          <w:szCs w:val="26"/>
        </w:rPr>
        <w:t xml:space="preserve">  Similarly, Indicated PJM TOs argue that the Commission arbitrarily and capriciously relied on inapposite and stale evidence to impose a generic replacement rate on early adopters of the cluster study approach.</w:t>
      </w:r>
      <w:r>
        <w:rPr>
          <w:rStyle w:val="FootnoteReference"/>
        </w:rPr>
        <w:footnoteReference w:id="37"/>
      </w:r>
      <w:r w:rsidRPr="0072600F">
        <w:rPr>
          <w:sz w:val="26"/>
          <w:szCs w:val="26"/>
        </w:rPr>
        <w:t xml:space="preserve">  PJM also argues that the generic findings underlying Order No. 2023 cannot apply to its Interconnection Process Reform Task Force (IPRTF) Tariff, which was filed and approved during the time period between issuance of the NOPR and Order No. </w:t>
      </w:r>
      <w:r w:rsidRPr="0072600F">
        <w:rPr>
          <w:sz w:val="26"/>
          <w:szCs w:val="26"/>
        </w:rPr>
        <w:t>2023.</w:t>
      </w:r>
      <w:r>
        <w:rPr>
          <w:rStyle w:val="FootnoteReference"/>
        </w:rPr>
        <w:footnoteReference w:id="38"/>
      </w:r>
      <w:r w:rsidRPr="0072600F">
        <w:rPr>
          <w:sz w:val="26"/>
          <w:szCs w:val="26"/>
        </w:rPr>
        <w:t xml:space="preserve">  Therefore, PJM contends, the data underlying Order No. 2023 is stale as to PJM and its use does not constitute reasoned decision-making based on substantial evidence.</w:t>
      </w:r>
      <w:r w:rsidRPr="0072600F">
        <w:rPr>
          <w:rStyle w:val="FootnoteReference"/>
        </w:rPr>
        <w:t xml:space="preserve"> </w:t>
      </w:r>
    </w:p>
    <w:p w:rsidR="00760048" w:rsidRPr="0072600F" w14:paraId="26E43B97"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w:t>
      </w:r>
      <w:r w:rsidRPr="0072600F">
        <w:rPr>
          <w:sz w:val="26"/>
          <w:szCs w:val="26"/>
        </w:rPr>
        <w:t xml:space="preserve"> </w:t>
      </w:r>
      <w:r w:rsidRPr="0072600F">
        <w:rPr>
          <w:sz w:val="26"/>
          <w:szCs w:val="26"/>
        </w:rPr>
        <w:t>acknowledges that the Commission is able to rely on generic rulemakings to support an industry wide solution, but that Order No. 2023 goes beyond the limits of this authority.</w:t>
      </w:r>
      <w:r>
        <w:rPr>
          <w:rStyle w:val="FootnoteReference"/>
        </w:rPr>
        <w:footnoteReference w:id="39"/>
      </w:r>
      <w:r w:rsidRPr="0072600F">
        <w:rPr>
          <w:sz w:val="26"/>
          <w:szCs w:val="26"/>
        </w:rPr>
        <w:t xml:space="preserve">  Dominion argues that Order No. 2023’s mandate is unlike the generic rulemaking upheld by the D.C. Circuit in </w:t>
      </w:r>
      <w:r w:rsidRPr="00841A8F" w:rsidR="00841A8F">
        <w:rPr>
          <w:i/>
          <w:iCs/>
          <w:sz w:val="26"/>
          <w:szCs w:val="26"/>
        </w:rPr>
        <w:t>Transmission Access Pol</w:t>
      </w:r>
      <w:r w:rsidR="003D2FFE">
        <w:rPr>
          <w:i/>
          <w:iCs/>
          <w:sz w:val="26"/>
          <w:szCs w:val="26"/>
        </w:rPr>
        <w:t>ic</w:t>
      </w:r>
      <w:r w:rsidRPr="00841A8F" w:rsidR="00841A8F">
        <w:rPr>
          <w:i/>
          <w:iCs/>
          <w:sz w:val="26"/>
          <w:szCs w:val="26"/>
        </w:rPr>
        <w:t>y Study Gr</w:t>
      </w:r>
      <w:r w:rsidR="00750486">
        <w:rPr>
          <w:i/>
          <w:iCs/>
          <w:sz w:val="26"/>
          <w:szCs w:val="26"/>
        </w:rPr>
        <w:t>ou</w:t>
      </w:r>
      <w:r w:rsidRPr="00841A8F" w:rsidR="00841A8F">
        <w:rPr>
          <w:i/>
          <w:iCs/>
          <w:sz w:val="26"/>
          <w:szCs w:val="26"/>
        </w:rPr>
        <w:t>p v. FERC</w:t>
      </w:r>
      <w:r w:rsidRPr="0072600F">
        <w:rPr>
          <w:i/>
          <w:iCs/>
          <w:sz w:val="26"/>
          <w:szCs w:val="26"/>
        </w:rPr>
        <w:t xml:space="preserve"> </w:t>
      </w:r>
      <w:r w:rsidRPr="0072600F">
        <w:rPr>
          <w:sz w:val="26"/>
          <w:szCs w:val="26"/>
        </w:rPr>
        <w:t>because the rule at issue in that case, Order No. 888, represented a paradigm shift for which a generic rulemaking is appropriate.</w:t>
      </w:r>
      <w:r>
        <w:rPr>
          <w:rStyle w:val="FootnoteReference"/>
        </w:rPr>
        <w:footnoteReference w:id="40"/>
      </w:r>
      <w:r w:rsidRPr="0072600F">
        <w:rPr>
          <w:sz w:val="26"/>
          <w:szCs w:val="26"/>
        </w:rPr>
        <w:t xml:space="preserve">  Dominion asserts that the other generic rulemakings upheld by the courts similarly involve more wholesale reform than Order No. 2023, such as the expansion and creation of new Order No. 1000 planning obligations upheld in </w:t>
      </w:r>
      <w:r w:rsidRPr="0072600F">
        <w:rPr>
          <w:i/>
          <w:iCs/>
          <w:sz w:val="26"/>
          <w:szCs w:val="26"/>
        </w:rPr>
        <w:t>S.C. Pub. Serv. Auth.</w:t>
      </w:r>
      <w:r w:rsidRPr="0072600F">
        <w:rPr>
          <w:sz w:val="26"/>
          <w:szCs w:val="26"/>
        </w:rPr>
        <w:t xml:space="preserve">, or the Order No. 637 requirement for gas pipelines to permit segmentation where operationally feasible, upheld in </w:t>
      </w:r>
      <w:r w:rsidRPr="00B368E7" w:rsidR="00B368E7">
        <w:rPr>
          <w:i/>
          <w:iCs/>
          <w:sz w:val="26"/>
          <w:szCs w:val="26"/>
        </w:rPr>
        <w:t>Interstate Nat</w:t>
      </w:r>
      <w:r w:rsidR="00750486">
        <w:rPr>
          <w:i/>
          <w:iCs/>
          <w:sz w:val="26"/>
          <w:szCs w:val="26"/>
        </w:rPr>
        <w:t>ural</w:t>
      </w:r>
      <w:r w:rsidRPr="00B368E7" w:rsidR="00B368E7">
        <w:rPr>
          <w:i/>
          <w:iCs/>
          <w:sz w:val="26"/>
          <w:szCs w:val="26"/>
        </w:rPr>
        <w:t xml:space="preserve"> Gas Ass</w:t>
      </w:r>
      <w:r w:rsidR="00750486">
        <w:rPr>
          <w:i/>
          <w:iCs/>
          <w:sz w:val="26"/>
          <w:szCs w:val="26"/>
        </w:rPr>
        <w:t>ociatio</w:t>
      </w:r>
      <w:r w:rsidRPr="00B368E7" w:rsidR="00B368E7">
        <w:rPr>
          <w:i/>
          <w:iCs/>
          <w:sz w:val="26"/>
          <w:szCs w:val="26"/>
        </w:rPr>
        <w:t>n of Am</w:t>
      </w:r>
      <w:r w:rsidR="00750486">
        <w:rPr>
          <w:i/>
          <w:iCs/>
          <w:sz w:val="26"/>
          <w:szCs w:val="26"/>
        </w:rPr>
        <w:t>erica</w:t>
      </w:r>
      <w:r w:rsidRPr="00B368E7" w:rsidR="00B368E7">
        <w:rPr>
          <w:i/>
          <w:iCs/>
          <w:sz w:val="26"/>
          <w:szCs w:val="26"/>
        </w:rPr>
        <w:t xml:space="preserve"> v. FERC</w:t>
      </w:r>
      <w:r w:rsidRPr="0072600F">
        <w:rPr>
          <w:sz w:val="26"/>
          <w:szCs w:val="26"/>
        </w:rPr>
        <w:t>.</w:t>
      </w:r>
      <w:r>
        <w:rPr>
          <w:rStyle w:val="FootnoteReference"/>
        </w:rPr>
        <w:footnoteReference w:id="41"/>
      </w:r>
      <w:r w:rsidRPr="0072600F">
        <w:rPr>
          <w:sz w:val="26"/>
          <w:szCs w:val="26"/>
        </w:rPr>
        <w:t xml:space="preserve">  Dominion contends that the Commission’s generic findings in Order No. 2023 are disproportionate to the evidence the Commission relies on.</w:t>
      </w:r>
      <w:r w:rsidRPr="0072600F">
        <w:rPr>
          <w:b/>
          <w:sz w:val="26"/>
          <w:szCs w:val="26"/>
        </w:rPr>
        <w:t xml:space="preserve">  </w:t>
      </w:r>
      <w:r w:rsidRPr="0072600F">
        <w:rPr>
          <w:sz w:val="26"/>
          <w:szCs w:val="26"/>
        </w:rPr>
        <w:t xml:space="preserve">Similarly, Indicated PJM TOs assert that the Commission’s </w:t>
      </w:r>
      <w:r w:rsidRPr="0072600F">
        <w:rPr>
          <w:sz w:val="26"/>
          <w:szCs w:val="26"/>
        </w:rPr>
        <w:t>generic finding is overbroad because many RTOs/ISOs have already adopted the core reforms in Order No. 2023.</w:t>
      </w:r>
      <w:r>
        <w:rPr>
          <w:rStyle w:val="FootnoteReference"/>
        </w:rPr>
        <w:footnoteReference w:id="42"/>
      </w:r>
    </w:p>
    <w:p w:rsidR="00760048" w:rsidRPr="0072600F" w14:paraId="1CCEC788"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further argues that, while the courts have held that the Commission can address case-by-case discrepancies between the generic determination and specific tariffs during compliance filings, this cannot be considered an unlimited way for the Commission to avoid its obligation under the Administrative Procedure Act (APA) to rely on substantial evidence when making FPA section 206 decisions.</w:t>
      </w:r>
      <w:r>
        <w:rPr>
          <w:rStyle w:val="FootnoteReference"/>
        </w:rPr>
        <w:footnoteReference w:id="43"/>
      </w:r>
      <w:r w:rsidRPr="0072600F">
        <w:rPr>
          <w:b/>
          <w:sz w:val="26"/>
          <w:szCs w:val="26"/>
        </w:rPr>
        <w:t xml:space="preserve"> </w:t>
      </w:r>
      <w:r w:rsidRPr="0072600F">
        <w:rPr>
          <w:sz w:val="26"/>
          <w:szCs w:val="26"/>
        </w:rPr>
        <w:t xml:space="preserve"> Dominion asserts that, because the Commission recently accepted revisions to PJM’s and DESC’s tariffs to address the same issue that Order No. 2023 attempts to address, the Commission must consider those tariffs individually and may not sweep them up in a generic determination based on evidence of queue backlogs made under previous tariffs and regions.</w:t>
      </w:r>
    </w:p>
    <w:p w:rsidR="00760048" w:rsidRPr="0072600F" w14:paraId="43C95E4F"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argues that Order No. 2023 was arbitrary and capricious because it relied on out-of-date data and ignored contrary data.</w:t>
      </w:r>
      <w:r>
        <w:rPr>
          <w:rStyle w:val="FootnoteReference"/>
        </w:rPr>
        <w:footnoteReference w:id="44"/>
      </w:r>
      <w:r w:rsidRPr="0072600F">
        <w:rPr>
          <w:sz w:val="26"/>
          <w:szCs w:val="26"/>
        </w:rPr>
        <w:t xml:space="preserve">  Dominion asserts that, although the Commission is not required to rely on “empirical evidence,” the Commission must support its findings with substantial, up-to-date, evidence and cannot ignore new </w:t>
      </w:r>
      <w:r w:rsidRPr="0072600F">
        <w:rPr>
          <w:sz w:val="26"/>
          <w:szCs w:val="26"/>
        </w:rPr>
        <w:t>circumstances.</w:t>
      </w:r>
      <w:r>
        <w:rPr>
          <w:rStyle w:val="FootnoteReference"/>
        </w:rPr>
        <w:footnoteReference w:id="45"/>
      </w:r>
      <w:r w:rsidRPr="0072600F">
        <w:rPr>
          <w:b/>
          <w:sz w:val="26"/>
          <w:szCs w:val="26"/>
        </w:rPr>
        <w:t xml:space="preserve">  </w:t>
      </w:r>
      <w:r w:rsidRPr="0072600F">
        <w:rPr>
          <w:sz w:val="26"/>
          <w:szCs w:val="26"/>
        </w:rPr>
        <w:t>Dominion asserts that Order No. 2023</w:t>
      </w:r>
      <w:r w:rsidRPr="0072600F">
        <w:rPr>
          <w:sz w:val="26"/>
          <w:szCs w:val="26"/>
        </w:rPr>
        <w:t xml:space="preserve"> </w:t>
      </w:r>
      <w:r w:rsidRPr="0072600F">
        <w:rPr>
          <w:sz w:val="26"/>
          <w:szCs w:val="26"/>
        </w:rPr>
        <w:t>does not reflect reasoned decision-making as it relates to PJM and DESC because it relies on queue delays and backlogs that predate PJM’s and DESC’s revised interconnection reforms and it does not consider those currently effective interconnection reforms.</w:t>
      </w:r>
      <w:r w:rsidRPr="0072600F">
        <w:rPr>
          <w:b/>
          <w:sz w:val="26"/>
          <w:szCs w:val="26"/>
        </w:rPr>
        <w:t xml:space="preserve"> </w:t>
      </w:r>
      <w:r w:rsidRPr="0072600F">
        <w:rPr>
          <w:b/>
          <w:bCs/>
          <w:sz w:val="26"/>
          <w:szCs w:val="26"/>
        </w:rPr>
        <w:t xml:space="preserve"> </w:t>
      </w:r>
      <w:r w:rsidRPr="0072600F">
        <w:rPr>
          <w:sz w:val="26"/>
          <w:szCs w:val="26"/>
        </w:rPr>
        <w:t>Indicated PJM TOs point out that the Order No. 845 data the Commission relied on is stale because it concerns PJM’s previous serial study process, and the Commission’s reliance on that data is inconsistent with its decision to omit SPP’s data from its consideration.</w:t>
      </w:r>
      <w:r>
        <w:rPr>
          <w:rStyle w:val="FootnoteReference"/>
        </w:rPr>
        <w:footnoteReference w:id="46"/>
      </w:r>
    </w:p>
    <w:p w:rsidR="00760048" w:rsidRPr="0072600F" w14:paraId="1F33D57E"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argues that the Commission ignored evidence that PJM and DESC had recently adopted interconnection reforms to address the same problem addressed by Order No. 2023.</w:t>
      </w:r>
      <w:r>
        <w:rPr>
          <w:rStyle w:val="FootnoteReference"/>
        </w:rPr>
        <w:footnoteReference w:id="47"/>
      </w:r>
      <w:r w:rsidRPr="0072600F">
        <w:rPr>
          <w:sz w:val="26"/>
          <w:szCs w:val="26"/>
        </w:rPr>
        <w:t xml:space="preserve">  Indicated PJM TOs state that the Commission points repeatedly to problems associated with a serial study approach, which are irrelevant to regions that already implemented cluster studies.</w:t>
      </w:r>
      <w:r>
        <w:rPr>
          <w:rStyle w:val="FootnoteReference"/>
        </w:rPr>
        <w:footnoteReference w:id="48"/>
      </w:r>
      <w:r w:rsidRPr="0072600F">
        <w:rPr>
          <w:sz w:val="26"/>
          <w:szCs w:val="26"/>
        </w:rPr>
        <w:t xml:space="preserve">  Dominion and Indicated PJM TOs argue that the Commission should have considered whether PJM’s, DESC’s, and other similarly situated transmission providers’ reforms are working or even had a chance to be fully </w:t>
      </w:r>
      <w:r w:rsidRPr="0072600F">
        <w:rPr>
          <w:sz w:val="26"/>
          <w:szCs w:val="26"/>
        </w:rPr>
        <w:t>implemented.</w:t>
      </w:r>
      <w:r>
        <w:rPr>
          <w:rStyle w:val="FootnoteReference"/>
        </w:rPr>
        <w:footnoteReference w:id="49"/>
      </w:r>
      <w:r w:rsidRPr="0072600F">
        <w:rPr>
          <w:b/>
          <w:sz w:val="26"/>
          <w:szCs w:val="26"/>
        </w:rPr>
        <w:t xml:space="preserve"> </w:t>
      </w:r>
      <w:r w:rsidRPr="0072600F">
        <w:rPr>
          <w:sz w:val="26"/>
          <w:szCs w:val="26"/>
        </w:rPr>
        <w:t xml:space="preserve"> Dominion argues that the Commission cited no evidence to demonstrate that PJM’s tariff is unjust and unreasonable, and that it would be difficult to do so because PJM’s transitional process began on July 10, 2023, so there is no data available to determine whether it is successful.</w:t>
      </w:r>
      <w:r>
        <w:rPr>
          <w:rStyle w:val="FootnoteReference"/>
        </w:rPr>
        <w:footnoteReference w:id="50"/>
      </w:r>
      <w:r w:rsidRPr="0072600F">
        <w:rPr>
          <w:sz w:val="26"/>
          <w:szCs w:val="26"/>
        </w:rPr>
        <w:t xml:space="preserve">  Similarly, Dominion notes that DESC’s transition process began on June 13, 2022, was based on 12 months of stakeholder engagement, and includes many components of Order No. 2023.  Dominion contends that reasoned decision-making should at least require the Commission to consider all relevant information, including information about the efficacy of reforms in existing tariffs that are attempting to address the same problem the Commission is relying upon to make its FPA section 206 determination.</w:t>
      </w:r>
      <w:r>
        <w:rPr>
          <w:rStyle w:val="FootnoteReference"/>
        </w:rPr>
        <w:footnoteReference w:id="51"/>
      </w:r>
      <w:r w:rsidRPr="0072600F">
        <w:rPr>
          <w:sz w:val="26"/>
          <w:szCs w:val="26"/>
        </w:rPr>
        <w:t xml:space="preserve">  </w:t>
      </w:r>
    </w:p>
    <w:p w:rsidR="00760048" w:rsidRPr="0072600F" w14:paraId="2291FF9E"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also states that Order No. 2023 directly acknowledges that CAISO and some non-RTO/ISO transmission providers had no delayed studies at the end of 2022.</w:t>
      </w:r>
      <w:r>
        <w:rPr>
          <w:rStyle w:val="FootnoteReference"/>
        </w:rPr>
        <w:footnoteReference w:id="52"/>
      </w:r>
      <w:r w:rsidRPr="0072600F">
        <w:rPr>
          <w:b/>
          <w:sz w:val="26"/>
          <w:szCs w:val="26"/>
        </w:rPr>
        <w:t xml:space="preserve"> </w:t>
      </w:r>
      <w:r w:rsidRPr="0072600F">
        <w:rPr>
          <w:sz w:val="26"/>
          <w:szCs w:val="26"/>
        </w:rPr>
        <w:t xml:space="preserve"> Dominion argues that, instead of supporting the Commission’s finding that all interconnection processes are unjust and unreasonable, Order No. 2023 acknowledges that the problem is not as widespread as suggested and that intervening reforms similar to what Order No. 2023 requires may already be addressing the problem used to justify the FPA section 206 finding.</w:t>
      </w:r>
      <w:r w:rsidRPr="0072600F">
        <w:rPr>
          <w:b/>
          <w:sz w:val="26"/>
          <w:szCs w:val="26"/>
        </w:rPr>
        <w:t xml:space="preserve">  </w:t>
      </w:r>
    </w:p>
    <w:p w:rsidR="00760048" w:rsidRPr="0072600F" w14:paraId="560816C1"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states that, where an industry-wide solution is imposed for a problem that only exists in isolated pockets, “the disproportion of remedy to ailment would, at least at some point, become arbitrary and capricious.”</w:t>
      </w:r>
      <w:r>
        <w:rPr>
          <w:rStyle w:val="FootnoteReference"/>
        </w:rPr>
        <w:footnoteReference w:id="53"/>
      </w:r>
      <w:r w:rsidRPr="0072600F">
        <w:rPr>
          <w:sz w:val="26"/>
          <w:szCs w:val="26"/>
        </w:rPr>
        <w:t xml:space="preserve">  Dominion states that the Order No. 2023 compliance obligation essentially requires all existing processes to re-prove the justness and reasonableness of their processes, creating a remedy that is “disproportionate” to the identified problem.</w:t>
      </w:r>
      <w:r>
        <w:rPr>
          <w:rStyle w:val="FootnoteReference"/>
        </w:rPr>
        <w:footnoteReference w:id="54"/>
      </w:r>
      <w:r w:rsidRPr="0072600F">
        <w:rPr>
          <w:b/>
          <w:sz w:val="26"/>
          <w:szCs w:val="26"/>
        </w:rPr>
        <w:t xml:space="preserve"> </w:t>
      </w:r>
      <w:r w:rsidRPr="0072600F">
        <w:rPr>
          <w:sz w:val="26"/>
          <w:szCs w:val="26"/>
        </w:rPr>
        <w:t xml:space="preserve"> </w:t>
      </w:r>
    </w:p>
    <w:p w:rsidR="00760048" w:rsidRPr="0072600F" w14:paraId="0F5DD976"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asks the Commission to confirm that, if compliance filings are required of early adopters like PJM and DESC, the Commission has the burden under FPA section 206 to find that existing processes recently adopted are unjust and unreasonable.</w:t>
      </w:r>
      <w:r>
        <w:rPr>
          <w:rStyle w:val="FootnoteReference"/>
        </w:rPr>
        <w:footnoteReference w:id="55"/>
      </w:r>
      <w:r w:rsidRPr="0072600F">
        <w:rPr>
          <w:b/>
          <w:sz w:val="26"/>
          <w:szCs w:val="26"/>
        </w:rPr>
        <w:t xml:space="preserve"> </w:t>
      </w:r>
      <w:r w:rsidRPr="0072600F">
        <w:rPr>
          <w:sz w:val="26"/>
          <w:szCs w:val="26"/>
        </w:rPr>
        <w:t xml:space="preserve"> </w:t>
      </w:r>
      <w:r w:rsidRPr="0072600F">
        <w:rPr>
          <w:sz w:val="26"/>
          <w:szCs w:val="26"/>
        </w:rPr>
        <w:t>Dominion asserts that the Commission must hew to the constraints created by FPA section 206 and cannot shift the burden to individual early adopters to defend their current rates.</w:t>
      </w:r>
      <w:r w:rsidRPr="0072600F">
        <w:rPr>
          <w:b/>
          <w:sz w:val="26"/>
          <w:szCs w:val="26"/>
        </w:rPr>
        <w:t xml:space="preserve"> </w:t>
      </w:r>
      <w:r w:rsidRPr="0072600F">
        <w:rPr>
          <w:sz w:val="26"/>
          <w:szCs w:val="26"/>
        </w:rPr>
        <w:t xml:space="preserve">                   </w:t>
      </w:r>
    </w:p>
    <w:p w:rsidR="00760048" w:rsidRPr="00FE47B2" w14:paraId="1E6C3433"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9" w:name="_bmk6"/>
      <w:r w:rsidRPr="00FE47B2">
        <w:rPr>
          <w:b/>
          <w:bCs/>
          <w:sz w:val="26"/>
          <w:u w:val="single"/>
        </w:rPr>
        <w:t>D</w:t>
      </w:r>
      <w:bookmarkEnd w:id="9"/>
      <w:r w:rsidRPr="00FE47B2">
        <w:rPr>
          <w:b/>
          <w:bCs/>
          <w:sz w:val="26"/>
          <w:u w:val="single"/>
        </w:rPr>
        <w:t>etermination</w:t>
      </w:r>
    </w:p>
    <w:p w:rsidR="00760048" w:rsidRPr="0072600F" w14:paraId="381B4213" w14:textId="77777777">
      <w:pPr>
        <w:pStyle w:val="FERCparanumber"/>
        <w:widowControl/>
        <w:numPr>
          <w:ilvl w:val="0"/>
          <w:numId w:val="25"/>
        </w:numPr>
        <w:autoSpaceDE/>
        <w:autoSpaceDN/>
        <w:adjustRightInd/>
        <w:spacing w:line="480" w:lineRule="auto"/>
        <w:rPr>
          <w:sz w:val="26"/>
          <w:szCs w:val="26"/>
        </w:rPr>
      </w:pPr>
      <w:r w:rsidRPr="0072600F">
        <w:rPr>
          <w:sz w:val="26"/>
          <w:szCs w:val="26"/>
        </w:rPr>
        <w:t>We sustain our finding in Order No. 2023</w:t>
      </w:r>
      <w:r>
        <w:rPr>
          <w:rStyle w:val="FootnoteReference"/>
        </w:rPr>
        <w:footnoteReference w:id="56"/>
      </w:r>
      <w:r w:rsidRPr="0072600F">
        <w:rPr>
          <w:sz w:val="26"/>
          <w:szCs w:val="26"/>
        </w:rPr>
        <w:t xml:space="preserve"> that the existing </w:t>
      </w:r>
      <w:r w:rsidRPr="0072600F">
        <w:rPr>
          <w:i/>
          <w:sz w:val="26"/>
          <w:szCs w:val="26"/>
        </w:rPr>
        <w:t xml:space="preserve">pro </w:t>
      </w:r>
      <w:r w:rsidRPr="0072600F">
        <w:rPr>
          <w:i/>
          <w:iCs/>
          <w:sz w:val="26"/>
          <w:szCs w:val="26"/>
        </w:rPr>
        <w:t>forma</w:t>
      </w:r>
      <w:r w:rsidRPr="0072600F">
        <w:rPr>
          <w:sz w:val="26"/>
          <w:szCs w:val="26"/>
        </w:rPr>
        <w:t xml:space="preserve"> generator interconnection procedures and agreements are unjust, unreasonable, and unduly discriminatory or preferential.</w:t>
      </w:r>
      <w:r>
        <w:rPr>
          <w:rStyle w:val="FootnoteReference"/>
        </w:rPr>
        <w:footnoteReference w:id="57"/>
      </w:r>
      <w:r w:rsidRPr="0072600F">
        <w:rPr>
          <w:sz w:val="26"/>
          <w:szCs w:val="26"/>
        </w:rPr>
        <w:t xml:space="preserve">  We also continue to find that Order No. 2023’s revisions to the </w:t>
      </w:r>
      <w:r w:rsidRPr="0072600F">
        <w:rPr>
          <w:i/>
          <w:sz w:val="26"/>
          <w:szCs w:val="26"/>
        </w:rPr>
        <w:t>pro forma</w:t>
      </w:r>
      <w:r w:rsidRPr="0072600F">
        <w:rPr>
          <w:sz w:val="26"/>
          <w:szCs w:val="26"/>
        </w:rPr>
        <w:t xml:space="preserve"> open access transmission tariff and the Commission’s regulations are necessary to ensure rates that are just, reasonable, and not unduly discriminatory or preferential.  </w:t>
      </w:r>
    </w:p>
    <w:p w:rsidR="00760048" w:rsidRPr="0072600F" w14:paraId="08C29990" w14:textId="77777777">
      <w:pPr>
        <w:pStyle w:val="FERCparanumber"/>
        <w:widowControl/>
        <w:numPr>
          <w:ilvl w:val="0"/>
          <w:numId w:val="25"/>
        </w:numPr>
        <w:autoSpaceDE/>
        <w:autoSpaceDN/>
        <w:adjustRightInd/>
        <w:spacing w:line="480" w:lineRule="auto"/>
        <w:rPr>
          <w:sz w:val="26"/>
          <w:szCs w:val="26"/>
        </w:rPr>
      </w:pPr>
      <w:r w:rsidRPr="0072600F">
        <w:rPr>
          <w:sz w:val="26"/>
          <w:szCs w:val="26"/>
        </w:rPr>
        <w:t>We note that Dominion’s rehearing request misstates the Commission’s generic finding as “declaring all existing interconnection tariffs, including recently accepted reforms by PJM and DESC, as unjust, unreasonable, and unduly discriminatory or preferential.”</w:t>
      </w:r>
      <w:r>
        <w:rPr>
          <w:rStyle w:val="FootnoteReference"/>
        </w:rPr>
        <w:footnoteReference w:id="58"/>
      </w:r>
      <w:r w:rsidRPr="0072600F">
        <w:rPr>
          <w:sz w:val="26"/>
          <w:szCs w:val="26"/>
        </w:rPr>
        <w:t xml:space="preserve">  The findings in Order No. 2023 relate to the</w:t>
      </w:r>
      <w:r w:rsidRPr="0072600F">
        <w:rPr>
          <w:i/>
          <w:iCs/>
          <w:sz w:val="26"/>
          <w:szCs w:val="26"/>
        </w:rPr>
        <w:t xml:space="preserve"> </w:t>
      </w:r>
      <w:r w:rsidRPr="0072600F">
        <w:rPr>
          <w:sz w:val="26"/>
          <w:szCs w:val="26"/>
        </w:rPr>
        <w:t xml:space="preserve">Commission’s existing </w:t>
      </w:r>
      <w:r w:rsidRPr="0072600F">
        <w:rPr>
          <w:i/>
          <w:iCs/>
          <w:sz w:val="26"/>
          <w:szCs w:val="26"/>
        </w:rPr>
        <w:t xml:space="preserve">pro forma </w:t>
      </w:r>
      <w:r w:rsidRPr="0072600F">
        <w:rPr>
          <w:sz w:val="26"/>
          <w:szCs w:val="26"/>
        </w:rPr>
        <w:t>generator interconnection procedures and agreements, which, among other things, relied on a serial first-come, first-served study process.</w:t>
      </w:r>
      <w:r>
        <w:rPr>
          <w:rStyle w:val="FootnoteReference"/>
        </w:rPr>
        <w:footnoteReference w:id="59"/>
      </w:r>
      <w:r w:rsidRPr="0072600F">
        <w:rPr>
          <w:sz w:val="26"/>
          <w:szCs w:val="26"/>
        </w:rPr>
        <w:t xml:space="preserve">  The Commission did not make </w:t>
      </w:r>
      <w:r w:rsidRPr="0072600F">
        <w:rPr>
          <w:sz w:val="26"/>
          <w:szCs w:val="26"/>
        </w:rPr>
        <w:t>any findings regarding specific transmission provider’s tariffs, and it was not required to do so under FPA section 206.</w:t>
      </w:r>
      <w:r>
        <w:rPr>
          <w:rStyle w:val="FootnoteReference"/>
        </w:rPr>
        <w:footnoteReference w:id="60"/>
      </w:r>
      <w:r w:rsidRPr="0072600F">
        <w:rPr>
          <w:sz w:val="26"/>
          <w:szCs w:val="26"/>
        </w:rPr>
        <w:t xml:space="preserve">  Issues regarding the individual tariffs of specific transmission providers that currently deviate from the existing </w:t>
      </w:r>
      <w:r w:rsidRPr="0072600F">
        <w:rPr>
          <w:i/>
          <w:iCs/>
          <w:sz w:val="26"/>
          <w:szCs w:val="26"/>
        </w:rPr>
        <w:t>pro forma</w:t>
      </w:r>
      <w:r w:rsidRPr="0072600F">
        <w:rPr>
          <w:sz w:val="26"/>
          <w:szCs w:val="26"/>
        </w:rPr>
        <w:t xml:space="preserve"> generator interconnection procedures and agreements will be addressed on an individual basis on compliance.</w:t>
      </w:r>
      <w:r>
        <w:rPr>
          <w:rStyle w:val="FootnoteReference"/>
        </w:rPr>
        <w:footnoteReference w:id="61"/>
      </w:r>
      <w:r w:rsidRPr="0072600F">
        <w:rPr>
          <w:sz w:val="26"/>
          <w:szCs w:val="26"/>
        </w:rPr>
        <w:t xml:space="preserve">  </w:t>
      </w:r>
    </w:p>
    <w:p w:rsidR="00760048" w:rsidRPr="0072600F" w14:paraId="2C89E7C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Dominion’s argument that Order No. 2023 goes beyond the limits of our authority to rely on a generic rulemaking to support an industry-wide solution.  As noted above, Order No. 2023 adopts reforms to the existing </w:t>
      </w:r>
      <w:r w:rsidRPr="0072600F">
        <w:rPr>
          <w:i/>
          <w:iCs/>
          <w:sz w:val="26"/>
          <w:szCs w:val="26"/>
        </w:rPr>
        <w:t>pro forma</w:t>
      </w:r>
      <w:r w:rsidRPr="0072600F">
        <w:rPr>
          <w:sz w:val="26"/>
          <w:szCs w:val="26"/>
        </w:rPr>
        <w:t xml:space="preserve"> interconnection procedures and agreements, which themselves were adopted as an industry-wide reform to identified, industry-wide problems.</w:t>
      </w:r>
      <w:r>
        <w:rPr>
          <w:rStyle w:val="FootnoteReference"/>
        </w:rPr>
        <w:footnoteReference w:id="62"/>
      </w:r>
      <w:r w:rsidRPr="0072600F">
        <w:rPr>
          <w:sz w:val="26"/>
          <w:szCs w:val="26"/>
        </w:rPr>
        <w:t xml:space="preserve">  All three of the cases Dominion relies on support the Commission’s authority to issue Order No. 2023.  </w:t>
      </w:r>
    </w:p>
    <w:p w:rsidR="00760048" w:rsidRPr="0072600F" w14:paraId="418E900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When the D.C. Circuit upheld Order No. 888 in </w:t>
      </w:r>
      <w:r w:rsidRPr="0072600F">
        <w:rPr>
          <w:i/>
          <w:iCs/>
          <w:sz w:val="26"/>
          <w:szCs w:val="26"/>
        </w:rPr>
        <w:t>TAPS</w:t>
      </w:r>
      <w:r w:rsidRPr="0072600F">
        <w:rPr>
          <w:sz w:val="26"/>
          <w:szCs w:val="26"/>
        </w:rPr>
        <w:t xml:space="preserve">, the court specifically explained that the Commission can rely on general findings of systemic conditions to </w:t>
      </w:r>
      <w:r w:rsidRPr="0072600F">
        <w:rPr>
          <w:sz w:val="26"/>
          <w:szCs w:val="26"/>
        </w:rPr>
        <w:t>impose an industry-wide remedy under FPA section 206.</w:t>
      </w:r>
      <w:r>
        <w:rPr>
          <w:rStyle w:val="FootnoteReference"/>
        </w:rPr>
        <w:footnoteReference w:id="63"/>
      </w:r>
      <w:r w:rsidRPr="0072600F">
        <w:rPr>
          <w:sz w:val="26"/>
          <w:szCs w:val="26"/>
        </w:rPr>
        <w:t xml:space="preserve">  The court agreed with the Commission that specific evidence regarding individual utilities’ behavior is not required under FPA section 206.  Similarly, when upholding Order No. 637 in </w:t>
      </w:r>
      <w:r w:rsidRPr="0072600F">
        <w:rPr>
          <w:i/>
          <w:iCs/>
          <w:sz w:val="26"/>
          <w:szCs w:val="26"/>
        </w:rPr>
        <w:t>INGAA</w:t>
      </w:r>
      <w:r w:rsidRPr="0072600F">
        <w:rPr>
          <w:sz w:val="26"/>
          <w:szCs w:val="26"/>
        </w:rPr>
        <w:t>, the D.C. Circuit stated that “our cases have long held that the Commission may rely on ‘generic’ or ‘general’ findings of a systemic problem to support imposition of an industry-wide solution.”</w:t>
      </w:r>
      <w:r>
        <w:rPr>
          <w:rStyle w:val="FootnoteReference"/>
        </w:rPr>
        <w:footnoteReference w:id="64"/>
      </w:r>
      <w:r w:rsidRPr="0072600F">
        <w:rPr>
          <w:sz w:val="26"/>
          <w:szCs w:val="26"/>
        </w:rPr>
        <w:t xml:space="preserve">  The D.C. Circuit explicitly rejected an argument that the Commission impermissibly shifted the burden of proof merely by requiring </w:t>
      </w:r>
      <w:r w:rsidRPr="0072600F">
        <w:rPr>
          <w:i/>
          <w:iCs/>
          <w:sz w:val="26"/>
          <w:szCs w:val="26"/>
        </w:rPr>
        <w:t xml:space="preserve">pro forma </w:t>
      </w:r>
      <w:r w:rsidRPr="0072600F">
        <w:rPr>
          <w:sz w:val="26"/>
          <w:szCs w:val="26"/>
        </w:rPr>
        <w:t>filings.</w:t>
      </w:r>
      <w:r>
        <w:rPr>
          <w:rStyle w:val="FootnoteReference"/>
        </w:rPr>
        <w:footnoteReference w:id="65"/>
      </w:r>
      <w:r w:rsidRPr="0072600F">
        <w:rPr>
          <w:sz w:val="26"/>
          <w:szCs w:val="26"/>
        </w:rPr>
        <w:t xml:space="preserve">  Several years later, when upholding Order No. 1000 in </w:t>
      </w:r>
      <w:r w:rsidRPr="0072600F">
        <w:rPr>
          <w:i/>
          <w:iCs/>
          <w:sz w:val="26"/>
          <w:szCs w:val="26"/>
        </w:rPr>
        <w:t>S.C. Pub. Serv. Auth.</w:t>
      </w:r>
      <w:r w:rsidRPr="0072600F">
        <w:rPr>
          <w:sz w:val="26"/>
          <w:szCs w:val="26"/>
        </w:rPr>
        <w:t>, the D.C. Circuit once again affirmed the Commission’s ability to promulgate nationwide rules, in lieu of case-by-case adjudication, to solve a nationwide problem.</w:t>
      </w:r>
      <w:r>
        <w:rPr>
          <w:rStyle w:val="FootnoteReference"/>
        </w:rPr>
        <w:footnoteReference w:id="66"/>
      </w:r>
      <w:r w:rsidRPr="0072600F">
        <w:rPr>
          <w:sz w:val="26"/>
          <w:szCs w:val="26"/>
        </w:rPr>
        <w:t xml:space="preserve">  The court explained that, even though some regions had already satisfied some requirements of the rule, the deficiencies identified by the Commission did not only exist in “isolated pockets,” and “[a]</w:t>
      </w:r>
      <w:r w:rsidRPr="0072600F">
        <w:rPr>
          <w:sz w:val="26"/>
          <w:szCs w:val="26"/>
        </w:rPr>
        <w:t>bsent</w:t>
      </w:r>
      <w:r w:rsidRPr="0072600F">
        <w:rPr>
          <w:sz w:val="26"/>
          <w:szCs w:val="26"/>
        </w:rPr>
        <w:t xml:space="preserve"> such an extreme ‘disproportion of remedy to ailment,’ the Commission could reasonably proceed to address a systemic problem with an industry-wide solution.”</w:t>
      </w:r>
      <w:r>
        <w:rPr>
          <w:rStyle w:val="FootnoteReference"/>
        </w:rPr>
        <w:footnoteReference w:id="67"/>
      </w:r>
      <w:r w:rsidRPr="0072600F">
        <w:rPr>
          <w:sz w:val="26"/>
          <w:szCs w:val="26"/>
        </w:rPr>
        <w:t xml:space="preserve">  Nothing in this precedent indicates that the Commission’s authority to promulgate </w:t>
      </w:r>
      <w:r w:rsidRPr="0072600F">
        <w:rPr>
          <w:sz w:val="26"/>
          <w:szCs w:val="26"/>
        </w:rPr>
        <w:t>generic rulemakings under FPA section 206 depends upon the rule representing a paradigm shift.  Rather, the precedent is clear that, where the Commission finds a systemic, nationwide problem that renders the rates, terms, and conditions for Commission-jurisdictional services unjust, unreasonable, unduly discriminatory, or preferential, the Commission has authority to implement a nationwide solution.</w:t>
      </w:r>
      <w:r>
        <w:rPr>
          <w:rStyle w:val="FootnoteReference"/>
        </w:rPr>
        <w:footnoteReference w:id="68"/>
      </w:r>
      <w:r w:rsidRPr="0072600F">
        <w:rPr>
          <w:sz w:val="26"/>
          <w:szCs w:val="26"/>
        </w:rPr>
        <w:t xml:space="preserve">  </w:t>
      </w:r>
    </w:p>
    <w:p w:rsidR="00760048" w:rsidRPr="0072600F" w14:paraId="1538D768" w14:textId="77777777">
      <w:pPr>
        <w:pStyle w:val="FERCparanumber"/>
        <w:widowControl/>
        <w:numPr>
          <w:ilvl w:val="0"/>
          <w:numId w:val="25"/>
        </w:numPr>
        <w:autoSpaceDE/>
        <w:autoSpaceDN/>
        <w:adjustRightInd/>
        <w:spacing w:line="480" w:lineRule="auto"/>
        <w:rPr>
          <w:sz w:val="26"/>
          <w:szCs w:val="26"/>
        </w:rPr>
      </w:pPr>
      <w:bookmarkStart w:id="10" w:name="_Ref155249562"/>
      <w:r w:rsidRPr="0072600F">
        <w:rPr>
          <w:sz w:val="26"/>
          <w:szCs w:val="26"/>
        </w:rPr>
        <w:t>Here, substantial evidence indicates that interconnection queue delays and backlogs are a nationwide problem, not a problem that only exists in isolated pockets.  As explained in Order No. 2023, interconnection queue backlogs are increasing across all regions of the country, and “every single region has faced an increase in both interconnection queue size and the length of time interconnection customers are spending in the interconnection queue prior to commercial operation in recent years.  This is true for RTO/ISO and non-RTO/ISO regions alike.”</w:t>
      </w:r>
      <w:r>
        <w:rPr>
          <w:rStyle w:val="FootnoteReference"/>
        </w:rPr>
        <w:footnoteReference w:id="69"/>
      </w:r>
      <w:r w:rsidRPr="0072600F">
        <w:rPr>
          <w:sz w:val="26"/>
          <w:szCs w:val="26"/>
        </w:rPr>
        <w:t xml:space="preserve">  “[T]he uncertainty and delays in the interconnection queues have resulted in fewer than 25% of interconnection requests, by capacity, reaching commercial operation between 2000 and 2017 in </w:t>
      </w:r>
      <w:r w:rsidRPr="0072600F">
        <w:rPr>
          <w:i/>
          <w:iCs/>
          <w:sz w:val="26"/>
          <w:szCs w:val="26"/>
        </w:rPr>
        <w:t xml:space="preserve">any </w:t>
      </w:r>
      <w:r w:rsidRPr="0072600F">
        <w:rPr>
          <w:sz w:val="26"/>
          <w:szCs w:val="26"/>
        </w:rPr>
        <w:t>region of the country—with some regions as low as 8%.”</w:t>
      </w:r>
      <w:r>
        <w:rPr>
          <w:rStyle w:val="FootnoteReference"/>
        </w:rPr>
        <w:footnoteReference w:id="70"/>
      </w:r>
      <w:r w:rsidRPr="0072600F">
        <w:rPr>
          <w:sz w:val="26"/>
          <w:szCs w:val="26"/>
        </w:rPr>
        <w:t xml:space="preserve">  Appendix B to Order No. 2023 shows that most transmission providers in the country were late in completing interconnection </w:t>
      </w:r>
      <w:r w:rsidRPr="0072600F">
        <w:rPr>
          <w:sz w:val="26"/>
          <w:szCs w:val="26"/>
        </w:rPr>
        <w:t>studies in 2022.</w:t>
      </w:r>
      <w:r>
        <w:rPr>
          <w:rStyle w:val="FootnoteReference"/>
        </w:rPr>
        <w:footnoteReference w:id="71"/>
      </w:r>
      <w:r w:rsidRPr="0072600F">
        <w:rPr>
          <w:sz w:val="26"/>
          <w:szCs w:val="26"/>
        </w:rPr>
        <w:t xml:space="preserve">  We acknowledge that the data collected in compliance with Order No. 845 regarding PJM’s queue reflected PJM’s previous study process, which was recently reformed.  However, excluding PJM’s data would not change our overall conclusion that interconnection queue backlogs and late interconnection studies are a significant problem in most regions of the country.  To the contrary, we continue to find that “the challenges being faced across the country will be further compounded in the future,”</w:t>
      </w:r>
      <w:r w:rsidRPr="0072600F">
        <w:rPr>
          <w:rStyle w:val="FootnoteReference"/>
        </w:rPr>
        <w:t xml:space="preserve"> </w:t>
      </w:r>
      <w:r>
        <w:rPr>
          <w:rStyle w:val="FootnoteReference"/>
        </w:rPr>
        <w:footnoteReference w:id="72"/>
      </w:r>
      <w:r w:rsidRPr="0072600F">
        <w:rPr>
          <w:sz w:val="26"/>
          <w:szCs w:val="26"/>
        </w:rPr>
        <w:t xml:space="preserve"> and that the multiple factors contributing to interconnection </w:t>
      </w:r>
      <w:r w:rsidRPr="0072600F">
        <w:rPr>
          <w:sz w:val="26"/>
          <w:szCs w:val="26"/>
        </w:rPr>
        <w:t xml:space="preserve">queue </w:t>
      </w:r>
      <w:r w:rsidRPr="0072600F">
        <w:rPr>
          <w:sz w:val="26"/>
          <w:szCs w:val="26"/>
        </w:rPr>
        <w:t>backlogs, longer development timelines, and increased uncertainty regarding the cost and timing of interconnecting to the transmission system, including increasing volume of interconnection requests, increased complexity in interconnection studies, and insufficient transmission capacity, are industry-wide challenges likely to persist and potentially worsen in the future.</w:t>
      </w:r>
      <w:r>
        <w:rPr>
          <w:rStyle w:val="FootnoteReference"/>
        </w:rPr>
        <w:footnoteReference w:id="73"/>
      </w:r>
    </w:p>
    <w:p w:rsidR="00760048" w:rsidRPr="0072600F" w14:paraId="40AC695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Moreover, due to the early stages of PJM’s reforms, the instant record does not contain any information regarding the effects of such reforms, including whether PJM is meeting all study deadlines on time, the overall length of time to reach interconnection, or the portion of interconnection customers reaching commercial operation.  Nor does the record support that any region, including PJM, is unaffected by the underlying factors that are persistent and increasing drivers of widespread interconnection queue delays and </w:t>
      </w:r>
      <w:r w:rsidRPr="0072600F">
        <w:rPr>
          <w:sz w:val="26"/>
          <w:szCs w:val="26"/>
        </w:rPr>
        <w:t>backlogs.  Therefore, we continue to</w:t>
      </w:r>
      <w:r w:rsidRPr="0072600F">
        <w:rPr>
          <w:sz w:val="26"/>
          <w:szCs w:val="26"/>
        </w:rPr>
        <w:t xml:space="preserve"> </w:t>
      </w:r>
      <w:r w:rsidRPr="0072600F">
        <w:rPr>
          <w:sz w:val="26"/>
          <w:szCs w:val="26"/>
        </w:rPr>
        <w:t>find that the systemic problems identified in Order No. 2023 warrant a nationwide solution.</w:t>
      </w:r>
      <w:bookmarkEnd w:id="10"/>
      <w:r w:rsidRPr="0072600F">
        <w:rPr>
          <w:sz w:val="26"/>
          <w:szCs w:val="26"/>
        </w:rPr>
        <w:t xml:space="preserve">  </w:t>
      </w:r>
    </w:p>
    <w:p w:rsidR="00760048" w:rsidRPr="0072600F" w14:paraId="315280D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Dominion’s contention that the Commission ignored evidence regarding recent queue reform efforts, we note that Order No. 2023 specifically referenced these ongoing queue reform efforts.  The Commission stated: </w:t>
      </w:r>
    </w:p>
    <w:p w:rsidR="00760048" w:rsidRPr="0072600F" w:rsidP="00071614" w14:paraId="45261F42" w14:textId="77777777">
      <w:pPr>
        <w:spacing w:after="240"/>
        <w:ind w:left="1440" w:right="1440"/>
        <w:jc w:val="both"/>
        <w:rPr>
          <w:rFonts w:ascii="Times New Roman" w:hAnsi="Times New Roman" w:cs="Times New Roman"/>
          <w:sz w:val="26"/>
          <w:szCs w:val="26"/>
        </w:rPr>
      </w:pPr>
      <w:r w:rsidRPr="0072600F">
        <w:rPr>
          <w:rFonts w:ascii="Times New Roman" w:hAnsi="Times New Roman" w:cs="Times New Roman"/>
          <w:sz w:val="26"/>
          <w:szCs w:val="26"/>
        </w:rPr>
        <w:t>We recognize that many transmission providers have adopted or are in the process of adopting similar reforms to those adopted in this final rule.  We do not intend to disrupt these ongoing transition processes or stifle further innovation.  On compliance, transmission providers can propose deviations from the requirements adopted in this final rule – including deviations seeking to minimize interference with ongoing transition plans – and demonstrate how those deviations satisfy the standards</w:t>
      </w:r>
      <w:r>
        <w:rPr>
          <w:rStyle w:val="FootnoteReference"/>
        </w:rPr>
        <w:footnoteReference w:id="74"/>
      </w:r>
      <w:r w:rsidRPr="0072600F">
        <w:rPr>
          <w:rFonts w:ascii="Times New Roman" w:hAnsi="Times New Roman" w:cs="Times New Roman"/>
          <w:sz w:val="26"/>
          <w:szCs w:val="26"/>
        </w:rPr>
        <w:t xml:space="preserve"> discussed above, which the Commission will consider on a case-by-case basis.</w:t>
      </w:r>
      <w:r>
        <w:rPr>
          <w:rStyle w:val="FootnoteReference"/>
        </w:rPr>
        <w:footnoteReference w:id="75"/>
      </w:r>
    </w:p>
    <w:p w:rsidR="00760048" w:rsidRPr="0072600F" w:rsidP="00FE7B49" w14:paraId="628A0EAD" w14:textId="77777777">
      <w:pPr>
        <w:pStyle w:val="FERCparanumber"/>
        <w:numPr>
          <w:ilvl w:val="0"/>
          <w:numId w:val="0"/>
        </w:numPr>
        <w:spacing w:line="480" w:lineRule="auto"/>
        <w:rPr>
          <w:sz w:val="26"/>
          <w:szCs w:val="26"/>
        </w:rPr>
      </w:pPr>
      <w:r w:rsidRPr="0072600F">
        <w:rPr>
          <w:sz w:val="26"/>
          <w:szCs w:val="26"/>
        </w:rPr>
        <w:t>In fact, in the NOPR underlying Order No. 2023, the Commission made clear that it reviewed these recent queue reform efforts, learned from them, and considered them in formulating a number of its proposals.</w:t>
      </w:r>
      <w:r>
        <w:rPr>
          <w:rStyle w:val="FootnoteReference"/>
        </w:rPr>
        <w:footnoteReference w:id="76"/>
      </w:r>
      <w:r w:rsidRPr="0072600F">
        <w:rPr>
          <w:sz w:val="26"/>
          <w:szCs w:val="26"/>
        </w:rPr>
        <w:t xml:space="preserve">  </w:t>
      </w:r>
    </w:p>
    <w:p w:rsidR="00760048" w:rsidRPr="0072600F" w14:paraId="6561EBAC" w14:textId="77777777">
      <w:pPr>
        <w:pStyle w:val="FERCparanumber"/>
        <w:widowControl/>
        <w:numPr>
          <w:ilvl w:val="0"/>
          <w:numId w:val="25"/>
        </w:numPr>
        <w:autoSpaceDE/>
        <w:autoSpaceDN/>
        <w:adjustRightInd/>
        <w:spacing w:line="480" w:lineRule="auto"/>
        <w:rPr>
          <w:sz w:val="26"/>
          <w:szCs w:val="26"/>
        </w:rPr>
      </w:pPr>
      <w:r w:rsidRPr="0072600F">
        <w:rPr>
          <w:sz w:val="26"/>
          <w:szCs w:val="26"/>
        </w:rPr>
        <w:t>However, as explained above, the Commission was not required to make FPA section 206 findings specific to PJM or DESC’s queue reforms.  The details of a specific transmission provider’s tariff, and whether its recent queue reform complies with the new requirements of Order No. 2023, are appropriately handled on an individual basis on compliance.</w:t>
      </w:r>
    </w:p>
    <w:p w:rsidR="00760048" w:rsidRPr="0072600F" w14:paraId="789B03B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Dominion’s argument that Order No. 2023’s acknowledgement that some transmission providers had no delayed studies in 2022 indicates that the problem is not as widespread as suggested.  The fact that a few transmission providers complete studies on time does not mean that the problem exists only in isolated pockets.  As the D.C. Circuit explained in </w:t>
      </w:r>
      <w:r w:rsidRPr="0072600F">
        <w:rPr>
          <w:i/>
          <w:iCs/>
          <w:sz w:val="26"/>
          <w:szCs w:val="26"/>
        </w:rPr>
        <w:t>S.C. Pub. Serv. Auth.</w:t>
      </w:r>
      <w:r w:rsidRPr="0072600F">
        <w:rPr>
          <w:sz w:val="26"/>
          <w:szCs w:val="26"/>
        </w:rPr>
        <w:t xml:space="preserve">, the fact that a problem may not exist in every single region of the country “is as </w:t>
      </w:r>
      <w:r w:rsidRPr="0072600F">
        <w:rPr>
          <w:sz w:val="26"/>
          <w:szCs w:val="26"/>
        </w:rPr>
        <w:t>unastonishing</w:t>
      </w:r>
      <w:r w:rsidRPr="0072600F">
        <w:rPr>
          <w:sz w:val="26"/>
          <w:szCs w:val="26"/>
        </w:rPr>
        <w:t xml:space="preserve"> as it is irrelevant, because petitioners have not shown that the deficiencies identified by the Commission exist[] only in isolated pockets.”</w:t>
      </w:r>
      <w:r>
        <w:rPr>
          <w:rStyle w:val="FootnoteReference"/>
        </w:rPr>
        <w:footnoteReference w:id="77"/>
      </w:r>
    </w:p>
    <w:p w:rsidR="00760048" w:rsidRPr="0072600F" w14:paraId="6DEB7D31" w14:textId="77777777">
      <w:pPr>
        <w:pStyle w:val="FERCparanumber"/>
        <w:widowControl/>
        <w:numPr>
          <w:ilvl w:val="0"/>
          <w:numId w:val="25"/>
        </w:numPr>
        <w:autoSpaceDE/>
        <w:autoSpaceDN/>
        <w:adjustRightInd/>
        <w:spacing w:line="480" w:lineRule="auto"/>
        <w:rPr>
          <w:sz w:val="26"/>
          <w:szCs w:val="26"/>
        </w:rPr>
      </w:pPr>
      <w:r w:rsidRPr="0072600F">
        <w:rPr>
          <w:sz w:val="26"/>
          <w:szCs w:val="26"/>
        </w:rPr>
        <w:t>Moreover, substantial evidence indicates that these nationwide interconnection queue delays and backlogs result in rates, terms, and conditions in the wholesale electric markets that are unjust, unreasonable, and unduly discriminatory or preferential.</w:t>
      </w:r>
      <w:r>
        <w:rPr>
          <w:rStyle w:val="FootnoteReference"/>
        </w:rPr>
        <w:footnoteReference w:id="78"/>
      </w:r>
      <w:r w:rsidRPr="0072600F">
        <w:rPr>
          <w:sz w:val="26"/>
          <w:szCs w:val="26"/>
        </w:rPr>
        <w:t xml:space="preserve">  Interconnection queue delays and backlogs result in longer development timelines, uncertainty regarding the cost and timing of interconnecting to the transmission system, </w:t>
      </w:r>
      <w:r w:rsidRPr="0072600F">
        <w:rPr>
          <w:sz w:val="26"/>
          <w:szCs w:val="26"/>
        </w:rPr>
        <w:t xml:space="preserve">and ultimately higher rates, as “wholesale customers </w:t>
      </w:r>
      <w:r w:rsidRPr="0072600F">
        <w:rPr>
          <w:sz w:val="26"/>
          <w:szCs w:val="26"/>
        </w:rPr>
        <w:t>hav</w:t>
      </w:r>
      <w:r w:rsidRPr="0072600F">
        <w:rPr>
          <w:sz w:val="26"/>
          <w:szCs w:val="26"/>
        </w:rPr>
        <w:t>[e] limited access to new and more competitive supplies of generation.”</w:t>
      </w:r>
      <w:r>
        <w:rPr>
          <w:rStyle w:val="FootnoteReference"/>
        </w:rPr>
        <w:footnoteReference w:id="79"/>
      </w:r>
      <w:r w:rsidRPr="0072600F">
        <w:rPr>
          <w:sz w:val="26"/>
          <w:szCs w:val="26"/>
        </w:rPr>
        <w:t xml:space="preserve">  </w:t>
      </w:r>
    </w:p>
    <w:p w:rsidR="00760048" w:rsidRPr="0072600F" w14:paraId="7E2EB3A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Further, we believe that the remedies adopted in Order No. 2023 are proportional to the issues identified.  As explained in detail in Order No. 2023, each of the reforms the Commission adopted are directly related to the need to reform the </w:t>
      </w:r>
      <w:r w:rsidRPr="0072600F">
        <w:rPr>
          <w:i/>
          <w:iCs/>
          <w:sz w:val="26"/>
          <w:szCs w:val="26"/>
        </w:rPr>
        <w:t xml:space="preserve">pro forma </w:t>
      </w:r>
      <w:r w:rsidRPr="0072600F">
        <w:rPr>
          <w:sz w:val="26"/>
          <w:szCs w:val="26"/>
        </w:rPr>
        <w:t>generator interconnection procedures and agreements to ensure that interconnection customers are able to interconnect to the transmission system in a reliable, efficient, transparent, and timely manner, and will prevent undue discrimination.</w:t>
      </w:r>
      <w:r>
        <w:rPr>
          <w:rStyle w:val="FootnoteReference"/>
        </w:rPr>
        <w:footnoteReference w:id="80"/>
      </w:r>
      <w:r w:rsidRPr="0072600F">
        <w:rPr>
          <w:sz w:val="26"/>
          <w:szCs w:val="26"/>
        </w:rPr>
        <w:t xml:space="preserve">  </w:t>
      </w:r>
    </w:p>
    <w:p w:rsidR="00760048" w:rsidRPr="0072600F" w14:paraId="60AF6C21" w14:textId="77777777">
      <w:pPr>
        <w:pStyle w:val="FERCparanumber"/>
        <w:widowControl/>
        <w:numPr>
          <w:ilvl w:val="0"/>
          <w:numId w:val="25"/>
        </w:numPr>
        <w:autoSpaceDE/>
        <w:autoSpaceDN/>
        <w:adjustRightInd/>
        <w:spacing w:line="480" w:lineRule="auto"/>
        <w:rPr>
          <w:sz w:val="26"/>
          <w:szCs w:val="26"/>
        </w:rPr>
      </w:pPr>
      <w:r w:rsidRPr="0072600F">
        <w:rPr>
          <w:sz w:val="26"/>
          <w:szCs w:val="26"/>
        </w:rPr>
        <w:t>Further, we also believe that a generic, nationwide rulemaking is justified by the need for consistent interconnection policies that apply to all public utility transmission providers.</w:t>
      </w:r>
      <w:r>
        <w:rPr>
          <w:rStyle w:val="FootnoteReference"/>
        </w:rPr>
        <w:footnoteReference w:id="81"/>
      </w:r>
      <w:r w:rsidRPr="0072600F">
        <w:rPr>
          <w:sz w:val="26"/>
          <w:szCs w:val="26"/>
        </w:rPr>
        <w:t xml:space="preserve">  We continue to find that it is necessary to apply the reforms in Order No. 2023 on a nationwide basis to ensure that interconnection customers are able to interconnect to the transmission system in a reliable, efficient, transparent, and timely </w:t>
      </w:r>
      <w:r w:rsidRPr="0072600F">
        <w:rPr>
          <w:sz w:val="26"/>
          <w:szCs w:val="26"/>
        </w:rPr>
        <w:t>manner, and to prevent undue discrimination.  We further note that some of the critical reforms of Order No. 2023 could only have been achieved through a nationwide rulemaking; for instance, standardization of the affected systems study process requires rules that apply to all jurisdictional transmission providers.</w:t>
      </w:r>
    </w:p>
    <w:p w:rsidR="00760048" w:rsidRPr="0072600F" w14:paraId="44D4131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For the reasons stated above, we disagree with Dominion’s argument that the Commission bears the burden on compliance to find that recently adopted existing processes that deviate from the </w:t>
      </w:r>
      <w:r w:rsidRPr="0072600F">
        <w:rPr>
          <w:i/>
          <w:iCs/>
          <w:sz w:val="26"/>
          <w:szCs w:val="26"/>
        </w:rPr>
        <w:t>pro forma</w:t>
      </w:r>
      <w:r w:rsidRPr="0072600F">
        <w:rPr>
          <w:sz w:val="26"/>
          <w:szCs w:val="26"/>
        </w:rPr>
        <w:t xml:space="preserve"> generator interconnection procedures and agreements are unjust and unreasonable.</w:t>
      </w:r>
      <w:r>
        <w:rPr>
          <w:rStyle w:val="FootnoteReference"/>
        </w:rPr>
        <w:footnoteReference w:id="82"/>
      </w:r>
      <w:r w:rsidRPr="0072600F">
        <w:rPr>
          <w:sz w:val="26"/>
          <w:szCs w:val="26"/>
        </w:rPr>
        <w:t xml:space="preserve">  We reiterate that the findings in Order No. 2023 relate to the</w:t>
      </w:r>
      <w:r w:rsidRPr="0072600F">
        <w:rPr>
          <w:i/>
          <w:iCs/>
          <w:sz w:val="26"/>
          <w:szCs w:val="26"/>
        </w:rPr>
        <w:t xml:space="preserve"> </w:t>
      </w:r>
      <w:r w:rsidRPr="0072600F">
        <w:rPr>
          <w:sz w:val="26"/>
          <w:szCs w:val="26"/>
        </w:rPr>
        <w:t xml:space="preserve">Commission’s existing </w:t>
      </w:r>
      <w:r w:rsidRPr="0072600F">
        <w:rPr>
          <w:i/>
          <w:iCs/>
          <w:sz w:val="26"/>
          <w:szCs w:val="26"/>
        </w:rPr>
        <w:t xml:space="preserve">pro forma </w:t>
      </w:r>
      <w:r w:rsidRPr="0072600F">
        <w:rPr>
          <w:sz w:val="26"/>
          <w:szCs w:val="26"/>
        </w:rPr>
        <w:t>generator interconnection procedures and agreements.</w:t>
      </w:r>
      <w:r>
        <w:rPr>
          <w:rStyle w:val="FootnoteReference"/>
        </w:rPr>
        <w:footnoteReference w:id="83"/>
      </w:r>
      <w:r w:rsidRPr="0072600F">
        <w:rPr>
          <w:sz w:val="26"/>
          <w:szCs w:val="26"/>
        </w:rPr>
        <w:t xml:space="preserve">  We note that, on compliance, the Commission will apply the consistent with or superior to standard for non-RTO transmission providers and the independent entity variation standard for RTOs/ISOs when analyzing deviations from the Commission’s </w:t>
      </w:r>
      <w:r w:rsidRPr="0072600F">
        <w:rPr>
          <w:i/>
          <w:sz w:val="26"/>
          <w:szCs w:val="26"/>
        </w:rPr>
        <w:t>pro forma</w:t>
      </w:r>
      <w:r w:rsidRPr="0072600F">
        <w:rPr>
          <w:sz w:val="26"/>
          <w:szCs w:val="26"/>
        </w:rPr>
        <w:t xml:space="preserve"> LGIP, </w:t>
      </w:r>
      <w:r w:rsidRPr="0072600F">
        <w:rPr>
          <w:i/>
          <w:iCs/>
          <w:sz w:val="26"/>
          <w:szCs w:val="26"/>
        </w:rPr>
        <w:t>pro forma</w:t>
      </w:r>
      <w:r w:rsidRPr="0072600F">
        <w:rPr>
          <w:sz w:val="26"/>
          <w:szCs w:val="26"/>
        </w:rPr>
        <w:t xml:space="preserve"> LGIA, </w:t>
      </w:r>
      <w:r w:rsidRPr="0072600F">
        <w:rPr>
          <w:i/>
          <w:iCs/>
          <w:sz w:val="26"/>
          <w:szCs w:val="26"/>
        </w:rPr>
        <w:t>pro forma</w:t>
      </w:r>
      <w:r w:rsidRPr="0072600F">
        <w:rPr>
          <w:sz w:val="26"/>
          <w:szCs w:val="26"/>
        </w:rPr>
        <w:t xml:space="preserve"> SGIP and/or </w:t>
      </w:r>
      <w:r w:rsidRPr="0072600F">
        <w:rPr>
          <w:i/>
          <w:iCs/>
          <w:sz w:val="26"/>
          <w:szCs w:val="26"/>
        </w:rPr>
        <w:t>pro forma</w:t>
      </w:r>
      <w:r w:rsidRPr="0072600F">
        <w:rPr>
          <w:sz w:val="26"/>
          <w:szCs w:val="26"/>
        </w:rPr>
        <w:t xml:space="preserve"> SGIA.</w:t>
      </w:r>
      <w:r>
        <w:rPr>
          <w:rStyle w:val="FootnoteReference"/>
        </w:rPr>
        <w:footnoteReference w:id="84"/>
      </w:r>
      <w:r w:rsidRPr="0072600F">
        <w:rPr>
          <w:sz w:val="26"/>
          <w:szCs w:val="26"/>
        </w:rPr>
        <w:t xml:space="preserve"> </w:t>
      </w:r>
    </w:p>
    <w:p w:rsidR="00760048" w:rsidRPr="0072600F" w14:paraId="16EC4E4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Indicated PJM TOs’ contention that the Commission failed to grapple with the fact that many RTOs/ISOs already adopted the Commission’s core substantive reforms before Order No. 2023 was issued, we acknowledge that many transmission providers have adopted many of the reforms in Order No. 2023.  As explained above, that is not an accident.  The Commission carefully examined recent queue reform proposals to identify best practices to implement nationwide.  However, no transmission provider has yet adopted </w:t>
      </w:r>
      <w:r w:rsidRPr="0072600F">
        <w:rPr>
          <w:i/>
          <w:sz w:val="26"/>
          <w:szCs w:val="26"/>
        </w:rPr>
        <w:t>all</w:t>
      </w:r>
      <w:r w:rsidRPr="0072600F">
        <w:rPr>
          <w:sz w:val="26"/>
          <w:szCs w:val="26"/>
        </w:rPr>
        <w:t xml:space="preserve"> of the reforms in Order No. 2023.  For example, no transmission provider has eliminated the reasonable efforts standard for completing interconnection studies on time.  We continue to believe that this broad suite of reforms, as a whole, is necessary to ensure that interconnection customers are able to interconnect to the transmission system in a reliable, efficient, transparent, and timely manner, thereby ensuring that rates, terms, and conditions for Commission-jurisdictional services are just, reasonable, and not unduly discriminatory or preferential.</w:t>
      </w:r>
      <w:r>
        <w:rPr>
          <w:rStyle w:val="FootnoteReference"/>
        </w:rPr>
        <w:footnoteReference w:id="85"/>
      </w:r>
      <w:r w:rsidRPr="0072600F">
        <w:rPr>
          <w:sz w:val="26"/>
          <w:szCs w:val="26"/>
        </w:rPr>
        <w:t xml:space="preserve">  </w:t>
      </w:r>
    </w:p>
    <w:p w:rsidR="00760048" w:rsidRPr="0072600F" w14:paraId="028441EE" w14:textId="77777777">
      <w:pPr>
        <w:pStyle w:val="FERCparanumber"/>
        <w:widowControl/>
        <w:numPr>
          <w:ilvl w:val="0"/>
          <w:numId w:val="25"/>
        </w:numPr>
        <w:autoSpaceDE/>
        <w:autoSpaceDN/>
        <w:adjustRightInd/>
        <w:spacing w:line="480" w:lineRule="auto"/>
        <w:rPr>
          <w:sz w:val="26"/>
          <w:szCs w:val="26"/>
        </w:rPr>
      </w:pPr>
      <w:r w:rsidRPr="0072600F">
        <w:rPr>
          <w:sz w:val="26"/>
          <w:szCs w:val="26"/>
        </w:rPr>
        <w:t>Regarding Indicated PJM TOs’ argument that the Commission should have waited for recent queue reforms to be fully implemented before determining whether additional reforms are required, we disagree.  Transmission providers across the country have been working on regional queue reform for well over a decade.</w:t>
      </w:r>
      <w:r>
        <w:rPr>
          <w:rStyle w:val="FootnoteReference"/>
        </w:rPr>
        <w:footnoteReference w:id="86"/>
      </w:r>
      <w:r w:rsidRPr="0072600F">
        <w:rPr>
          <w:sz w:val="26"/>
          <w:szCs w:val="26"/>
        </w:rPr>
        <w:t xml:space="preserve">  These proposals are filed at </w:t>
      </w:r>
      <w:r w:rsidRPr="0072600F">
        <w:rPr>
          <w:sz w:val="26"/>
          <w:szCs w:val="26"/>
        </w:rPr>
        <w:t>varying intervals, and at any given time, multiple transmission providers may be in the process of proposing or implementing new queue processes.  By the time one or two particular transmission providers implement one set of queue reforms, it is likely that other transmission providers would be in the process of proposing or implementing their next queue reform.  The Commission would be waiting a very long time indeed if it could not issue a generic rulemaking while any individual transmission provider pursues its own regional queue reform.</w:t>
      </w:r>
      <w:r>
        <w:rPr>
          <w:rStyle w:val="FootnoteReference"/>
        </w:rPr>
        <w:footnoteReference w:id="87"/>
      </w:r>
    </w:p>
    <w:p w:rsidR="00760048" w:rsidRPr="0072600F" w14:paraId="26E20128" w14:textId="77777777">
      <w:pPr>
        <w:pStyle w:val="FERCparanumber"/>
        <w:widowControl/>
        <w:numPr>
          <w:ilvl w:val="0"/>
          <w:numId w:val="25"/>
        </w:numPr>
        <w:autoSpaceDE/>
        <w:autoSpaceDN/>
        <w:adjustRightInd/>
        <w:spacing w:line="480" w:lineRule="auto"/>
        <w:rPr>
          <w:sz w:val="26"/>
          <w:szCs w:val="26"/>
        </w:rPr>
      </w:pPr>
      <w:r w:rsidRPr="0072600F">
        <w:rPr>
          <w:sz w:val="26"/>
          <w:szCs w:val="26"/>
        </w:rPr>
        <w:t>Furthermore, we note that the Commission has historically taken a gradual approach to addressing problems with respect to interconnection queue backlogs.  In Order No. 845, for instance, the Commission implemented a number of specific reforms, but held off on other reforms in favor of collecting further information from transmission providers.</w:t>
      </w:r>
      <w:r>
        <w:rPr>
          <w:rStyle w:val="FootnoteReference"/>
        </w:rPr>
        <w:footnoteReference w:id="88"/>
      </w:r>
      <w:r w:rsidRPr="0072600F">
        <w:rPr>
          <w:sz w:val="26"/>
          <w:szCs w:val="26"/>
        </w:rPr>
        <w:t xml:space="preserve">  In doing so, the Commission noted that “[t]his information could also be useful to the Commission in determining if additional action is required to address </w:t>
      </w:r>
      <w:r w:rsidRPr="0072600F">
        <w:rPr>
          <w:sz w:val="26"/>
          <w:szCs w:val="26"/>
        </w:rPr>
        <w:t>interconnection study delays.”</w:t>
      </w:r>
      <w:r>
        <w:rPr>
          <w:rStyle w:val="FootnoteReference"/>
        </w:rPr>
        <w:footnoteReference w:id="89"/>
      </w:r>
      <w:r w:rsidRPr="0072600F">
        <w:rPr>
          <w:sz w:val="26"/>
          <w:szCs w:val="26"/>
        </w:rPr>
        <w:t xml:space="preserve">  In Order No. 2023, the Commission determined that additional action was required to address interconnection study delays.</w:t>
      </w:r>
      <w:r>
        <w:rPr>
          <w:rStyle w:val="FootnoteReference"/>
        </w:rPr>
        <w:footnoteReference w:id="90"/>
      </w:r>
      <w:r w:rsidRPr="0072600F">
        <w:rPr>
          <w:sz w:val="26"/>
          <w:szCs w:val="26"/>
        </w:rPr>
        <w:t xml:space="preserve">  The reforms in Order No. 845 have not eliminated the problems of interconnection queue backlogs and delayed interconnection studies; rather, these problems have only grown, notwithstanding the Commission’s previous reforms.  We maintain that the reforms in Order No. 2023 are necessary to ensure that interconnection customers are able to interconnect to the transmission system in a reliable, efficient, transparent, and timely manner, thereby ensuring that rates, terms, and conditions for Commission-jurisdictional services are just, reasonable, and not unduly discriminatory or preferential.</w:t>
      </w:r>
    </w:p>
    <w:p w:rsidR="00760048" w:rsidRPr="00FE47B2" w14:paraId="47533021"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u w:val="single"/>
        </w:rPr>
      </w:pPr>
      <w:bookmarkStart w:id="11" w:name="_bmk7"/>
      <w:r w:rsidRPr="00FE47B2">
        <w:rPr>
          <w:b/>
          <w:bCs/>
          <w:sz w:val="26"/>
          <w:szCs w:val="26"/>
          <w:u w:val="single"/>
        </w:rPr>
        <w:t>A</w:t>
      </w:r>
      <w:bookmarkEnd w:id="11"/>
      <w:r w:rsidRPr="00FE47B2">
        <w:rPr>
          <w:b/>
          <w:bCs/>
          <w:sz w:val="26"/>
          <w:szCs w:val="26"/>
          <w:u w:val="single"/>
        </w:rPr>
        <w:t>rguments Regarding Conflicts with Ongoing Queue Reform Efforts and Evaluation of Variations on Compliance</w:t>
      </w:r>
    </w:p>
    <w:p w:rsidR="00760048" w:rsidRPr="00FE47B2" w14:paraId="5D6A2F3D"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2" w:name="_bmk8"/>
      <w:r w:rsidRPr="00FE47B2">
        <w:rPr>
          <w:b/>
          <w:bCs/>
          <w:sz w:val="26"/>
          <w:u w:val="single"/>
        </w:rPr>
        <w:t>O</w:t>
      </w:r>
      <w:bookmarkEnd w:id="12"/>
      <w:r w:rsidRPr="00FE47B2">
        <w:rPr>
          <w:b/>
          <w:bCs/>
          <w:sz w:val="26"/>
          <w:u w:val="single"/>
        </w:rPr>
        <w:t>rder No. 2023 Requirements</w:t>
      </w:r>
    </w:p>
    <w:p w:rsidR="00760048" w:rsidRPr="0072600F" w14:paraId="4DA31B6A"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addressed commenters’ concerns regarding Order No. 2023’s impact on early adopters of similar queue reforms or those queues currently in transition to a cluster study process.  The Commission recognized that many of the individual reforms that the Commission adopted in Order No. 2023 are incremental improvements that one or more regions had already implemented.</w:t>
      </w:r>
      <w:r>
        <w:rPr>
          <w:rStyle w:val="FootnoteReference"/>
        </w:rPr>
        <w:footnoteReference w:id="91"/>
      </w:r>
      <w:r w:rsidRPr="0072600F">
        <w:rPr>
          <w:sz w:val="26"/>
          <w:szCs w:val="26"/>
        </w:rPr>
        <w:t xml:space="preserve">  The Commission explained that Order No. 2023 uses some of these individual and incremental improvements as a basis </w:t>
      </w:r>
      <w:r w:rsidRPr="0072600F">
        <w:rPr>
          <w:sz w:val="26"/>
          <w:szCs w:val="26"/>
        </w:rPr>
        <w:t xml:space="preserve">for a broad suite of reforms that, in their entirety, have not yet been adopted by any region.  </w:t>
      </w:r>
    </w:p>
    <w:p w:rsidR="00760048" w:rsidRPr="0072600F" w14:paraId="055F8CB3" w14:textId="77777777">
      <w:pPr>
        <w:pStyle w:val="FERCparanumber"/>
        <w:widowControl/>
        <w:numPr>
          <w:ilvl w:val="0"/>
          <w:numId w:val="25"/>
        </w:numPr>
        <w:autoSpaceDE/>
        <w:autoSpaceDN/>
        <w:adjustRightInd/>
        <w:spacing w:line="480" w:lineRule="auto"/>
        <w:rPr>
          <w:sz w:val="26"/>
          <w:szCs w:val="26"/>
        </w:rPr>
      </w:pPr>
      <w:r w:rsidRPr="0072600F">
        <w:rPr>
          <w:sz w:val="26"/>
          <w:szCs w:val="26"/>
        </w:rPr>
        <w:t>Additionally, the Commission rejected requests to presume that any transmission provider’s tariff meets the requirements of Order No. 2023.</w:t>
      </w:r>
      <w:r>
        <w:rPr>
          <w:rStyle w:val="FootnoteReference"/>
        </w:rPr>
        <w:footnoteReference w:id="92"/>
      </w:r>
      <w:r w:rsidRPr="0072600F">
        <w:rPr>
          <w:sz w:val="26"/>
          <w:szCs w:val="26"/>
        </w:rPr>
        <w:t xml:space="preserve">  The Commission recognized that many transmission providers have adopted or are in the process of adopting similar reforms to those adopted in Order No. 2023 and clarified that the Commission did not intend to disrupt these ongoing transition processes or stifle further innovation.</w:t>
      </w:r>
      <w:r>
        <w:rPr>
          <w:rStyle w:val="FootnoteReference"/>
        </w:rPr>
        <w:footnoteReference w:id="93"/>
      </w:r>
      <w:r w:rsidRPr="0072600F">
        <w:rPr>
          <w:sz w:val="26"/>
          <w:szCs w:val="26"/>
        </w:rPr>
        <w:t xml:space="preserve">  The Commission emphasized that the provisions of Order No. 2023 are not intended to interfere with the timely completion of those in-progress cluster studies and transition processes.</w:t>
      </w:r>
      <w:r>
        <w:rPr>
          <w:rStyle w:val="FootnoteReference"/>
        </w:rPr>
        <w:footnoteReference w:id="94"/>
      </w:r>
      <w:r w:rsidRPr="0072600F">
        <w:rPr>
          <w:sz w:val="26"/>
          <w:szCs w:val="26"/>
        </w:rPr>
        <w:t xml:space="preserve">  The Commission explained that, on compliance, transmission providers can propose deviations from the requirements adopted in Order No. 2023, including deviations seeking to minimize interference with ongoing transition plans,</w:t>
      </w:r>
      <w:r>
        <w:rPr>
          <w:rStyle w:val="FootnoteReference"/>
        </w:rPr>
        <w:footnoteReference w:id="95"/>
      </w:r>
      <w:r w:rsidRPr="0072600F">
        <w:rPr>
          <w:sz w:val="26"/>
          <w:szCs w:val="26"/>
        </w:rPr>
        <w:t xml:space="preserve">  provided that the reason for the variation is sufficiently justified, and may continue to propose solutions to interconnection issues under FPA section 205.</w:t>
      </w:r>
      <w:r>
        <w:rPr>
          <w:rStyle w:val="FootnoteReference"/>
        </w:rPr>
        <w:footnoteReference w:id="96"/>
      </w:r>
    </w:p>
    <w:p w:rsidR="00760048" w:rsidRPr="0072600F" w14:paraId="3DA564A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Therefore, consistent with Order Nos. 888, 890, 2003, 2006, and 845, </w:t>
      </w:r>
      <w:bookmarkStart w:id="13" w:name="_Hlk138232170"/>
      <w:r w:rsidRPr="0072600F">
        <w:rPr>
          <w:sz w:val="26"/>
          <w:szCs w:val="26"/>
        </w:rPr>
        <w:t xml:space="preserve">the Commission adopted the NOPR proposal to continue to </w:t>
      </w:r>
      <w:bookmarkEnd w:id="13"/>
      <w:r w:rsidRPr="0072600F">
        <w:rPr>
          <w:sz w:val="26"/>
          <w:szCs w:val="26"/>
        </w:rPr>
        <w:t>apply the consistent with or superior to standard when considering proposals from non-RTO/ISO transmission providers to deviate from the requirements of Order No. 2023.</w:t>
      </w:r>
      <w:r>
        <w:rPr>
          <w:rStyle w:val="FootnoteReference"/>
        </w:rPr>
        <w:footnoteReference w:id="97"/>
      </w:r>
      <w:r w:rsidRPr="0072600F">
        <w:rPr>
          <w:sz w:val="26"/>
          <w:szCs w:val="26"/>
        </w:rPr>
        <w:t xml:space="preserve">  Consistent with Order Nos. 2003, 2006, and 845, the Commission adopted the NOPR proposal to continue to use the “independent entity variation” standard when considering such proposals from RTOs/ISOs.</w:t>
      </w:r>
      <w:r>
        <w:rPr>
          <w:rStyle w:val="FootnoteReference"/>
        </w:rPr>
        <w:footnoteReference w:id="98"/>
      </w:r>
      <w:r w:rsidRPr="0072600F">
        <w:rPr>
          <w:sz w:val="26"/>
          <w:szCs w:val="26"/>
        </w:rPr>
        <w:t xml:space="preserve">  Consistent with Order Nos. 888, 890, 2003, 2006, and 845, the Commission adopted the NOPR proposal to continue to allow non-RTO/ISO transmission providers to use the regional differences rationale to seek variations made in </w:t>
      </w:r>
      <w:r w:rsidRPr="0072600F">
        <w:rPr>
          <w:sz w:val="26"/>
          <w:szCs w:val="26"/>
        </w:rPr>
        <w:t>response to established (i.e., approved by the Applicable Reliability Council) reliability requirements.</w:t>
      </w:r>
      <w:r>
        <w:rPr>
          <w:rStyle w:val="FootnoteReference"/>
        </w:rPr>
        <w:footnoteReference w:id="99"/>
      </w:r>
      <w:r w:rsidRPr="0072600F">
        <w:rPr>
          <w:sz w:val="26"/>
          <w:szCs w:val="26"/>
        </w:rPr>
        <w:t xml:space="preserve">  The Commission explained that Order No. 2023 makes no changes to the standards used to judge requested variations, as described in Order Nos. 888, 890, 2003, 2006, and 845.</w:t>
      </w:r>
    </w:p>
    <w:p w:rsidR="00760048" w:rsidRPr="00FE47B2" w14:paraId="0D141CCA"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5" w:name="_bmk9"/>
      <w:r w:rsidRPr="00FE47B2">
        <w:rPr>
          <w:b/>
          <w:bCs/>
          <w:sz w:val="26"/>
          <w:u w:val="single"/>
        </w:rPr>
        <w:t>R</w:t>
      </w:r>
      <w:bookmarkEnd w:id="15"/>
      <w:r w:rsidRPr="00FE47B2">
        <w:rPr>
          <w:b/>
          <w:bCs/>
          <w:sz w:val="26"/>
          <w:u w:val="single"/>
        </w:rPr>
        <w:t>equests for Rehearing and Clarification</w:t>
      </w:r>
    </w:p>
    <w:p w:rsidR="00760048" w:rsidRPr="0072600F" w14:paraId="57A11FFD" w14:textId="77777777">
      <w:pPr>
        <w:pStyle w:val="FERCparanumber"/>
        <w:widowControl/>
        <w:numPr>
          <w:ilvl w:val="0"/>
          <w:numId w:val="25"/>
        </w:numPr>
        <w:autoSpaceDE/>
        <w:autoSpaceDN/>
        <w:adjustRightInd/>
        <w:spacing w:line="480" w:lineRule="auto"/>
        <w:rPr>
          <w:sz w:val="26"/>
          <w:szCs w:val="26"/>
        </w:rPr>
      </w:pPr>
      <w:r w:rsidRPr="0072600F">
        <w:rPr>
          <w:sz w:val="26"/>
          <w:szCs w:val="26"/>
        </w:rPr>
        <w:t>Several entities request clarification regarding the scope of the application of Order No. 2023 to transmission providers that have already transitioned to, or that are in the process of transitioning to, a cluster study process.</w:t>
      </w:r>
      <w:r>
        <w:rPr>
          <w:rStyle w:val="FootnoteReference"/>
        </w:rPr>
        <w:footnoteReference w:id="100"/>
      </w:r>
      <w:r w:rsidRPr="0072600F">
        <w:rPr>
          <w:sz w:val="26"/>
          <w:szCs w:val="26"/>
        </w:rPr>
        <w:t xml:space="preserve">  </w:t>
      </w:r>
    </w:p>
    <w:p w:rsidR="00760048" w:rsidRPr="0072600F" w:rsidP="00883A4B" w14:paraId="5B550600" w14:textId="77777777">
      <w:pPr>
        <w:pStyle w:val="FERCparanumber"/>
        <w:widowControl/>
        <w:numPr>
          <w:ilvl w:val="0"/>
          <w:numId w:val="25"/>
        </w:numPr>
        <w:autoSpaceDE/>
        <w:autoSpaceDN/>
        <w:adjustRightInd/>
        <w:spacing w:line="480" w:lineRule="auto"/>
        <w:ind w:right="-90"/>
        <w:rPr>
          <w:sz w:val="26"/>
          <w:szCs w:val="26"/>
        </w:rPr>
      </w:pPr>
      <w:r w:rsidRPr="0072600F">
        <w:rPr>
          <w:sz w:val="26"/>
          <w:szCs w:val="26"/>
        </w:rPr>
        <w:t>Clean Energy Associations and IPP Coalition</w:t>
      </w:r>
      <w:r w:rsidRPr="0072600F">
        <w:rPr>
          <w:sz w:val="26"/>
          <w:szCs w:val="26"/>
        </w:rPr>
        <w:t xml:space="preserve"> </w:t>
      </w:r>
      <w:r w:rsidRPr="0072600F">
        <w:rPr>
          <w:sz w:val="26"/>
          <w:szCs w:val="26"/>
        </w:rPr>
        <w:t xml:space="preserve">ask the Commission to clarify that </w:t>
      </w:r>
      <w:r w:rsidRPr="0072600F">
        <w:rPr>
          <w:i/>
          <w:iCs/>
          <w:sz w:val="26"/>
          <w:szCs w:val="26"/>
        </w:rPr>
        <w:t xml:space="preserve">all </w:t>
      </w:r>
      <w:r w:rsidRPr="0072600F">
        <w:rPr>
          <w:sz w:val="26"/>
          <w:szCs w:val="26"/>
        </w:rPr>
        <w:t>existing cluster study processes must comport with the requirements of Order No. 2023, whether the transmission provider currently operates a cluster study process or is currently undergoing a transition to a cluster study process.</w:t>
      </w:r>
      <w:r>
        <w:rPr>
          <w:rStyle w:val="FootnoteReference"/>
        </w:rPr>
        <w:footnoteReference w:id="101"/>
      </w:r>
      <w:r w:rsidRPr="0072600F">
        <w:rPr>
          <w:sz w:val="26"/>
          <w:szCs w:val="26"/>
        </w:rPr>
        <w:t xml:space="preserve">  Clean Energy Associations and IPP </w:t>
      </w:r>
      <w:r w:rsidRPr="0072600F">
        <w:rPr>
          <w:sz w:val="26"/>
          <w:szCs w:val="26"/>
        </w:rPr>
        <w:t>Coalition</w:t>
      </w:r>
      <w:r w:rsidRPr="0072600F">
        <w:rPr>
          <w:sz w:val="26"/>
          <w:szCs w:val="26"/>
        </w:rPr>
        <w:t xml:space="preserve"> </w:t>
      </w:r>
      <w:r w:rsidRPr="0072600F">
        <w:rPr>
          <w:sz w:val="26"/>
          <w:szCs w:val="26"/>
        </w:rPr>
        <w:t>argue that interconnection customers that are currently in a cluster study process should be required to satisfy the requirements of Order No. 2023, including site control requirements, within an identified time horizon (</w:t>
      </w:r>
      <w:r w:rsidRPr="0072600F">
        <w:rPr>
          <w:i/>
          <w:iCs/>
          <w:sz w:val="26"/>
          <w:szCs w:val="26"/>
        </w:rPr>
        <w:t>e.g.</w:t>
      </w:r>
      <w:r w:rsidRPr="0072600F">
        <w:rPr>
          <w:sz w:val="26"/>
          <w:szCs w:val="26"/>
        </w:rPr>
        <w:t>, 60-90 days of the compliance filing) or withdraw from the interconnection queue without penalty.</w:t>
      </w:r>
      <w:r>
        <w:rPr>
          <w:rStyle w:val="FootnoteReference"/>
        </w:rPr>
        <w:footnoteReference w:id="102"/>
      </w:r>
      <w:r w:rsidRPr="0072600F">
        <w:rPr>
          <w:sz w:val="26"/>
          <w:szCs w:val="26"/>
        </w:rPr>
        <w:t xml:space="preserve">  Clean Energy Associations and IPP Coalition</w:t>
      </w:r>
      <w:r w:rsidRPr="0072600F">
        <w:rPr>
          <w:sz w:val="26"/>
          <w:szCs w:val="26"/>
        </w:rPr>
        <w:t xml:space="preserve"> </w:t>
      </w:r>
      <w:r w:rsidRPr="0072600F">
        <w:rPr>
          <w:sz w:val="26"/>
          <w:szCs w:val="26"/>
        </w:rPr>
        <w:t xml:space="preserve">argue that, if some transmission providers are not required to transition to a process that is compliant with Order No. 2023, projects currently in the queue that are not ready to proceed will not face the increased readiness requirements </w:t>
      </w:r>
      <w:r w:rsidR="00883E87">
        <w:rPr>
          <w:sz w:val="26"/>
          <w:szCs w:val="26"/>
        </w:rPr>
        <w:t xml:space="preserve">  </w:t>
      </w:r>
      <w:r w:rsidRPr="0072600F">
        <w:rPr>
          <w:sz w:val="26"/>
          <w:szCs w:val="26"/>
        </w:rPr>
        <w:t xml:space="preserve">and delay reforms to new queue requests, undermining the central purpose of Order </w:t>
      </w:r>
      <w:r w:rsidR="00883E87">
        <w:rPr>
          <w:sz w:val="26"/>
          <w:szCs w:val="26"/>
        </w:rPr>
        <w:t xml:space="preserve">      </w:t>
      </w:r>
      <w:r w:rsidRPr="0072600F">
        <w:rPr>
          <w:sz w:val="26"/>
          <w:szCs w:val="26"/>
        </w:rPr>
        <w:t>No. 2023.</w:t>
      </w:r>
      <w:r>
        <w:rPr>
          <w:rStyle w:val="FootnoteReference"/>
        </w:rPr>
        <w:footnoteReference w:id="103"/>
      </w:r>
      <w:r w:rsidRPr="0072600F">
        <w:rPr>
          <w:sz w:val="26"/>
          <w:szCs w:val="26"/>
        </w:rPr>
        <w:t xml:space="preserve">   </w:t>
      </w:r>
    </w:p>
    <w:p w:rsidR="00760048" w:rsidRPr="0072600F" w14:paraId="67D406B7"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IPP Coalition</w:t>
      </w:r>
      <w:r w:rsidRPr="0072600F">
        <w:rPr>
          <w:sz w:val="26"/>
          <w:szCs w:val="26"/>
        </w:rPr>
        <w:t xml:space="preserve"> </w:t>
      </w:r>
      <w:r w:rsidRPr="0072600F">
        <w:rPr>
          <w:sz w:val="26"/>
          <w:szCs w:val="26"/>
        </w:rPr>
        <w:t>argue that, absent clarification, the Commission risks leaving in place a potentially problematic oversight.</w:t>
      </w:r>
      <w:r>
        <w:rPr>
          <w:rStyle w:val="FootnoteReference"/>
        </w:rPr>
        <w:footnoteReference w:id="104"/>
      </w:r>
      <w:r w:rsidRPr="0072600F">
        <w:rPr>
          <w:sz w:val="26"/>
          <w:szCs w:val="26"/>
        </w:rPr>
        <w:t xml:space="preserve">  Specifically, Clean Energy Associations and IPP Coalition</w:t>
      </w:r>
      <w:r w:rsidRPr="0072600F">
        <w:rPr>
          <w:sz w:val="26"/>
          <w:szCs w:val="26"/>
        </w:rPr>
        <w:t xml:space="preserve"> </w:t>
      </w:r>
      <w:r w:rsidRPr="0072600F">
        <w:rPr>
          <w:sz w:val="26"/>
          <w:szCs w:val="26"/>
        </w:rPr>
        <w:t xml:space="preserve">assert that the notion that transmission providers that have adopted or are currently transitioning to a cluster study process will not be required to implement a new transition process runs counter to the requirement that transmission providers may seek approval, on a case-by-case basis, to maintain </w:t>
      </w:r>
      <w:r w:rsidRPr="0072600F">
        <w:rPr>
          <w:sz w:val="26"/>
          <w:szCs w:val="26"/>
        </w:rPr>
        <w:t xml:space="preserve">variations from the </w:t>
      </w:r>
      <w:r w:rsidRPr="0072600F">
        <w:rPr>
          <w:i/>
          <w:sz w:val="26"/>
          <w:szCs w:val="26"/>
        </w:rPr>
        <w:t>pro forma</w:t>
      </w:r>
      <w:r w:rsidRPr="0072600F">
        <w:rPr>
          <w:sz w:val="26"/>
          <w:szCs w:val="26"/>
        </w:rPr>
        <w:t xml:space="preserve"> LGIP and </w:t>
      </w:r>
      <w:r w:rsidRPr="0072600F">
        <w:rPr>
          <w:i/>
          <w:sz w:val="26"/>
          <w:szCs w:val="26"/>
        </w:rPr>
        <w:t>pro forma</w:t>
      </w:r>
      <w:r w:rsidRPr="0072600F">
        <w:rPr>
          <w:sz w:val="26"/>
          <w:szCs w:val="26"/>
        </w:rPr>
        <w:t xml:space="preserve"> LGIA.</w:t>
      </w:r>
      <w:r>
        <w:rPr>
          <w:rStyle w:val="FootnoteReference"/>
        </w:rPr>
        <w:footnoteReference w:id="105"/>
      </w:r>
      <w:r w:rsidRPr="0072600F">
        <w:rPr>
          <w:sz w:val="26"/>
          <w:szCs w:val="26"/>
        </w:rPr>
        <w:t xml:space="preserve">  According to Clean Energy Associations and IPP Coalition, the fact that a transmission provider has an existing cluster study does not exempt that provider from its compliance obligation or the need to update its process to reflect the material elements of Order No. 2023.          </w:t>
      </w:r>
    </w:p>
    <w:p w:rsidR="00760048" w:rsidRPr="0072600F" w14:paraId="4C1276B7" w14:textId="77777777">
      <w:pPr>
        <w:pStyle w:val="FERCparanumber"/>
        <w:widowControl/>
        <w:numPr>
          <w:ilvl w:val="0"/>
          <w:numId w:val="25"/>
        </w:numPr>
        <w:autoSpaceDE/>
        <w:autoSpaceDN/>
        <w:adjustRightInd/>
        <w:spacing w:line="480" w:lineRule="auto"/>
        <w:rPr>
          <w:sz w:val="26"/>
          <w:szCs w:val="26"/>
        </w:rPr>
      </w:pPr>
      <w:r w:rsidRPr="0072600F">
        <w:rPr>
          <w:sz w:val="26"/>
          <w:szCs w:val="26"/>
        </w:rPr>
        <w:t>NV Energy requests that the Commission clarify whether the new tariff changes are applicable to all interconnection customers, including those that currently participate in a cluster study process or have executed LGIAs.</w:t>
      </w:r>
      <w:r>
        <w:rPr>
          <w:rStyle w:val="FootnoteReference"/>
        </w:rPr>
        <w:footnoteReference w:id="106"/>
      </w:r>
      <w:r w:rsidRPr="0072600F">
        <w:rPr>
          <w:sz w:val="26"/>
          <w:szCs w:val="26"/>
        </w:rPr>
        <w:t xml:space="preserve">  Specifically, NV Energy requests that the Commission clarify if interconnection customers will be required to update their respective study deposits, provide commercial readiness deposits correlating to the amounts required at the various stages of the process, and update their site control documentation in order to remain in the queue.</w:t>
      </w:r>
      <w:r>
        <w:rPr>
          <w:rStyle w:val="FootnoteReference"/>
        </w:rPr>
        <w:footnoteReference w:id="107"/>
      </w:r>
      <w:r w:rsidRPr="0072600F">
        <w:rPr>
          <w:sz w:val="26"/>
          <w:szCs w:val="26"/>
        </w:rPr>
        <w:t xml:space="preserve">  NV Energy requests a one-time ability for existing interconnection customers of transmission providers who currently conduct cluster studies to withdraw penalty-free from the queue if they are unable to provide the updated study deposits, site control, commercial readiness deposits, etc.  </w:t>
      </w:r>
    </w:p>
    <w:p w:rsidR="00760048" w:rsidRPr="0072600F" w14:paraId="7B613B52" w14:textId="77777777">
      <w:pPr>
        <w:pStyle w:val="FERCparanumber"/>
        <w:widowControl/>
        <w:numPr>
          <w:ilvl w:val="0"/>
          <w:numId w:val="25"/>
        </w:numPr>
        <w:autoSpaceDE/>
        <w:autoSpaceDN/>
        <w:adjustRightInd/>
        <w:spacing w:line="480" w:lineRule="auto"/>
        <w:rPr>
          <w:sz w:val="26"/>
          <w:szCs w:val="26"/>
        </w:rPr>
      </w:pPr>
      <w:r w:rsidRPr="0072600F">
        <w:rPr>
          <w:sz w:val="26"/>
          <w:szCs w:val="26"/>
        </w:rPr>
        <w:t>NV Energy additionally requests clarification on whether a queued</w:t>
      </w:r>
      <w:r w:rsidR="00FE7B49">
        <w:rPr>
          <w:sz w:val="26"/>
          <w:szCs w:val="26"/>
        </w:rPr>
        <w:t xml:space="preserve"> </w:t>
      </w:r>
      <w:r w:rsidRPr="0072600F">
        <w:rPr>
          <w:sz w:val="26"/>
          <w:szCs w:val="26"/>
        </w:rPr>
        <w:t xml:space="preserve">interconnection customer, whether in a current cluster study, with an executed facilities </w:t>
      </w:r>
      <w:r w:rsidRPr="0072600F">
        <w:rPr>
          <w:sz w:val="26"/>
          <w:szCs w:val="26"/>
        </w:rPr>
        <w:t>study agreement, or with an executed LGIA, must provide the heightened proof of site control by the effective date of the new tariff changes.</w:t>
      </w:r>
      <w:r>
        <w:rPr>
          <w:rStyle w:val="FootnoteReference"/>
        </w:rPr>
        <w:footnoteReference w:id="108"/>
      </w:r>
      <w:r w:rsidRPr="0072600F">
        <w:rPr>
          <w:sz w:val="26"/>
          <w:szCs w:val="26"/>
        </w:rPr>
        <w:t xml:space="preserve">  NV Energy seeks clarity on whether:  (1) existing queued interconnection customers are required to provide 90% of site control if not impacted by a regulatory limitation and are currently within the cluster study phase of the process; (2) existing queued interconnection customers with executed facilities studies agreements are required to provide 100% of site control if the site is not impacted by a regulatory limitation; (3) existing queued interconnection customers who are impacted by a regulatory limitation are required to update their deposit in lieu of site control to the new deposit amounts; and (4) existing queued interconnection customers with executed LGIAs who are impacted by a regulatory limitation are required to provide site control within 180 days of executing their respective LGIAs.</w:t>
      </w:r>
      <w:r w:rsidRPr="0072600F">
        <w:rPr>
          <w:rStyle w:val="FootnoteReference"/>
        </w:rPr>
        <w:t xml:space="preserve"> </w:t>
      </w:r>
    </w:p>
    <w:p w:rsidR="00760048" w:rsidRPr="0072600F" w14:paraId="5C2DA7C2" w14:textId="77777777">
      <w:pPr>
        <w:pStyle w:val="FERCparanumber"/>
        <w:widowControl/>
        <w:numPr>
          <w:ilvl w:val="0"/>
          <w:numId w:val="25"/>
        </w:numPr>
        <w:autoSpaceDE/>
        <w:autoSpaceDN/>
        <w:adjustRightInd/>
        <w:spacing w:line="480" w:lineRule="auto"/>
        <w:rPr>
          <w:sz w:val="26"/>
          <w:szCs w:val="26"/>
        </w:rPr>
      </w:pPr>
      <w:r w:rsidRPr="0072600F">
        <w:rPr>
          <w:sz w:val="26"/>
          <w:szCs w:val="26"/>
        </w:rPr>
        <w:t>EEI asks the Commission to clarify that Order No. 2023 does not require transmission providers to re-file and seek approval for portions of their existing LGIA and LGIP that have previously been approved by the Commission and are not directly impacted by Order No. 2023.</w:t>
      </w:r>
      <w:r>
        <w:rPr>
          <w:rStyle w:val="FootnoteReference"/>
        </w:rPr>
        <w:footnoteReference w:id="109"/>
      </w:r>
      <w:r w:rsidRPr="0072600F">
        <w:rPr>
          <w:sz w:val="26"/>
          <w:szCs w:val="26"/>
        </w:rPr>
        <w:t xml:space="preserve">  EEI argues that it would be inappropriate for the Commission to require transmission providers to re-file and seek approval for such portions of their existing LGIAs and LGIPs because the Commission provided no notice that it was going to review or reconsider every change it has previously approved for </w:t>
      </w:r>
      <w:r w:rsidRPr="0072600F">
        <w:rPr>
          <w:sz w:val="26"/>
          <w:szCs w:val="26"/>
        </w:rPr>
        <w:t>LGIAs and LGIPs, and thus transmission providers were not given an opportunity to defend previously approved changes.</w:t>
      </w:r>
      <w:r>
        <w:rPr>
          <w:rStyle w:val="FootnoteReference"/>
        </w:rPr>
        <w:footnoteReference w:id="110"/>
      </w:r>
      <w:r w:rsidRPr="0072600F">
        <w:rPr>
          <w:b/>
          <w:sz w:val="26"/>
          <w:szCs w:val="26"/>
        </w:rPr>
        <w:t xml:space="preserve"> </w:t>
      </w:r>
      <w:r w:rsidRPr="0072600F">
        <w:rPr>
          <w:sz w:val="26"/>
          <w:szCs w:val="26"/>
        </w:rPr>
        <w:t xml:space="preserve"> EEI argues that it would be a significant administrative burden for transmission providers to re-justify every change that the Commission has already approved.</w:t>
      </w:r>
      <w:r>
        <w:rPr>
          <w:rStyle w:val="FootnoteReference"/>
        </w:rPr>
        <w:footnoteReference w:id="111"/>
      </w:r>
      <w:r w:rsidRPr="0072600F">
        <w:rPr>
          <w:sz w:val="26"/>
          <w:szCs w:val="26"/>
        </w:rPr>
        <w:t xml:space="preserve">  </w:t>
      </w:r>
    </w:p>
    <w:p w:rsidR="00760048" w:rsidRPr="0072600F" w14:paraId="5E8997C3" w14:textId="77777777">
      <w:pPr>
        <w:pStyle w:val="FERCparanumber"/>
        <w:widowControl/>
        <w:numPr>
          <w:ilvl w:val="0"/>
          <w:numId w:val="25"/>
        </w:numPr>
        <w:autoSpaceDE/>
        <w:autoSpaceDN/>
        <w:adjustRightInd/>
        <w:spacing w:line="480" w:lineRule="auto"/>
        <w:rPr>
          <w:sz w:val="26"/>
          <w:szCs w:val="26"/>
        </w:rPr>
      </w:pPr>
      <w:r w:rsidRPr="0072600F">
        <w:rPr>
          <w:sz w:val="26"/>
          <w:szCs w:val="26"/>
        </w:rPr>
        <w:t>PJM asks the Commission to provide a clearer signal as to how it will take into account recently approved reforms such as PJM’s IPRTF.</w:t>
      </w:r>
      <w:r>
        <w:rPr>
          <w:rStyle w:val="FootnoteReference"/>
        </w:rPr>
        <w:footnoteReference w:id="112"/>
      </w:r>
      <w:r w:rsidRPr="0072600F">
        <w:rPr>
          <w:sz w:val="26"/>
          <w:szCs w:val="26"/>
        </w:rPr>
        <w:t xml:space="preserve">  PJM states that its recent queue reform meets the Commission’s intent in promulgating Order No. 2023, substantially satisfies its requirements, and is superior for the PJM region.</w:t>
      </w:r>
      <w:r>
        <w:rPr>
          <w:rStyle w:val="FootnoteReference"/>
        </w:rPr>
        <w:footnoteReference w:id="113"/>
      </w:r>
      <w:r w:rsidRPr="0072600F">
        <w:rPr>
          <w:sz w:val="26"/>
          <w:szCs w:val="26"/>
        </w:rPr>
        <w:t xml:space="preserve">  PJM explains that there are differences between the implementation mechanisms in its IPRTF Tariff and Order No. 2023, but that these mechanisms serve the same goals and offer the same protections and benefits.</w:t>
      </w:r>
      <w:r>
        <w:rPr>
          <w:rStyle w:val="FootnoteReference"/>
        </w:rPr>
        <w:footnoteReference w:id="114"/>
      </w:r>
      <w:r w:rsidRPr="0072600F">
        <w:rPr>
          <w:sz w:val="26"/>
          <w:szCs w:val="26"/>
        </w:rPr>
        <w:t xml:space="preserve">  </w:t>
      </w:r>
    </w:p>
    <w:p w:rsidR="00760048" w:rsidRPr="0072600F" w14:paraId="5F900F5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PJM states that it has begun its transition period, and unless the Commission provides more clarity as to how it will review recently approved queue reform processes in the Order No. 2023 compliance process, it will create substantial uncertainty that will </w:t>
      </w:r>
      <w:r w:rsidRPr="0072600F">
        <w:rPr>
          <w:sz w:val="26"/>
          <w:szCs w:val="26"/>
        </w:rPr>
        <w:t>distract from the effort to process the queue backlog.</w:t>
      </w:r>
      <w:r>
        <w:rPr>
          <w:rStyle w:val="FootnoteReference"/>
        </w:rPr>
        <w:footnoteReference w:id="115"/>
      </w:r>
      <w:r w:rsidRPr="0072600F">
        <w:rPr>
          <w:sz w:val="26"/>
          <w:szCs w:val="26"/>
        </w:rPr>
        <w:t xml:space="preserve">  PJM seeks clarification that it will not be required to implement Order No. 2023 in a manner that would modify or undermine the procedures recently accepted by the Commission, and that the Commission will review PJM’s request for an independent entity variation holistically, by examining whether the package as a whole is consistent with or superior to the goals and requirements of Order No. 2023 rather than forcing PJM to engage in an item-by-item justification of every variation from the minutiae of Order No. 2023’s requirements.</w:t>
      </w:r>
      <w:r>
        <w:rPr>
          <w:rStyle w:val="FootnoteReference"/>
        </w:rPr>
        <w:footnoteReference w:id="116"/>
      </w:r>
      <w:r w:rsidRPr="0072600F">
        <w:rPr>
          <w:sz w:val="26"/>
          <w:szCs w:val="26"/>
        </w:rPr>
        <w:t xml:space="preserve">  PJM explains that requiring it to overhaul its tariff or justify each difference from the new </w:t>
      </w:r>
      <w:r w:rsidRPr="0072600F">
        <w:rPr>
          <w:i/>
          <w:iCs/>
          <w:sz w:val="26"/>
          <w:szCs w:val="26"/>
        </w:rPr>
        <w:t>pro forma</w:t>
      </w:r>
      <w:r w:rsidRPr="0072600F">
        <w:rPr>
          <w:sz w:val="26"/>
          <w:szCs w:val="26"/>
        </w:rPr>
        <w:t xml:space="preserve"> will risk that some elements will be retained while other balancing elements will be changed, upsetting the balance that led to stakeholder approval.</w:t>
      </w:r>
      <w:r>
        <w:rPr>
          <w:rStyle w:val="FootnoteReference"/>
        </w:rPr>
        <w:footnoteReference w:id="117"/>
      </w:r>
      <w:r w:rsidRPr="0072600F">
        <w:rPr>
          <w:sz w:val="26"/>
          <w:szCs w:val="26"/>
        </w:rPr>
        <w:t xml:space="preserve">  PJM states that proceeding element by element through compliance will also provide intervenors an opportunity to re-litigate issues on which they did not prevail, which is contrary to judicial principles and would be a poor use of time.</w:t>
      </w:r>
      <w:r>
        <w:rPr>
          <w:rStyle w:val="FootnoteReference"/>
        </w:rPr>
        <w:footnoteReference w:id="118"/>
      </w:r>
      <w:r w:rsidRPr="0072600F">
        <w:rPr>
          <w:sz w:val="26"/>
          <w:szCs w:val="26"/>
        </w:rPr>
        <w:t xml:space="preserve">  PJM also explains that the elements of its tariff are interdependent, such that a piecemeal approach could undermine the entire tariff.    </w:t>
      </w:r>
    </w:p>
    <w:p w:rsidR="00760048" w:rsidRPr="0072600F" w14:paraId="34A8A3D1" w14:textId="77777777">
      <w:pPr>
        <w:pStyle w:val="FERCparanumber"/>
        <w:widowControl/>
        <w:numPr>
          <w:ilvl w:val="0"/>
          <w:numId w:val="25"/>
        </w:numPr>
        <w:autoSpaceDE/>
        <w:autoSpaceDN/>
        <w:adjustRightInd/>
        <w:spacing w:line="480" w:lineRule="auto"/>
        <w:rPr>
          <w:sz w:val="26"/>
          <w:szCs w:val="26"/>
        </w:rPr>
      </w:pPr>
      <w:r w:rsidRPr="0072600F">
        <w:rPr>
          <w:sz w:val="26"/>
          <w:szCs w:val="26"/>
        </w:rPr>
        <w:t>If the Commission does not provide the requested clarifications, PJM seeks rehearing because the Commission should have established a presumption that ongoing, recently approved interconnection queue reform packages comply with Order No. 2023.</w:t>
      </w:r>
      <w:r>
        <w:rPr>
          <w:rStyle w:val="FootnoteReference"/>
        </w:rPr>
        <w:footnoteReference w:id="119"/>
      </w:r>
      <w:r w:rsidRPr="0072600F">
        <w:rPr>
          <w:sz w:val="26"/>
          <w:szCs w:val="26"/>
        </w:rPr>
        <w:t xml:space="preserve">  PJM explains that Order No. 2023 is internally inconsistent because it seeks to expedite the interconnection queue, and recognizes the efforts of on-going queue reform, but refuses to grant a presumption, which will cause delay and inefficiency.</w:t>
      </w:r>
      <w:r>
        <w:rPr>
          <w:rStyle w:val="FootnoteReference"/>
        </w:rPr>
        <w:footnoteReference w:id="120"/>
      </w:r>
      <w:r w:rsidRPr="0072600F">
        <w:rPr>
          <w:sz w:val="26"/>
          <w:szCs w:val="26"/>
        </w:rPr>
        <w:t xml:space="preserve">  PJM argues that it would be arbitrary and capricious and inconsistent with reasoned decision-making to require modification of PJM’s tariff based on a generic rulemaking.</w:t>
      </w:r>
      <w:r>
        <w:rPr>
          <w:rStyle w:val="FootnoteReference"/>
        </w:rPr>
        <w:footnoteReference w:id="121"/>
      </w:r>
      <w:r w:rsidRPr="0072600F">
        <w:rPr>
          <w:sz w:val="26"/>
          <w:szCs w:val="26"/>
        </w:rPr>
        <w:t xml:space="preserve">  PJM also argues that failure to grant this rehearing will undermine confidence in the use of stakeholder processes.</w:t>
      </w:r>
      <w:r>
        <w:rPr>
          <w:rStyle w:val="FootnoteReference"/>
        </w:rPr>
        <w:footnoteReference w:id="122"/>
      </w:r>
      <w:r w:rsidRPr="0072600F">
        <w:rPr>
          <w:sz w:val="26"/>
          <w:szCs w:val="26"/>
        </w:rPr>
        <w:t xml:space="preserve">  </w:t>
      </w:r>
    </w:p>
    <w:p w:rsidR="00760048" w:rsidRPr="0072600F" w14:paraId="44A15966" w14:textId="77777777">
      <w:pPr>
        <w:pStyle w:val="FERCparanumber"/>
        <w:widowControl/>
        <w:numPr>
          <w:ilvl w:val="0"/>
          <w:numId w:val="25"/>
        </w:numPr>
        <w:autoSpaceDE/>
        <w:autoSpaceDN/>
        <w:adjustRightInd/>
        <w:spacing w:line="480" w:lineRule="auto"/>
        <w:rPr>
          <w:sz w:val="26"/>
          <w:szCs w:val="26"/>
        </w:rPr>
      </w:pPr>
      <w:r w:rsidRPr="0072600F">
        <w:rPr>
          <w:sz w:val="26"/>
          <w:szCs w:val="26"/>
        </w:rPr>
        <w:t>To the extent that the Commission does not grant PJM’s request to provide a clear signal on rehearing that it will consider whether the entire package of IPRTF reforms as a whole meets the goals of Order No. 2023 rather than forcing PJM to engage in an extensive justification of every variation from every detail in Order No. 2023, PJM requests rehearing.</w:t>
      </w:r>
      <w:r>
        <w:rPr>
          <w:rStyle w:val="FootnoteReference"/>
        </w:rPr>
        <w:footnoteReference w:id="123"/>
      </w:r>
      <w:r w:rsidRPr="0072600F">
        <w:rPr>
          <w:sz w:val="26"/>
          <w:szCs w:val="26"/>
        </w:rPr>
        <w:t xml:space="preserve">  </w:t>
      </w:r>
    </w:p>
    <w:p w:rsidR="00760048" w:rsidRPr="0072600F" w14:paraId="7CEF7B0A"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argues that the Commission should cure the deficiencies in Order No. 2023’s approach to compliance for early adopters like DESC and PJM.</w:t>
      </w:r>
      <w:r>
        <w:rPr>
          <w:rStyle w:val="FootnoteReference"/>
        </w:rPr>
        <w:footnoteReference w:id="124"/>
      </w:r>
      <w:r w:rsidRPr="0072600F">
        <w:rPr>
          <w:sz w:val="26"/>
          <w:szCs w:val="26"/>
        </w:rPr>
        <w:t xml:space="preserve">  Dominion suggests that the Commission could simply not require entities that have already transitioned or are in the process of transitioning to a first-ready, first-served cluster study construct to file compliance filings.  Dominion alternatively argues that the Commission could defer those entities’ obligations to modify their tariffs, pending an appropriate period of time to gather evidence about whether their particular, Commission-approved reforms need to be further modified.  Dominion asserts that this approach would be within the Commission’s statutory bounds, is administratively efficient, and maintains the settled expectations of the stakeholders that worked diligently and collaboratively to develop transmission provider-specific reforms.</w:t>
      </w:r>
      <w:r w:rsidRPr="0072600F">
        <w:rPr>
          <w:b/>
          <w:sz w:val="26"/>
          <w:szCs w:val="26"/>
        </w:rPr>
        <w:t xml:space="preserve"> </w:t>
      </w:r>
      <w:r w:rsidRPr="0072600F">
        <w:rPr>
          <w:sz w:val="26"/>
          <w:szCs w:val="26"/>
        </w:rPr>
        <w:t xml:space="preserve"> Dominion asserts that the Commission has on several occasions directed entities to provide reports so that it can monitor situations before deciding it is necessary to take action.</w:t>
      </w:r>
      <w:r>
        <w:rPr>
          <w:rStyle w:val="FootnoteReference"/>
        </w:rPr>
        <w:footnoteReference w:id="125"/>
      </w:r>
      <w:r w:rsidRPr="0072600F">
        <w:rPr>
          <w:b/>
          <w:sz w:val="26"/>
          <w:szCs w:val="26"/>
        </w:rPr>
        <w:t xml:space="preserve">  </w:t>
      </w:r>
      <w:r w:rsidRPr="0072600F">
        <w:rPr>
          <w:sz w:val="26"/>
          <w:szCs w:val="26"/>
        </w:rPr>
        <w:t xml:space="preserve">Dominion argues that the Commission could then require such early adopters to provide an additional report after a period of time determined by the Commission, such as two full cluster cycles following </w:t>
      </w:r>
      <w:r w:rsidRPr="0072600F">
        <w:rPr>
          <w:sz w:val="26"/>
          <w:szCs w:val="26"/>
        </w:rPr>
        <w:t>the transition, that would update the Commission on processing time under the proposed rule.</w:t>
      </w:r>
      <w:r w:rsidRPr="0072600F">
        <w:rPr>
          <w:b/>
          <w:bCs/>
          <w:sz w:val="26"/>
          <w:szCs w:val="26"/>
          <w:vertAlign w:val="superscript"/>
        </w:rPr>
        <w:t xml:space="preserve"> </w:t>
      </w:r>
    </w:p>
    <w:p w:rsidR="00760048" w:rsidRPr="0072600F" w14:paraId="0A50186F"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argues that, if the reports demonstrate that early adopters’ processes are not meeting the goals of Order No. 2023, the Commission would then have a sufficient record, through the reports, to determine whether to direct further changes to conform with Order No. 2023.</w:t>
      </w:r>
      <w:r>
        <w:rPr>
          <w:rStyle w:val="FootnoteReference"/>
        </w:rPr>
        <w:footnoteReference w:id="126"/>
      </w:r>
      <w:r w:rsidRPr="0072600F">
        <w:rPr>
          <w:b/>
          <w:sz w:val="26"/>
          <w:szCs w:val="26"/>
        </w:rPr>
        <w:t xml:space="preserve"> </w:t>
      </w:r>
      <w:r w:rsidRPr="0072600F">
        <w:rPr>
          <w:sz w:val="26"/>
          <w:szCs w:val="26"/>
        </w:rPr>
        <w:t xml:space="preserve"> Dominion contends that this compliance path for early adopters is superior to Order No. 2023’s proposal and would allow transmission providers to demonstrate that the desired aim of Order No. 2023—facilitating quicker, more efficient interconnection processes—is being achieved.</w:t>
      </w:r>
      <w:r w:rsidRPr="0072600F">
        <w:rPr>
          <w:b/>
          <w:bCs/>
          <w:sz w:val="26"/>
          <w:szCs w:val="26"/>
          <w:vertAlign w:val="superscript"/>
        </w:rPr>
        <w:t xml:space="preserve"> </w:t>
      </w:r>
    </w:p>
    <w:p w:rsidR="00760048" w:rsidRPr="0072600F" w14:paraId="3DC62015" w14:textId="77777777">
      <w:pPr>
        <w:pStyle w:val="FERCparanumber"/>
        <w:widowControl/>
        <w:numPr>
          <w:ilvl w:val="0"/>
          <w:numId w:val="25"/>
        </w:numPr>
        <w:autoSpaceDE/>
        <w:autoSpaceDN/>
        <w:adjustRightInd/>
        <w:spacing w:line="480" w:lineRule="auto"/>
        <w:rPr>
          <w:sz w:val="26"/>
          <w:szCs w:val="26"/>
        </w:rPr>
      </w:pPr>
      <w:r w:rsidRPr="0072600F">
        <w:rPr>
          <w:sz w:val="26"/>
          <w:szCs w:val="26"/>
        </w:rPr>
        <w:t>Revised Early Adopter Coalition and PacifiCorp state that, to the extent a transmission provider does not seek or is not granted a variance for its existing interconnection reforms, such transmission provider appears to be required to immediately adopt the reforms in Order No. 2023 without any ability to start from a clean slate like other transmission providers utilizing a transition study process or to conclude any ongoing studies.</w:t>
      </w:r>
      <w:r>
        <w:rPr>
          <w:rStyle w:val="FootnoteReference"/>
        </w:rPr>
        <w:footnoteReference w:id="127"/>
      </w:r>
      <w:r w:rsidRPr="0072600F">
        <w:rPr>
          <w:sz w:val="26"/>
          <w:szCs w:val="26"/>
        </w:rPr>
        <w:t xml:space="preserve">  Revised Early Adopters Coalition and PacifiCorp argue that Order No. 2023 does not appear to allow early adopters of interconnection reforms an option to open the initial cluster request window under Order No. 2023 after the </w:t>
      </w:r>
      <w:r w:rsidRPr="0072600F">
        <w:rPr>
          <w:sz w:val="26"/>
          <w:szCs w:val="26"/>
        </w:rPr>
        <w:t>conclusion of the study of existing interconnection requests.</w:t>
      </w:r>
      <w:r>
        <w:rPr>
          <w:rStyle w:val="FootnoteReference"/>
        </w:rPr>
        <w:footnoteReference w:id="128"/>
      </w:r>
      <w:r w:rsidRPr="0072600F">
        <w:rPr>
          <w:b/>
          <w:bCs/>
          <w:sz w:val="26"/>
          <w:szCs w:val="26"/>
        </w:rPr>
        <w:t xml:space="preserve"> </w:t>
      </w:r>
      <w:r w:rsidRPr="0072600F">
        <w:rPr>
          <w:sz w:val="26"/>
          <w:szCs w:val="26"/>
        </w:rPr>
        <w:t xml:space="preserve"> Revised Early Adopters Coalition and PacifiCorp assert that, because many early adopters are currently in the process of one or more cluster studies, not allowing such early adopters to use a transition cluster study process is both unworkable for such transmission providers and also contrary to Order No. 2023’s assurance that “the provisions of this final rule are not intended to interfere with the timely completion of those in-progress cluster studies and transition processes.”</w:t>
      </w:r>
      <w:r>
        <w:rPr>
          <w:rStyle w:val="FootnoteReference"/>
        </w:rPr>
        <w:footnoteReference w:id="129"/>
      </w:r>
      <w:r w:rsidRPr="0072600F">
        <w:rPr>
          <w:b/>
          <w:bCs/>
          <w:sz w:val="26"/>
          <w:szCs w:val="26"/>
        </w:rPr>
        <w:t xml:space="preserve">  </w:t>
      </w:r>
    </w:p>
    <w:p w:rsidR="00760048" w:rsidRPr="0072600F" w14:paraId="74C9A396" w14:textId="77777777">
      <w:pPr>
        <w:pStyle w:val="FERCparanumber"/>
        <w:widowControl/>
        <w:numPr>
          <w:ilvl w:val="0"/>
          <w:numId w:val="25"/>
        </w:numPr>
        <w:autoSpaceDE/>
        <w:autoSpaceDN/>
        <w:adjustRightInd/>
        <w:spacing w:line="480" w:lineRule="auto"/>
        <w:rPr>
          <w:sz w:val="26"/>
          <w:szCs w:val="26"/>
        </w:rPr>
      </w:pPr>
      <w:r w:rsidRPr="0072600F">
        <w:rPr>
          <w:sz w:val="26"/>
          <w:szCs w:val="26"/>
        </w:rPr>
        <w:t>Revised Early Adopters Coalition and PacifiCorp state that Order No. 2023 also appears to require early adopters to undertake an initial cluster request window prior to completion of cluster studies and/or restudies currently underway.</w:t>
      </w:r>
      <w:r>
        <w:rPr>
          <w:rStyle w:val="FootnoteReference"/>
        </w:rPr>
        <w:footnoteReference w:id="130"/>
      </w:r>
      <w:r w:rsidRPr="0072600F">
        <w:rPr>
          <w:sz w:val="26"/>
          <w:szCs w:val="26"/>
        </w:rPr>
        <w:t xml:space="preserve">  Revised Early Adopters Coalition and PacifiCorp argue that this would be an unexplained departure from prior precedent and the Commission’s own statements in Order No. 2023.</w:t>
      </w:r>
      <w:r>
        <w:rPr>
          <w:rStyle w:val="FootnoteReference"/>
        </w:rPr>
        <w:footnoteReference w:id="131"/>
      </w:r>
      <w:r w:rsidRPr="0072600F">
        <w:rPr>
          <w:b/>
          <w:bCs/>
          <w:sz w:val="26"/>
          <w:szCs w:val="26"/>
        </w:rPr>
        <w:t xml:space="preserve"> </w:t>
      </w:r>
      <w:r w:rsidRPr="0072600F">
        <w:rPr>
          <w:sz w:val="26"/>
          <w:szCs w:val="26"/>
        </w:rPr>
        <w:t xml:space="preserve"> </w:t>
      </w:r>
      <w:r w:rsidRPr="0072600F">
        <w:rPr>
          <w:sz w:val="26"/>
          <w:szCs w:val="26"/>
        </w:rPr>
        <w:t>Revised Early Adopters Coalition and PacifiCorp assert that this will also interfere with the timely completion of current cluster studies because it will divert already strained resources to preparing for and implementing Order No. 2023’s new provisions.</w:t>
      </w:r>
      <w:r w:rsidRPr="0072600F">
        <w:rPr>
          <w:b/>
          <w:bCs/>
          <w:sz w:val="26"/>
          <w:szCs w:val="26"/>
        </w:rPr>
        <w:t xml:space="preserve"> </w:t>
      </w:r>
      <w:r w:rsidRPr="0072600F">
        <w:rPr>
          <w:sz w:val="26"/>
          <w:szCs w:val="26"/>
        </w:rPr>
        <w:t xml:space="preserve"> Revised Early Adopters Coalition and PacifiCorp further argue that this will put early adopters in the difficult, if not impossible, situation of having to undertake new cluster studies under Order No. 2023 that are reliant on outcomes of existing, not-yet-completed, cluster studies.  </w:t>
      </w:r>
    </w:p>
    <w:p w:rsidR="00760048" w:rsidRPr="0072600F" w14:paraId="7695A926" w14:textId="77777777">
      <w:pPr>
        <w:pStyle w:val="FERCparanumber"/>
        <w:widowControl/>
        <w:numPr>
          <w:ilvl w:val="0"/>
          <w:numId w:val="25"/>
        </w:numPr>
        <w:autoSpaceDE/>
        <w:autoSpaceDN/>
        <w:adjustRightInd/>
        <w:spacing w:line="480" w:lineRule="auto"/>
        <w:rPr>
          <w:sz w:val="26"/>
          <w:szCs w:val="26"/>
        </w:rPr>
      </w:pPr>
      <w:r w:rsidRPr="0072600F">
        <w:rPr>
          <w:sz w:val="26"/>
          <w:szCs w:val="26"/>
        </w:rPr>
        <w:t>Revised Early Adopters Coalition and PacifiCorp ask the Commission to clarify that early adopters of similar interconnection reforms, to the extent they do not seek or are not granted variances for their existing interconnection reforms, may conclude their pending/existing studies before transition to the new Order No. 2023 process.</w:t>
      </w:r>
      <w:r>
        <w:rPr>
          <w:rStyle w:val="FootnoteReference"/>
        </w:rPr>
        <w:footnoteReference w:id="132"/>
      </w:r>
      <w:r w:rsidRPr="0072600F">
        <w:rPr>
          <w:b/>
          <w:sz w:val="26"/>
          <w:szCs w:val="26"/>
        </w:rPr>
        <w:t xml:space="preserve"> </w:t>
      </w:r>
      <w:r w:rsidRPr="0072600F">
        <w:rPr>
          <w:sz w:val="26"/>
          <w:szCs w:val="26"/>
        </w:rPr>
        <w:t xml:space="preserve"> Revised Early Adopters Coalition and PacifiCorp alternatively request that the Commission grant rehearing to permit such study flexibility for those transmission providers who have already adopted similar reforms to Order No. 2023.  PacifiCorp argues that, without this flexibility, new cluster studies pursuant to Order No. 2023 may not be reliable as they will need to rely upon assumptions, including “higher priority requests” that were studied in prior interconnection studies and assumed to be in service.</w:t>
      </w:r>
      <w:r>
        <w:rPr>
          <w:rStyle w:val="FootnoteReference"/>
        </w:rPr>
        <w:footnoteReference w:id="133"/>
      </w:r>
      <w:r w:rsidRPr="0072600F">
        <w:rPr>
          <w:sz w:val="26"/>
          <w:szCs w:val="26"/>
        </w:rPr>
        <w:t xml:space="preserve">  PacifiCorp emphasizes </w:t>
      </w:r>
      <w:r w:rsidRPr="0072600F">
        <w:rPr>
          <w:sz w:val="26"/>
          <w:szCs w:val="26"/>
        </w:rPr>
        <w:t xml:space="preserve">that this flexibility is imperative, given the size of its queue—326 active interconnection requests, accounting for over 59 gigawatts of requests.       </w:t>
      </w:r>
    </w:p>
    <w:p w:rsidR="00760048" w:rsidRPr="0072600F" w:rsidP="004768F4" w14:paraId="66871A27" w14:textId="77777777">
      <w:pPr>
        <w:pStyle w:val="FERCparanumber"/>
        <w:widowControl/>
        <w:numPr>
          <w:ilvl w:val="0"/>
          <w:numId w:val="25"/>
        </w:numPr>
        <w:autoSpaceDE/>
        <w:autoSpaceDN/>
        <w:adjustRightInd/>
        <w:spacing w:line="480" w:lineRule="auto"/>
        <w:ind w:right="-270"/>
        <w:rPr>
          <w:sz w:val="26"/>
          <w:szCs w:val="26"/>
        </w:rPr>
      </w:pPr>
      <w:r w:rsidRPr="0072600F">
        <w:rPr>
          <w:sz w:val="26"/>
          <w:szCs w:val="26"/>
        </w:rPr>
        <w:t>Revised Early Adopters Coalition and PacifiCorp further assert that Order No. 2023 puts early adopters of interconnection reforms in a uniquely disadvantaged position of having to simultaneously administer two types of interconnection processes and, as a result, potentially expose them to greater likelihood of penalties than other transmission providers.</w:t>
      </w:r>
      <w:r>
        <w:rPr>
          <w:rStyle w:val="FootnoteReference"/>
        </w:rPr>
        <w:footnoteReference w:id="134"/>
      </w:r>
      <w:r w:rsidRPr="0072600F">
        <w:rPr>
          <w:sz w:val="26"/>
          <w:szCs w:val="26"/>
        </w:rPr>
        <w:t xml:space="preserve">  Revised Early Adopters Coalition assert</w:t>
      </w:r>
      <w:r w:rsidR="008446FA">
        <w:rPr>
          <w:sz w:val="26"/>
          <w:szCs w:val="26"/>
        </w:rPr>
        <w:t>s</w:t>
      </w:r>
      <w:r w:rsidRPr="0072600F">
        <w:rPr>
          <w:sz w:val="26"/>
          <w:szCs w:val="26"/>
        </w:rPr>
        <w:t xml:space="preserve"> that exposing early adopters to such outsized risks would be arbitrary and capricious as well as discriminatory.</w:t>
      </w:r>
      <w:r>
        <w:rPr>
          <w:rStyle w:val="FootnoteReference"/>
        </w:rPr>
        <w:footnoteReference w:id="135"/>
      </w:r>
      <w:r w:rsidRPr="0072600F">
        <w:rPr>
          <w:b/>
          <w:sz w:val="26"/>
          <w:szCs w:val="26"/>
        </w:rPr>
        <w:t xml:space="preserve"> </w:t>
      </w:r>
      <w:r w:rsidRPr="0072600F">
        <w:rPr>
          <w:sz w:val="26"/>
          <w:szCs w:val="26"/>
        </w:rPr>
        <w:t xml:space="preserve"> </w:t>
      </w:r>
    </w:p>
    <w:p w:rsidR="00760048" w:rsidRPr="0072600F" w14:paraId="6803340A" w14:textId="77777777">
      <w:pPr>
        <w:pStyle w:val="FERCparanumber"/>
        <w:widowControl/>
        <w:numPr>
          <w:ilvl w:val="0"/>
          <w:numId w:val="25"/>
        </w:numPr>
        <w:autoSpaceDE/>
        <w:autoSpaceDN/>
        <w:adjustRightInd/>
        <w:spacing w:line="480" w:lineRule="auto"/>
        <w:rPr>
          <w:sz w:val="26"/>
          <w:szCs w:val="26"/>
        </w:rPr>
      </w:pPr>
      <w:r w:rsidRPr="0072600F">
        <w:rPr>
          <w:sz w:val="26"/>
          <w:szCs w:val="26"/>
        </w:rPr>
        <w:t>Revised Early Adopters Coalition and PacifiCorp explain that, if permitted the flexibility above, any transmission provider that currently has one or more ongoing cluster studies pursuant to its Commission-accepted cluster study processes, and who has not sought and received a variance, would commence new cluster studies only after all pending interconnection request cluster studies (or restudies) have concluded and only under updated tariff provisions that are consistent with or superior to Order No. 2023.</w:t>
      </w:r>
      <w:r>
        <w:rPr>
          <w:rStyle w:val="FootnoteReference"/>
        </w:rPr>
        <w:footnoteReference w:id="136"/>
      </w:r>
      <w:r w:rsidRPr="0072600F">
        <w:rPr>
          <w:b/>
          <w:sz w:val="26"/>
          <w:szCs w:val="26"/>
        </w:rPr>
        <w:t xml:space="preserve"> </w:t>
      </w:r>
      <w:r w:rsidRPr="0072600F">
        <w:rPr>
          <w:sz w:val="26"/>
          <w:szCs w:val="26"/>
        </w:rPr>
        <w:t xml:space="preserve"> Revised Early Adopters Coalition and PacifiCorp state that allowing such providers to </w:t>
      </w:r>
      <w:r w:rsidRPr="0072600F">
        <w:rPr>
          <w:sz w:val="26"/>
          <w:szCs w:val="26"/>
        </w:rPr>
        <w:t xml:space="preserve">conclude their existing cluster studies before transition to the new </w:t>
      </w:r>
      <w:r w:rsidRPr="0072600F">
        <w:rPr>
          <w:i/>
          <w:iCs/>
          <w:sz w:val="26"/>
          <w:szCs w:val="26"/>
        </w:rPr>
        <w:t>pro forma</w:t>
      </w:r>
      <w:r w:rsidRPr="0072600F">
        <w:rPr>
          <w:sz w:val="26"/>
          <w:szCs w:val="26"/>
        </w:rPr>
        <w:t xml:space="preserve"> study approach will preserve the interests of current interconnection customers that have been participating in the existing cluster study process as well as ease the administrative burden for such transmission providers.</w:t>
      </w:r>
      <w:r w:rsidRPr="0072600F">
        <w:rPr>
          <w:b/>
          <w:sz w:val="26"/>
          <w:szCs w:val="26"/>
          <w:vertAlign w:val="superscript"/>
        </w:rPr>
        <w:t xml:space="preserve"> </w:t>
      </w:r>
    </w:p>
    <w:p w:rsidR="00760048" w:rsidRPr="0072600F" w14:paraId="5DF056B9" w14:textId="77777777">
      <w:pPr>
        <w:pStyle w:val="FERCparanumber"/>
        <w:widowControl/>
        <w:numPr>
          <w:ilvl w:val="0"/>
          <w:numId w:val="25"/>
        </w:numPr>
        <w:autoSpaceDE/>
        <w:autoSpaceDN/>
        <w:adjustRightInd/>
        <w:spacing w:line="480" w:lineRule="auto"/>
        <w:rPr>
          <w:sz w:val="26"/>
          <w:szCs w:val="26"/>
        </w:rPr>
      </w:pPr>
      <w:r w:rsidRPr="0072600F">
        <w:rPr>
          <w:sz w:val="26"/>
          <w:szCs w:val="26"/>
        </w:rPr>
        <w:t>Revised Early Adopters Coalition and PacifiCorp also request, in the alternative, that the Commission allow early adopters to use a transition process similar to other transmission providers, if such a process better suits their needs and facilitates expedient queue processing.</w:t>
      </w:r>
      <w:r>
        <w:rPr>
          <w:rStyle w:val="FootnoteReference"/>
        </w:rPr>
        <w:footnoteReference w:id="137"/>
      </w:r>
      <w:r w:rsidRPr="0072600F">
        <w:rPr>
          <w:sz w:val="26"/>
          <w:szCs w:val="26"/>
        </w:rPr>
        <w:t xml:space="preserve">  Revised Early Adopters Coalition and PacifiCorp request that, either through clarification or rehearing, the Commission ensure that early adopters have the flexibility to choose either Order No. 2023’s transition process or the ability to implement Order No 2023’s reforms after completing any existing cluster studies and restudies.</w:t>
      </w:r>
    </w:p>
    <w:p w:rsidR="00760048" w:rsidRPr="0072600F" w14:paraId="683BD10B" w14:textId="77777777">
      <w:pPr>
        <w:pStyle w:val="FERCparanumber"/>
        <w:widowControl/>
        <w:numPr>
          <w:ilvl w:val="0"/>
          <w:numId w:val="25"/>
        </w:numPr>
        <w:autoSpaceDE/>
        <w:autoSpaceDN/>
        <w:adjustRightInd/>
        <w:spacing w:line="480" w:lineRule="auto"/>
        <w:rPr>
          <w:sz w:val="26"/>
          <w:szCs w:val="26"/>
        </w:rPr>
      </w:pPr>
      <w:r w:rsidRPr="0072600F">
        <w:rPr>
          <w:sz w:val="26"/>
          <w:szCs w:val="26"/>
        </w:rPr>
        <w:t>WIRES argues that Order No. 2023 also includes new requirements that need clarification or further consideration by the Commission.</w:t>
      </w:r>
      <w:r>
        <w:rPr>
          <w:rStyle w:val="FootnoteReference"/>
        </w:rPr>
        <w:footnoteReference w:id="138"/>
      </w:r>
      <w:r w:rsidRPr="0072600F">
        <w:rPr>
          <w:sz w:val="26"/>
          <w:szCs w:val="26"/>
        </w:rPr>
        <w:t xml:space="preserve">  WIRES states that it generally agrees that the shift from a serial study process to a cluster study process is likely to result in greater efficiency and provide more certainty but argues that the Commission has not explained how this new requirement will sync up with ongoing </w:t>
      </w:r>
      <w:r w:rsidRPr="0072600F">
        <w:rPr>
          <w:sz w:val="26"/>
          <w:szCs w:val="26"/>
        </w:rPr>
        <w:t xml:space="preserve">efforts that are already under way.  WIRES requests that the Commission clarify how it plans to accommodate those ongoing efforts.  </w:t>
      </w:r>
    </w:p>
    <w:p w:rsidR="00760048" w:rsidRPr="00FE47B2" w14:paraId="59CF8B08"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6" w:name="_bmk10"/>
      <w:r w:rsidRPr="00FE47B2">
        <w:rPr>
          <w:b/>
          <w:bCs/>
          <w:sz w:val="26"/>
          <w:u w:val="single"/>
        </w:rPr>
        <w:t>D</w:t>
      </w:r>
      <w:bookmarkEnd w:id="16"/>
      <w:r w:rsidRPr="00FE47B2">
        <w:rPr>
          <w:b/>
          <w:bCs/>
          <w:sz w:val="26"/>
          <w:u w:val="single"/>
        </w:rPr>
        <w:t>etermination</w:t>
      </w:r>
    </w:p>
    <w:p w:rsidR="00760048" w:rsidRPr="0072600F" w14:paraId="0A158B4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clarify that </w:t>
      </w:r>
      <w:bookmarkStart w:id="17" w:name="_Hlk156551999"/>
      <w:r w:rsidRPr="0072600F">
        <w:rPr>
          <w:sz w:val="26"/>
          <w:szCs w:val="26"/>
        </w:rPr>
        <w:t xml:space="preserve">all transmission providers, including those with existing cluster study processes, have a compliance obligation to review and modify their current </w:t>
      </w:r>
      <w:r w:rsidRPr="0072600F">
        <w:rPr>
          <w:i/>
          <w:iCs/>
          <w:sz w:val="26"/>
          <w:szCs w:val="26"/>
        </w:rPr>
        <w:t xml:space="preserve">pro forma </w:t>
      </w:r>
      <w:r w:rsidRPr="0072600F">
        <w:rPr>
          <w:sz w:val="26"/>
          <w:szCs w:val="26"/>
        </w:rPr>
        <w:t xml:space="preserve">interconnection procedures and </w:t>
      </w:r>
      <w:r w:rsidRPr="0072600F">
        <w:rPr>
          <w:i/>
          <w:iCs/>
          <w:sz w:val="26"/>
          <w:szCs w:val="26"/>
        </w:rPr>
        <w:t xml:space="preserve">pro forma </w:t>
      </w:r>
      <w:r w:rsidRPr="0072600F">
        <w:rPr>
          <w:sz w:val="26"/>
          <w:szCs w:val="26"/>
        </w:rPr>
        <w:t xml:space="preserve">interconnection agreements to comply with Order No. </w:t>
      </w:r>
      <w:bookmarkEnd w:id="17"/>
      <w:r w:rsidRPr="0072600F">
        <w:rPr>
          <w:sz w:val="26"/>
          <w:szCs w:val="26"/>
        </w:rPr>
        <w:t>2023.  However, we continue to find that transmission providers that have already adopted a cluster study process or are currently undergoing a transition to a cluster study process will not be required to implement the transition process laid out in Order No. 2023,</w:t>
      </w:r>
      <w:r>
        <w:rPr>
          <w:rStyle w:val="FootnoteReference"/>
        </w:rPr>
        <w:footnoteReference w:id="139"/>
      </w:r>
      <w:r w:rsidRPr="0072600F">
        <w:rPr>
          <w:sz w:val="26"/>
          <w:szCs w:val="26"/>
        </w:rPr>
        <w:t xml:space="preserve"> and thus further clarify that such transmission providers are not required to file </w:t>
      </w:r>
      <w:r w:rsidRPr="0072600F">
        <w:rPr>
          <w:i/>
          <w:iCs/>
          <w:sz w:val="26"/>
          <w:szCs w:val="26"/>
        </w:rPr>
        <w:t xml:space="preserve">pro forma </w:t>
      </w:r>
      <w:r w:rsidRPr="0072600F">
        <w:rPr>
          <w:sz w:val="26"/>
          <w:szCs w:val="26"/>
        </w:rPr>
        <w:t xml:space="preserve">LGIP section 5 (Procedures for Interconnection Requests Submitted Prior to Effective Date of the Cluster Study) and the related appendices in their compliance filings.  </w:t>
      </w:r>
    </w:p>
    <w:p w:rsidR="00760048" w:rsidRPr="0072600F" w14:paraId="778DB0D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However, in response to the arguments raised by Revised Early Adopters Coalition and PacifiCorp, we note that Order No. 2023 does not prohibit such transmission providers from adopting the transition process established in Order No. 2023.  Therefore, a transmission provider that does not seek or is not granted a variance for its existing cluster study process and adopts the reforms in Order No. 2023 would be able to use the Order No. 2023 transition process.  Where transmission providers propose </w:t>
      </w:r>
      <w:r w:rsidRPr="0072600F">
        <w:rPr>
          <w:sz w:val="26"/>
          <w:szCs w:val="26"/>
        </w:rPr>
        <w:t>variations to the Order No. 2023 transition process, the Commission will evaluate such proposals under the consistent with or superior to standard for non-RTO transmission providers and the independent entity variation standard for RTOs/ISOs.  A transmission provider currently conducting a cluster study process that does not propose to conduct an Order No. 2023 transition process must comply with the remaining requirements of Order No. 2023 other than the transition process.</w:t>
      </w:r>
    </w:p>
    <w:p w:rsidR="00760048" w:rsidRPr="0072600F" w14:paraId="11C5CD7F" w14:textId="77777777">
      <w:pPr>
        <w:pStyle w:val="FERCparanumber"/>
        <w:widowControl/>
        <w:numPr>
          <w:ilvl w:val="0"/>
          <w:numId w:val="25"/>
        </w:numPr>
        <w:autoSpaceDE/>
        <w:autoSpaceDN/>
        <w:adjustRightInd/>
        <w:spacing w:line="480" w:lineRule="auto"/>
        <w:rPr>
          <w:sz w:val="26"/>
          <w:szCs w:val="26"/>
        </w:rPr>
      </w:pPr>
      <w:bookmarkStart w:id="18" w:name="_Hlk156552024"/>
      <w:r w:rsidRPr="0072600F">
        <w:rPr>
          <w:sz w:val="26"/>
          <w:szCs w:val="26"/>
        </w:rPr>
        <w:t>We further grant clarification in response to requests seeking to clarify the applicability of the Order No. 2023 readiness requirements to a transmission provider currently conducting a cluster study process.  On compliance, unless it proposes a variation, such a transmission provider must adopt the Order No. 2023 readiness requirements;</w:t>
      </w:r>
      <w:r>
        <w:rPr>
          <w:rStyle w:val="FootnoteReference"/>
        </w:rPr>
        <w:footnoteReference w:id="140"/>
      </w:r>
      <w:r w:rsidRPr="0072600F">
        <w:rPr>
          <w:sz w:val="26"/>
          <w:szCs w:val="26"/>
        </w:rPr>
        <w:t xml:space="preserve"> those new readiness requirements are then to be applied based on the interconnection customer’s progress in the queue as of 60 calendar days after the Commission-approved effective date of the transmission provider’s compliance filing</w:t>
      </w:r>
      <w:bookmarkEnd w:id="18"/>
      <w:r w:rsidRPr="0072600F">
        <w:rPr>
          <w:sz w:val="26"/>
          <w:szCs w:val="26"/>
        </w:rPr>
        <w:t xml:space="preserve">.  </w:t>
      </w:r>
      <w:bookmarkStart w:id="19" w:name="_Hlk156552042"/>
      <w:r w:rsidRPr="0072600F">
        <w:rPr>
          <w:sz w:val="26"/>
          <w:szCs w:val="26"/>
        </w:rPr>
        <w:t xml:space="preserve">Within 60 calendar days of the Commission-approved effective date of the transmission provider’s Order No. 2023 compliance filing, interconnection customers that have not executed an LGIA or requested an LGIA to be filed unexecuted with the Commission must meet the transmission provider’s new readiness requirements for the relevant study phase, such as updating their respective study deposits, providing commercial readiness deposits correlating to the amounts required at the various stages of the process, and </w:t>
      </w:r>
      <w:r w:rsidRPr="0072600F">
        <w:rPr>
          <w:sz w:val="26"/>
          <w:szCs w:val="26"/>
        </w:rPr>
        <w:t xml:space="preserve">demonstrating site control.  </w:t>
      </w:r>
      <w:bookmarkEnd w:id="19"/>
      <w:r w:rsidRPr="0072600F">
        <w:rPr>
          <w:sz w:val="26"/>
          <w:szCs w:val="26"/>
        </w:rPr>
        <w:t>Interconnection customers that must meet the transmission provider’s new readiness requirements may withdraw within the 60 days after the Commission-approved effective date of the transmission provider’s Order No. 2023 compliance filing without being subject to Order No. 2023 withdrawal penalties.  If the interconnection customer chooses to withdraw outside this 60-day</w:t>
      </w:r>
      <w:r w:rsidRPr="0072600F">
        <w:rPr>
          <w:sz w:val="26"/>
          <w:szCs w:val="26"/>
        </w:rPr>
        <w:t xml:space="preserve"> </w:t>
      </w:r>
      <w:r w:rsidRPr="0072600F">
        <w:rPr>
          <w:sz w:val="26"/>
          <w:szCs w:val="26"/>
        </w:rPr>
        <w:t xml:space="preserve">timeline, the interconnection customer will be subject to the new withdrawal penalties.  To reflect these clarifications, we set aside Order No. 2023, in part, and add new section 5.1.2 to the </w:t>
      </w:r>
      <w:r w:rsidRPr="0072600F">
        <w:rPr>
          <w:i/>
          <w:iCs/>
          <w:sz w:val="26"/>
          <w:szCs w:val="26"/>
        </w:rPr>
        <w:t>pro forma</w:t>
      </w:r>
      <w:r w:rsidRPr="0072600F">
        <w:rPr>
          <w:sz w:val="26"/>
          <w:szCs w:val="26"/>
        </w:rPr>
        <w:t xml:space="preserve"> LGIP.</w:t>
      </w:r>
      <w:r>
        <w:rPr>
          <w:rStyle w:val="FootnoteReference"/>
        </w:rPr>
        <w:footnoteReference w:id="141"/>
      </w:r>
      <w:r w:rsidRPr="0072600F">
        <w:rPr>
          <w:sz w:val="26"/>
          <w:szCs w:val="26"/>
        </w:rPr>
        <w:t xml:space="preserve">  </w:t>
      </w:r>
    </w:p>
    <w:p w:rsidR="00760048" w:rsidRPr="0072600F" w14:paraId="6C694D30" w14:textId="77777777">
      <w:pPr>
        <w:pStyle w:val="FERCparanumber"/>
        <w:widowControl/>
        <w:numPr>
          <w:ilvl w:val="0"/>
          <w:numId w:val="25"/>
        </w:numPr>
        <w:autoSpaceDE/>
        <w:autoSpaceDN/>
        <w:adjustRightInd/>
        <w:spacing w:line="480" w:lineRule="auto"/>
        <w:rPr>
          <w:sz w:val="26"/>
          <w:szCs w:val="26"/>
        </w:rPr>
      </w:pPr>
      <w:bookmarkStart w:id="20" w:name="_Hlk156552116"/>
      <w:r w:rsidRPr="0072600F">
        <w:rPr>
          <w:sz w:val="26"/>
          <w:szCs w:val="26"/>
        </w:rPr>
        <w:t xml:space="preserve">In response to NV Energy, we clarify that the requirement to meet the new site control requirements also requires that a queued interconnection customer, whether in a </w:t>
      </w:r>
      <w:r w:rsidRPr="0072600F">
        <w:rPr>
          <w:sz w:val="26"/>
          <w:szCs w:val="26"/>
        </w:rPr>
        <w:t>current cluster study or with an executed facilities study agreement (but not an interconnection customer with an executed LGIA or that has requested an LGIA to be filed unexecuted with the Commission), that is facing regulatory limitations must also  submit the applicable deposit and information regarding the specific limitation within 60 days after the Commission-approved effective date of the transmission provider’s compliance filing.  An interconnection customer that withdraws within the 60-day period instead of submitting the applicable deposit and information</w:t>
      </w:r>
      <w:r w:rsidRPr="0072600F">
        <w:rPr>
          <w:sz w:val="26"/>
          <w:szCs w:val="26"/>
        </w:rPr>
        <w:t xml:space="preserve"> </w:t>
      </w:r>
      <w:r w:rsidRPr="0072600F">
        <w:rPr>
          <w:sz w:val="26"/>
          <w:szCs w:val="26"/>
        </w:rPr>
        <w:t xml:space="preserve">will not be subject to Order No. 2023 withdrawal penalties. </w:t>
      </w:r>
    </w:p>
    <w:p w:rsidR="00760048" w:rsidRPr="0072600F" w14:paraId="1EC3124A" w14:textId="77777777">
      <w:pPr>
        <w:pStyle w:val="FERCparanumber"/>
        <w:widowControl/>
        <w:numPr>
          <w:ilvl w:val="0"/>
          <w:numId w:val="25"/>
        </w:numPr>
        <w:autoSpaceDE/>
        <w:autoSpaceDN/>
        <w:adjustRightInd/>
        <w:spacing w:line="480" w:lineRule="auto"/>
        <w:rPr>
          <w:sz w:val="26"/>
          <w:szCs w:val="26"/>
        </w:rPr>
      </w:pPr>
      <w:bookmarkStart w:id="21" w:name="_Ref160729177"/>
      <w:r w:rsidRPr="0072600F">
        <w:rPr>
          <w:sz w:val="26"/>
          <w:szCs w:val="26"/>
        </w:rPr>
        <w:t xml:space="preserve">We agree with EEI that transmission providers need only re-file and seek approval for previously approved variations where those provisions are modified by Order No. </w:t>
      </w:r>
      <w:bookmarkEnd w:id="20"/>
      <w:r w:rsidRPr="0072600F">
        <w:rPr>
          <w:sz w:val="26"/>
          <w:szCs w:val="26"/>
        </w:rPr>
        <w:t xml:space="preserve">2023.  As the Commission explained in Order No. 2023, the Commission adopted requirements that are part of the </w:t>
      </w:r>
      <w:r w:rsidRPr="0072600F">
        <w:rPr>
          <w:i/>
          <w:iCs/>
          <w:sz w:val="26"/>
          <w:szCs w:val="26"/>
        </w:rPr>
        <w:t>pro forma</w:t>
      </w:r>
      <w:r w:rsidRPr="0072600F">
        <w:rPr>
          <w:sz w:val="26"/>
          <w:szCs w:val="26"/>
        </w:rPr>
        <w:t xml:space="preserve"> LGIP</w:t>
      </w:r>
      <w:r w:rsidRPr="0072600F">
        <w:rPr>
          <w:rStyle w:val="CommentReference"/>
          <w:sz w:val="26"/>
          <w:szCs w:val="26"/>
        </w:rPr>
        <w:t>,</w:t>
      </w:r>
      <w:r w:rsidRPr="0072600F">
        <w:rPr>
          <w:sz w:val="26"/>
          <w:szCs w:val="26"/>
        </w:rPr>
        <w:t xml:space="preserve"> </w:t>
      </w:r>
      <w:r w:rsidRPr="0072600F">
        <w:rPr>
          <w:i/>
          <w:iCs/>
          <w:sz w:val="26"/>
          <w:szCs w:val="26"/>
        </w:rPr>
        <w:t>pro forma</w:t>
      </w:r>
      <w:r w:rsidRPr="0072600F">
        <w:rPr>
          <w:sz w:val="26"/>
          <w:szCs w:val="26"/>
        </w:rPr>
        <w:t xml:space="preserve"> LGIA, </w:t>
      </w:r>
      <w:r w:rsidRPr="0072600F">
        <w:rPr>
          <w:i/>
          <w:iCs/>
          <w:sz w:val="26"/>
          <w:szCs w:val="26"/>
        </w:rPr>
        <w:t xml:space="preserve">pro forma </w:t>
      </w:r>
      <w:r w:rsidRPr="0072600F">
        <w:rPr>
          <w:sz w:val="26"/>
          <w:szCs w:val="26"/>
        </w:rPr>
        <w:t xml:space="preserve">SGIP, and </w:t>
      </w:r>
      <w:r w:rsidRPr="0072600F">
        <w:rPr>
          <w:i/>
          <w:iCs/>
          <w:sz w:val="26"/>
          <w:szCs w:val="26"/>
        </w:rPr>
        <w:t>pro forma</w:t>
      </w:r>
      <w:r w:rsidRPr="0072600F">
        <w:rPr>
          <w:sz w:val="26"/>
          <w:szCs w:val="26"/>
        </w:rPr>
        <w:t xml:space="preserve"> SGIA and the Commission therefore only addressed the interaction of the requirements adopted with existing requirements that are part of the </w:t>
      </w:r>
      <w:r w:rsidRPr="0072600F">
        <w:rPr>
          <w:i/>
          <w:iCs/>
          <w:sz w:val="26"/>
          <w:szCs w:val="26"/>
        </w:rPr>
        <w:t xml:space="preserve">pro forma </w:t>
      </w:r>
      <w:r w:rsidRPr="0072600F">
        <w:rPr>
          <w:sz w:val="26"/>
          <w:szCs w:val="26"/>
        </w:rPr>
        <w:t>process and not variations thereto.</w:t>
      </w:r>
      <w:r>
        <w:rPr>
          <w:rStyle w:val="FootnoteReference"/>
        </w:rPr>
        <w:footnoteReference w:id="142"/>
      </w:r>
      <w:r w:rsidRPr="0072600F">
        <w:rPr>
          <w:sz w:val="26"/>
          <w:szCs w:val="26"/>
        </w:rPr>
        <w:t xml:space="preserve">  Transmission providers may seek variations from Order No. 2023’s requirements on compliance provided the reason for the variation is sufficiently justified.</w:t>
      </w:r>
      <w:r>
        <w:rPr>
          <w:rStyle w:val="FootnoteReference"/>
        </w:rPr>
        <w:footnoteReference w:id="143"/>
      </w:r>
      <w:r w:rsidRPr="0072600F">
        <w:rPr>
          <w:sz w:val="26"/>
          <w:szCs w:val="26"/>
        </w:rPr>
        <w:t xml:space="preserve">  Transmission providers may also continue to propose </w:t>
      </w:r>
      <w:r w:rsidRPr="0072600F">
        <w:rPr>
          <w:sz w:val="26"/>
          <w:szCs w:val="26"/>
        </w:rPr>
        <w:t>interconnection process enhancements beyond Order No. 2023 through a separate filing under FPA section 205.</w:t>
      </w:r>
      <w:bookmarkEnd w:id="21"/>
      <w:r w:rsidRPr="0072600F">
        <w:rPr>
          <w:sz w:val="26"/>
          <w:szCs w:val="26"/>
        </w:rPr>
        <w:t xml:space="preserve">    </w:t>
      </w:r>
    </w:p>
    <w:p w:rsidR="00760048" w:rsidRPr="0072600F" w14:paraId="3CA1716E" w14:textId="77777777">
      <w:pPr>
        <w:pStyle w:val="FERCparanumber"/>
        <w:widowControl/>
        <w:numPr>
          <w:ilvl w:val="0"/>
          <w:numId w:val="25"/>
        </w:numPr>
        <w:autoSpaceDE/>
        <w:autoSpaceDN/>
        <w:adjustRightInd/>
        <w:spacing w:line="480" w:lineRule="auto"/>
        <w:rPr>
          <w:sz w:val="26"/>
          <w:szCs w:val="26"/>
        </w:rPr>
      </w:pPr>
      <w:r w:rsidRPr="0072600F">
        <w:rPr>
          <w:sz w:val="26"/>
          <w:szCs w:val="26"/>
        </w:rPr>
        <w:t>We reject requests to presume that any transmission provider’s tariff meets the requirements of Order No. 2023.</w:t>
      </w:r>
      <w:r>
        <w:rPr>
          <w:rStyle w:val="FootnoteReference"/>
        </w:rPr>
        <w:footnoteReference w:id="144"/>
      </w:r>
      <w:r w:rsidRPr="0072600F">
        <w:rPr>
          <w:sz w:val="26"/>
          <w:szCs w:val="26"/>
        </w:rPr>
        <w:t xml:space="preserve">  As explained above, while the majority of reforms adopted herein are based on individual and incremental improvements that one or more regions have already implemented, no transmission provider has yet to adopt the entirety of Order No. 2023’s broad suite of reforms.</w:t>
      </w:r>
      <w:r>
        <w:rPr>
          <w:rStyle w:val="FootnoteReference"/>
        </w:rPr>
        <w:footnoteReference w:id="145"/>
      </w:r>
      <w:r w:rsidRPr="0072600F">
        <w:rPr>
          <w:sz w:val="26"/>
          <w:szCs w:val="26"/>
        </w:rPr>
        <w:t xml:space="preserve">  Thus, we are unpersuaded by PJM’s arguments on rehearing that ongoing, recently approved interconnection queue reform packages presumably already comply with Order No. 2023.  Applying a presumption to transmission providers who recently adopted some similar reforms, but not all the reforms contained herein, will only result in </w:t>
      </w:r>
      <w:r w:rsidR="0037519B">
        <w:rPr>
          <w:sz w:val="26"/>
          <w:szCs w:val="26"/>
        </w:rPr>
        <w:t>incomplete</w:t>
      </w:r>
      <w:r w:rsidRPr="0072600F" w:rsidR="0037519B">
        <w:rPr>
          <w:sz w:val="26"/>
          <w:szCs w:val="26"/>
        </w:rPr>
        <w:t xml:space="preserve"> </w:t>
      </w:r>
      <w:r w:rsidRPr="0072600F">
        <w:rPr>
          <w:sz w:val="26"/>
          <w:szCs w:val="26"/>
        </w:rPr>
        <w:t>change</w:t>
      </w:r>
      <w:r w:rsidR="0037519B">
        <w:rPr>
          <w:sz w:val="26"/>
          <w:szCs w:val="26"/>
        </w:rPr>
        <w:t xml:space="preserve"> that fails to fulfill or</w:t>
      </w:r>
      <w:r w:rsidRPr="0072600F">
        <w:rPr>
          <w:sz w:val="26"/>
          <w:szCs w:val="26"/>
        </w:rPr>
        <w:t xml:space="preserve"> further delay</w:t>
      </w:r>
      <w:r w:rsidR="0037519B">
        <w:rPr>
          <w:sz w:val="26"/>
          <w:szCs w:val="26"/>
        </w:rPr>
        <w:t>s</w:t>
      </w:r>
      <w:r w:rsidRPr="0072600F">
        <w:rPr>
          <w:sz w:val="26"/>
          <w:szCs w:val="26"/>
        </w:rPr>
        <w:t xml:space="preserve"> the comprehensive reform required by Order No. 2023.  Additionally, because the Commission continues to find that the record supports a generic rulemaking,</w:t>
      </w:r>
      <w:r>
        <w:rPr>
          <w:rStyle w:val="FootnoteReference"/>
        </w:rPr>
        <w:footnoteReference w:id="146"/>
      </w:r>
      <w:r w:rsidRPr="0072600F">
        <w:rPr>
          <w:sz w:val="26"/>
          <w:szCs w:val="26"/>
        </w:rPr>
        <w:t xml:space="preserve"> the Commission reiterates that it did not need to make a finding specific to each transmission provider’s tariff to require compliance with Order No. 2023.</w:t>
      </w:r>
      <w:r>
        <w:rPr>
          <w:rStyle w:val="FootnoteReference"/>
        </w:rPr>
        <w:footnoteReference w:id="147"/>
      </w:r>
      <w:r w:rsidRPr="0072600F">
        <w:rPr>
          <w:sz w:val="26"/>
          <w:szCs w:val="26"/>
        </w:rPr>
        <w:t xml:space="preserve">  Therefore, we also remain unpersuaded by Dominion’s arguments on rehearing to defer </w:t>
      </w:r>
      <w:r w:rsidRPr="0072600F">
        <w:rPr>
          <w:sz w:val="26"/>
          <w:szCs w:val="26"/>
        </w:rPr>
        <w:t xml:space="preserve">the tariff modifications of, or to not require compliance filings from, transmission providers that have already transitioned or are in the process of transitioning to a cluster study process or to defer those entities’ obligations to modify their tariffs. </w:t>
      </w:r>
    </w:p>
    <w:p w:rsidR="00760048" w:rsidRPr="0072600F" w14:paraId="18896CE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requests for clarification regarding how the Commission will review the compliance filings of entities that already adopted reforms, we continue to find, consistent with the Commission’s statements in Order No. 2023, that transmission providers may explain specific circumstances on compliance and justify why any deviations from the </w:t>
      </w:r>
      <w:r w:rsidRPr="0072600F">
        <w:rPr>
          <w:i/>
          <w:iCs/>
          <w:sz w:val="26"/>
          <w:szCs w:val="26"/>
        </w:rPr>
        <w:t xml:space="preserve">pro forma </w:t>
      </w:r>
      <w:r w:rsidRPr="0072600F">
        <w:rPr>
          <w:sz w:val="26"/>
          <w:szCs w:val="26"/>
        </w:rPr>
        <w:t xml:space="preserve">LGIP, </w:t>
      </w:r>
      <w:r w:rsidRPr="0072600F">
        <w:rPr>
          <w:i/>
          <w:iCs/>
          <w:sz w:val="26"/>
          <w:szCs w:val="26"/>
        </w:rPr>
        <w:t xml:space="preserve">pro forma </w:t>
      </w:r>
      <w:r w:rsidRPr="0072600F">
        <w:rPr>
          <w:sz w:val="26"/>
          <w:szCs w:val="26"/>
        </w:rPr>
        <w:t xml:space="preserve">LGIA, </w:t>
      </w:r>
      <w:r w:rsidRPr="0072600F">
        <w:rPr>
          <w:i/>
          <w:iCs/>
          <w:sz w:val="26"/>
          <w:szCs w:val="26"/>
        </w:rPr>
        <w:t xml:space="preserve">pro forma </w:t>
      </w:r>
      <w:r w:rsidRPr="0072600F">
        <w:rPr>
          <w:sz w:val="26"/>
          <w:szCs w:val="26"/>
        </w:rPr>
        <w:t xml:space="preserve">SGIP, and </w:t>
      </w:r>
      <w:r w:rsidRPr="0072600F">
        <w:rPr>
          <w:i/>
          <w:iCs/>
          <w:sz w:val="26"/>
          <w:szCs w:val="26"/>
        </w:rPr>
        <w:t xml:space="preserve">pro forma </w:t>
      </w:r>
      <w:r w:rsidRPr="0072600F">
        <w:rPr>
          <w:sz w:val="26"/>
          <w:szCs w:val="26"/>
        </w:rPr>
        <w:t xml:space="preserve">SGIA are either consistent with or superior to the </w:t>
      </w:r>
      <w:r w:rsidRPr="0072600F">
        <w:rPr>
          <w:iCs/>
          <w:sz w:val="26"/>
          <w:szCs w:val="26"/>
        </w:rPr>
        <w:t>reforms adopted in Order No. 2023</w:t>
      </w:r>
      <w:r w:rsidRPr="0072600F">
        <w:rPr>
          <w:sz w:val="26"/>
          <w:szCs w:val="26"/>
        </w:rPr>
        <w:t xml:space="preserve"> for non-RTO transmission providers or merit an independent entity variation for  RTOs/ISOs.</w:t>
      </w:r>
      <w:r>
        <w:rPr>
          <w:rStyle w:val="FootnoteReference"/>
        </w:rPr>
        <w:footnoteReference w:id="148"/>
      </w:r>
      <w:r w:rsidRPr="0072600F">
        <w:rPr>
          <w:sz w:val="26"/>
          <w:szCs w:val="26"/>
        </w:rPr>
        <w:t xml:space="preserve">  An item-by-item justification must be offered for each variation from the </w:t>
      </w:r>
      <w:r w:rsidRPr="0072600F">
        <w:rPr>
          <w:i/>
          <w:iCs/>
          <w:sz w:val="26"/>
          <w:szCs w:val="26"/>
        </w:rPr>
        <w:t xml:space="preserve">pro forma </w:t>
      </w:r>
      <w:r w:rsidRPr="0072600F">
        <w:rPr>
          <w:sz w:val="26"/>
          <w:szCs w:val="26"/>
        </w:rPr>
        <w:t xml:space="preserve">provisions modified in Order No. 2023; general statements alone are insufficient under the consistent with or superior to or the independent entity variation standard.  Region-specific concerns like those raised by PJM and Dominion are appropriately addressed on compliance where the Commission will review the compliance filings on a case-by-case basis.  </w:t>
      </w:r>
    </w:p>
    <w:p w:rsidR="00760048" w:rsidRPr="00FE47B2" w14:paraId="6B2432AF"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u w:val="single"/>
        </w:rPr>
      </w:pPr>
      <w:bookmarkStart w:id="22" w:name="_bmk11"/>
      <w:r w:rsidRPr="00FE47B2">
        <w:rPr>
          <w:b/>
          <w:bCs/>
          <w:sz w:val="26"/>
          <w:szCs w:val="26"/>
          <w:u w:val="single"/>
        </w:rPr>
        <w:t>R</w:t>
      </w:r>
      <w:bookmarkEnd w:id="22"/>
      <w:r w:rsidRPr="00FE47B2">
        <w:rPr>
          <w:b/>
          <w:bCs/>
          <w:sz w:val="26"/>
          <w:szCs w:val="26"/>
          <w:u w:val="single"/>
        </w:rPr>
        <w:t>eforms to Implement a First-Ready, First-Served Cluster Study Process</w:t>
      </w:r>
    </w:p>
    <w:p w:rsidR="00760048" w:rsidRPr="00FE47B2" w14:paraId="66B95011"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23" w:name="_bmk12"/>
      <w:r w:rsidRPr="00FE47B2">
        <w:rPr>
          <w:b/>
          <w:bCs/>
          <w:sz w:val="26"/>
          <w:u w:val="single"/>
        </w:rPr>
        <w:t>P</w:t>
      </w:r>
      <w:bookmarkEnd w:id="23"/>
      <w:r w:rsidRPr="00FE47B2">
        <w:rPr>
          <w:b/>
          <w:bCs/>
          <w:sz w:val="26"/>
          <w:u w:val="single"/>
        </w:rPr>
        <w:t>ublic Interconnection Information</w:t>
      </w:r>
    </w:p>
    <w:p w:rsidR="00760048" w:rsidRPr="00FE47B2" w14:paraId="6E419CFA"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Order No. 2023 Requirements</w:t>
      </w:r>
    </w:p>
    <w:p w:rsidR="00760048" w:rsidRPr="0072600F" w14:paraId="663005E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adopted section 6.1 (Publicly Posted Interconnection Information) of the </w:t>
      </w:r>
      <w:r w:rsidRPr="0072600F">
        <w:rPr>
          <w:i/>
          <w:iCs/>
          <w:sz w:val="26"/>
          <w:szCs w:val="26"/>
        </w:rPr>
        <w:t>pro forma</w:t>
      </w:r>
      <w:r w:rsidRPr="0072600F">
        <w:rPr>
          <w:sz w:val="26"/>
          <w:szCs w:val="26"/>
        </w:rPr>
        <w:t xml:space="preserve"> LGIP to require transmission providers to maintain and make publicly available an interactive visual representation of available interconnection capacity (commonly known as a “heatmap”) as well as a table of relevant interconnection metrics that is produced in response to user-specified input about their prospective generating facility.</w:t>
      </w:r>
      <w:r>
        <w:rPr>
          <w:rStyle w:val="FootnoteReference"/>
        </w:rPr>
        <w:footnoteReference w:id="149"/>
      </w:r>
      <w:r w:rsidRPr="0072600F">
        <w:rPr>
          <w:sz w:val="26"/>
          <w:szCs w:val="26"/>
        </w:rPr>
        <w:t xml:space="preserve">  The table will allow prospective interconnection customers to see certain estimates of a potential generating facility’s effect on the transmission provider’s transmission system.  Specifically, the Commission required transmission providers to post on their public website a heatmap of estimated incremental injection capacity (in MW) available at each point of interconnection to the whole transmission provider’s footprint under N-1 conditions, as well as provide a table of results in response to a specific user’s input showing the estimated impact of the addition of the proposed project (based on the user-specified MW amount, voltage level, and point of interconnection)</w:t>
      </w:r>
      <w:r w:rsidRPr="0072600F">
        <w:rPr>
          <w:sz w:val="26"/>
          <w:szCs w:val="26"/>
        </w:rPr>
        <w:t xml:space="preserve"> for </w:t>
      </w:r>
      <w:r w:rsidRPr="0072600F">
        <w:rPr>
          <w:sz w:val="26"/>
          <w:szCs w:val="26"/>
        </w:rPr>
        <w:t xml:space="preserve">each monitored facility impacted by the proposed project on:  (1) the distribution factor; (2) the MW impact (based on the proposed project size and the distribution factor); (3) the percentage impact on the monitored facility (based on the </w:t>
      </w:r>
      <w:r w:rsidRPr="0072600F">
        <w:rPr>
          <w:sz w:val="26"/>
          <w:szCs w:val="26"/>
        </w:rPr>
        <w:t>MW values of the proposed project and the monitored facility rating); (4) the percentage of power flow on the monitored facility before the proposed project; and (5) the percentage power flow on the monitored facility after the injection of the proposed project.  The Commission required that heatmaps be calculated under N-1 conditions and studied based on the power flow model of the transmission system used in the most recent cluster study or restudy, and with the transfer simulated from each point of interconnection to the whole transmission provider’s footprint (to approximate NRIS), and with the incremental capacity at each point of interconnection decremented by the existing and queued generation at that location (based on the existing or requested interconnection service limit of such generation).  The Commission required transmission providers to update their heatmaps within 30 calendars days after the completion of each cluster study and cluster restudy.  Further, the Commission clarified that transmission providers are not required to make their heatmaps available until after their transition period.</w:t>
      </w:r>
      <w:r>
        <w:rPr>
          <w:rStyle w:val="FootnoteReference"/>
        </w:rPr>
        <w:footnoteReference w:id="150"/>
      </w:r>
    </w:p>
    <w:p w:rsidR="00760048" w:rsidRPr="00FE47B2" w14:paraId="5B5E414F"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Requests for Rehearing and Clarification</w:t>
      </w:r>
    </w:p>
    <w:p w:rsidR="00760048" w:rsidRPr="0072600F" w14:paraId="49FC52DC"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ask the Commission to clarify that transmission providers may use ERIS or NRIS assumptions for their heatmaps, as appropriate for their particular region.</w:t>
      </w:r>
      <w:r>
        <w:rPr>
          <w:rStyle w:val="FootnoteReference"/>
        </w:rPr>
        <w:footnoteReference w:id="151"/>
      </w:r>
      <w:r w:rsidRPr="0072600F">
        <w:rPr>
          <w:sz w:val="26"/>
          <w:szCs w:val="26"/>
        </w:rPr>
        <w:t xml:space="preserve">  Clean Energy Associations argue that the requirement to use only </w:t>
      </w:r>
      <w:r w:rsidRPr="0072600F">
        <w:rPr>
          <w:sz w:val="26"/>
          <w:szCs w:val="26"/>
        </w:rPr>
        <w:t>NRIS assumptions fails to account for regional differences and could reduce the value of providing a heatmap.  For example, Clean Energy Associations assert that in SPP and MISO, ERIS is the primary driver of determining network upgrades for new generation.  If the Commission declines to grant clarification, Clean Energy Associations seek rehearing of the requirement to use NRIS assumptions for heatmaps.</w:t>
      </w:r>
      <w:r w:rsidRPr="0072600F">
        <w:rPr>
          <w:rStyle w:val="FootnoteReference"/>
        </w:rPr>
        <w:t xml:space="preserve"> </w:t>
      </w:r>
    </w:p>
    <w:p w:rsidR="00760048" w:rsidRPr="0072600F" w14:paraId="70038F9F" w14:textId="77777777">
      <w:pPr>
        <w:pStyle w:val="FERCparanumber"/>
        <w:widowControl/>
        <w:numPr>
          <w:ilvl w:val="0"/>
          <w:numId w:val="25"/>
        </w:numPr>
        <w:autoSpaceDE/>
        <w:autoSpaceDN/>
        <w:adjustRightInd/>
        <w:spacing w:line="480" w:lineRule="auto"/>
        <w:rPr>
          <w:sz w:val="26"/>
          <w:szCs w:val="26"/>
        </w:rPr>
      </w:pPr>
      <w:r w:rsidRPr="0072600F">
        <w:rPr>
          <w:sz w:val="26"/>
          <w:szCs w:val="26"/>
        </w:rPr>
        <w:t>Non-RTO Providers request rehearing and modification of Order No. 2023’s requirement that non-RTO/ISO transmission providers develop interactive heatmap websites.</w:t>
      </w:r>
      <w:r>
        <w:rPr>
          <w:rStyle w:val="FootnoteReference"/>
        </w:rPr>
        <w:footnoteReference w:id="152"/>
      </w:r>
      <w:r w:rsidRPr="0072600F">
        <w:rPr>
          <w:sz w:val="26"/>
          <w:szCs w:val="26"/>
        </w:rPr>
        <w:t xml:space="preserve">  Non-RTO Providers assert that the mandate is arbitrary and capricious and contrary to reasoned decision-making.  Non-RTO Providers state that the Commission did not perform an adequate cost-benefit analysis to weigh the high cost and administrative burden on non-RTO transmission providers against the “limited and speculative benefits” of the heatmaps for non-RTO/ISO interconnection customers.</w:t>
      </w:r>
      <w:r>
        <w:rPr>
          <w:rStyle w:val="FootnoteReference"/>
        </w:rPr>
        <w:footnoteReference w:id="153"/>
      </w:r>
      <w:r w:rsidRPr="0072600F">
        <w:rPr>
          <w:sz w:val="26"/>
          <w:szCs w:val="26"/>
        </w:rPr>
        <w:t xml:space="preserve">  Non-RTO Providers assert that the mandate will require the 37 non-RTO/ISO regions</w:t>
      </w:r>
      <w:r>
        <w:rPr>
          <w:rStyle w:val="FootnoteReference"/>
        </w:rPr>
        <w:footnoteReference w:id="154"/>
      </w:r>
      <w:r w:rsidRPr="0072600F">
        <w:rPr>
          <w:sz w:val="26"/>
          <w:szCs w:val="26"/>
        </w:rPr>
        <w:t xml:space="preserve"> to each develop separate heatmap websites.  Non-RTO Providers estimate that the cumulative upfront cost for these 37 heatmap websites is $7.4 million, and that the cumulative annual maintenance cost for the 37 heatmap websites is $666,000.</w:t>
      </w:r>
      <w:r w:rsidRPr="0072600F">
        <w:rPr>
          <w:sz w:val="26"/>
          <w:szCs w:val="26"/>
        </w:rPr>
        <w:t xml:space="preserve"> </w:t>
      </w:r>
      <w:r w:rsidRPr="0072600F">
        <w:rPr>
          <w:sz w:val="26"/>
          <w:szCs w:val="26"/>
        </w:rPr>
        <w:t xml:space="preserve"> Non-RTO </w:t>
      </w:r>
      <w:r w:rsidRPr="0072600F">
        <w:rPr>
          <w:sz w:val="26"/>
          <w:szCs w:val="26"/>
        </w:rPr>
        <w:t>Providers assert that the heatmaps will require regular attention from interconnection engineers who will otherwise be focused on transitioning to cluster studies.  Non-RTO Providers contend that the heatmap requirement amounts to a penalty on non-RTO/ISO transmission providers, who cannot socialize the costs as broadly as RTOs/ISOs can.</w:t>
      </w:r>
      <w:r>
        <w:rPr>
          <w:rStyle w:val="FootnoteReference"/>
        </w:rPr>
        <w:footnoteReference w:id="155"/>
      </w:r>
      <w:r w:rsidRPr="0072600F">
        <w:rPr>
          <w:sz w:val="26"/>
          <w:szCs w:val="26"/>
        </w:rPr>
        <w:t xml:space="preserve">  Non-RTO Providers request that the Commission reverse the mandate on rehearing and (1) issue a modified version of section 6.1 of the </w:t>
      </w:r>
      <w:r w:rsidRPr="0072600F">
        <w:rPr>
          <w:i/>
          <w:sz w:val="26"/>
          <w:szCs w:val="26"/>
        </w:rPr>
        <w:t>pro forma</w:t>
      </w:r>
      <w:r w:rsidRPr="0072600F">
        <w:rPr>
          <w:sz w:val="26"/>
          <w:szCs w:val="26"/>
        </w:rPr>
        <w:t xml:space="preserve"> LGIP for non-RTO regions that allows static public information postings of interconnection capacity based on cluster study results and (2) adopt a voluntary approach for the potential development and maintenance of interactive heatmaps in non-RTO regions.   </w:t>
      </w:r>
    </w:p>
    <w:p w:rsidR="00760048" w:rsidRPr="0072600F" w14:paraId="53A9AE76" w14:textId="77777777">
      <w:pPr>
        <w:pStyle w:val="FERCparanumber"/>
        <w:widowControl/>
        <w:numPr>
          <w:ilvl w:val="0"/>
          <w:numId w:val="25"/>
        </w:numPr>
        <w:autoSpaceDE/>
        <w:autoSpaceDN/>
        <w:adjustRightInd/>
        <w:spacing w:line="480" w:lineRule="auto"/>
        <w:rPr>
          <w:sz w:val="26"/>
          <w:szCs w:val="26"/>
        </w:rPr>
      </w:pPr>
      <w:r w:rsidRPr="0072600F">
        <w:rPr>
          <w:sz w:val="26"/>
          <w:szCs w:val="26"/>
        </w:rPr>
        <w:t>Non-RTO Providers note that the heatmap concept is a novel concept and that transmission providers have no special expertise in website development.</w:t>
      </w:r>
      <w:r>
        <w:rPr>
          <w:rStyle w:val="FootnoteReference"/>
        </w:rPr>
        <w:footnoteReference w:id="156"/>
      </w:r>
      <w:r w:rsidRPr="0072600F">
        <w:rPr>
          <w:sz w:val="26"/>
          <w:szCs w:val="26"/>
        </w:rPr>
        <w:t xml:space="preserve">  Non-RTO Providers contend that the legal question on rehearing is whether the benefits of a proposed reform can reasonably be said to outweigh the costs and assert that the Commission did not provide sufficient legal foundation under FPA section 206 to justify the mandate.  Non-RTO Providers aver that the Commission did not acknowledge that interactive websites make financial sense only when done at scale.  Therefore, Non-RTO Providers agree that the costs of the requirement are justified for RTO/ISO regions, which would require seven websites to serve approximately two-thirds of the nation’s </w:t>
      </w:r>
      <w:r w:rsidRPr="0072600F">
        <w:rPr>
          <w:sz w:val="26"/>
          <w:szCs w:val="26"/>
        </w:rPr>
        <w:t>transmission system, but not for non-RTO/ISO regions, which would have to develop 37 websites to serve the remaining one-third of the transmission system.  Non-RTO Providers explain that the Commission appears to prohibit non-RTO/ISO regions from developing joint, regional heatmaps to reduce the number of websites needed, which they claim demonstrates that the cost burden and administrative burden on engineering staff to non-RTO/ISO regions was not adequately considered.</w:t>
      </w:r>
      <w:r>
        <w:rPr>
          <w:rStyle w:val="FootnoteReference"/>
        </w:rPr>
        <w:footnoteReference w:id="157"/>
      </w:r>
      <w:r w:rsidRPr="0072600F">
        <w:rPr>
          <w:sz w:val="26"/>
          <w:szCs w:val="26"/>
        </w:rPr>
        <w:t xml:space="preserve">  </w:t>
      </w:r>
    </w:p>
    <w:p w:rsidR="00760048" w:rsidRPr="0072600F" w14:paraId="2F96CDB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Non-RTO Providers contend that the Commission wrongly relies on Clean Energy Associations’ proposition that the heatmaps will be automated to conclude </w:t>
      </w:r>
      <w:r w:rsidR="006362FA">
        <w:rPr>
          <w:sz w:val="26"/>
          <w:szCs w:val="26"/>
        </w:rPr>
        <w:t xml:space="preserve">that </w:t>
      </w:r>
      <w:r w:rsidRPr="0072600F">
        <w:rPr>
          <w:sz w:val="26"/>
          <w:szCs w:val="26"/>
        </w:rPr>
        <w:t>engineering resources will not be strained by the heatmap requirement.</w:t>
      </w:r>
      <w:r>
        <w:rPr>
          <w:rStyle w:val="FootnoteReference"/>
        </w:rPr>
        <w:footnoteReference w:id="158"/>
      </w:r>
      <w:r w:rsidRPr="0072600F">
        <w:rPr>
          <w:sz w:val="26"/>
          <w:szCs w:val="26"/>
        </w:rPr>
        <w:t xml:space="preserve">  Non-RTO Providers state that such updates will require one or two full-time employees to prepare data for the first three weeks of a given 30-day update period and send the updated data to the vendor during the last week.  Non-RTO Providers contend that the N-1 conditions reflected by the heatmap will offer no practical value to prospective interconnection customers but will result in five times as many engineering staff in non-RTOs/ISOs making heatmap updates compared to those in RTOs/ISOs.</w:t>
      </w:r>
      <w:r>
        <w:rPr>
          <w:rStyle w:val="FootnoteReference"/>
        </w:rPr>
        <w:footnoteReference w:id="159"/>
      </w:r>
      <w:r w:rsidRPr="0072600F">
        <w:rPr>
          <w:sz w:val="26"/>
          <w:szCs w:val="26"/>
        </w:rPr>
        <w:t xml:space="preserve">  Non-RTO Providers contend that the Commission did not adequately address these discrepancies in arguing that non-RTOs/ISOs have the technical capacity to create heatmaps.  </w:t>
      </w:r>
    </w:p>
    <w:p w:rsidR="00760048" w:rsidRPr="0072600F" w14:paraId="475DDD8F" w14:textId="77777777">
      <w:pPr>
        <w:pStyle w:val="FERCparanumber"/>
        <w:widowControl/>
        <w:numPr>
          <w:ilvl w:val="0"/>
          <w:numId w:val="25"/>
        </w:numPr>
        <w:autoSpaceDE/>
        <w:autoSpaceDN/>
        <w:adjustRightInd/>
        <w:spacing w:line="480" w:lineRule="auto"/>
        <w:rPr>
          <w:sz w:val="26"/>
          <w:szCs w:val="26"/>
        </w:rPr>
      </w:pPr>
      <w:r w:rsidRPr="0072600F">
        <w:rPr>
          <w:sz w:val="26"/>
          <w:szCs w:val="26"/>
        </w:rPr>
        <w:t>Further, Non-RTO Providers argue that the record does not demonstrate that the incremental rate increase to non-RTO/ISO regions from the heatmaps will be justified by meaningful overall queue efficiency improvements for non-RTO/ISO customers in the long run.</w:t>
      </w:r>
      <w:r>
        <w:rPr>
          <w:rStyle w:val="FootnoteReference"/>
        </w:rPr>
        <w:footnoteReference w:id="160"/>
      </w:r>
      <w:r w:rsidRPr="0072600F">
        <w:rPr>
          <w:sz w:val="26"/>
          <w:szCs w:val="26"/>
        </w:rPr>
        <w:t xml:space="preserve">  For example, Non-RTO Providers contend that the Commission failed to consider that heatmaps could increase speculative interconnection requests if many interconnection customers seek to interconnect at the same uncongested points reflected by the heatmap.  For the above reasons, Non-RTO Providers argue that the connection between improving queue efficiency and benefits to transmission customers is too tenuous to support a FPA section 206 finding that the heatmap mandate is just and reasonable for non-RTO transmission providers.</w:t>
      </w:r>
      <w:r>
        <w:rPr>
          <w:rStyle w:val="FootnoteReference"/>
        </w:rPr>
        <w:footnoteReference w:id="161"/>
      </w:r>
    </w:p>
    <w:p w:rsidR="00760048" w:rsidRPr="0072600F" w14:paraId="7709A41E" w14:textId="77777777">
      <w:pPr>
        <w:pStyle w:val="FERCparanumber"/>
        <w:widowControl/>
        <w:numPr>
          <w:ilvl w:val="0"/>
          <w:numId w:val="25"/>
        </w:numPr>
        <w:autoSpaceDE/>
        <w:autoSpaceDN/>
        <w:adjustRightInd/>
        <w:spacing w:line="480" w:lineRule="auto"/>
        <w:rPr>
          <w:sz w:val="26"/>
          <w:szCs w:val="26"/>
        </w:rPr>
      </w:pPr>
      <w:r w:rsidRPr="0072600F">
        <w:rPr>
          <w:sz w:val="26"/>
          <w:szCs w:val="26"/>
        </w:rPr>
        <w:t>Non-RTO Providers claim that the Commission erred by failing to consider a non-interactive website alternative for the public information posting mandate in non-RTO regions.</w:t>
      </w:r>
      <w:r>
        <w:rPr>
          <w:rStyle w:val="FootnoteReference"/>
        </w:rPr>
        <w:footnoteReference w:id="162"/>
      </w:r>
      <w:r w:rsidRPr="0072600F">
        <w:rPr>
          <w:sz w:val="26"/>
          <w:szCs w:val="26"/>
        </w:rPr>
        <w:t xml:space="preserve">  Non-RTO Providers state that the Commission never explains why such information needs to be provided in an interactive heatmap format, rather than in static public information postings regarding system conditions after each cluster study or restudy.  </w:t>
      </w:r>
    </w:p>
    <w:p w:rsidR="00760048" w:rsidRPr="0072600F" w14:paraId="47EA05B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the alternative to granting rehearing, Non-RTO Providers propose that the Commission revise section 6.1 of the </w:t>
      </w:r>
      <w:r w:rsidRPr="0072600F">
        <w:rPr>
          <w:i/>
          <w:iCs/>
          <w:sz w:val="26"/>
          <w:szCs w:val="26"/>
        </w:rPr>
        <w:t xml:space="preserve">pro forma </w:t>
      </w:r>
      <w:r w:rsidRPr="0072600F">
        <w:rPr>
          <w:sz w:val="26"/>
          <w:szCs w:val="26"/>
        </w:rPr>
        <w:t xml:space="preserve"> LGIP to allow static data postings and adopt a voluntary funding approach for heatmap development in non-RTO Regions.</w:t>
      </w:r>
      <w:r>
        <w:rPr>
          <w:rStyle w:val="FootnoteReference"/>
        </w:rPr>
        <w:footnoteReference w:id="163"/>
      </w:r>
      <w:r w:rsidRPr="0072600F">
        <w:rPr>
          <w:sz w:val="26"/>
          <w:szCs w:val="26"/>
        </w:rPr>
        <w:t xml:space="preserve">  In particular, Non-RTO Providers state that they are not opposed to providing increased public access to base case data after cluster studies have been performed that shows the estimated incremental injection capacity (in megawatts) available at each bus in the transmission provider’s footprint under N-1 conditions in table format.  Non-RTO Providers explain that data in this format could still be uniform and standardized to the Commission’s specifications.</w:t>
      </w:r>
      <w:r>
        <w:rPr>
          <w:rStyle w:val="FootnoteReference"/>
        </w:rPr>
        <w:footnoteReference w:id="164"/>
      </w:r>
      <w:r w:rsidRPr="0072600F">
        <w:rPr>
          <w:sz w:val="26"/>
          <w:szCs w:val="26"/>
        </w:rPr>
        <w:t xml:space="preserve">  Non-RTO Providers state that with the voluntary funding approach, website developers aligned with any of the relevant stakeholders, including transmission providers and prospective interconnection customers and even the Commission itself, would be free to develop their own voluntary interactive heatmaps based on this publicly available data.</w:t>
      </w:r>
      <w:r w:rsidRPr="0072600F">
        <w:rPr>
          <w:rStyle w:val="FootnoteReference"/>
        </w:rPr>
        <w:t xml:space="preserve"> </w:t>
      </w:r>
    </w:p>
    <w:p w:rsidR="00760048" w:rsidRPr="0072600F" w14:paraId="77E9154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NV Energy requests clarification on (1) whether the heatmap must include proposed network upgrades with capacity amounts to reflect the available transfer capacity or only the existing facilities and (2) when a heatmap must be made available and posted to OASIS by transmission providers that do not conduct a new transition </w:t>
      </w:r>
      <w:r w:rsidRPr="0072600F">
        <w:rPr>
          <w:sz w:val="26"/>
          <w:szCs w:val="26"/>
        </w:rPr>
        <w:t>period.</w:t>
      </w:r>
      <w:r>
        <w:rPr>
          <w:rStyle w:val="FootnoteReference"/>
        </w:rPr>
        <w:footnoteReference w:id="165"/>
      </w:r>
      <w:r w:rsidRPr="0072600F">
        <w:rPr>
          <w:sz w:val="26"/>
          <w:szCs w:val="26"/>
        </w:rPr>
        <w:t xml:space="preserve">  NV Energy asserts that, presently, the heatmap will provide limited value and will be consistently red</w:t>
      </w:r>
      <w:r>
        <w:rPr>
          <w:rStyle w:val="FootnoteReference"/>
        </w:rPr>
        <w:footnoteReference w:id="166"/>
      </w:r>
      <w:r w:rsidRPr="0072600F">
        <w:rPr>
          <w:sz w:val="26"/>
          <w:szCs w:val="26"/>
        </w:rPr>
        <w:t xml:space="preserve"> because interconnection requests greatly exceed the available capacity or load.</w:t>
      </w:r>
      <w:r>
        <w:rPr>
          <w:rStyle w:val="FootnoteReference"/>
        </w:rPr>
        <w:footnoteReference w:id="167"/>
      </w:r>
      <w:r w:rsidRPr="0072600F">
        <w:rPr>
          <w:sz w:val="26"/>
          <w:szCs w:val="26"/>
        </w:rPr>
        <w:t xml:space="preserve">  NV Energy asks if the heatmap requirement for transmission providers already conducting cluster studies could be implemented at the same time as study penalties (after the third cluster study cycle/three years), which would allow transmission providers to issue requests for proposals for the necessary heatmap software for implementation and would allow suspended projects to withdraw as well as remove from the queue those that fail to (1) submit complete applications</w:t>
      </w:r>
      <w:r w:rsidR="00447A71">
        <w:rPr>
          <w:sz w:val="26"/>
          <w:szCs w:val="26"/>
        </w:rPr>
        <w:t>,</w:t>
      </w:r>
      <w:r w:rsidRPr="0072600F">
        <w:rPr>
          <w:sz w:val="26"/>
          <w:szCs w:val="26"/>
        </w:rPr>
        <w:t xml:space="preserve"> (2) meet various deadlines</w:t>
      </w:r>
      <w:r w:rsidR="00447A71">
        <w:rPr>
          <w:sz w:val="26"/>
          <w:szCs w:val="26"/>
        </w:rPr>
        <w:t>,</w:t>
      </w:r>
      <w:r w:rsidRPr="0072600F">
        <w:rPr>
          <w:sz w:val="26"/>
          <w:szCs w:val="26"/>
        </w:rPr>
        <w:t xml:space="preserve"> and (3) reach commercial readiness.</w:t>
      </w:r>
      <w:r w:rsidRPr="0072600F">
        <w:rPr>
          <w:rStyle w:val="FootnoteReference"/>
        </w:rPr>
        <w:t xml:space="preserve"> </w:t>
      </w:r>
    </w:p>
    <w:p w:rsidR="00760048" w:rsidRPr="0072600F" w14:paraId="43E1B3D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PacifiCorp likewise seeks clarification on when transmission providers will be required to submit heatmaps for those transmission providers that do not conduct a transition cluster study process because the Commission is not requiring transmission providers to submit heatmaps until </w:t>
      </w:r>
      <w:r w:rsidRPr="0072600F">
        <w:rPr>
          <w:i/>
          <w:iCs/>
          <w:sz w:val="26"/>
          <w:szCs w:val="26"/>
        </w:rPr>
        <w:t xml:space="preserve">after </w:t>
      </w:r>
      <w:r w:rsidRPr="0072600F">
        <w:rPr>
          <w:sz w:val="26"/>
          <w:szCs w:val="26"/>
        </w:rPr>
        <w:t>the transition period ends.</w:t>
      </w:r>
      <w:r>
        <w:rPr>
          <w:rStyle w:val="FootnoteReference"/>
        </w:rPr>
        <w:footnoteReference w:id="168"/>
      </w:r>
    </w:p>
    <w:p w:rsidR="00760048" w:rsidRPr="0072600F" w14:paraId="44BDD6F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Public Interest Organizations assert that the Commission erred by not providing an adequate method for prospective interconnection customers to obtain information about </w:t>
      </w:r>
      <w:r w:rsidRPr="0072600F">
        <w:rPr>
          <w:sz w:val="26"/>
          <w:szCs w:val="26"/>
        </w:rPr>
        <w:t>potential interconnection costs at a specific location prior to submitting an interconnection request, and that the limited information publicly available to interconnection customers will lead to unjust, unreasonable, unduly discriminatory, and preferential rates.</w:t>
      </w:r>
      <w:r>
        <w:rPr>
          <w:rStyle w:val="FootnoteReference"/>
        </w:rPr>
        <w:footnoteReference w:id="169"/>
      </w:r>
      <w:r w:rsidRPr="0072600F">
        <w:rPr>
          <w:sz w:val="26"/>
          <w:szCs w:val="26"/>
        </w:rPr>
        <w:t xml:space="preserve">  Public Interest Organizations also note that the level of cost uncertainty for different interconnection customers is not balanced because transmission owner affiliates, particularly in non-RTO/ISO regions, have greater access to interconnection cost information relative to independent power producers.  Public Interest Organizations contend that the Commission’s decision to not adopt the proposed informational studies and optional solicitation studies make Order No. 2023’s adopted reforms insufficient to remedy its finding that the </w:t>
      </w:r>
      <w:r w:rsidRPr="0072600F">
        <w:rPr>
          <w:i/>
          <w:iCs/>
          <w:sz w:val="26"/>
          <w:szCs w:val="26"/>
        </w:rPr>
        <w:t>pro forma</w:t>
      </w:r>
      <w:r w:rsidRPr="0072600F">
        <w:rPr>
          <w:sz w:val="26"/>
          <w:szCs w:val="26"/>
        </w:rPr>
        <w:t xml:space="preserve"> interconnection procedures “fail[] to contain a process by which an interconnection customer can obtain information about potential interconnection costs at a specific location or point of interconnection prior to submitting an interconnection request.”</w:t>
      </w:r>
      <w:r>
        <w:rPr>
          <w:rStyle w:val="FootnoteReference"/>
        </w:rPr>
        <w:footnoteReference w:id="170"/>
      </w:r>
      <w:r w:rsidRPr="0072600F">
        <w:rPr>
          <w:sz w:val="26"/>
          <w:szCs w:val="26"/>
        </w:rPr>
        <w:t xml:space="preserve">  Public Interest Organizations explain that both the informational studies and optional solicitation studies were specifically intended to provide additional cost information to prospective interconnection customers, while the public access information requirement was intended to provide high-level </w:t>
      </w:r>
      <w:r w:rsidRPr="0072600F">
        <w:rPr>
          <w:sz w:val="26"/>
          <w:szCs w:val="26"/>
        </w:rPr>
        <w:t>information to assist interconnection customers with comparing multiple points of interconnection and estimate congestion.</w:t>
      </w:r>
      <w:r>
        <w:rPr>
          <w:rStyle w:val="FootnoteReference"/>
        </w:rPr>
        <w:footnoteReference w:id="171"/>
      </w:r>
      <w:r w:rsidRPr="0072600F">
        <w:rPr>
          <w:sz w:val="26"/>
          <w:szCs w:val="26"/>
        </w:rPr>
        <w:t xml:space="preserve">  </w:t>
      </w:r>
    </w:p>
    <w:p w:rsidR="00760048" w:rsidRPr="0072600F" w14:paraId="41EC859E" w14:textId="77777777">
      <w:pPr>
        <w:pStyle w:val="FERCparanumber"/>
        <w:widowControl/>
        <w:numPr>
          <w:ilvl w:val="0"/>
          <w:numId w:val="25"/>
        </w:numPr>
        <w:autoSpaceDE/>
        <w:autoSpaceDN/>
        <w:adjustRightInd/>
        <w:spacing w:line="480" w:lineRule="auto"/>
        <w:rPr>
          <w:sz w:val="26"/>
          <w:szCs w:val="26"/>
        </w:rPr>
      </w:pPr>
      <w:r w:rsidRPr="0072600F">
        <w:rPr>
          <w:sz w:val="26"/>
          <w:szCs w:val="26"/>
        </w:rPr>
        <w:t>Public Interest Organizations state that many parties suggested that the Commission add more data to the heatmap to provide information for interconnection customers to readily identify network upgrades, which would help them estimate the costs to interconnect their project before they join the interconnection queue.</w:t>
      </w:r>
      <w:r>
        <w:rPr>
          <w:rStyle w:val="FootnoteReference"/>
        </w:rPr>
        <w:footnoteReference w:id="172"/>
      </w:r>
      <w:r w:rsidRPr="0072600F">
        <w:rPr>
          <w:sz w:val="26"/>
          <w:szCs w:val="26"/>
        </w:rPr>
        <w:t xml:space="preserve">  Public Interest Organizations note, for example, that NextEra suggested including information on the circuit and ratings of equipment, and Public Interest Organizations argued that the heatmaps should include information on the number of megawatts that could be interconnected without substantial costs, among other suggestions.  Public Interest Organizations argue that, without such additional data, interconnection customers continue to bear the burden of determining potential costs, and that not all interconnection customers possess the resources to use software or hire consultants to extract meaningful data from the heatmaps.  Public Interest Organizations contend that the heatmap requirement ultimately falls short of providing a reasonable method for interconnection customers to predict potential network upgrade costs prior to entering the queue, leading interconnection customers to make the “rational” decision to submit multiple interconnection requests to obtain information, which contributes to study delays </w:t>
      </w:r>
      <w:r w:rsidRPr="0072600F">
        <w:rPr>
          <w:sz w:val="26"/>
          <w:szCs w:val="26"/>
        </w:rPr>
        <w:t xml:space="preserve">and withdrawals.  For these reasons, Public Interest Organizations request the Commission revisit the record to evaluate and adopt requirements that transmission providers must also make available the additional data that will allow all customers to estimate the potential network upgrade costs using reasonable efforts. </w:t>
      </w:r>
    </w:p>
    <w:p w:rsidR="00760048" w:rsidRPr="0072600F" w14:paraId="29CEC79B" w14:textId="77777777">
      <w:pPr>
        <w:pStyle w:val="FERCparanumber"/>
        <w:widowControl/>
        <w:numPr>
          <w:ilvl w:val="0"/>
          <w:numId w:val="25"/>
        </w:numPr>
        <w:autoSpaceDE/>
        <w:autoSpaceDN/>
        <w:adjustRightInd/>
        <w:spacing w:line="480" w:lineRule="auto"/>
        <w:rPr>
          <w:sz w:val="26"/>
          <w:szCs w:val="26"/>
        </w:rPr>
      </w:pPr>
      <w:r w:rsidRPr="0072600F">
        <w:rPr>
          <w:sz w:val="26"/>
          <w:szCs w:val="26"/>
        </w:rPr>
        <w:t>Public Interest Organizations further assert that the Commission’s decision not to require more information be made publicly available to potential interconnection customers is arbitrary and capricious, contrary to the weight of the comments and record, and not based on substantial evidence.</w:t>
      </w:r>
      <w:r>
        <w:rPr>
          <w:rStyle w:val="FootnoteReference"/>
        </w:rPr>
        <w:footnoteReference w:id="173"/>
      </w:r>
      <w:r w:rsidRPr="0072600F">
        <w:rPr>
          <w:sz w:val="26"/>
          <w:szCs w:val="26"/>
        </w:rPr>
        <w:t xml:space="preserve">  Public Interest Organizations argue that the Commission’s finding that adding any additional data requirements to assist interconnection customers is outweighed by the potential burden to transmission providers failed to consider countervailing evidence of the benefits of additional data.  Public Interest Organizations assert that the benefits of providing cost information prior to interconnection customers submitting an interconnection request is clear: fewer speculative interconnection requests and therefore less backlogged queues.  However, Public Interest Organizations contend that MISO’s heatmap demonstrates that a heatmap alone is not enough.  Public Interest Organizations also argue that the marginal burden on transmission providers to provide additional heatmap data is minimal as they can take advantage of automation.  </w:t>
      </w:r>
    </w:p>
    <w:p w:rsidR="00760048" w:rsidRPr="0072600F" w14:paraId="7CCC4A8A" w14:textId="77777777">
      <w:pPr>
        <w:pStyle w:val="FERCparanumber"/>
        <w:widowControl/>
        <w:numPr>
          <w:ilvl w:val="0"/>
          <w:numId w:val="25"/>
        </w:numPr>
        <w:autoSpaceDE/>
        <w:autoSpaceDN/>
        <w:adjustRightInd/>
        <w:spacing w:line="480" w:lineRule="auto"/>
        <w:rPr>
          <w:sz w:val="26"/>
          <w:szCs w:val="26"/>
        </w:rPr>
      </w:pPr>
      <w:r w:rsidRPr="0072600F">
        <w:rPr>
          <w:sz w:val="26"/>
          <w:szCs w:val="26"/>
        </w:rPr>
        <w:t>PJM seeks rehearing of Order No. 2023’s blanket requirement to update the heatmap 30 calendar days after completion of each cluster study because PJM states that it is unreasonable for such a large, multi-state RTO like PJM with hundreds of expected interconnection requests in each cluster.</w:t>
      </w:r>
      <w:r>
        <w:rPr>
          <w:rStyle w:val="FootnoteReference"/>
        </w:rPr>
        <w:footnoteReference w:id="174"/>
      </w:r>
      <w:r w:rsidRPr="0072600F">
        <w:rPr>
          <w:sz w:val="26"/>
          <w:szCs w:val="26"/>
        </w:rPr>
        <w:t xml:space="preserve">  PJM states that publishing study results to its interconnection screening tool, queue scope, requires detailed, precise analysis using the latest inputs available at the time and would hold PJM to an unrealistically strict and expedited schedule of updating data, tools, simulations, and results, and the fact that such publishing would be necessary several times a year is burdensome and adds to the scope of study work required, taking resources away from other processing efforts.  PJM instead anticipates annually published studies.  PJM also states that “the models” are already made available to interconnection customers via a Critical Energy Infrastructure Information (CEII) request and can provide information about points of interconnection.</w:t>
      </w:r>
      <w:r w:rsidRPr="0072600F">
        <w:rPr>
          <w:rStyle w:val="FootnoteReference"/>
        </w:rPr>
        <w:t xml:space="preserve"> </w:t>
      </w:r>
    </w:p>
    <w:p w:rsidR="00760048" w:rsidRPr="0072600F" w14:paraId="44548A0B" w14:textId="77777777">
      <w:pPr>
        <w:pStyle w:val="FERCparanumber"/>
        <w:widowControl/>
        <w:numPr>
          <w:ilvl w:val="0"/>
          <w:numId w:val="25"/>
        </w:numPr>
        <w:autoSpaceDE/>
        <w:autoSpaceDN/>
        <w:adjustRightInd/>
        <w:spacing w:line="480" w:lineRule="auto"/>
        <w:rPr>
          <w:sz w:val="26"/>
          <w:szCs w:val="26"/>
        </w:rPr>
      </w:pPr>
      <w:r w:rsidRPr="0072600F">
        <w:rPr>
          <w:sz w:val="26"/>
          <w:szCs w:val="26"/>
        </w:rPr>
        <w:t>PJM requests rehearing of Order No. 2023’s clarification in P 162, which it interprets as stating that transmission providers must absorb heatmap costs but are not barred from seeking recovery of them through their transmission rates (and paid by interconnection customers).</w:t>
      </w:r>
      <w:r>
        <w:rPr>
          <w:rStyle w:val="FootnoteReference"/>
        </w:rPr>
        <w:footnoteReference w:id="175"/>
      </w:r>
      <w:r w:rsidRPr="0072600F">
        <w:rPr>
          <w:sz w:val="26"/>
          <w:szCs w:val="26"/>
        </w:rPr>
        <w:t xml:space="preserve">  PJM states that interconnection customers, rather than transmission providers or transmission customers, benefit from heatmap posting, so there is no good reason that transmission providers must always charge the costs of </w:t>
      </w:r>
      <w:r w:rsidRPr="0072600F">
        <w:rPr>
          <w:sz w:val="26"/>
          <w:szCs w:val="26"/>
        </w:rPr>
        <w:t>maintaining and posting heatmaps to transmission service customers rather than considering other structures such as fees for prospective developers not yet in the queue.  PJM states that this rule departs from the Commission’s and judicial cost-causation principles, requiring that costs should be paid by those who benefit from their incurrence,</w:t>
      </w:r>
      <w:r>
        <w:rPr>
          <w:rStyle w:val="FootnoteReference"/>
        </w:rPr>
        <w:footnoteReference w:id="176"/>
      </w:r>
      <w:r w:rsidRPr="0072600F">
        <w:rPr>
          <w:sz w:val="26"/>
          <w:szCs w:val="26"/>
        </w:rPr>
        <w:t xml:space="preserve"> and it does so (by assigning heatmap costs to transmission providers or transmission customers) without explanation, presents free-ridership issues, and would be arbitrary and capricious.</w:t>
      </w:r>
      <w:r>
        <w:rPr>
          <w:rStyle w:val="FootnoteReference"/>
        </w:rPr>
        <w:footnoteReference w:id="177"/>
      </w:r>
      <w:r w:rsidRPr="0072600F">
        <w:rPr>
          <w:sz w:val="26"/>
          <w:szCs w:val="26"/>
        </w:rPr>
        <w:t xml:space="preserve">  PJM asserts that not granting rehearing of this item would set a precedent that transmission providers must absorb or pass on to transmission customers costs that are caused by or that benefit interconnection customers only.</w:t>
      </w:r>
      <w:r w:rsidRPr="0072600F">
        <w:rPr>
          <w:rStyle w:val="FootnoteReference"/>
        </w:rPr>
        <w:t xml:space="preserve"> </w:t>
      </w:r>
    </w:p>
    <w:p w:rsidR="00760048" w:rsidRPr="00FE47B2" w14:paraId="7A408FD9"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Determination</w:t>
      </w:r>
    </w:p>
    <w:p w:rsidR="00760048" w:rsidRPr="0072600F" w14:paraId="19DB7F7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deny Clean Energy Associations’ request for the Commission to clarify that transmission providers may use ERIS or NRIS assumptions for their public heatmaps.  As </w:t>
      </w:r>
      <w:r w:rsidRPr="0072600F">
        <w:rPr>
          <w:sz w:val="26"/>
          <w:szCs w:val="26"/>
        </w:rPr>
        <w:t>the Commission explained in Order No. 2023, generating facilities seeking NRIS are generally subject to more stringent study requirements.</w:t>
      </w:r>
      <w:r>
        <w:rPr>
          <w:rStyle w:val="FootnoteReference"/>
        </w:rPr>
        <w:footnoteReference w:id="178"/>
      </w:r>
      <w:r w:rsidRPr="0072600F">
        <w:rPr>
          <w:sz w:val="26"/>
          <w:szCs w:val="26"/>
        </w:rPr>
        <w:t xml:space="preserve">  Therefore, requiring transmission providers to produce heatmap results that approximate NRIS assumptions will provide actionable information on the viability of a given proposed generating facility to both ERIS and NRIS customers.  On the other hand, requiring heatmaps to approximate ERIS assumptions would not be helpful to NRIS customers.  Even in regions where ERIS may be more commonly selected or lead to a greater number of network upgrades, we find that the use of stricter NRIS assumptions would more consistently alert prospective interconnection customers to the possibility of required network upgrades compared to ERIS assumptions.  We therefore find that using NRIS assumptions as a baseline would prevent false negatives, in which the heatmap incorrectly indicates to prospective interconnection customers that their projects would not trigger network upgrades.  </w:t>
      </w:r>
      <w:r w:rsidR="00570B6B">
        <w:rPr>
          <w:sz w:val="26"/>
          <w:szCs w:val="26"/>
        </w:rPr>
        <w:t>T</w:t>
      </w:r>
      <w:r w:rsidRPr="0072600F">
        <w:rPr>
          <w:sz w:val="26"/>
          <w:szCs w:val="26"/>
        </w:rPr>
        <w:t>his finding reasonably balance</w:t>
      </w:r>
      <w:r w:rsidR="00570B6B">
        <w:rPr>
          <w:sz w:val="26"/>
          <w:szCs w:val="26"/>
        </w:rPr>
        <w:t>s</w:t>
      </w:r>
      <w:r w:rsidRPr="0072600F">
        <w:rPr>
          <w:sz w:val="26"/>
          <w:szCs w:val="26"/>
        </w:rPr>
        <w:t xml:space="preserve"> the resources required of transmission providers in making heatmaps available with the value of providing non-binding system impact information to all prospective interconnection customers ahead of entering the interconnection queue.  We note, however, that Order No. 2023 states that “if transmission providers find value in providing additional or different information [than required by Order No. 2023], they may propose such variations on compliance.”</w:t>
      </w:r>
      <w:r>
        <w:rPr>
          <w:rStyle w:val="FootnoteReference"/>
        </w:rPr>
        <w:footnoteReference w:id="179"/>
      </w:r>
      <w:r w:rsidRPr="0072600F">
        <w:rPr>
          <w:sz w:val="26"/>
          <w:szCs w:val="26"/>
        </w:rPr>
        <w:t xml:space="preserve">  </w:t>
      </w:r>
      <w:r w:rsidRPr="0072600F">
        <w:rPr>
          <w:sz w:val="26"/>
          <w:szCs w:val="26"/>
        </w:rPr>
        <w:t>Therefore, if a transmission provider believes that it would be informative to interconnection customers, it may propose on compliance an option for heatmap users to view results using ERIS assumptions in addition to NRIS assumptions.  As such, we reiterate that “heatmaps must be calculated under N-1 conditions and studied based on the power flow model of the transmission system with the transfer simulated from each point of interconnection to the whole transmission provider’s footprint (to approximate NRIS), and with the incremental capacity at each point of interconnection decremented by the existing and queued generation at that location (based on the existing or requested interconnection service limit of such generation).”</w:t>
      </w:r>
      <w:r>
        <w:rPr>
          <w:rStyle w:val="FootnoteReference"/>
        </w:rPr>
        <w:footnoteReference w:id="180"/>
      </w:r>
      <w:r w:rsidRPr="0072600F">
        <w:rPr>
          <w:sz w:val="26"/>
          <w:szCs w:val="26"/>
        </w:rPr>
        <w:t xml:space="preserve">  For the same reasons noted above, we are unpersuaded by the arguments raised in Clean Energy Associations’ alternative request for rehearing.</w:t>
      </w:r>
    </w:p>
    <w:p w:rsidR="00760048" w:rsidRPr="0072600F" w14:paraId="14B5564A"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also unpersuaded by Non-RTO Providers’ argument that the Commission failed to properly evaluate the costs and benefits of the heatmap requirement for non-RTO/ISO regions and that they cannot socialize the costs as broadly as RTOs/ISOs.  First, without a comparison to estimated heatmap costs for RTO/ISO regions, Non-RTO Providers’ cost estimates do not support its assertion that the cost of developing interactive heatmaps is more burdensome for non-RTO/ISO regions.</w:t>
      </w:r>
      <w:r>
        <w:rPr>
          <w:rStyle w:val="FootnoteReference"/>
        </w:rPr>
        <w:footnoteReference w:id="181"/>
      </w:r>
      <w:r w:rsidRPr="0072600F">
        <w:rPr>
          <w:sz w:val="26"/>
          <w:szCs w:val="26"/>
        </w:rPr>
        <w:t xml:space="preserve">  While RTO/ISO </w:t>
      </w:r>
      <w:r w:rsidRPr="0072600F">
        <w:rPr>
          <w:sz w:val="26"/>
          <w:szCs w:val="26"/>
        </w:rPr>
        <w:t xml:space="preserve">regions do have larger customer bases from which to recover costs, their heatmaps will also reflect larger and potentially more complex power systems and need to accommodate a larger pool of users and, therefore, may cost more.  </w:t>
      </w:r>
    </w:p>
    <w:p w:rsidR="00760048" w:rsidRPr="0072600F" w14:paraId="0BBC23DC" w14:textId="77777777">
      <w:pPr>
        <w:pStyle w:val="FERCparanumber"/>
        <w:widowControl/>
        <w:numPr>
          <w:ilvl w:val="0"/>
          <w:numId w:val="25"/>
        </w:numPr>
        <w:autoSpaceDE/>
        <w:autoSpaceDN/>
        <w:adjustRightInd/>
        <w:spacing w:line="480" w:lineRule="auto"/>
        <w:rPr>
          <w:sz w:val="26"/>
          <w:szCs w:val="26"/>
        </w:rPr>
      </w:pPr>
      <w:r w:rsidRPr="0072600F">
        <w:rPr>
          <w:sz w:val="26"/>
          <w:szCs w:val="26"/>
        </w:rPr>
        <w:t>We further disagree that the labor requirements Non-RTO Providers refer to will be overly burdensome relative to RTO/ISO regions.  First, as the Commission clarified in Order No. 2023, transmission providers are not required to update their heatmaps on a rolling 30-day basis, but rather within 30 days of the completion of a cluster study or restudy.</w:t>
      </w:r>
      <w:r>
        <w:rPr>
          <w:rStyle w:val="FootnoteReference"/>
        </w:rPr>
        <w:footnoteReference w:id="182"/>
      </w:r>
      <w:r w:rsidRPr="0072600F">
        <w:rPr>
          <w:sz w:val="26"/>
          <w:szCs w:val="26"/>
        </w:rPr>
        <w:t xml:space="preserve">  Thus, transmission providers will likely update their heatmaps at most two times per year, accounting for one cluster study and one cluster restudy.   </w:t>
      </w:r>
    </w:p>
    <w:p w:rsidR="00760048" w:rsidRPr="0072600F" w14:paraId="4BB873A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Second, to Non-RTO Providers’ argument that annual heatmap maintenance would divert attention from interconnection engineers who would otherwise be focused on transitioning to cluster studies, we reiterate that transmission providers are not required to make heatmaps available until </w:t>
      </w:r>
      <w:r w:rsidRPr="0072600F">
        <w:rPr>
          <w:i/>
          <w:iCs/>
          <w:sz w:val="26"/>
          <w:szCs w:val="26"/>
        </w:rPr>
        <w:t xml:space="preserve">after </w:t>
      </w:r>
      <w:r w:rsidRPr="0072600F">
        <w:rPr>
          <w:sz w:val="26"/>
          <w:szCs w:val="26"/>
        </w:rPr>
        <w:t xml:space="preserve">their transition period, which will help ensure that transmission providers’ implementation of this final rule, beginning with the transition period, has begun to reduce backlogged interconnection queues.  </w:t>
      </w:r>
    </w:p>
    <w:p w:rsidR="00760048" w:rsidRPr="0072600F" w14:paraId="7E38D6F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Third, Non-RTO Providers’ cost estimates are based on an extrapolation of one transmission provider’s initial estimate, and Non-RTO Providers do not describe any assumptions of this estimate beyond the assertion that, after each cluster study or restudy, </w:t>
      </w:r>
      <w:r w:rsidRPr="0072600F">
        <w:rPr>
          <w:sz w:val="26"/>
          <w:szCs w:val="26"/>
        </w:rPr>
        <w:t>it would take two full-time engineers several weeks to “prepare the data” before having a vendor update the heatmap.</w:t>
      </w:r>
      <w:r>
        <w:rPr>
          <w:rStyle w:val="FootnoteReference"/>
        </w:rPr>
        <w:footnoteReference w:id="183"/>
      </w:r>
      <w:r w:rsidRPr="0072600F">
        <w:rPr>
          <w:sz w:val="26"/>
          <w:szCs w:val="26"/>
        </w:rPr>
        <w:t xml:space="preserve">  We are unpersuaded by this assertion because, as Order No. 2023 states, transmission providers must use the results of their most recent cluster study or restudy to update the heatmap.</w:t>
      </w:r>
      <w:r>
        <w:rPr>
          <w:rStyle w:val="FootnoteReference"/>
        </w:rPr>
        <w:footnoteReference w:id="184"/>
      </w:r>
      <w:r w:rsidRPr="0072600F">
        <w:rPr>
          <w:sz w:val="26"/>
          <w:szCs w:val="26"/>
        </w:rPr>
        <w:t xml:space="preserve">  Therefore, to update their heatmaps, little additional analysis should be required beyond what transmission providers have already completed for their cluster studies and restudies.  We recognize that engineering labor will likely be required during heatmap website development, either directly, in developing the software and processes, or in consultation with the firm developing the heatmap.  However, we believe that it is feasible for transmission providers, or their heatmap developers, to develop their heatmap websites to accept their base case files as inputs for each update such that little to no modification of the base case files and data is necessary.  To that point, and Non-RTO Providers’ concern that transmission providers have no special expertise in website development, we note that Order No. 2023 does not require transmission providers themselves to develop the requisite software and processes, and they may contract with firms whose expertise includes website development and data management.  Further, Order No. 2023 does not preclude transmission providers from proposing on compliance to develop joint, regional heatmaps.  </w:t>
      </w:r>
    </w:p>
    <w:p w:rsidR="00760048" w:rsidRPr="0072600F" w14:paraId="659C3FC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Finally, we disagree that Non-RTO Providers’ proposal to require that transmission providers post only static data and allow other entities to voluntarily develop heatmaps accomplishes the goals outlined in Order No. 2023.  The purpose of the heatmap requirement is, in part, to provide comparable information to all interconnection customers, prior to entering the queue, regardless of the transmission provider.  Non-RTO Providers’ proposal would not ensure such comparability, but rather would favor interconnection customers that have more resources to devote towards modeling and favor some transmission providers’ own proposed generation.  Thus, interconnection customers that cannot afford to process the static data Non-RTO Providers propose to post would still need to submit speculative interconnection requests to obtain information.  Further, the voluntary funding approach Non-RTO Providers propose would not ensure that non-RTO/ISO regions have public interconnection information available and therefore would discriminate against interconnection customers seeking to interconnect outside of RTO/ISO regions.  </w:t>
      </w:r>
    </w:p>
    <w:p w:rsidR="00760048" w:rsidRPr="0072600F" w14:paraId="3648E64E" w14:textId="77777777">
      <w:pPr>
        <w:pStyle w:val="FERCparanumber"/>
        <w:widowControl/>
        <w:numPr>
          <w:ilvl w:val="0"/>
          <w:numId w:val="25"/>
        </w:numPr>
        <w:autoSpaceDE/>
        <w:autoSpaceDN/>
        <w:adjustRightInd/>
        <w:spacing w:line="480" w:lineRule="auto"/>
        <w:rPr>
          <w:sz w:val="26"/>
          <w:szCs w:val="26"/>
        </w:rPr>
      </w:pPr>
      <w:bookmarkStart w:id="24" w:name="_Hlk156553800"/>
      <w:r w:rsidRPr="0072600F">
        <w:rPr>
          <w:sz w:val="26"/>
          <w:szCs w:val="26"/>
        </w:rPr>
        <w:t>In response to NV Energy’s request for clarification on whether heatmaps must include proposed network upgrades or only existing facilities, we reiterate that heatmaps must be based on the power flow model and base case assumptions used in the most recent cluster study or restudy</w:t>
      </w:r>
      <w:bookmarkEnd w:id="24"/>
      <w:r w:rsidRPr="0072600F">
        <w:rPr>
          <w:sz w:val="26"/>
          <w:szCs w:val="26"/>
        </w:rPr>
        <w:t>.  Therefore, heatmaps will incorporate in-service network upgrades and network upgrades proposed for clusters higher queued than the most recent cluster study or restudy, as the base case and power flow models for any cluster will include proposed network upgrades for higher queued clusters.</w:t>
      </w:r>
    </w:p>
    <w:p w:rsidR="00760048" w:rsidRPr="0072600F" w14:paraId="25B80CB6" w14:textId="77777777">
      <w:pPr>
        <w:pStyle w:val="FERCparanumber"/>
        <w:widowControl/>
        <w:numPr>
          <w:ilvl w:val="0"/>
          <w:numId w:val="25"/>
        </w:numPr>
        <w:autoSpaceDE/>
        <w:autoSpaceDN/>
        <w:adjustRightInd/>
        <w:spacing w:line="480" w:lineRule="auto"/>
        <w:rPr>
          <w:sz w:val="26"/>
          <w:szCs w:val="26"/>
        </w:rPr>
      </w:pPr>
      <w:r w:rsidRPr="0072600F">
        <w:rPr>
          <w:sz w:val="26"/>
          <w:szCs w:val="26"/>
        </w:rPr>
        <w:t>We agree with NV Energy and PacifiCorp on the need for clarification regarding when heatmaps must be made available by transmission providers that do not conduct transition processes.  We therefore clarify that transmission providers that do not conduct transition periods do not need to make their heatmap available until 360 calendar days after the Commission-approved effective date of the transmission provider’s Order No. 2023 compliance filing.  This timeline will give transmission providers that do not conduct transition periods the same amount of time as transitioning transmission providers (i.e., completion of the transitional cluster study within 360 days after the Commission-approved effective date of the compliance filing) to develop their heatmaps.  Further, while we agree that heatmaps for some transmission providers may initially appear as all red, which indicates no available interconnection capacity, we reiterate our finding that an all red heatmap still “sends a valuable signal to interconnection customers regarding where proposed generating facilities may be more or less economic to interconnect prior to entering the interconnection queue.”</w:t>
      </w:r>
      <w:r>
        <w:rPr>
          <w:rStyle w:val="FootnoteReference"/>
        </w:rPr>
        <w:footnoteReference w:id="185"/>
      </w:r>
      <w:r w:rsidRPr="0072600F">
        <w:rPr>
          <w:sz w:val="26"/>
          <w:szCs w:val="26"/>
        </w:rPr>
        <w:t xml:space="preserve">  We are therefore unpersuaded that such a result necessitates delaying the posting of the interactive heatmap.  </w:t>
      </w:r>
    </w:p>
    <w:p w:rsidR="00760048" w:rsidRPr="0072600F" w14:paraId="20CC7BC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also unpersuaded by NV Energy’s request for clarification that transmission providers that do not conduct transition processes because they already use cluster studies should be required to post publicly available heatmaps only after three </w:t>
      </w:r>
      <w:r w:rsidRPr="0072600F">
        <w:rPr>
          <w:sz w:val="26"/>
          <w:szCs w:val="26"/>
        </w:rPr>
        <w:t xml:space="preserve">cluster cycles, similar to the transition to study delay penalties.  This would delay transmission providers already using cluster studies, and their potential interconnection customers, from realizing the benefits of a heatmap (e.g., a reduced volume of speculative interconnection requests) for more than twice as long as those transmission providers who do conduct a transition process and their potential interconnection customers.  </w:t>
      </w:r>
    </w:p>
    <w:p w:rsidR="00760048" w:rsidRPr="0072600F" w14:paraId="5FB677EF"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Public Interest Organizations’ assertion that the Commission erred in not requiring transmission providers to include additional data in their heatmaps that would assist interconnection customers in estimating interconnection costs</w:t>
      </w:r>
      <w:r w:rsidRPr="0072600F">
        <w:rPr>
          <w:sz w:val="26"/>
          <w:szCs w:val="26"/>
        </w:rPr>
        <w:t xml:space="preserve"> </w:t>
      </w:r>
      <w:r w:rsidRPr="0072600F">
        <w:rPr>
          <w:sz w:val="26"/>
          <w:szCs w:val="26"/>
        </w:rPr>
        <w:t>at potential points of interconnection.  We further disagree with Public Interest Organizations’ contention that the Commission did not fully consider the record on this matter in coming to its decision.  On the contrary, as numerous commenters explain – and as the Commission stated in Order No. 2023 – cost estimates produced prior to an interconnection customer entering the queue would be highly uncertain and subject to a high degree of change depending on the actions of other interconnection customers in the queue and study results, and therefore would provide little to no value to interconnection customers in terms of improving cost certainty.</w:t>
      </w:r>
      <w:r>
        <w:rPr>
          <w:rStyle w:val="FootnoteReference"/>
        </w:rPr>
        <w:footnoteReference w:id="186"/>
      </w:r>
      <w:r w:rsidRPr="0072600F">
        <w:rPr>
          <w:sz w:val="26"/>
          <w:szCs w:val="26"/>
        </w:rPr>
        <w:t xml:space="preserve">  We believe this to be true regardless of whether the transmission provider or the interconnection customer produces those cost estimates.  Further, Public Interest Organizations do not argue that cost estimates should </w:t>
      </w:r>
      <w:r w:rsidRPr="0072600F">
        <w:rPr>
          <w:sz w:val="26"/>
          <w:szCs w:val="26"/>
        </w:rPr>
        <w:t xml:space="preserve">be directly incorporated into transmission providers’ heatmaps, but rather that transmission providers should include additional information in their heatmaps that would allow interconnection customers to ascertain information about potential costs at points of interconnection.  At the same time, however, Public Interest Organizations argue that many interconnection customers lack the resources to develop cost estimates based on transmission providers’ heatmaps.  Thus, Public Interest Organizations’ proposal would not only increase the burden on transmission providers but require interconnection customers themselves to dedicate more resources towards developing cost estimates that are likely to change once they enter the queue.  We therefore continue to find that the heatmap requirements set forth in Order No. 2023 strike a reasonable balance between the burden on transmission providers to develop and maintain heatmaps and the benefit of providing interconnection customers with sufficient information to identify viable points of interconnection, given that cost estimates produced prior to entering the queue would be unreliable.  We note, however, that,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w:t>
      </w:r>
      <w:r>
        <w:rPr>
          <w:rStyle w:val="FootnoteReference"/>
        </w:rPr>
        <w:footnoteReference w:id="187"/>
      </w:r>
      <w:r w:rsidRPr="0072600F">
        <w:rPr>
          <w:sz w:val="26"/>
          <w:szCs w:val="26"/>
        </w:rPr>
        <w:t xml:space="preserve">  </w:t>
      </w:r>
    </w:p>
    <w:p w:rsidR="00760048" w:rsidRPr="0072600F" w14:paraId="7623ED74"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PJM’s request to modify the requirement for transmission providers to update their heatmaps within 30 calendar days of completing a cluster study or restudy.  We find PJM’s argument regarding its queue scope tool to be inapposite.  As the Commission explained in Order No. 2023, because the heatmap should use the results of the most recent cluster study or restudy, the heatmap requirement should require minimal additional analysis beyond the cluster study or restudy and should not necessitate detailed analysis.</w:t>
      </w:r>
      <w:r>
        <w:rPr>
          <w:rStyle w:val="FootnoteReference"/>
        </w:rPr>
        <w:footnoteReference w:id="188"/>
      </w:r>
      <w:r w:rsidRPr="0072600F">
        <w:rPr>
          <w:sz w:val="26"/>
          <w:szCs w:val="26"/>
        </w:rPr>
        <w:t xml:space="preserve">  Transmission providers must simply make the data and assumptions used in the analyses they already completed available in a public, interactive form.  Updating heatmaps within 30 calendar days of completion of a cluster study or restudy will also ensure that interconnection customers can use the heatmap during the </w:t>
      </w:r>
      <w:r w:rsidR="00551372">
        <w:rPr>
          <w:sz w:val="26"/>
          <w:szCs w:val="26"/>
        </w:rPr>
        <w:t>c</w:t>
      </w:r>
      <w:r w:rsidRPr="0072600F">
        <w:rPr>
          <w:sz w:val="26"/>
          <w:szCs w:val="26"/>
        </w:rPr>
        <w:t xml:space="preserve">ustomer </w:t>
      </w:r>
      <w:r w:rsidR="00551372">
        <w:rPr>
          <w:sz w:val="26"/>
          <w:szCs w:val="26"/>
        </w:rPr>
        <w:t>e</w:t>
      </w:r>
      <w:r w:rsidRPr="0072600F">
        <w:rPr>
          <w:sz w:val="26"/>
          <w:szCs w:val="26"/>
        </w:rPr>
        <w:t xml:space="preserve">ngagement </w:t>
      </w:r>
      <w:r w:rsidR="00551372">
        <w:rPr>
          <w:sz w:val="26"/>
          <w:szCs w:val="26"/>
        </w:rPr>
        <w:t>w</w:t>
      </w:r>
      <w:r w:rsidRPr="0072600F">
        <w:rPr>
          <w:sz w:val="26"/>
          <w:szCs w:val="26"/>
        </w:rPr>
        <w:t xml:space="preserve">indow to determine whether to proceed in the queue or withdraw.  Finally, we disagree that interconnection customers’ ability to request CEII achieves the same goal as the heatmap requirement.  The heatmaps are intended to improve transparency and ease the burden of producing interconnection-related information for prospective interconnection customers.  On the other hand, requests for CEII typically require an entity to submit certain identifying information and/or legal documents like non-disclosure agreements and require the transmission provider to review and verify such information, and weigh the need for the information against the potential harm of its release, before potentially granting access to a protected part of its website or OASIS </w:t>
      </w:r>
      <w:r w:rsidRPr="0072600F">
        <w:rPr>
          <w:sz w:val="26"/>
          <w:szCs w:val="26"/>
        </w:rPr>
        <w:t>portal.</w:t>
      </w:r>
      <w:r>
        <w:rPr>
          <w:rStyle w:val="FootnoteReference"/>
        </w:rPr>
        <w:footnoteReference w:id="189"/>
      </w:r>
      <w:r w:rsidRPr="0072600F">
        <w:rPr>
          <w:sz w:val="26"/>
          <w:szCs w:val="26"/>
        </w:rPr>
        <w:t xml:space="preserve">  Reliance on such a process would impose an unnecessary burden on the prospective interconnection customer</w:t>
      </w:r>
      <w:r w:rsidR="0037519B">
        <w:rPr>
          <w:sz w:val="26"/>
          <w:szCs w:val="26"/>
        </w:rPr>
        <w:t>,</w:t>
      </w:r>
      <w:r w:rsidRPr="0072600F">
        <w:rPr>
          <w:sz w:val="26"/>
          <w:szCs w:val="26"/>
        </w:rPr>
        <w:t xml:space="preserve"> the transmission provider</w:t>
      </w:r>
      <w:r w:rsidR="0037519B">
        <w:rPr>
          <w:sz w:val="26"/>
          <w:szCs w:val="26"/>
        </w:rPr>
        <w:t>, and other interested stakeholders</w:t>
      </w:r>
      <w:r w:rsidRPr="0072600F">
        <w:rPr>
          <w:sz w:val="26"/>
          <w:szCs w:val="26"/>
        </w:rPr>
        <w:t xml:space="preserve"> because, as commenters explain, the information to be published in transmission providers’ heatmaps does not raise CEII concerns.</w:t>
      </w:r>
      <w:r>
        <w:rPr>
          <w:rStyle w:val="FootnoteReference"/>
        </w:rPr>
        <w:footnoteReference w:id="190"/>
      </w:r>
    </w:p>
    <w:p w:rsidR="00760048" w:rsidRPr="0072600F" w14:paraId="5B596EF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Further, we are unpersuaded by PJM’s request to modify the finding in Order </w:t>
      </w:r>
      <w:r w:rsidR="00530BE2">
        <w:rPr>
          <w:sz w:val="26"/>
          <w:szCs w:val="26"/>
        </w:rPr>
        <w:t xml:space="preserve">    </w:t>
      </w:r>
      <w:r w:rsidRPr="0072600F">
        <w:rPr>
          <w:sz w:val="26"/>
          <w:szCs w:val="26"/>
        </w:rPr>
        <w:t xml:space="preserve">No. 2023 that transmission providers must bear the costs associated with their heatmaps or recover them through transmission rates to the extent they are recoverable consistent with Commission accounting and ratemaking policy.  First, transmission providers already maintain interconnection information and other related information online for the purposes of transparency and facilitating participation amongst various stakeholders.  Thus, we disagree with PJM’s requested modification because transmission providers may recover the costs associated with heatmaps through transmission rates to the extent they are recoverable consistent with Commission accounting and ratemaking policy.  Second, we disagree that interconnection customers are the sole or primary beneficiaries of the heatmap requirement, and that transmission providers themselves do not benefit from it.  The heatmap requirement will reduce the number of speculative interconnection requests submitted to transmission providers by providing prospective interconnection customers with information to evaluate the viability of their potential interconnection </w:t>
      </w:r>
      <w:r w:rsidRPr="0072600F">
        <w:rPr>
          <w:sz w:val="26"/>
          <w:szCs w:val="26"/>
        </w:rPr>
        <w:t xml:space="preserve">requests, thus improving overall queue efficiency for the benefit of both transmission providers and prospective interconnection customers.  </w:t>
      </w:r>
    </w:p>
    <w:p w:rsidR="00760048" w:rsidRPr="00FE47B2" w14:paraId="11036622"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25" w:name="_bmk13"/>
      <w:r w:rsidRPr="00FE47B2">
        <w:rPr>
          <w:b/>
          <w:bCs/>
          <w:sz w:val="26"/>
          <w:u w:val="single"/>
        </w:rPr>
        <w:t>C</w:t>
      </w:r>
      <w:bookmarkEnd w:id="25"/>
      <w:r w:rsidRPr="00FE47B2">
        <w:rPr>
          <w:b/>
          <w:bCs/>
          <w:sz w:val="26"/>
          <w:u w:val="single"/>
        </w:rPr>
        <w:t>luster Study Process</w:t>
      </w:r>
    </w:p>
    <w:p w:rsidR="00760048" w:rsidRPr="00FE47B2" w14:paraId="4A71DCC0"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Order No. 2023 Requirements</w:t>
      </w:r>
    </w:p>
    <w:p w:rsidR="00760048" w:rsidRPr="0072600F" w14:paraId="0D2E86A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the </w:t>
      </w:r>
      <w:r w:rsidRPr="0072600F">
        <w:rPr>
          <w:i/>
          <w:iCs/>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LGIA to require transmission providers to study interconnection requests in clusters.</w:t>
      </w:r>
      <w:r>
        <w:rPr>
          <w:rStyle w:val="FootnoteReference"/>
        </w:rPr>
        <w:footnoteReference w:id="191"/>
      </w:r>
      <w:r w:rsidRPr="0072600F">
        <w:rPr>
          <w:sz w:val="26"/>
          <w:szCs w:val="26"/>
        </w:rPr>
        <w:t xml:space="preserve">  The Commission adopted numerous revisions to the </w:t>
      </w:r>
      <w:r w:rsidRPr="0072600F">
        <w:rPr>
          <w:i/>
          <w:iCs/>
          <w:sz w:val="26"/>
          <w:szCs w:val="26"/>
        </w:rPr>
        <w:t xml:space="preserve">pro forma </w:t>
      </w:r>
      <w:r w:rsidRPr="0072600F">
        <w:rPr>
          <w:sz w:val="26"/>
          <w:szCs w:val="26"/>
        </w:rPr>
        <w:t xml:space="preserve">LGIP and </w:t>
      </w:r>
      <w:r w:rsidRPr="0072600F">
        <w:rPr>
          <w:i/>
          <w:iCs/>
          <w:sz w:val="26"/>
          <w:szCs w:val="26"/>
        </w:rPr>
        <w:t>pro forma</w:t>
      </w:r>
      <w:r w:rsidRPr="0072600F">
        <w:rPr>
          <w:sz w:val="26"/>
          <w:szCs w:val="26"/>
        </w:rPr>
        <w:t xml:space="preserve"> LGIA to effectuate this change.  Specifically, and as relevant here, the Commission revised the definitions of material modification and </w:t>
      </w:r>
      <w:r w:rsidRPr="0072600F">
        <w:rPr>
          <w:sz w:val="26"/>
          <w:szCs w:val="26"/>
        </w:rPr>
        <w:t>stand alone</w:t>
      </w:r>
      <w:r w:rsidRPr="0072600F">
        <w:rPr>
          <w:sz w:val="26"/>
          <w:szCs w:val="26"/>
        </w:rPr>
        <w:t xml:space="preserve"> network upgrades, and defined interconnection facilities study report.</w:t>
      </w:r>
      <w:r>
        <w:rPr>
          <w:rStyle w:val="FootnoteReference"/>
        </w:rPr>
        <w:footnoteReference w:id="192"/>
      </w:r>
      <w:r w:rsidRPr="0072600F">
        <w:rPr>
          <w:sz w:val="26"/>
          <w:szCs w:val="26"/>
        </w:rPr>
        <w:t xml:space="preserve">  The Commission adopted section 3.1.2 (Submission) of the </w:t>
      </w:r>
      <w:r w:rsidRPr="0072600F">
        <w:rPr>
          <w:i/>
          <w:iCs/>
          <w:sz w:val="26"/>
          <w:szCs w:val="26"/>
        </w:rPr>
        <w:t xml:space="preserve">pro forma </w:t>
      </w:r>
      <w:r w:rsidRPr="0072600F">
        <w:rPr>
          <w:sz w:val="26"/>
          <w:szCs w:val="26"/>
        </w:rPr>
        <w:t>LGIP to require an interconnection customer to select a definitive point of interconnection when executing the cluster study agreement.</w:t>
      </w:r>
      <w:r>
        <w:rPr>
          <w:rStyle w:val="FootnoteReference"/>
        </w:rPr>
        <w:footnoteReference w:id="193"/>
      </w:r>
      <w:r w:rsidRPr="0072600F">
        <w:rPr>
          <w:sz w:val="26"/>
          <w:szCs w:val="26"/>
        </w:rPr>
        <w:t xml:space="preserve">  The Commission adopted section 3.4.1 (Cluster Request Window), section 3.4.4 (Deficiencies in Interconnection Request), and section 3.4.5 (Customer Engagement Window) of the </w:t>
      </w:r>
      <w:r w:rsidRPr="0072600F">
        <w:rPr>
          <w:i/>
          <w:iCs/>
          <w:sz w:val="26"/>
          <w:szCs w:val="26"/>
        </w:rPr>
        <w:t>pro forma</w:t>
      </w:r>
      <w:r w:rsidRPr="0072600F">
        <w:rPr>
          <w:sz w:val="26"/>
          <w:szCs w:val="26"/>
        </w:rPr>
        <w:t xml:space="preserve"> LGIP to provide a process for interconnection customers to submit a cluster study interconnection request.</w:t>
      </w:r>
      <w:r>
        <w:rPr>
          <w:rStyle w:val="FootnoteReference"/>
        </w:rPr>
        <w:footnoteReference w:id="194"/>
      </w:r>
      <w:r w:rsidRPr="0072600F">
        <w:rPr>
          <w:sz w:val="26"/>
          <w:szCs w:val="26"/>
        </w:rPr>
        <w:t xml:space="preserve">  The Commission adopted section 3.4.6 (Cluster Study </w:t>
      </w:r>
      <w:r w:rsidRPr="0072600F">
        <w:rPr>
          <w:sz w:val="26"/>
          <w:szCs w:val="26"/>
        </w:rPr>
        <w:t xml:space="preserve">Scoping Meetings) of the </w:t>
      </w:r>
      <w:r w:rsidRPr="0072600F">
        <w:rPr>
          <w:i/>
          <w:iCs/>
          <w:sz w:val="26"/>
          <w:szCs w:val="26"/>
        </w:rPr>
        <w:t>pro forma</w:t>
      </w:r>
      <w:r w:rsidRPr="0072600F">
        <w:rPr>
          <w:sz w:val="26"/>
          <w:szCs w:val="26"/>
        </w:rPr>
        <w:t xml:space="preserve"> LGIP to require transmission providers to hold a scoping meeting with interconnection customers in the cluster.</w:t>
      </w:r>
      <w:r>
        <w:rPr>
          <w:rStyle w:val="FootnoteReference"/>
        </w:rPr>
        <w:footnoteReference w:id="195"/>
      </w:r>
      <w:r w:rsidRPr="0072600F">
        <w:rPr>
          <w:sz w:val="26"/>
          <w:szCs w:val="26"/>
        </w:rPr>
        <w:t xml:space="preserve">  The Commission revised section 3.5.2 (Requirement to Post Interconnection Study Metrics) of the </w:t>
      </w:r>
      <w:r w:rsidRPr="0072600F">
        <w:rPr>
          <w:i/>
          <w:iCs/>
          <w:sz w:val="26"/>
          <w:szCs w:val="26"/>
        </w:rPr>
        <w:t>pro forma</w:t>
      </w:r>
      <w:r w:rsidRPr="0072600F">
        <w:rPr>
          <w:sz w:val="26"/>
          <w:szCs w:val="26"/>
        </w:rPr>
        <w:t xml:space="preserve"> LGIP to require transmission providers to post metrics for cluster study and restudy processing time.</w:t>
      </w:r>
      <w:r>
        <w:rPr>
          <w:rStyle w:val="FootnoteReference"/>
        </w:rPr>
        <w:footnoteReference w:id="196"/>
      </w:r>
    </w:p>
    <w:p w:rsidR="00760048" w:rsidRPr="0072600F" w14:paraId="4CF03A1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several revisions to the </w:t>
      </w:r>
      <w:r w:rsidRPr="0072600F">
        <w:rPr>
          <w:i/>
          <w:iCs/>
          <w:sz w:val="26"/>
          <w:szCs w:val="26"/>
        </w:rPr>
        <w:t>pro forma</w:t>
      </w:r>
      <w:r w:rsidRPr="0072600F">
        <w:rPr>
          <w:sz w:val="26"/>
          <w:szCs w:val="26"/>
        </w:rPr>
        <w:t xml:space="preserve"> LGIP related to the process by which interconnection customers can make an interconnection request.  The Commission revised section 4.1 (Queue Position) of the </w:t>
      </w:r>
      <w:r w:rsidRPr="0072600F">
        <w:rPr>
          <w:i/>
          <w:iCs/>
          <w:sz w:val="26"/>
          <w:szCs w:val="26"/>
        </w:rPr>
        <w:t>pro forma</w:t>
      </w:r>
      <w:r w:rsidRPr="0072600F">
        <w:rPr>
          <w:sz w:val="26"/>
          <w:szCs w:val="26"/>
        </w:rPr>
        <w:t xml:space="preserve"> LGIP to provide that all interconnection requests within a cluster be considered equally queued and accordingly modified the definition of queue position.</w:t>
      </w:r>
      <w:r>
        <w:rPr>
          <w:rStyle w:val="FootnoteReference"/>
        </w:rPr>
        <w:footnoteReference w:id="197"/>
      </w:r>
      <w:r w:rsidRPr="0072600F">
        <w:rPr>
          <w:sz w:val="26"/>
          <w:szCs w:val="26"/>
        </w:rPr>
        <w:t xml:space="preserve">  The Commission renamed and revised section 4.2 (General Study Process) of the </w:t>
      </w:r>
      <w:r w:rsidRPr="0072600F">
        <w:rPr>
          <w:i/>
          <w:iCs/>
          <w:sz w:val="26"/>
          <w:szCs w:val="26"/>
        </w:rPr>
        <w:t>pro forma</w:t>
      </w:r>
      <w:r w:rsidRPr="0072600F">
        <w:rPr>
          <w:sz w:val="26"/>
          <w:szCs w:val="26"/>
        </w:rPr>
        <w:t xml:space="preserve"> LGIP to require transmission providers to perform interconnection studies within the cluster study process.</w:t>
      </w:r>
      <w:r>
        <w:rPr>
          <w:rStyle w:val="FootnoteReference"/>
        </w:rPr>
        <w:footnoteReference w:id="198"/>
      </w:r>
      <w:r w:rsidRPr="0072600F">
        <w:rPr>
          <w:sz w:val="26"/>
          <w:szCs w:val="26"/>
        </w:rPr>
        <w:t xml:space="preserve">  The Commission revised section 4.4 (Modifications) of the </w:t>
      </w:r>
      <w:r w:rsidRPr="0072600F">
        <w:rPr>
          <w:i/>
          <w:iCs/>
          <w:sz w:val="26"/>
          <w:szCs w:val="26"/>
        </w:rPr>
        <w:t>pro forma</w:t>
      </w:r>
      <w:r w:rsidRPr="0072600F">
        <w:rPr>
          <w:sz w:val="26"/>
          <w:szCs w:val="26"/>
        </w:rPr>
        <w:t xml:space="preserve"> LGIP to provide that moving a point of interconnection shall result in the loss of a queue position if it is deemed a material modification by the transmission provider.</w:t>
      </w:r>
      <w:r>
        <w:rPr>
          <w:rStyle w:val="FootnoteReference"/>
        </w:rPr>
        <w:footnoteReference w:id="199"/>
      </w:r>
      <w:r w:rsidRPr="0072600F">
        <w:rPr>
          <w:sz w:val="26"/>
          <w:szCs w:val="26"/>
        </w:rPr>
        <w:t xml:space="preserve">  The </w:t>
      </w:r>
      <w:r w:rsidRPr="0072600F">
        <w:rPr>
          <w:sz w:val="26"/>
          <w:szCs w:val="26"/>
        </w:rPr>
        <w:t xml:space="preserve">Commission also revised section 4.4.1 of the </w:t>
      </w:r>
      <w:r w:rsidRPr="0072600F">
        <w:rPr>
          <w:i/>
          <w:iCs/>
          <w:sz w:val="26"/>
          <w:szCs w:val="26"/>
        </w:rPr>
        <w:t>pro forma</w:t>
      </w:r>
      <w:r w:rsidRPr="0072600F">
        <w:rPr>
          <w:sz w:val="26"/>
          <w:szCs w:val="26"/>
        </w:rPr>
        <w:t xml:space="preserve"> LGIP to incorporate the material modification process as part of the cluster study process.</w:t>
      </w:r>
      <w:r>
        <w:rPr>
          <w:rStyle w:val="FootnoteReference"/>
        </w:rPr>
        <w:footnoteReference w:id="200"/>
      </w:r>
      <w:r w:rsidRPr="0072600F">
        <w:rPr>
          <w:sz w:val="26"/>
          <w:szCs w:val="26"/>
        </w:rPr>
        <w:t xml:space="preserve">  The Commission revised section 4.4.5 of the </w:t>
      </w:r>
      <w:r w:rsidRPr="0072600F">
        <w:rPr>
          <w:i/>
          <w:iCs/>
          <w:sz w:val="26"/>
          <w:szCs w:val="26"/>
        </w:rPr>
        <w:t>pro forma</w:t>
      </w:r>
      <w:r w:rsidRPr="0072600F">
        <w:rPr>
          <w:sz w:val="26"/>
          <w:szCs w:val="26"/>
        </w:rPr>
        <w:t xml:space="preserve"> LGIP to require that interconnection customers receive an extension of fewer than three cumulative years of the generating facility’s commercial operation date without requiring them to request such an extension from the transmission provider.</w:t>
      </w:r>
      <w:r>
        <w:rPr>
          <w:rStyle w:val="FootnoteReference"/>
        </w:rPr>
        <w:footnoteReference w:id="201"/>
      </w:r>
    </w:p>
    <w:p w:rsidR="00760048" w:rsidRPr="0072600F" w14:paraId="36F054A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revisions to the </w:t>
      </w:r>
      <w:r w:rsidRPr="0072600F">
        <w:rPr>
          <w:i/>
          <w:iCs/>
          <w:sz w:val="26"/>
          <w:szCs w:val="26"/>
        </w:rPr>
        <w:t>pro forma</w:t>
      </w:r>
      <w:r w:rsidRPr="0072600F">
        <w:rPr>
          <w:sz w:val="26"/>
          <w:szCs w:val="26"/>
        </w:rPr>
        <w:t xml:space="preserve"> LGIP to implement several cluster study provisions.  The Commission replaced section 6 (Interconnection Feasibility Study) of the </w:t>
      </w:r>
      <w:r w:rsidRPr="0072600F">
        <w:rPr>
          <w:i/>
          <w:iCs/>
          <w:sz w:val="26"/>
          <w:szCs w:val="26"/>
        </w:rPr>
        <w:t>pro forma</w:t>
      </w:r>
      <w:r w:rsidRPr="0072600F">
        <w:rPr>
          <w:sz w:val="26"/>
          <w:szCs w:val="26"/>
        </w:rPr>
        <w:t xml:space="preserve"> LGIP with the new public interconnection information requirements as discussed in section II.C.1 of Order No. 2023.</w:t>
      </w:r>
      <w:r>
        <w:rPr>
          <w:rStyle w:val="FootnoteReference"/>
        </w:rPr>
        <w:footnoteReference w:id="202"/>
      </w:r>
      <w:r w:rsidRPr="0072600F">
        <w:rPr>
          <w:sz w:val="26"/>
          <w:szCs w:val="26"/>
        </w:rPr>
        <w:t xml:space="preserve">  The Commission revised section 7 (Cluster Study) of the </w:t>
      </w:r>
      <w:r w:rsidRPr="0072600F">
        <w:rPr>
          <w:i/>
          <w:iCs/>
          <w:sz w:val="26"/>
          <w:szCs w:val="26"/>
        </w:rPr>
        <w:t>pro forma</w:t>
      </w:r>
      <w:r w:rsidRPr="0072600F">
        <w:rPr>
          <w:sz w:val="26"/>
          <w:szCs w:val="26"/>
        </w:rPr>
        <w:t xml:space="preserve"> LGIP to set out the requirements and scope of the cluster study agreement, as well as the cluster study and restudy procedures.</w:t>
      </w:r>
      <w:r>
        <w:rPr>
          <w:rStyle w:val="FootnoteReference"/>
        </w:rPr>
        <w:footnoteReference w:id="203"/>
      </w:r>
      <w:r w:rsidRPr="0072600F">
        <w:rPr>
          <w:sz w:val="26"/>
          <w:szCs w:val="26"/>
        </w:rPr>
        <w:t xml:space="preserve">  The Commission revised section 7.4 (Cluster Study Procedures) of the </w:t>
      </w:r>
      <w:r w:rsidRPr="0072600F">
        <w:rPr>
          <w:i/>
          <w:iCs/>
          <w:sz w:val="26"/>
          <w:szCs w:val="26"/>
        </w:rPr>
        <w:t>pro forma</w:t>
      </w:r>
      <w:r w:rsidRPr="0072600F">
        <w:rPr>
          <w:sz w:val="26"/>
          <w:szCs w:val="26"/>
        </w:rPr>
        <w:t xml:space="preserve"> LGIP to permit transmission providers to use subgroups in their cluster study process if they so choose.</w:t>
      </w:r>
      <w:r>
        <w:rPr>
          <w:rStyle w:val="FootnoteReference"/>
        </w:rPr>
        <w:footnoteReference w:id="204"/>
      </w:r>
      <w:r w:rsidRPr="0072600F">
        <w:rPr>
          <w:sz w:val="26"/>
          <w:szCs w:val="26"/>
        </w:rPr>
        <w:t xml:space="preserve">  The Commission revised section 8.5 (Restudy) of the </w:t>
      </w:r>
      <w:r w:rsidRPr="0072600F">
        <w:rPr>
          <w:i/>
          <w:iCs/>
          <w:sz w:val="26"/>
          <w:szCs w:val="26"/>
        </w:rPr>
        <w:t xml:space="preserve">pro </w:t>
      </w:r>
      <w:r w:rsidRPr="0072600F">
        <w:rPr>
          <w:i/>
          <w:iCs/>
          <w:sz w:val="26"/>
          <w:szCs w:val="26"/>
        </w:rPr>
        <w:t>forma</w:t>
      </w:r>
      <w:r w:rsidRPr="0072600F">
        <w:rPr>
          <w:sz w:val="26"/>
          <w:szCs w:val="26"/>
        </w:rPr>
        <w:t xml:space="preserve"> LGIP to make clear that restudies can be triggered by the withdrawal or modification by a higher- or equally-queued interconnection requests.</w:t>
      </w:r>
      <w:r>
        <w:rPr>
          <w:rStyle w:val="FootnoteReference"/>
        </w:rPr>
        <w:footnoteReference w:id="205"/>
      </w:r>
      <w:r w:rsidRPr="0072600F">
        <w:rPr>
          <w:sz w:val="26"/>
          <w:szCs w:val="26"/>
        </w:rPr>
        <w:t xml:space="preserve">  The Commission revised sections 11.1 (Tender) and 11.3 (Execution and Filing) of the </w:t>
      </w:r>
      <w:r w:rsidRPr="0072600F">
        <w:rPr>
          <w:i/>
          <w:iCs/>
          <w:sz w:val="26"/>
          <w:szCs w:val="26"/>
        </w:rPr>
        <w:t>pro forma</w:t>
      </w:r>
      <w:r w:rsidRPr="0072600F">
        <w:rPr>
          <w:sz w:val="26"/>
          <w:szCs w:val="26"/>
        </w:rPr>
        <w:t xml:space="preserve"> LGIP regarding the tendering, execution, and filing of the LGIA to incorporate the site control demonstrations and LGIA deposit requirements of Order No. 2023.</w:t>
      </w:r>
      <w:r>
        <w:rPr>
          <w:rStyle w:val="FootnoteReference"/>
        </w:rPr>
        <w:footnoteReference w:id="206"/>
      </w:r>
      <w:r w:rsidRPr="0072600F">
        <w:rPr>
          <w:sz w:val="26"/>
          <w:szCs w:val="26"/>
        </w:rPr>
        <w:t xml:space="preserve">        </w:t>
      </w:r>
    </w:p>
    <w:p w:rsidR="00760048" w:rsidRPr="00FE47B2" w14:paraId="3CEC402B"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Requests for Rehearing and Clarification</w:t>
      </w:r>
    </w:p>
    <w:p w:rsidR="00760048" w:rsidRPr="0072600F" w14:paraId="4E667F9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contend that the Commission acted arbitrarily and capriciously and failed to engage in reasoned decision-making by changing the definition of </w:t>
      </w:r>
      <w:r w:rsidRPr="0072600F">
        <w:rPr>
          <w:sz w:val="26"/>
          <w:szCs w:val="26"/>
        </w:rPr>
        <w:t>stand alone</w:t>
      </w:r>
      <w:r w:rsidRPr="0072600F">
        <w:rPr>
          <w:sz w:val="26"/>
          <w:szCs w:val="26"/>
        </w:rPr>
        <w:t xml:space="preserve"> network upgrades such that only “single customers” are eligible to build them.</w:t>
      </w:r>
      <w:r>
        <w:rPr>
          <w:rStyle w:val="FootnoteReference"/>
        </w:rPr>
        <w:footnoteReference w:id="207"/>
      </w:r>
      <w:r w:rsidRPr="0072600F">
        <w:rPr>
          <w:sz w:val="26"/>
          <w:szCs w:val="26"/>
        </w:rPr>
        <w:t xml:space="preserve">  Clean Energy Associations claim that, when considered with the shift to a cluster study process and other stated goals for the sharing of network upgrade costs amongst interconnection customers, the revised definition effectively forecloses the opportunity for any future interconnection customer to exercise their discretion to build </w:t>
      </w:r>
      <w:r w:rsidRPr="0072600F">
        <w:rPr>
          <w:sz w:val="26"/>
          <w:szCs w:val="26"/>
        </w:rPr>
        <w:t>stand alone</w:t>
      </w:r>
      <w:r w:rsidRPr="0072600F">
        <w:rPr>
          <w:sz w:val="26"/>
          <w:szCs w:val="26"/>
        </w:rPr>
        <w:t xml:space="preserve"> network upgrades or identified transmission provider interconnection facilities.  Additionally, Clean Energy Associations aver that the revisions ignore the relationship of the option to build to the project sponsor, nearly eliminating the benefits </w:t>
      </w:r>
      <w:r w:rsidRPr="0072600F">
        <w:rPr>
          <w:sz w:val="26"/>
          <w:szCs w:val="26"/>
        </w:rPr>
        <w:t>of the option to build, such as controlling project schedules.</w:t>
      </w:r>
      <w:r>
        <w:rPr>
          <w:rStyle w:val="FootnoteReference"/>
        </w:rPr>
        <w:footnoteReference w:id="208"/>
      </w:r>
      <w:r w:rsidRPr="0072600F">
        <w:rPr>
          <w:sz w:val="26"/>
          <w:szCs w:val="26"/>
        </w:rPr>
        <w:t xml:space="preserve">  Finally, Clean Energy Associations assert that the Commission’s reasoning is based on a hypothetical situation which has not occurred since Order No. 845, or possibly ever.  </w:t>
      </w:r>
    </w:p>
    <w:p w:rsidR="00760048" w:rsidRPr="0072600F" w14:paraId="4D3AD3F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argue that the Commission’s assertion that “confusion and potentially lengthy negotiations and/or disputes” would result without revisions to the definition of </w:t>
      </w:r>
      <w:r w:rsidRPr="0072600F">
        <w:rPr>
          <w:sz w:val="26"/>
          <w:szCs w:val="26"/>
        </w:rPr>
        <w:t>stand alone</w:t>
      </w:r>
      <w:r w:rsidRPr="0072600F">
        <w:rPr>
          <w:sz w:val="26"/>
          <w:szCs w:val="26"/>
        </w:rPr>
        <w:t xml:space="preserve"> network upgrades is unsupported by the record of this proceeding.</w:t>
      </w:r>
      <w:r>
        <w:rPr>
          <w:rStyle w:val="FootnoteReference"/>
        </w:rPr>
        <w:footnoteReference w:id="209"/>
      </w:r>
      <w:r w:rsidRPr="0072600F">
        <w:rPr>
          <w:sz w:val="26"/>
          <w:szCs w:val="26"/>
        </w:rPr>
        <w:t xml:space="preserve">  Clean Energy Associations note that transmission providers already using cluster studies have operated for years under the Order No. 845 definition, demonstrating that the revisions were not necessary.  Clean Energy Associations explain that Order No. 2023 neither cites previous instances of confusion or lengthy disputes regarding the construction of </w:t>
      </w:r>
      <w:r w:rsidRPr="0072600F">
        <w:rPr>
          <w:sz w:val="26"/>
          <w:szCs w:val="26"/>
        </w:rPr>
        <w:t>stand alone</w:t>
      </w:r>
      <w:r w:rsidRPr="0072600F">
        <w:rPr>
          <w:sz w:val="26"/>
          <w:szCs w:val="26"/>
        </w:rPr>
        <w:t xml:space="preserve"> network upgrades, nor any other facts or evidence that would support a finding that the current definition is insufficient or inadequate.  Clean Energy Associations also note that one transmission provider using cluster studies supported the concept of allowing </w:t>
      </w:r>
      <w:r w:rsidRPr="0072600F">
        <w:rPr>
          <w:sz w:val="26"/>
          <w:szCs w:val="26"/>
        </w:rPr>
        <w:t>stand alone</w:t>
      </w:r>
      <w:r w:rsidRPr="0072600F">
        <w:rPr>
          <w:sz w:val="26"/>
          <w:szCs w:val="26"/>
        </w:rPr>
        <w:t xml:space="preserve"> network upgrades to be shared among interconnection customers.</w:t>
      </w:r>
      <w:r>
        <w:rPr>
          <w:rStyle w:val="FootnoteReference"/>
        </w:rPr>
        <w:footnoteReference w:id="210"/>
      </w:r>
      <w:r w:rsidRPr="0072600F">
        <w:rPr>
          <w:sz w:val="26"/>
          <w:szCs w:val="26"/>
        </w:rPr>
        <w:t xml:space="preserve">  </w:t>
      </w:r>
    </w:p>
    <w:p w:rsidR="00760048" w:rsidRPr="0072600F" w14:paraId="64E2CFC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contend that this aspect of Order No. 2023 is arbitrary and capricious because the Commission fails to acknowledge or adequately explain </w:t>
      </w:r>
      <w:r w:rsidRPr="0072600F">
        <w:rPr>
          <w:sz w:val="26"/>
          <w:szCs w:val="26"/>
        </w:rPr>
        <w:t>departures from its precedent.</w:t>
      </w:r>
      <w:r>
        <w:rPr>
          <w:rStyle w:val="FootnoteReference"/>
        </w:rPr>
        <w:footnoteReference w:id="211"/>
      </w:r>
      <w:r w:rsidRPr="0072600F">
        <w:rPr>
          <w:sz w:val="26"/>
          <w:szCs w:val="26"/>
        </w:rPr>
        <w:t xml:space="preserve">  Clean Energy Associations note that Order No. 845 explains that the option to build benefits the interconnection process by giving interconnection customers more control and certainty, and that interconnection customers are in the best position to determine if the option to build in their interest.  However, Clean Energy Associations assert that the revised definition removes interconnection customers’ ability to exercise their discretion regarding the option to build for the majority of network upgrades identified in a cluster study, and modifies th</w:t>
      </w:r>
      <w:r w:rsidRPr="0072600F">
        <w:rPr>
          <w:i/>
          <w:iCs/>
          <w:sz w:val="26"/>
          <w:szCs w:val="26"/>
        </w:rPr>
        <w:t>e status quo</w:t>
      </w:r>
      <w:r w:rsidRPr="0072600F">
        <w:rPr>
          <w:sz w:val="26"/>
          <w:szCs w:val="26"/>
        </w:rPr>
        <w:t xml:space="preserve"> by reducing the number of network upgrades that would qualify as </w:t>
      </w:r>
      <w:r w:rsidRPr="0072600F">
        <w:rPr>
          <w:sz w:val="26"/>
          <w:szCs w:val="26"/>
        </w:rPr>
        <w:t>stand alone</w:t>
      </w:r>
      <w:r w:rsidRPr="0072600F">
        <w:rPr>
          <w:sz w:val="26"/>
          <w:szCs w:val="26"/>
        </w:rPr>
        <w:t xml:space="preserve"> network upgrades because the proportional impact method of cost allocation will reduce the likelihood of finding a single customer 100% responsible for a network upgrade.</w:t>
      </w:r>
      <w:r>
        <w:rPr>
          <w:rStyle w:val="FootnoteReference"/>
        </w:rPr>
        <w:footnoteReference w:id="212"/>
      </w:r>
      <w:r w:rsidRPr="0072600F">
        <w:rPr>
          <w:sz w:val="26"/>
          <w:szCs w:val="26"/>
        </w:rPr>
        <w:t xml:space="preserve">  Clean Energy Associations contend that this renders the Order No. 845 policy moot and is inconsistent with the Commission’s intent in Order No. 2023 to maintain the status quo.</w:t>
      </w:r>
      <w:r w:rsidRPr="0072600F">
        <w:rPr>
          <w:rStyle w:val="FootnoteReference"/>
        </w:rPr>
        <w:t xml:space="preserve"> </w:t>
      </w:r>
    </w:p>
    <w:p w:rsidR="00760048" w:rsidRPr="0072600F" w14:paraId="6C4AA4D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state that the Commission can redress this error on rehearing by (1) reversing its decision to revise the definition of </w:t>
      </w:r>
      <w:r w:rsidRPr="0072600F">
        <w:rPr>
          <w:sz w:val="26"/>
          <w:szCs w:val="26"/>
        </w:rPr>
        <w:t>stand alone</w:t>
      </w:r>
      <w:r w:rsidRPr="0072600F">
        <w:rPr>
          <w:sz w:val="26"/>
          <w:szCs w:val="26"/>
        </w:rPr>
        <w:t xml:space="preserve"> network upgrade, and (2) requiring transmission providers to address, in their compliance filings and OATTs, the process through which interconnection customers with shared network upgrades that qualify as </w:t>
      </w:r>
      <w:r w:rsidRPr="0072600F">
        <w:rPr>
          <w:sz w:val="26"/>
          <w:szCs w:val="26"/>
        </w:rPr>
        <w:t>stand alone</w:t>
      </w:r>
      <w:r w:rsidRPr="0072600F">
        <w:rPr>
          <w:sz w:val="26"/>
          <w:szCs w:val="26"/>
        </w:rPr>
        <w:t xml:space="preserve"> network upgrades can exercise their option to </w:t>
      </w:r>
      <w:r w:rsidRPr="0072600F">
        <w:rPr>
          <w:sz w:val="26"/>
          <w:szCs w:val="26"/>
        </w:rPr>
        <w:t>build.</w:t>
      </w:r>
      <w:r>
        <w:rPr>
          <w:rStyle w:val="FootnoteReference"/>
        </w:rPr>
        <w:footnoteReference w:id="213"/>
      </w:r>
      <w:r w:rsidRPr="0072600F">
        <w:rPr>
          <w:sz w:val="26"/>
          <w:szCs w:val="26"/>
        </w:rPr>
        <w:t xml:space="preserve">  Alternatively, Clean Energy Associations suggest that the Commission require transmission providers to allow the interconnection customers amongst whom a </w:t>
      </w:r>
      <w:r w:rsidRPr="0072600F">
        <w:rPr>
          <w:sz w:val="26"/>
          <w:szCs w:val="26"/>
        </w:rPr>
        <w:t>stand alone</w:t>
      </w:r>
      <w:r w:rsidRPr="0072600F">
        <w:rPr>
          <w:sz w:val="26"/>
          <w:szCs w:val="26"/>
        </w:rPr>
        <w:t xml:space="preserve"> network upgrade was shared to unanimously exercise the option to build and, then, to either select a third party to construct the upgrade or to determine responsibility for doing so amongst themselves.  Clean Energy Associations assert that this would prevent the concern of disputes among interconnection customers within a cluster.  Clean Energy Associations state that both of these options would be consistent with, and would preserve, the policy set forth in Order No. 845, while also addressing the Commission’s concerns that disputes or confusion may arise and further delay the interconnection process, while striking an appropriate balance between the Commission’s policy and efforts in Order No. 845 and Order No. 2023, honoring both efforts and further enhancing and benefiting the interconnection process.</w:t>
      </w:r>
      <w:r w:rsidRPr="0072600F">
        <w:rPr>
          <w:rStyle w:val="FootnoteReference"/>
        </w:rPr>
        <w:t xml:space="preserve"> </w:t>
      </w:r>
    </w:p>
    <w:p w:rsidR="00760048" w:rsidRPr="0072600F" w14:paraId="06A3B7BC"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state that the Commission erred in finding that modifications to project size can only be made during the customer engagement window and that interconnection customers must select a single, definitive point of interconnection at that time.</w:t>
      </w:r>
      <w:r>
        <w:rPr>
          <w:rStyle w:val="FootnoteReference"/>
        </w:rPr>
        <w:footnoteReference w:id="214"/>
      </w:r>
      <w:r w:rsidRPr="0072600F">
        <w:rPr>
          <w:sz w:val="26"/>
          <w:szCs w:val="26"/>
        </w:rPr>
        <w:t xml:space="preserve">  Clean Energy Associations assert that the record does not support the conclusion that the customer engagement window is sufficient for the interconnection customer to enter the cluster study with confidence in its project size and </w:t>
      </w:r>
      <w:r w:rsidRPr="0072600F">
        <w:rPr>
          <w:sz w:val="26"/>
          <w:szCs w:val="26"/>
        </w:rPr>
        <w:t>definitive point of interconnection and, thus, this timeline does not reflect an appropriate balance that will reduce the need for restudies and delays.  Clean Energy Associations assert the opposite—that the record indicates that failure to provide flexibility to interconnection customers to modify project size and point of interconnection after receipt of initial cluster study results will increase the likelihood of withdrawals and cascading restudies by not allowing interconnection customers to make beneficial adjustments earlier in the interconnection process that could be determinative in a project’s decision to stay in the cluster or withdraw.  Clean Energy Associations disagree with the Commission’s conclusion that the extended 60 calendar day customer engagement window is sufficient to provide interconnection customers with “time to consider information collected during this period of engagement with the transmission provider,”</w:t>
      </w:r>
      <w:r>
        <w:rPr>
          <w:rStyle w:val="FootnoteReference"/>
        </w:rPr>
        <w:footnoteReference w:id="215"/>
      </w:r>
      <w:r w:rsidRPr="0072600F">
        <w:rPr>
          <w:sz w:val="26"/>
          <w:szCs w:val="26"/>
        </w:rPr>
        <w:t xml:space="preserve"> which will allow customers to determine when to withdraw their interconnection requests and avoid penalties while improving queue efficiency due to fewer late-stage cluster study withdrawals.  Clean Energy Associations assert that, prior to the cluster study, it is difficult for an interconnection customer to make any informed conclusion about expected costs of potential network upgrades and such costs’ impact on project viability, which the interconnection customer</w:t>
      </w:r>
      <w:r w:rsidRPr="0072600F">
        <w:rPr>
          <w:sz w:val="26"/>
          <w:szCs w:val="26"/>
        </w:rPr>
        <w:t xml:space="preserve"> </w:t>
      </w:r>
      <w:r w:rsidRPr="0072600F">
        <w:rPr>
          <w:sz w:val="26"/>
          <w:szCs w:val="26"/>
        </w:rPr>
        <w:t>must learn from the cluster study.</w:t>
      </w:r>
      <w:r w:rsidRPr="0072600F">
        <w:rPr>
          <w:b/>
          <w:sz w:val="26"/>
          <w:szCs w:val="26"/>
          <w:vertAlign w:val="superscript"/>
        </w:rPr>
        <w:t xml:space="preserve"> </w:t>
      </w:r>
    </w:p>
    <w:p w:rsidR="00760048" w:rsidRPr="0072600F" w14:paraId="51CC6E1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60-day customer engagement window, Clean Energy Associations assert, only provides interconnection customers 46 calendar days to evaluate publicly posted </w:t>
      </w:r>
      <w:r w:rsidRPr="0072600F">
        <w:rPr>
          <w:sz w:val="26"/>
          <w:szCs w:val="26"/>
        </w:rPr>
        <w:t>information and make any potential project modifications prior to entering the cluster study, and any such early-acquired information will be incomplete, lacking modeling data, new model sets, and other study assumptions such as confidential merit order dispatch lists used by transmission providers to set up power transfers from new generators, despite publicly posted information by transmission providers.</w:t>
      </w:r>
      <w:r>
        <w:rPr>
          <w:rStyle w:val="FootnoteReference"/>
        </w:rPr>
        <w:footnoteReference w:id="216"/>
      </w:r>
      <w:r w:rsidRPr="0072600F">
        <w:rPr>
          <w:sz w:val="26"/>
          <w:szCs w:val="26"/>
        </w:rPr>
        <w:t xml:space="preserve">  Clean Energy Associations state that substantial information gained through the study process may necessitate a change in point of interconnection, making choosing a single point of interconnection implausible. </w:t>
      </w:r>
      <w:r w:rsidR="004964D9">
        <w:rPr>
          <w:sz w:val="26"/>
          <w:szCs w:val="26"/>
        </w:rPr>
        <w:t xml:space="preserve"> </w:t>
      </w:r>
      <w:r w:rsidRPr="0072600F">
        <w:rPr>
          <w:sz w:val="26"/>
          <w:szCs w:val="26"/>
        </w:rPr>
        <w:t>They claim that</w:t>
      </w:r>
      <w:r w:rsidRPr="0072600F">
        <w:rPr>
          <w:sz w:val="26"/>
          <w:szCs w:val="26"/>
        </w:rPr>
        <w:t xml:space="preserve"> </w:t>
      </w:r>
      <w:r w:rsidRPr="0072600F">
        <w:rPr>
          <w:sz w:val="26"/>
          <w:szCs w:val="26"/>
        </w:rPr>
        <w:t>not requiring transmission owners to attend scoping meetings further limits an interconnection customer’s access to information.  Clean Energy Associations assert that an interconnection customer will not have sufficient time and information to evaluate project viability during the customer engagement window or modify project size and location in response to pre-study information obtained during that window.</w:t>
      </w:r>
      <w:r w:rsidRPr="0072600F">
        <w:rPr>
          <w:b/>
          <w:sz w:val="26"/>
          <w:szCs w:val="26"/>
          <w:vertAlign w:val="superscript"/>
        </w:rPr>
        <w:t xml:space="preserve"> </w:t>
      </w:r>
    </w:p>
    <w:p w:rsidR="00760048" w:rsidRPr="0072600F" w14:paraId="2AA8CE3D"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assert that limiting post-initial cluster study entry modifications to the interconnection request to those the transmission provider deems not to be material ignores record evidence that this practice will not result in a more reliable, efficient, transparent, and timely interconnection process.</w:t>
      </w:r>
      <w:r>
        <w:rPr>
          <w:rStyle w:val="FootnoteReference"/>
        </w:rPr>
        <w:footnoteReference w:id="217"/>
      </w:r>
      <w:r w:rsidRPr="0072600F">
        <w:rPr>
          <w:sz w:val="26"/>
          <w:szCs w:val="26"/>
        </w:rPr>
        <w:t xml:space="preserve">  Clean Energy Associations assert that allowing flexibility in project size reductions through the initial cluster study </w:t>
      </w:r>
      <w:r w:rsidRPr="0072600F">
        <w:rPr>
          <w:sz w:val="26"/>
          <w:szCs w:val="26"/>
        </w:rPr>
        <w:t>will allow for optimization of projects based on official study results, resulting in fewer withdrawals due to increased project viability and contribution to reliability through reduced impacts to the transmission provider’s system, which it asserts will be less disruptive to the interconnection process than a full withdrawal.  Clean Energy Associations state that, likewise, inability to change the point of interconnection or to submit an alternate point of interconnection could cause delays and can trigger the restudy of an entire cluster.  Clean Energy Associations assert that the record demonstrates that interconnection customers lack sufficient time or information to optimize project characteristics prior to entering the initial cluster study, and that flexibility to make beneficial modifications after receipt of initial study results would reduce rather than increase uncertainty, restudy, and administrative burden.</w:t>
      </w:r>
    </w:p>
    <w:p w:rsidR="00760048" w:rsidRPr="0072600F" w14:paraId="28FCB821"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further state that the option to instead pursue a material modification exemption does not provide sufficient flexibility because:  (1) it leaves this determination to the discretion of the transmission provider; and (2) it ignores that minor project modifications that could have slight impacts on other interconnection customers in the same cluster might nonetheless be far less disruptive than project withdrawal.</w:t>
      </w:r>
      <w:r>
        <w:rPr>
          <w:rStyle w:val="FootnoteReference"/>
        </w:rPr>
        <w:footnoteReference w:id="218"/>
      </w:r>
      <w:r w:rsidRPr="0072600F">
        <w:rPr>
          <w:sz w:val="26"/>
          <w:szCs w:val="26"/>
        </w:rPr>
        <w:t xml:space="preserve">  Clean Energy Associations argue that the material modification review is often based on “opaque assumptions” available only to the transmission provider and may divert resources at a relatively more intense part of the study process.</w:t>
      </w:r>
      <w:r w:rsidRPr="0072600F">
        <w:rPr>
          <w:b/>
          <w:sz w:val="26"/>
          <w:szCs w:val="26"/>
          <w:vertAlign w:val="superscript"/>
        </w:rPr>
        <w:t xml:space="preserve"> </w:t>
      </w:r>
    </w:p>
    <w:p w:rsidR="00760048" w:rsidRPr="0072600F" w14:paraId="023085C9"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note that SPP, PJM, and MISO have adopted provisions allowing 50</w:t>
      </w:r>
      <w:r w:rsidR="00CC2FED">
        <w:rPr>
          <w:sz w:val="26"/>
          <w:szCs w:val="26"/>
        </w:rPr>
        <w:t>%</w:t>
      </w:r>
      <w:r w:rsidRPr="0072600F">
        <w:rPr>
          <w:sz w:val="26"/>
          <w:szCs w:val="26"/>
        </w:rPr>
        <w:t xml:space="preserve">-100% reduction allowance and minor point of interconnection changes, and also permit smaller size adjustments similar to that found in </w:t>
      </w:r>
      <w:r w:rsidRPr="0072600F">
        <w:rPr>
          <w:i/>
          <w:iCs/>
          <w:sz w:val="26"/>
          <w:szCs w:val="26"/>
        </w:rPr>
        <w:t>pro forma</w:t>
      </w:r>
      <w:r w:rsidRPr="0072600F">
        <w:rPr>
          <w:sz w:val="26"/>
          <w:szCs w:val="26"/>
        </w:rPr>
        <w:t xml:space="preserve"> LGIP section 4.4.2 through the initial </w:t>
      </w:r>
      <w:r w:rsidR="00C941CF">
        <w:rPr>
          <w:sz w:val="26"/>
          <w:szCs w:val="26"/>
        </w:rPr>
        <w:t>c</w:t>
      </w:r>
      <w:r w:rsidRPr="0072600F">
        <w:rPr>
          <w:sz w:val="26"/>
          <w:szCs w:val="26"/>
        </w:rPr>
        <w:t xml:space="preserve">luster </w:t>
      </w:r>
      <w:r w:rsidR="00C941CF">
        <w:rPr>
          <w:sz w:val="26"/>
          <w:szCs w:val="26"/>
        </w:rPr>
        <w:t>r</w:t>
      </w:r>
      <w:r w:rsidRPr="0072600F">
        <w:rPr>
          <w:sz w:val="26"/>
          <w:szCs w:val="26"/>
        </w:rPr>
        <w:t>estudy, which Clean Energy Associations state belie the Commission’s assertion that the timing for modifications in Order No. 2023 reflects a natural translation of the timing for modification in the existing serial study process to a cluster study process.</w:t>
      </w:r>
      <w:r>
        <w:rPr>
          <w:rStyle w:val="FootnoteReference"/>
        </w:rPr>
        <w:footnoteReference w:id="219"/>
      </w:r>
      <w:r w:rsidRPr="0072600F">
        <w:rPr>
          <w:sz w:val="26"/>
          <w:szCs w:val="26"/>
        </w:rPr>
        <w:t xml:space="preserve">  Clean Energy Associations therefore request that the Commission grant rehearing and modify the language in revised </w:t>
      </w:r>
      <w:r w:rsidRPr="0072600F">
        <w:rPr>
          <w:i/>
          <w:iCs/>
          <w:sz w:val="26"/>
          <w:szCs w:val="26"/>
        </w:rPr>
        <w:t>pro forma</w:t>
      </w:r>
      <w:r w:rsidRPr="0072600F">
        <w:rPr>
          <w:sz w:val="26"/>
          <w:szCs w:val="26"/>
        </w:rPr>
        <w:t xml:space="preserve"> LGIP section 4.4.1 to allow modifications to project size (specifically, up to a 60% size reduction) prior to entering the cluster restudy, and to allow minor modifications to project size (specifically, up to a 15% size reduction) after the receipt of a cluster restudy but prior to the start of the facilities study.  Clean Energy Associations further request that the Commission grant rehearing and allow interconnection customers the option to present a primary and alternative definitive point of interconnection in an electrically proximate area, provided that the transmission provider and transmission owner verify the alternative as acceptable during the customer engagement window and prior to the scoping meeting.</w:t>
      </w:r>
    </w:p>
    <w:p w:rsidR="00760048" w:rsidRPr="0072600F" w14:paraId="1A89218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IPP Coalition also asks the Commission to reconsider its requirement that customers identify a single point of interconnection and, instead, allow for an electrically </w:t>
      </w:r>
      <w:r w:rsidRPr="0072600F">
        <w:rPr>
          <w:sz w:val="26"/>
          <w:szCs w:val="26"/>
        </w:rPr>
        <w:t>proximate alternative point of interconnection that is verified as acceptable by the transmission provider during the cluster study customer engagement window and listed in the cluster study agreement.</w:t>
      </w:r>
      <w:r>
        <w:rPr>
          <w:rStyle w:val="FootnoteReference"/>
        </w:rPr>
        <w:footnoteReference w:id="220"/>
      </w:r>
      <w:r w:rsidRPr="0072600F">
        <w:rPr>
          <w:sz w:val="26"/>
          <w:szCs w:val="26"/>
        </w:rPr>
        <w:t xml:space="preserve">  IPP Coalition</w:t>
      </w:r>
      <w:r w:rsidRPr="0072600F">
        <w:rPr>
          <w:sz w:val="26"/>
          <w:szCs w:val="26"/>
        </w:rPr>
        <w:t xml:space="preserve"> </w:t>
      </w:r>
      <w:r w:rsidRPr="0072600F">
        <w:rPr>
          <w:sz w:val="26"/>
          <w:szCs w:val="26"/>
        </w:rPr>
        <w:t>asserts that electrically proximate point of interconnection locations can be effectively implemented within a study process without materially impacting a study process, and that this general standard should be applied consistently to a potential change, whether it is sought by an interconnection customer as part of the interconnection request or ultimately required on the basis of a public policy decision.</w:t>
      </w:r>
    </w:p>
    <w:p w:rsidR="00760048" w:rsidRPr="0072600F" w14:paraId="19D8D42D" w14:textId="77777777">
      <w:pPr>
        <w:pStyle w:val="FERCparanumber"/>
        <w:widowControl/>
        <w:numPr>
          <w:ilvl w:val="0"/>
          <w:numId w:val="25"/>
        </w:numPr>
        <w:autoSpaceDE/>
        <w:autoSpaceDN/>
        <w:adjustRightInd/>
        <w:spacing w:line="480" w:lineRule="auto"/>
        <w:rPr>
          <w:sz w:val="26"/>
          <w:szCs w:val="26"/>
        </w:rPr>
      </w:pPr>
      <w:r w:rsidRPr="0072600F">
        <w:rPr>
          <w:sz w:val="26"/>
          <w:szCs w:val="26"/>
        </w:rPr>
        <w:t>Ørsted</w:t>
      </w:r>
      <w:r w:rsidRPr="0072600F">
        <w:rPr>
          <w:sz w:val="26"/>
          <w:szCs w:val="26"/>
        </w:rPr>
        <w:t xml:space="preserve"> requests that the Commission clarify that, in circumstances where state or federal agency policy or regulation requires a change to the point of interconnection, projects should be restudied based upon the new regulatory or statutory requirements.</w:t>
      </w:r>
      <w:r>
        <w:rPr>
          <w:rStyle w:val="FootnoteReference"/>
        </w:rPr>
        <w:footnoteReference w:id="221"/>
      </w:r>
      <w:r w:rsidRPr="0072600F">
        <w:rPr>
          <w:sz w:val="26"/>
          <w:szCs w:val="26"/>
        </w:rPr>
        <w:t xml:space="preserve">  Alternatively, </w:t>
      </w:r>
      <w:r w:rsidRPr="0072600F">
        <w:rPr>
          <w:sz w:val="26"/>
          <w:szCs w:val="26"/>
        </w:rPr>
        <w:t>Ørsted</w:t>
      </w:r>
      <w:r w:rsidRPr="0072600F">
        <w:rPr>
          <w:sz w:val="26"/>
          <w:szCs w:val="26"/>
        </w:rPr>
        <w:t xml:space="preserve"> requests that the Commission clarify that, in such circumstances, the transmission provider, the state, or the interconnection customer may request a waiver of applicable tariff and LGIA/LGIP provisions that might be affected in order to comply with the federal or state regulatory requirement.  </w:t>
      </w:r>
    </w:p>
    <w:p w:rsidR="00760048" w:rsidRPr="0072600F" w14:paraId="2E508470" w14:textId="77777777">
      <w:pPr>
        <w:pStyle w:val="FERCparanumber"/>
        <w:widowControl/>
        <w:numPr>
          <w:ilvl w:val="0"/>
          <w:numId w:val="25"/>
        </w:numPr>
        <w:autoSpaceDE/>
        <w:autoSpaceDN/>
        <w:adjustRightInd/>
        <w:spacing w:line="480" w:lineRule="auto"/>
        <w:rPr>
          <w:sz w:val="26"/>
          <w:szCs w:val="26"/>
        </w:rPr>
      </w:pPr>
      <w:r w:rsidRPr="0072600F">
        <w:rPr>
          <w:b/>
          <w:sz w:val="26"/>
          <w:szCs w:val="26"/>
          <w:vertAlign w:val="superscript"/>
        </w:rPr>
        <w:t xml:space="preserve"> </w:t>
      </w:r>
      <w:r w:rsidRPr="0072600F">
        <w:rPr>
          <w:sz w:val="26"/>
          <w:szCs w:val="26"/>
        </w:rPr>
        <w:t xml:space="preserve">Clean Energy Associations state that the Commission should grant rehearing and amend Order No. 2023 to stipulate that, if an interconnection customer submits an interconnection request at least 15 business days prior to the close of the cluster request </w:t>
      </w:r>
      <w:r w:rsidRPr="0072600F">
        <w:rPr>
          <w:sz w:val="26"/>
          <w:szCs w:val="26"/>
        </w:rPr>
        <w:t>window, and if failure by the transmission provider to issue a deficiency notice within five business days of receipt results in the interconnection customer having fewer than 10 business days to respond to the deficiency notice prior to the close of the customer request window, the interconnection customer shall still be granted a full 10 business days to respond prior to facing the consequences outlined in revised</w:t>
      </w:r>
      <w:r w:rsidRPr="0072600F">
        <w:rPr>
          <w:i/>
          <w:sz w:val="26"/>
          <w:szCs w:val="26"/>
        </w:rPr>
        <w:t xml:space="preserve"> </w:t>
      </w:r>
      <w:r w:rsidRPr="0072600F">
        <w:rPr>
          <w:i/>
          <w:iCs/>
          <w:sz w:val="26"/>
          <w:szCs w:val="26"/>
        </w:rPr>
        <w:t>pro forma</w:t>
      </w:r>
      <w:r w:rsidRPr="0072600F">
        <w:rPr>
          <w:sz w:val="26"/>
          <w:szCs w:val="26"/>
        </w:rPr>
        <w:t xml:space="preserve"> LGIP section 3.4.4.</w:t>
      </w:r>
      <w:r>
        <w:rPr>
          <w:rStyle w:val="FootnoteReference"/>
        </w:rPr>
        <w:footnoteReference w:id="222"/>
      </w:r>
      <w:r w:rsidRPr="0072600F">
        <w:rPr>
          <w:sz w:val="26"/>
          <w:szCs w:val="26"/>
        </w:rPr>
        <w:t xml:space="preserve">  Clean Energy Associations state that, to ensure a full 10 business days to respond, an interconnection customer would have to submit its interconnection request more than 15 business days before the close of the cluster request window to account for the five business day window for the transmission provider to issue a deficiency notice, and that even if an interconnection customer submitted its interconnection request more than 15 business days before the close of the cluster window, the interconnection customer may be left with fewer than 10 business days to provide a response in the event that the transmission provider failed to meet the five business day notification requirement.  Clean Energy Associations state that, because of this oversight, an interconnection customer may, through no fault of its own, have as little as one day to respond to a deficiency notice.  Clean Energy Associations argue that revised</w:t>
      </w:r>
      <w:r w:rsidRPr="0072600F">
        <w:rPr>
          <w:i/>
          <w:sz w:val="26"/>
          <w:szCs w:val="26"/>
        </w:rPr>
        <w:t xml:space="preserve"> </w:t>
      </w:r>
      <w:r w:rsidRPr="0072600F">
        <w:rPr>
          <w:i/>
          <w:iCs/>
          <w:sz w:val="26"/>
          <w:szCs w:val="26"/>
        </w:rPr>
        <w:t xml:space="preserve">pro forma </w:t>
      </w:r>
      <w:r w:rsidRPr="0072600F">
        <w:rPr>
          <w:sz w:val="26"/>
          <w:szCs w:val="26"/>
        </w:rPr>
        <w:t xml:space="preserve">LGIP section 3.4.4 includes significant consequences for interconnection customers that fail to meet the 10 business-day deadline, but no consequences for transmission providers that fail to meet the five-business day deficiency notice deadline.  Clean Energy </w:t>
      </w:r>
      <w:r w:rsidRPr="0072600F">
        <w:rPr>
          <w:sz w:val="26"/>
          <w:szCs w:val="26"/>
        </w:rPr>
        <w:t>Associations argue that the Commission acted arbitrarily and capriciously and failed to engage in reasoned decision-making by failing to account for potential delay on the part of the transmission provider.</w:t>
      </w:r>
    </w:p>
    <w:p w:rsidR="00760048" w:rsidRPr="0072600F" w14:paraId="61F5781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and </w:t>
      </w:r>
      <w:r w:rsidRPr="0072600F">
        <w:rPr>
          <w:sz w:val="26"/>
          <w:szCs w:val="26"/>
        </w:rPr>
        <w:t>Ørsted</w:t>
      </w:r>
      <w:r w:rsidRPr="0072600F">
        <w:rPr>
          <w:sz w:val="26"/>
          <w:szCs w:val="26"/>
        </w:rPr>
        <w:t xml:space="preserve"> argue that the Commission acted arbitrarily and capriciously and failed to engage in reasoned decision-making when it declined to require transmission owners to attend scoping meetings.</w:t>
      </w:r>
      <w:r>
        <w:rPr>
          <w:rStyle w:val="FootnoteReference"/>
        </w:rPr>
        <w:footnoteReference w:id="223"/>
      </w:r>
      <w:r w:rsidRPr="0072600F">
        <w:rPr>
          <w:sz w:val="26"/>
          <w:szCs w:val="26"/>
        </w:rPr>
        <w:t xml:space="preserve">  Clean Energy Associations and </w:t>
      </w:r>
      <w:r w:rsidRPr="0072600F">
        <w:rPr>
          <w:sz w:val="26"/>
          <w:szCs w:val="26"/>
        </w:rPr>
        <w:t>Ørsted</w:t>
      </w:r>
      <w:r w:rsidRPr="0072600F">
        <w:rPr>
          <w:sz w:val="26"/>
          <w:szCs w:val="26"/>
        </w:rPr>
        <w:t xml:space="preserve"> state that requiring transmission owners to attend may help RTOs/ISOs address potential challenges sooner, avoiding penalties caused by transmission owner delays.  Clean Energy Associations and </w:t>
      </w:r>
      <w:r w:rsidRPr="0072600F">
        <w:rPr>
          <w:sz w:val="26"/>
          <w:szCs w:val="26"/>
        </w:rPr>
        <w:t>Ørsted</w:t>
      </w:r>
      <w:r w:rsidRPr="0072600F">
        <w:rPr>
          <w:sz w:val="26"/>
          <w:szCs w:val="26"/>
        </w:rPr>
        <w:t xml:space="preserve"> assert that the purpose of the customer engagement window is to provide interconnection customers with information to help them determine the viability of their proposed generating facilities earlier in the process, and without transmission owners in these meetings, interconnection customers are deprived of critical information necessary to determine the costs and commercial viability of their projects.</w:t>
      </w:r>
      <w:r>
        <w:rPr>
          <w:rStyle w:val="FootnoteReference"/>
        </w:rPr>
        <w:footnoteReference w:id="224"/>
      </w:r>
      <w:r w:rsidRPr="0072600F">
        <w:rPr>
          <w:sz w:val="26"/>
          <w:szCs w:val="26"/>
        </w:rPr>
        <w:t xml:space="preserve">  </w:t>
      </w:r>
      <w:r w:rsidRPr="0072600F">
        <w:rPr>
          <w:sz w:val="26"/>
          <w:szCs w:val="26"/>
        </w:rPr>
        <w:t>Ørsted</w:t>
      </w:r>
      <w:r w:rsidRPr="0072600F">
        <w:rPr>
          <w:sz w:val="26"/>
          <w:szCs w:val="26"/>
        </w:rPr>
        <w:t xml:space="preserve"> additionally states that transmission owners are fully responsible for design of network upgrades, including both substation and system network upgrades, as well as play an important role in informing point of interconnection decisions by providing information about the existing grid conditions and capabilities as </w:t>
      </w:r>
      <w:r w:rsidRPr="0072600F">
        <w:rPr>
          <w:sz w:val="26"/>
          <w:szCs w:val="26"/>
        </w:rPr>
        <w:t>well as information related to interconnection requirements.</w:t>
      </w:r>
      <w:r>
        <w:rPr>
          <w:rStyle w:val="FootnoteReference"/>
        </w:rPr>
        <w:footnoteReference w:id="225"/>
      </w:r>
      <w:r w:rsidRPr="0072600F">
        <w:rPr>
          <w:sz w:val="26"/>
          <w:szCs w:val="26"/>
        </w:rPr>
        <w:t xml:space="preserve">  </w:t>
      </w:r>
      <w:r w:rsidRPr="0072600F">
        <w:rPr>
          <w:sz w:val="26"/>
          <w:szCs w:val="26"/>
        </w:rPr>
        <w:t>Ørsted</w:t>
      </w:r>
      <w:r w:rsidRPr="0072600F">
        <w:rPr>
          <w:sz w:val="26"/>
          <w:szCs w:val="26"/>
        </w:rPr>
        <w:t xml:space="preserve"> therefore argues that the transmission owner is in the best position to give interconnection customers a sense of the work required to expand the transmission facilities to accommodate new interconnection customers, and that a failure to include transmission owners in these meetings deprives interconnection customers of critical information necessary to determine the costs and commercial viability of their projects.  </w:t>
      </w:r>
      <w:r w:rsidRPr="0072600F">
        <w:rPr>
          <w:sz w:val="26"/>
          <w:szCs w:val="26"/>
        </w:rPr>
        <w:t>Ørsted</w:t>
      </w:r>
      <w:r w:rsidRPr="0072600F">
        <w:rPr>
          <w:sz w:val="26"/>
          <w:szCs w:val="26"/>
        </w:rPr>
        <w:t xml:space="preserve"> asserts that not requiring transmission owners to attend the scoping meeting creates an additional burden on both the interconnection customer and the transmission owner because customer will need to schedule separate meetings with the transmission owners to get additional information. </w:t>
      </w:r>
    </w:p>
    <w:p w:rsidR="00760048" w:rsidRPr="0072600F" w14:paraId="210D7F39" w14:textId="77777777">
      <w:pPr>
        <w:pStyle w:val="FERCparanumber"/>
        <w:widowControl/>
        <w:numPr>
          <w:ilvl w:val="0"/>
          <w:numId w:val="25"/>
        </w:numPr>
        <w:autoSpaceDE/>
        <w:autoSpaceDN/>
        <w:adjustRightInd/>
        <w:spacing w:line="480" w:lineRule="auto"/>
        <w:rPr>
          <w:sz w:val="26"/>
          <w:szCs w:val="26"/>
        </w:rPr>
      </w:pPr>
      <w:r w:rsidRPr="0072600F">
        <w:rPr>
          <w:sz w:val="26"/>
          <w:szCs w:val="26"/>
        </w:rPr>
        <w:t>EEI, NYISO, and NYTOs seek rehearing of Order No. 2023’s elimination of the feasibility study.</w:t>
      </w:r>
      <w:r>
        <w:rPr>
          <w:rStyle w:val="FootnoteReference"/>
        </w:rPr>
        <w:footnoteReference w:id="226"/>
      </w:r>
      <w:r w:rsidRPr="0072600F">
        <w:rPr>
          <w:sz w:val="26"/>
          <w:szCs w:val="26"/>
        </w:rPr>
        <w:t xml:space="preserve">  EEI argues that carrying out physical feasibility studies, which determine whether the project is “physically constructable” to the point of interconnection, early in the interconnection process will allow for the early disqualification of infeasible interconnection requests, which will save resources.</w:t>
      </w:r>
      <w:r>
        <w:rPr>
          <w:rStyle w:val="FootnoteReference"/>
        </w:rPr>
        <w:footnoteReference w:id="227"/>
      </w:r>
      <w:r w:rsidRPr="0072600F">
        <w:rPr>
          <w:sz w:val="26"/>
          <w:szCs w:val="26"/>
        </w:rPr>
        <w:t xml:space="preserve">  NYTOs contend that analyzing feasibility is especially needed in highly congested areas </w:t>
      </w:r>
      <w:r w:rsidRPr="0072600F">
        <w:rPr>
          <w:sz w:val="26"/>
          <w:szCs w:val="26"/>
        </w:rPr>
        <w:t>like New York City and Long Island, where geographic and environmental limitations often restrict the ability to interconnect new generation at certain locations, which cannot be reflected in a heatmap.</w:t>
      </w:r>
      <w:r>
        <w:rPr>
          <w:rStyle w:val="FootnoteReference"/>
        </w:rPr>
        <w:footnoteReference w:id="228"/>
      </w:r>
      <w:r w:rsidRPr="0072600F">
        <w:rPr>
          <w:sz w:val="26"/>
          <w:szCs w:val="26"/>
        </w:rPr>
        <w:t xml:space="preserve">  NYISO and NYTOs note</w:t>
      </w:r>
      <w:r w:rsidRPr="0072600F">
        <w:rPr>
          <w:sz w:val="26"/>
          <w:szCs w:val="26"/>
        </w:rPr>
        <w:t xml:space="preserve"> </w:t>
      </w:r>
      <w:r w:rsidRPr="0072600F">
        <w:rPr>
          <w:sz w:val="26"/>
          <w:szCs w:val="26"/>
        </w:rPr>
        <w:t>that, because physical feasibility issues are particularly important in New York, NYISO needs to address early in the interconnection study process which proposed projects will be eligible to make use of those limited points of interconnection.</w:t>
      </w:r>
      <w:r>
        <w:rPr>
          <w:rStyle w:val="FootnoteReference"/>
        </w:rPr>
        <w:footnoteReference w:id="229"/>
      </w:r>
      <w:r w:rsidRPr="0072600F">
        <w:rPr>
          <w:sz w:val="26"/>
          <w:szCs w:val="26"/>
        </w:rPr>
        <w:t xml:space="preserve">  NYISO and NYTOs assert that the Commission’s determination to eliminate the feasibility study and replace it with a heatmap to provide project developers with a rough indication of interconnection capacity before they submit their interconnection requests will not address critical physical feasibility issues. </w:t>
      </w:r>
      <w:r w:rsidRPr="0072600F">
        <w:rPr>
          <w:sz w:val="26"/>
          <w:szCs w:val="26"/>
        </w:rPr>
        <w:t xml:space="preserve"> </w:t>
      </w:r>
    </w:p>
    <w:p w:rsidR="00760048" w:rsidRPr="0072600F" w14:paraId="1DD67843" w14:textId="77777777">
      <w:pPr>
        <w:pStyle w:val="FERCparanumber"/>
        <w:widowControl/>
        <w:numPr>
          <w:ilvl w:val="0"/>
          <w:numId w:val="25"/>
        </w:numPr>
        <w:autoSpaceDE/>
        <w:autoSpaceDN/>
        <w:adjustRightInd/>
        <w:spacing w:line="480" w:lineRule="auto"/>
        <w:rPr>
          <w:sz w:val="26"/>
          <w:szCs w:val="26"/>
        </w:rPr>
      </w:pPr>
      <w:r w:rsidRPr="0072600F">
        <w:rPr>
          <w:sz w:val="26"/>
          <w:szCs w:val="26"/>
        </w:rPr>
        <w:t>EEI asks the Commission to clarify that provisional interconnection service requests will continue to be processed as received and outside the cluster study process.</w:t>
      </w:r>
      <w:r>
        <w:rPr>
          <w:rStyle w:val="FootnoteReference"/>
        </w:rPr>
        <w:footnoteReference w:id="230"/>
      </w:r>
      <w:r w:rsidRPr="0072600F">
        <w:rPr>
          <w:sz w:val="26"/>
          <w:szCs w:val="26"/>
        </w:rPr>
        <w:t xml:space="preserve">  EEI states that the Commission may have inadvertently failed to include provisional service in its response to PacifiCorp’s comments regarding processing interconnection requests (including provisional service requests) in Order No. 2023.</w:t>
      </w:r>
      <w:r w:rsidRPr="0072600F">
        <w:rPr>
          <w:rStyle w:val="FootnoteReference"/>
        </w:rPr>
        <w:t xml:space="preserve"> </w:t>
      </w:r>
    </w:p>
    <w:p w:rsidR="00760048" w:rsidRPr="0072600F" w14:paraId="47D071EA" w14:textId="77777777">
      <w:pPr>
        <w:pStyle w:val="FERCparanumber"/>
        <w:widowControl/>
        <w:numPr>
          <w:ilvl w:val="0"/>
          <w:numId w:val="25"/>
        </w:numPr>
        <w:autoSpaceDE/>
        <w:autoSpaceDN/>
        <w:adjustRightInd/>
        <w:spacing w:line="480" w:lineRule="auto"/>
        <w:rPr>
          <w:sz w:val="26"/>
          <w:szCs w:val="26"/>
        </w:rPr>
      </w:pPr>
      <w:r w:rsidRPr="0072600F">
        <w:rPr>
          <w:sz w:val="26"/>
          <w:szCs w:val="26"/>
        </w:rPr>
        <w:t>EEI requests that the Commission clarify how the 150-day study deadline applies to cascading restudies.</w:t>
      </w:r>
      <w:r>
        <w:rPr>
          <w:rStyle w:val="FootnoteReference"/>
        </w:rPr>
        <w:footnoteReference w:id="231"/>
      </w:r>
      <w:r w:rsidRPr="0072600F">
        <w:rPr>
          <w:sz w:val="26"/>
          <w:szCs w:val="26"/>
        </w:rPr>
        <w:t xml:space="preserve">  EEI states that a withdrawal has the potential to trigger the restudy of every subsequent cluster, which will have to be conducted in turn.  EEI specifically asks the Commission to clarify that transmission providers have 150 days to complete the restudy from the initiation of the restudy, rather than from when the interconnection customers are informed that the restudy is needed.  EEI argues that this clarification is necessary so that transmission providers have the full 150-day period for each restudy.  </w:t>
      </w:r>
    </w:p>
    <w:p w:rsidR="00760048" w:rsidRPr="0072600F" w14:paraId="22AEF41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MISO asks the Commission to clarify that Order No. 2023’s statements that decline to allow transmission providers the flexibility to set their own study deadlines were intended to respond to requests to allow transmission providers to establish deadlines for specific study clusters other than through deadlines fixed in their tariffs, and were not intended to preempt transmission providers from proposing to maintain existing tariff-defined study deadlines that may differ from the </w:t>
      </w:r>
      <w:r w:rsidRPr="0072600F">
        <w:rPr>
          <w:i/>
          <w:iCs/>
          <w:sz w:val="26"/>
          <w:szCs w:val="26"/>
        </w:rPr>
        <w:t xml:space="preserve">pro forma </w:t>
      </w:r>
      <w:r w:rsidRPr="0072600F">
        <w:rPr>
          <w:sz w:val="26"/>
          <w:szCs w:val="26"/>
        </w:rPr>
        <w:t>LGIP’s 150 day schedule.</w:t>
      </w:r>
      <w:r>
        <w:rPr>
          <w:rStyle w:val="FootnoteReference"/>
        </w:rPr>
        <w:footnoteReference w:id="232"/>
      </w:r>
      <w:r w:rsidRPr="0072600F">
        <w:rPr>
          <w:sz w:val="26"/>
          <w:szCs w:val="26"/>
        </w:rPr>
        <w:t xml:space="preserve">  MISO explains that it uses a three-phase process that has a different length than the one phase process in the </w:t>
      </w:r>
      <w:r w:rsidRPr="0072600F">
        <w:rPr>
          <w:i/>
          <w:iCs/>
          <w:sz w:val="26"/>
          <w:szCs w:val="26"/>
        </w:rPr>
        <w:t>pro forma</w:t>
      </w:r>
      <w:r w:rsidRPr="0072600F">
        <w:rPr>
          <w:sz w:val="26"/>
          <w:szCs w:val="26"/>
        </w:rPr>
        <w:t xml:space="preserve">, and MISO’s tariff includes fixed study deadlines for each phase that are not subject to discretionary adjustment. </w:t>
      </w:r>
    </w:p>
    <w:p w:rsidR="00760048" w:rsidRPr="0072600F" w14:paraId="2CD757F9"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asserts that the one-size-fits-all, 150-calendar day cluster study timeframe is arbitrary and capricious, does not reflect reasoned decision-making, and is not based on substantial evidence.</w:t>
      </w:r>
      <w:r>
        <w:rPr>
          <w:rStyle w:val="FootnoteReference"/>
        </w:rPr>
        <w:footnoteReference w:id="233"/>
      </w:r>
      <w:r w:rsidRPr="0072600F">
        <w:rPr>
          <w:sz w:val="26"/>
          <w:szCs w:val="26"/>
        </w:rPr>
        <w:t xml:space="preserve">  NYISO states that the timeframes for the cluster restudy and facilities studies are also arbitrary and capricious and deficient.  NYISO asserts that the Commission did not establish a basis for the 150-day timeframe, but rather stated that the timeframe for performing the stability analyses, power flow analyses, and short circuit analyses was based on the record without providing detail as to what in the record supports that conclusion.  NYISO also claims the Commission cites to a limited number of parties, none of which it claims performs such studies, in support of the 150-day timeframe. </w:t>
      </w:r>
    </w:p>
    <w:p w:rsidR="00760048" w:rsidRPr="0072600F" w14:paraId="5C56ACB8"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contends that the Commission has not considered the impact to the study timeline of any evaluations required to address applicable reliability requirements.</w:t>
      </w:r>
      <w:r>
        <w:rPr>
          <w:rStyle w:val="FootnoteReference"/>
        </w:rPr>
        <w:footnoteReference w:id="234"/>
      </w:r>
      <w:r w:rsidRPr="0072600F">
        <w:rPr>
          <w:sz w:val="26"/>
          <w:szCs w:val="26"/>
        </w:rPr>
        <w:t xml:space="preserve">  NYISO explains that in New York, for example, the system impact study encompasses numerous steps critical to evaluating reliability impacts of proposed generating facilities, which must be performed to fully evaluate a proposed interconnection under all Applicable Reliability Requirements.  NYISO notes that in New York, Applicable Reliability Requirements include Northeast Power Coordinating Council rules and New York State Reliability Council rules, which are often more stringent than NERC rules </w:t>
      </w:r>
      <w:r w:rsidRPr="0072600F">
        <w:rPr>
          <w:sz w:val="26"/>
          <w:szCs w:val="26"/>
        </w:rPr>
        <w:t xml:space="preserve">because of New York’s unique transmission system complexities, including congestion around New York City and Long Island, and an influx of offshore wind generation. </w:t>
      </w:r>
    </w:p>
    <w:p w:rsidR="00760048" w:rsidRPr="0072600F" w14:paraId="042CF0B4"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contends that the Commission has also failed to consider how the size or complexity of the cluster could affect the study timeframe.</w:t>
      </w:r>
      <w:r>
        <w:rPr>
          <w:rStyle w:val="FootnoteReference"/>
        </w:rPr>
        <w:footnoteReference w:id="235"/>
      </w:r>
      <w:r w:rsidRPr="0072600F">
        <w:rPr>
          <w:sz w:val="26"/>
          <w:szCs w:val="26"/>
        </w:rPr>
        <w:t xml:space="preserve">  NYISO explains that the system impact study timeframe is driven by the study scope (e.g., whether the study addresses physical feasibility), the number of impacted parties, the complexity of the project, and unique challenges at the project’s point of interconnection.  NYISO further explains that, for a system impact study to effectively evaluate a proposed interconnection, the transmission provider requires accurate modeling data from an interconnection customer, study cases built for the proposed project, and precise thermal, voltage, steady state, and short circuit analyses.  NYISO explains that accomplishing this requires a potential several-month collaboration with transmission owners to:  (1) build applicable study base cases and the associated auxiliary study files; (2) complete any short circuit base cases necessary to determine point of interconnection requirements; (3)</w:t>
      </w:r>
      <w:r w:rsidR="00BA0811">
        <w:rPr>
          <w:sz w:val="26"/>
          <w:szCs w:val="26"/>
        </w:rPr>
        <w:t> </w:t>
      </w:r>
      <w:r w:rsidRPr="0072600F">
        <w:rPr>
          <w:sz w:val="26"/>
          <w:szCs w:val="26"/>
        </w:rPr>
        <w:t>build pre-and post-project steady-state base cases that represent various system conditions (e.g., summer peak load, winter peak load, and spring light load conditions).</w:t>
      </w:r>
      <w:r>
        <w:rPr>
          <w:rStyle w:val="FootnoteReference"/>
        </w:rPr>
        <w:footnoteReference w:id="236"/>
      </w:r>
      <w:r w:rsidRPr="0072600F">
        <w:rPr>
          <w:sz w:val="26"/>
          <w:szCs w:val="26"/>
        </w:rPr>
        <w:t xml:space="preserve">  NYISO further explains that it:  (1) collaborates with applicable transmission owners and/or interconnection customers to determine upgrade solutions that constitute the least </w:t>
      </w:r>
      <w:r w:rsidRPr="0072600F">
        <w:rPr>
          <w:sz w:val="26"/>
          <w:szCs w:val="26"/>
        </w:rPr>
        <w:t>cost solution to mitigate reliability violations consistent with good utility practice and all applicable reliability requirements; (2) must sometimes iteratively redo the reliability analyses to ensure network upgrades can be reliably interconnected; and (3) must conduct stability analysis, transfer analysis, deliverability analysis, short circuit analysis, NPCC/NYSRC bulk power system transmission facility testing analysis, sub-synchronous torsional interaction screening analysis, and additional analyses.  NYISO states that the study results must be summarized and shared with impacted parties and stakeholders and reviewed by the appropriate NYISO committees and subcommittees.  NYISO avers that, if it had to comply with the 150-day timeline, it may likely be forced to eliminate this review and approval process.</w:t>
      </w:r>
      <w:r>
        <w:rPr>
          <w:rStyle w:val="FootnoteReference"/>
        </w:rPr>
        <w:footnoteReference w:id="237"/>
      </w:r>
      <w:r w:rsidRPr="0072600F">
        <w:rPr>
          <w:sz w:val="26"/>
          <w:szCs w:val="26"/>
        </w:rPr>
        <w:t xml:space="preserve"> </w:t>
      </w:r>
    </w:p>
    <w:p w:rsidR="00760048" w:rsidRPr="0072600F" w14:paraId="4B1AE568" w14:textId="77777777">
      <w:pPr>
        <w:pStyle w:val="FERCparanumber"/>
        <w:widowControl/>
        <w:numPr>
          <w:ilvl w:val="0"/>
          <w:numId w:val="25"/>
        </w:numPr>
        <w:autoSpaceDE/>
        <w:autoSpaceDN/>
        <w:adjustRightInd/>
        <w:spacing w:line="480" w:lineRule="auto"/>
        <w:rPr>
          <w:sz w:val="26"/>
          <w:szCs w:val="26"/>
        </w:rPr>
      </w:pPr>
      <w:r w:rsidRPr="0072600F">
        <w:rPr>
          <w:sz w:val="26"/>
          <w:szCs w:val="26"/>
        </w:rPr>
        <w:t>Additionally, NYISO asserts that cluster studies are unlikely to create the time savings expected by the Commission.</w:t>
      </w:r>
      <w:r>
        <w:rPr>
          <w:rStyle w:val="FootnoteReference"/>
        </w:rPr>
        <w:footnoteReference w:id="238"/>
      </w:r>
      <w:r w:rsidRPr="0072600F">
        <w:rPr>
          <w:sz w:val="26"/>
          <w:szCs w:val="26"/>
        </w:rPr>
        <w:t xml:space="preserve">  NYISO disagrees with the Commission’s statement that the transmission provider “will be conducting only one interconnection study, or at most a small number of interconnection studies, at a time, allowing them to devote more resources to completing the studies in a timely manner” because, NYISO argues, this statement does not accurately reflect the type and amount of work required for the cluster study that it proposes and the resources that will need to be committed to </w:t>
      </w:r>
      <w:r w:rsidRPr="0072600F">
        <w:rPr>
          <w:sz w:val="26"/>
          <w:szCs w:val="26"/>
        </w:rPr>
        <w:t>such study.</w:t>
      </w:r>
      <w:r>
        <w:rPr>
          <w:rStyle w:val="FootnoteReference"/>
        </w:rPr>
        <w:footnoteReference w:id="239"/>
      </w:r>
      <w:r w:rsidRPr="0072600F">
        <w:rPr>
          <w:sz w:val="26"/>
          <w:szCs w:val="26"/>
        </w:rPr>
        <w:t xml:space="preserve">  NYISO explains that</w:t>
      </w:r>
      <w:r w:rsidRPr="0072600F">
        <w:rPr>
          <w:sz w:val="26"/>
          <w:szCs w:val="26"/>
        </w:rPr>
        <w:t xml:space="preserve"> </w:t>
      </w:r>
      <w:r w:rsidRPr="0072600F">
        <w:rPr>
          <w:sz w:val="26"/>
          <w:szCs w:val="26"/>
        </w:rPr>
        <w:t>a large portion of cluster study work is spent identifying network upgrades at or near points of interconnection for individual projects or subsets of projects within the cluster which, as NYISO asserts, effectively requires transmission providers to perform individual studies within the broader cluster study and requiring resources similar to that of a serial study.</w:t>
      </w:r>
      <w:r>
        <w:rPr>
          <w:rStyle w:val="FootnoteReference"/>
        </w:rPr>
        <w:footnoteReference w:id="240"/>
      </w:r>
      <w:r w:rsidRPr="0072600F">
        <w:rPr>
          <w:sz w:val="26"/>
          <w:szCs w:val="26"/>
        </w:rPr>
        <w:t xml:space="preserve">   NYISO contends that only a small portion of cluster study work involves assessing the impacts on the system of the cluster as a whole.  NYISO adds that each additional project in the cluster adds to the total amount of work required because each project must be modeled.  </w:t>
      </w:r>
    </w:p>
    <w:p w:rsidR="00760048" w:rsidRPr="0072600F" w14:paraId="61DFB393" w14:textId="77777777">
      <w:pPr>
        <w:pStyle w:val="FERCparanumber"/>
        <w:widowControl/>
        <w:numPr>
          <w:ilvl w:val="0"/>
          <w:numId w:val="25"/>
        </w:numPr>
        <w:autoSpaceDE/>
        <w:autoSpaceDN/>
        <w:adjustRightInd/>
        <w:spacing w:line="480" w:lineRule="auto"/>
        <w:rPr>
          <w:sz w:val="26"/>
          <w:szCs w:val="26"/>
        </w:rPr>
      </w:pPr>
      <w:r w:rsidRPr="0072600F">
        <w:rPr>
          <w:sz w:val="26"/>
          <w:szCs w:val="26"/>
        </w:rPr>
        <w:t>Further, NYISO argues that efficiencies gained by transitioning to a cluster study may be offset by increased participation and resultant large clusters.</w:t>
      </w:r>
      <w:r>
        <w:rPr>
          <w:rStyle w:val="FootnoteReference"/>
        </w:rPr>
        <w:footnoteReference w:id="241"/>
      </w:r>
      <w:r w:rsidRPr="0072600F">
        <w:rPr>
          <w:sz w:val="26"/>
          <w:szCs w:val="26"/>
        </w:rPr>
        <w:t xml:space="preserve">  </w:t>
      </w:r>
      <w:r w:rsidRPr="0072600F">
        <w:rPr>
          <w:sz w:val="26"/>
          <w:szCs w:val="26"/>
        </w:rPr>
        <w:t xml:space="preserve">NYISO contends that </w:t>
      </w:r>
      <w:r w:rsidRPr="0072600F">
        <w:rPr>
          <w:sz w:val="26"/>
          <w:szCs w:val="26"/>
        </w:rPr>
        <w:t>the more stringent study deposit, commercial readiness, and site control rules adopted in Order No. 2023 will not materially reduce the number of projects entering interconnection queues.  NYISO notes that it and other RTOs/ISOs have</w:t>
      </w:r>
      <w:r w:rsidRPr="0072600F">
        <w:rPr>
          <w:sz w:val="26"/>
          <w:szCs w:val="26"/>
        </w:rPr>
        <w:t>s</w:t>
      </w:r>
      <w:r w:rsidRPr="0072600F">
        <w:rPr>
          <w:sz w:val="26"/>
          <w:szCs w:val="26"/>
        </w:rPr>
        <w:t xml:space="preserve"> adopted similar rules without seeing a corresponding decrease in projects entering and progressing through their queues</w:t>
      </w:r>
      <w:r w:rsidRPr="0072600F">
        <w:rPr>
          <w:sz w:val="26"/>
          <w:szCs w:val="26"/>
        </w:rPr>
        <w:t>.</w:t>
      </w:r>
      <w:r>
        <w:rPr>
          <w:rStyle w:val="FootnoteReference"/>
        </w:rPr>
        <w:footnoteReference w:id="242"/>
      </w:r>
      <w:r w:rsidRPr="0072600F">
        <w:rPr>
          <w:sz w:val="26"/>
          <w:szCs w:val="26"/>
        </w:rPr>
        <w:t xml:space="preserve">  NYISO states that, if the Commission does establish a firm deadline for cluster study completion, it should define a maximum number of projects in a cluster or allow for extending the 150-day timeframe according to cluster size.</w:t>
      </w:r>
    </w:p>
    <w:p w:rsidR="00760048" w:rsidRPr="0072600F" w14:paraId="5DF904B6"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requests that the Commission allow RTOs/ISOs to propose alternative study deadlines as independent entity variations.</w:t>
      </w:r>
      <w:r>
        <w:rPr>
          <w:rStyle w:val="FootnoteReference"/>
        </w:rPr>
        <w:footnoteReference w:id="243"/>
      </w:r>
      <w:r w:rsidRPr="0072600F">
        <w:rPr>
          <w:sz w:val="26"/>
          <w:szCs w:val="26"/>
        </w:rPr>
        <w:t xml:space="preserve">  NYISO argues that requiring a single, firm study timeframe for all transmission providers does not recognize that interconnection study process requirements, challenges, reliability criteria, and queue size will be different in each region.  In the alternative, NYISO requests that the Commission grant clarification that Order No. 2023 was not intended to prevent RTOs/ISOs from proposing region-specific study deadlines for some or all future studies in their individual Order No. 2023 compliance filings. </w:t>
      </w:r>
    </w:p>
    <w:p w:rsidR="00760048" w:rsidRPr="0072600F" w14:paraId="3536B30D"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also asks the Commission to confirm that, during the 45-day cluster request window, the interconnection customer is limited to one 10-business day opportunity (or shorter at the end of the request window) to cure a deficiency in its application.</w:t>
      </w:r>
      <w:r>
        <w:rPr>
          <w:rStyle w:val="FootnoteReference"/>
        </w:rPr>
        <w:footnoteReference w:id="244"/>
      </w:r>
      <w:r w:rsidRPr="0072600F">
        <w:rPr>
          <w:sz w:val="26"/>
          <w:szCs w:val="26"/>
        </w:rPr>
        <w:t xml:space="preserve">  Further, NYISO asks the Commission to confirm that it did not intend to require the transmission provider to issue a second deficiency notice even if time allowed for such notice in the cluster request window and that, if the interconnection customer fails to fully cure its application within its single cure period, its application will be withdrawn.  NYISO notes that section 3.4.4 of the </w:t>
      </w:r>
      <w:r w:rsidRPr="0072600F">
        <w:rPr>
          <w:i/>
          <w:sz w:val="26"/>
          <w:szCs w:val="26"/>
        </w:rPr>
        <w:t xml:space="preserve">pro forma </w:t>
      </w:r>
      <w:r w:rsidRPr="0072600F">
        <w:rPr>
          <w:sz w:val="26"/>
          <w:szCs w:val="26"/>
        </w:rPr>
        <w:t xml:space="preserve">LGIP provides that: “At any time, if Transmission Provider finds that the technical data provided by Interconnection Customer is incomplete or contains errors, Interconnection Customer and Transmission Provider shall work expeditiously and in good faith to remedy such issues.”  NYISO argues that the Commission should clarify that this language is not intended to extend the time period by which an interconnection customer must address deficiencies for the transmission provider’s acceptance of a valid, complete interconnection request, but instead is simply intended to permit the transmission provider and interconnection customer to address any minor issues that may be discovered later in the interconnection process, subject to applicable deadlines. NYISO proposes revisions to section 3.4.4 of the </w:t>
      </w:r>
      <w:r w:rsidRPr="0072600F">
        <w:rPr>
          <w:i/>
          <w:iCs/>
          <w:sz w:val="26"/>
          <w:szCs w:val="26"/>
        </w:rPr>
        <w:t>pro forma</w:t>
      </w:r>
      <w:r w:rsidRPr="0072600F">
        <w:rPr>
          <w:sz w:val="26"/>
          <w:szCs w:val="26"/>
        </w:rPr>
        <w:t xml:space="preserve"> LGIP which it states would accomplish this clarification.   </w:t>
      </w:r>
    </w:p>
    <w:p w:rsidR="00760048" w:rsidRPr="0072600F" w14:paraId="0E7FDA02"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asks the Commission to confirm that the transmission provider may complete its determination that an interconnection request is valid into the customer engagement window, including assessing any updated information provided by the interconnection customer, within its permitted deficiency cure period in the cluster request window.</w:t>
      </w:r>
      <w:r>
        <w:rPr>
          <w:rStyle w:val="FootnoteReference"/>
        </w:rPr>
        <w:footnoteReference w:id="245"/>
      </w:r>
      <w:r w:rsidRPr="0072600F">
        <w:rPr>
          <w:sz w:val="26"/>
          <w:szCs w:val="26"/>
        </w:rPr>
        <w:t xml:space="preserve">  NYISO also requests confirmation that the transmission provider is not required to permit interconnection customers to address any further deficiencies identified in the customer engagement window.  Further, NYISO states the Commission should confirm that, if the transmission provider determines in the customer engagement window that an interconnection customer’s updated interconnection request remains deficient and is not valid, the transmission provider may withdraw the project upon such determination.  In particular, NYISO notes that Paragraph 234 of Order No. 2023 appears to reject withdrawals for interconnection requests that are not deemed valid until the close of the customer engagement window.  NYISO argues that this statement is inconsistent with the Commission’s requirements to not permit interconnection customers to cure deficiencies during the customer engagement window and to limit participation in the Scoping Meeting during that window to only customers “whose valid Interconnection Requests were received in the Cluster Request Window.”</w:t>
      </w:r>
      <w:r>
        <w:rPr>
          <w:rStyle w:val="FootnoteReference"/>
        </w:rPr>
        <w:footnoteReference w:id="246"/>
      </w:r>
      <w:r w:rsidRPr="0072600F">
        <w:rPr>
          <w:sz w:val="26"/>
          <w:szCs w:val="26"/>
        </w:rPr>
        <w:t xml:space="preserve"> </w:t>
      </w:r>
    </w:p>
    <w:p w:rsidR="00760048" w:rsidRPr="0072600F" w14:paraId="59DB41DC"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requests rehearing of the requirement that transmission providers post an anonymized list of the projects eligible to participate in the cluster study during the customer engagement window.</w:t>
      </w:r>
      <w:r>
        <w:rPr>
          <w:rStyle w:val="FootnoteReference"/>
        </w:rPr>
        <w:footnoteReference w:id="247"/>
      </w:r>
      <w:r w:rsidRPr="0072600F">
        <w:rPr>
          <w:sz w:val="26"/>
          <w:szCs w:val="26"/>
        </w:rPr>
        <w:t xml:space="preserve">  NYISO argues that the requirement creates another administrative burden on the transmission provider for which the Commission has not provided a reasonable basis and could result in the unequal public disclosure of certain information to only a subset of developers.  NYISO asserts that the Commission has not provided support for this anonymity requirement, aside from a general assertion that such requirement is appropriate “to reduce opportunities for developers to gain competitive advantage over others before interconnection requests have been finalized and accepted by the transmission provider.”</w:t>
      </w:r>
      <w:r>
        <w:rPr>
          <w:rStyle w:val="FootnoteReference"/>
        </w:rPr>
        <w:footnoteReference w:id="248"/>
      </w:r>
      <w:r w:rsidRPr="0072600F">
        <w:rPr>
          <w:sz w:val="26"/>
          <w:szCs w:val="26"/>
        </w:rPr>
        <w:t xml:space="preserve">  NYISO further states that the Commission has not provided a description of any means by which publicly identifying the developers of projects with valid interconnection requests would provide the developer or other parties with a competitive advantage.  NYISO also explains that its OATT requires transmission providers to publicly post queue information that includes certain identifying information about valid interconnection requests.  NYISO argues that the proposed requirement would therefore require a further administrative step for NYISO to have to conceal certain information in its publicly posted queue, including the developer’s name and/or the status of the project, as well as take additional steps to maintain the projects’ anonymity, such as masking information in any other public communications.</w:t>
      </w:r>
      <w:r>
        <w:rPr>
          <w:rStyle w:val="FootnoteReference"/>
        </w:rPr>
        <w:footnoteReference w:id="249"/>
      </w:r>
      <w:r w:rsidRPr="0072600F">
        <w:rPr>
          <w:sz w:val="26"/>
          <w:szCs w:val="26"/>
        </w:rPr>
        <w:t xml:space="preserve">  Further, NYISO notes that the group scoping meeting required during the customer engagement window will reveal many of the cluster participants, and that even if developer names are not provided during the meeting, many developers in a region are aware of the employees of other developers in that region.  Therefore, NYISO argues that anonymity of developer names will not mask the identity of the underlying developers from other cluster participants but would simply give them an information advantage over other developers.  Finally, NYISO explains that in many cases, such information would be public anyway, such as through a developer posting its projects on its website or participating in public request for proposals, permitting processes, Commission submissions, or other federal, state, or local proceedings.  </w:t>
      </w:r>
    </w:p>
    <w:p w:rsidR="00760048" w:rsidRPr="0072600F" w14:paraId="4B7A8B88" w14:textId="77777777">
      <w:pPr>
        <w:pStyle w:val="FERCparanumber"/>
        <w:widowControl/>
        <w:numPr>
          <w:ilvl w:val="0"/>
          <w:numId w:val="25"/>
        </w:numPr>
        <w:autoSpaceDE/>
        <w:autoSpaceDN/>
        <w:adjustRightInd/>
        <w:spacing w:line="480" w:lineRule="auto"/>
        <w:rPr>
          <w:sz w:val="26"/>
          <w:szCs w:val="26"/>
        </w:rPr>
      </w:pPr>
      <w:r w:rsidRPr="0072600F">
        <w:rPr>
          <w:sz w:val="26"/>
          <w:szCs w:val="26"/>
        </w:rPr>
        <w:t>NewSun</w:t>
      </w:r>
      <w:r w:rsidRPr="0072600F">
        <w:rPr>
          <w:sz w:val="26"/>
          <w:szCs w:val="26"/>
        </w:rPr>
        <w:t xml:space="preserve"> argues that the 30-day timeline permitted following receipt of the cluster study report for interconnection customers to execute the facilities study agreement and provide deposits is arbitrary and capricious because it is commercially unreasonable, counterproductive to the Commission’s goals of reducing withdrawals and restudies, </w:t>
      </w:r>
      <w:r w:rsidR="00530BE2">
        <w:rPr>
          <w:sz w:val="26"/>
          <w:szCs w:val="26"/>
        </w:rPr>
        <w:t xml:space="preserve">  </w:t>
      </w:r>
      <w:r w:rsidRPr="0072600F">
        <w:rPr>
          <w:sz w:val="26"/>
          <w:szCs w:val="26"/>
        </w:rPr>
        <w:t xml:space="preserve">fails to address record evidence, and inconsistent with the rationale provided in Order </w:t>
      </w:r>
      <w:r w:rsidR="00530BE2">
        <w:rPr>
          <w:sz w:val="26"/>
          <w:szCs w:val="26"/>
        </w:rPr>
        <w:t xml:space="preserve"> </w:t>
      </w:r>
      <w:r w:rsidRPr="0072600F">
        <w:rPr>
          <w:sz w:val="26"/>
          <w:szCs w:val="26"/>
        </w:rPr>
        <w:t>No. 2023.</w:t>
      </w:r>
      <w:r>
        <w:rPr>
          <w:rStyle w:val="FootnoteReference"/>
        </w:rPr>
        <w:footnoteReference w:id="250"/>
      </w:r>
      <w:r w:rsidRPr="0072600F">
        <w:rPr>
          <w:sz w:val="26"/>
          <w:szCs w:val="26"/>
        </w:rPr>
        <w:t xml:space="preserve">  </w:t>
      </w:r>
      <w:r w:rsidRPr="0072600F">
        <w:rPr>
          <w:sz w:val="26"/>
          <w:szCs w:val="26"/>
        </w:rPr>
        <w:t>NewSun</w:t>
      </w:r>
      <w:r w:rsidRPr="0072600F">
        <w:rPr>
          <w:sz w:val="26"/>
          <w:szCs w:val="26"/>
        </w:rPr>
        <w:t xml:space="preserve"> argues that the 30-day timeline does not leave time for the proper review and discussion of the study information, especially where third party information is involved, or where the interconnection customer’s understanding of the information (even assuming the study was without errors) is contingent upon study results meetings.  </w:t>
      </w:r>
      <w:r w:rsidRPr="0072600F">
        <w:rPr>
          <w:sz w:val="26"/>
          <w:szCs w:val="26"/>
        </w:rPr>
        <w:t>NewSun</w:t>
      </w:r>
      <w:r w:rsidRPr="0072600F">
        <w:rPr>
          <w:sz w:val="26"/>
          <w:szCs w:val="26"/>
        </w:rPr>
        <w:t xml:space="preserve"> explains that it takes time to, for example, read the report, formulate questions, set up meetings with consultants, run financial models, and engage with outside bankers and financiers.</w:t>
      </w:r>
      <w:r>
        <w:rPr>
          <w:rStyle w:val="FootnoteReference"/>
        </w:rPr>
        <w:footnoteReference w:id="251"/>
      </w:r>
      <w:r w:rsidRPr="0072600F">
        <w:rPr>
          <w:sz w:val="26"/>
          <w:szCs w:val="26"/>
        </w:rPr>
        <w:t xml:space="preserve">  </w:t>
      </w:r>
      <w:r w:rsidRPr="0072600F">
        <w:rPr>
          <w:sz w:val="26"/>
          <w:szCs w:val="26"/>
        </w:rPr>
        <w:t>NewSun</w:t>
      </w:r>
      <w:r w:rsidRPr="0072600F">
        <w:rPr>
          <w:sz w:val="26"/>
          <w:szCs w:val="26"/>
        </w:rPr>
        <w:t xml:space="preserve"> asserts that companies with “near infinite resources can just play chicken with their balance sheets, many of whom can merely post a letter of credit (by paying points) to proceed, and/or make the strategic decision to hold their noses and stay in, hope it works out, and just treat withdrawal penalties as a cost of doing business,” while companies like </w:t>
      </w:r>
      <w:r w:rsidRPr="0072600F">
        <w:rPr>
          <w:sz w:val="26"/>
          <w:szCs w:val="26"/>
        </w:rPr>
        <w:t>NewSun</w:t>
      </w:r>
      <w:r w:rsidRPr="0072600F">
        <w:rPr>
          <w:sz w:val="26"/>
          <w:szCs w:val="26"/>
        </w:rPr>
        <w:t xml:space="preserve"> have to arrange cash-backed</w:t>
      </w:r>
      <w:r w:rsidRPr="0072600F">
        <w:rPr>
          <w:i/>
          <w:iCs/>
          <w:sz w:val="26"/>
          <w:szCs w:val="26"/>
        </w:rPr>
        <w:t xml:space="preserve"> </w:t>
      </w:r>
      <w:r w:rsidRPr="0072600F">
        <w:rPr>
          <w:sz w:val="26"/>
          <w:szCs w:val="26"/>
        </w:rPr>
        <w:t>letter of credit facilities which takes longer than 30 days to arrange.</w:t>
      </w:r>
      <w:r>
        <w:rPr>
          <w:rStyle w:val="FootnoteReference"/>
        </w:rPr>
        <w:footnoteReference w:id="252"/>
      </w:r>
      <w:r w:rsidRPr="0072600F">
        <w:rPr>
          <w:sz w:val="26"/>
          <w:szCs w:val="26"/>
        </w:rPr>
        <w:t xml:space="preserve">  </w:t>
      </w:r>
      <w:r w:rsidRPr="0072600F">
        <w:rPr>
          <w:sz w:val="26"/>
          <w:szCs w:val="26"/>
        </w:rPr>
        <w:t>NewSun</w:t>
      </w:r>
      <w:r w:rsidRPr="0072600F">
        <w:rPr>
          <w:sz w:val="26"/>
          <w:szCs w:val="26"/>
        </w:rPr>
        <w:t xml:space="preserve"> states that forcing all interconnection customers, big and small, to make such huge decisions in short windows creates biases towards “nose-holding behavior, fearful exits, and inability to thoughtfully consider outcomes—or changes—much less to collaborate and/or adapt to avoid delay-causing or costly upgrades.</w:t>
      </w:r>
      <w:r>
        <w:rPr>
          <w:rStyle w:val="FootnoteReference"/>
        </w:rPr>
        <w:footnoteReference w:id="253"/>
      </w:r>
      <w:r w:rsidRPr="0072600F">
        <w:rPr>
          <w:sz w:val="26"/>
          <w:szCs w:val="26"/>
        </w:rPr>
        <w:t xml:space="preserve">  </w:t>
      </w:r>
    </w:p>
    <w:p w:rsidR="00760048" w:rsidRPr="0072600F" w14:paraId="3747CEDA" w14:textId="77777777">
      <w:pPr>
        <w:pStyle w:val="FERCparanumber"/>
        <w:widowControl/>
        <w:numPr>
          <w:ilvl w:val="0"/>
          <w:numId w:val="25"/>
        </w:numPr>
        <w:autoSpaceDE/>
        <w:autoSpaceDN/>
        <w:adjustRightInd/>
        <w:spacing w:line="480" w:lineRule="auto"/>
        <w:rPr>
          <w:sz w:val="26"/>
          <w:szCs w:val="26"/>
        </w:rPr>
      </w:pPr>
      <w:r w:rsidRPr="0072600F">
        <w:rPr>
          <w:sz w:val="26"/>
          <w:szCs w:val="26"/>
        </w:rPr>
        <w:t>NewSun</w:t>
      </w:r>
      <w:r w:rsidRPr="0072600F">
        <w:rPr>
          <w:sz w:val="26"/>
          <w:szCs w:val="26"/>
        </w:rPr>
        <w:t xml:space="preserve"> requests rehearing of the requirement that, if any interconnection customer withdraws from the cluster after receiving the cluster study report and the transmission provider concludes that such withdrawal triggers a restudy, the transmission provider has 30 days from the cluster study report meeting (or cluster restudy report meeting, if applicable) to notify affected interconnection customers.</w:t>
      </w:r>
      <w:r>
        <w:rPr>
          <w:rStyle w:val="FootnoteReference"/>
        </w:rPr>
        <w:footnoteReference w:id="254"/>
      </w:r>
      <w:r w:rsidRPr="0072600F">
        <w:rPr>
          <w:sz w:val="26"/>
          <w:szCs w:val="26"/>
        </w:rPr>
        <w:t xml:space="preserve">  </w:t>
      </w:r>
      <w:r w:rsidRPr="0072600F">
        <w:rPr>
          <w:sz w:val="26"/>
          <w:szCs w:val="26"/>
        </w:rPr>
        <w:t>NewSun</w:t>
      </w:r>
      <w:r w:rsidRPr="0072600F">
        <w:rPr>
          <w:sz w:val="26"/>
          <w:szCs w:val="26"/>
        </w:rPr>
        <w:t xml:space="preserve"> states that notice of restudy will occur up to 10 days after the interconnection customer is required to sign a facilities study agreement and make the associated deposit 10% of the estimated network upgrade costs.  </w:t>
      </w:r>
      <w:r w:rsidRPr="0072600F">
        <w:rPr>
          <w:sz w:val="26"/>
          <w:szCs w:val="26"/>
        </w:rPr>
        <w:t>NewSun</w:t>
      </w:r>
      <w:r w:rsidRPr="0072600F">
        <w:rPr>
          <w:sz w:val="26"/>
          <w:szCs w:val="26"/>
        </w:rPr>
        <w:t xml:space="preserve"> states that, because the time frames for notice of restudy and for execution of the facilities study agreement overlap, the interconnection customer almost certainly will not know if a restudy – which entails potentially significant additional delays and increases in interconnection costs – is required before it is required to commit to a facilities study and making deposits that in many cases will requiring financing of millions or even tens of millions of dollars in financial security.  </w:t>
      </w:r>
      <w:r w:rsidRPr="0072600F">
        <w:rPr>
          <w:sz w:val="26"/>
          <w:szCs w:val="26"/>
        </w:rPr>
        <w:t>NewSun</w:t>
      </w:r>
      <w:r w:rsidRPr="0072600F">
        <w:rPr>
          <w:sz w:val="26"/>
          <w:szCs w:val="26"/>
        </w:rPr>
        <w:t xml:space="preserve"> asserts that, even if the transmission provider somehow manages to give the interconnection customers notice of intent to conduct a cluster restudy and tolls the due date for the facilities study agreement and 10% network upgrade deposit within 30 days of furnishing the cluster study report, the interconnection customer will have only 20 days to increase the amount on deposit to 5% of its estimated network upgrade costs.  </w:t>
      </w:r>
      <w:r w:rsidRPr="0072600F">
        <w:rPr>
          <w:sz w:val="26"/>
          <w:szCs w:val="26"/>
        </w:rPr>
        <w:t>NewSun</w:t>
      </w:r>
      <w:r w:rsidRPr="0072600F">
        <w:rPr>
          <w:sz w:val="26"/>
          <w:szCs w:val="26"/>
        </w:rPr>
        <w:t xml:space="preserve"> notes that this decision point could require financing of millions of dollars and, even in cases where monies may have already been financed, if refunds are not received, they cannot be recycled or reused.  </w:t>
      </w:r>
      <w:r w:rsidRPr="0072600F">
        <w:rPr>
          <w:sz w:val="26"/>
          <w:szCs w:val="26"/>
        </w:rPr>
        <w:t>NewSun</w:t>
      </w:r>
      <w:r w:rsidRPr="0072600F">
        <w:rPr>
          <w:sz w:val="26"/>
          <w:szCs w:val="26"/>
        </w:rPr>
        <w:t xml:space="preserve"> seeks rehearing of these timing issues and requests that the Commission change the 30-calendar day timeline to 60 days, as well as make several other changes to multiple timelines in Order No. 2023.</w:t>
      </w:r>
      <w:r>
        <w:rPr>
          <w:rStyle w:val="FootnoteReference"/>
        </w:rPr>
        <w:footnoteReference w:id="255"/>
      </w:r>
    </w:p>
    <w:p w:rsidR="00760048" w:rsidRPr="0072600F" w14:paraId="58D750FE" w14:textId="77777777">
      <w:pPr>
        <w:pStyle w:val="FERCparanumber"/>
        <w:widowControl/>
        <w:numPr>
          <w:ilvl w:val="0"/>
          <w:numId w:val="25"/>
        </w:numPr>
        <w:autoSpaceDE/>
        <w:autoSpaceDN/>
        <w:adjustRightInd/>
        <w:spacing w:line="480" w:lineRule="auto"/>
        <w:rPr>
          <w:sz w:val="26"/>
          <w:szCs w:val="26"/>
        </w:rPr>
      </w:pPr>
      <w:r w:rsidRPr="0072600F">
        <w:rPr>
          <w:sz w:val="26"/>
          <w:szCs w:val="26"/>
        </w:rPr>
        <w:t>PJM argues that the Commission erred in its apparent requirement that transmission providers determine whether a change in a project’s point of interconnection is a material modification.</w:t>
      </w:r>
      <w:r>
        <w:rPr>
          <w:rStyle w:val="FootnoteReference"/>
        </w:rPr>
        <w:footnoteReference w:id="256"/>
      </w:r>
      <w:r w:rsidRPr="0072600F">
        <w:rPr>
          <w:sz w:val="26"/>
          <w:szCs w:val="26"/>
        </w:rPr>
        <w:t xml:space="preserve">  PJM explains that it interprets Order No. 2023 to mean that transmission providers will need to evaluate every single request from interconnection customers for a change to their point of interconnection to determine whether it is a material modification.  PJM asserts, however, that analyzing each request would consume already limited engineering time, and that most change requests come from developers seeking to optimize their projects mid-process instead of performing their due diligence in advance of entering the queue.  PJM also implies that most changes to points of interconnection would result in a material modification.  PJM asks the Commission to clarify that transmission providers need not evaluate every single request to change a point of interconnection to determine if it would be a material modification.  PJM recommends instead that the Commission allow transmission providers to establish rules that (1) changes to a project’s point of interconnection may be made at certain defined points in the cluster cycle, and (2) changes to points of interconnection outside those defined times would be presumed material modifications.  PJM seeks rehearing on this issue if the Commission declines to provide its requested clarification.  </w:t>
      </w:r>
    </w:p>
    <w:p w:rsidR="00760048" w:rsidRPr="0072600F" w14:paraId="574B0B45" w14:textId="77777777">
      <w:pPr>
        <w:pStyle w:val="FERCparanumber"/>
        <w:widowControl/>
        <w:numPr>
          <w:ilvl w:val="0"/>
          <w:numId w:val="25"/>
        </w:numPr>
        <w:autoSpaceDE/>
        <w:autoSpaceDN/>
        <w:adjustRightInd/>
        <w:spacing w:line="480" w:lineRule="auto"/>
        <w:rPr>
          <w:sz w:val="26"/>
          <w:szCs w:val="26"/>
        </w:rPr>
      </w:pPr>
      <w:r w:rsidRPr="0072600F">
        <w:rPr>
          <w:sz w:val="26"/>
          <w:szCs w:val="26"/>
        </w:rPr>
        <w:t>NYTOs seek clarification of Order No. 2023’s elimination of queue priority and finding that all interconnection requests in a cluster should hold equal priority.</w:t>
      </w:r>
      <w:r>
        <w:rPr>
          <w:rStyle w:val="FootnoteReference"/>
        </w:rPr>
        <w:footnoteReference w:id="257"/>
      </w:r>
      <w:r w:rsidRPr="0072600F">
        <w:rPr>
          <w:sz w:val="26"/>
          <w:szCs w:val="26"/>
        </w:rPr>
        <w:t xml:space="preserve">  NYTOs explain that there is at least one instance in which interconnection priority is necessary:  if it is not physically possible to connect all interconnection requests at a single point of interconnection, but it is feasible to connect some of the requests, then prioritization based on request dates should be applied to determine which interconnection customers have priority to proceed.  NYTOs explain that this scenario occurs when the number of interconnection requests exceeds the available points of interconnection at a substation, and the substation cannot be expanded due to physical space or environmental limitations.  NYTOs explain that allowing for this prioritization is critical in highly congested areas like New York City and Long Island.  NYTOs state that the Commission should clarify that providing interconnection queue priority in this situation is permissible, at least under the independent entity variation.  If the clarification is not provided, NYTOs request rehearing on the grounds that in the absence of such priority, the Commission acted arbitrarily and capriciously by failing to consider all aspects of the problem.</w:t>
      </w:r>
    </w:p>
    <w:p w:rsidR="00760048" w:rsidRPr="0072600F" w14:paraId="74FC3E97" w14:textId="77777777">
      <w:pPr>
        <w:pStyle w:val="FERCparanumber"/>
        <w:widowControl/>
        <w:numPr>
          <w:ilvl w:val="0"/>
          <w:numId w:val="25"/>
        </w:numPr>
        <w:autoSpaceDE/>
        <w:autoSpaceDN/>
        <w:adjustRightInd/>
        <w:spacing w:line="480" w:lineRule="auto"/>
        <w:rPr>
          <w:sz w:val="26"/>
          <w:szCs w:val="26"/>
        </w:rPr>
      </w:pPr>
      <w:r w:rsidRPr="0072600F">
        <w:rPr>
          <w:sz w:val="26"/>
          <w:szCs w:val="26"/>
        </w:rPr>
        <w:t>Several commenters request rehearing regarding reforms the Commission did not adopt in Order No. 2023.  AEP argues that the Commission failed to adequately consider the need for, benefits of, and record support for enhanced generation retirement replacement processes and erred in deeming the generation retirement replacement process beyond the scope of this proceeding.</w:t>
      </w:r>
      <w:r>
        <w:rPr>
          <w:rStyle w:val="FootnoteReference"/>
        </w:rPr>
        <w:footnoteReference w:id="258"/>
      </w:r>
      <w:r w:rsidRPr="0072600F">
        <w:rPr>
          <w:sz w:val="26"/>
          <w:szCs w:val="26"/>
        </w:rPr>
        <w:t xml:space="preserve">  </w:t>
      </w:r>
      <w:r w:rsidRPr="0072600F">
        <w:rPr>
          <w:sz w:val="26"/>
          <w:szCs w:val="26"/>
        </w:rPr>
        <w:t xml:space="preserve">AEP </w:t>
      </w:r>
      <w:r w:rsidRPr="0072600F">
        <w:rPr>
          <w:sz w:val="26"/>
          <w:szCs w:val="26"/>
        </w:rPr>
        <w:t>states that four parties commented on the importance of generator replacement programs and argues that</w:t>
      </w:r>
      <w:r w:rsidR="001324DD">
        <w:rPr>
          <w:sz w:val="26"/>
          <w:szCs w:val="26"/>
        </w:rPr>
        <w:t>,</w:t>
      </w:r>
      <w:r w:rsidRPr="0072600F">
        <w:rPr>
          <w:sz w:val="26"/>
          <w:szCs w:val="26"/>
        </w:rPr>
        <w:t xml:space="preserve"> while the Commission may not be able to direct with specificity the generator replacement reforms required, it has sufficient evidence to provide guidance on the basic requirements for such programs.</w:t>
      </w:r>
      <w:r>
        <w:rPr>
          <w:rStyle w:val="FootnoteReference"/>
        </w:rPr>
        <w:footnoteReference w:id="259"/>
      </w:r>
      <w:r w:rsidRPr="0072600F">
        <w:rPr>
          <w:sz w:val="26"/>
          <w:szCs w:val="26"/>
        </w:rPr>
        <w:t xml:space="preserve">  </w:t>
      </w:r>
      <w:r w:rsidRPr="0072600F">
        <w:rPr>
          <w:sz w:val="26"/>
          <w:szCs w:val="26"/>
        </w:rPr>
        <w:t>MISO asks the Commission to clarify that Order No. 2023 does not require transmission providers with Commission-approved generator replacement processes to change, abandon, or re-justify these processes on compliance.</w:t>
      </w:r>
      <w:r>
        <w:rPr>
          <w:rStyle w:val="FootnoteReference"/>
        </w:rPr>
        <w:footnoteReference w:id="260"/>
      </w:r>
      <w:r w:rsidRPr="0072600F">
        <w:rPr>
          <w:sz w:val="26"/>
          <w:szCs w:val="26"/>
        </w:rPr>
        <w:t xml:space="preserve">  Alternatively, if the Commission did intend to require transmission providers with existing generator replacement processes to re-justify those processes, MISO requests rehearing.</w:t>
      </w:r>
      <w:r>
        <w:rPr>
          <w:rStyle w:val="FootnoteReference"/>
        </w:rPr>
        <w:footnoteReference w:id="261"/>
      </w:r>
      <w:r w:rsidRPr="0072600F">
        <w:rPr>
          <w:sz w:val="26"/>
          <w:szCs w:val="26"/>
        </w:rPr>
        <w:t xml:space="preserve">  </w:t>
      </w:r>
      <w:r w:rsidRPr="0072600F">
        <w:rPr>
          <w:sz w:val="26"/>
          <w:szCs w:val="26"/>
        </w:rPr>
        <w:t xml:space="preserve">AEP urges the Commission to include in the </w:t>
      </w:r>
      <w:r w:rsidRPr="0072600F">
        <w:rPr>
          <w:i/>
          <w:sz w:val="26"/>
          <w:szCs w:val="26"/>
        </w:rPr>
        <w:t>pro forma</w:t>
      </w:r>
      <w:r w:rsidRPr="0072600F">
        <w:rPr>
          <w:sz w:val="26"/>
          <w:szCs w:val="26"/>
        </w:rPr>
        <w:t xml:space="preserve"> LGIP an option for transmission providers to process some interconnection requests outside the cluster study process where required for LSEs to meet reserve margin requirements.</w:t>
      </w:r>
      <w:r>
        <w:rPr>
          <w:rStyle w:val="FootnoteReference"/>
        </w:rPr>
        <w:footnoteReference w:id="262"/>
      </w:r>
      <w:r w:rsidRPr="0072600F">
        <w:rPr>
          <w:sz w:val="26"/>
          <w:szCs w:val="26"/>
        </w:rPr>
        <w:t xml:space="preserve">  AEP argues that, if not included in the </w:t>
      </w:r>
      <w:r w:rsidRPr="0072600F">
        <w:rPr>
          <w:i/>
          <w:sz w:val="26"/>
          <w:szCs w:val="26"/>
        </w:rPr>
        <w:t>pro forma</w:t>
      </w:r>
      <w:r w:rsidRPr="0072600F">
        <w:rPr>
          <w:sz w:val="26"/>
          <w:szCs w:val="26"/>
        </w:rPr>
        <w:t xml:space="preserve"> LGIP, AEP asks the Commission, in the alternative, to remain open to the future consideration of tariff revisions that allow for such outside-the-cluster reviews or fast-track processing.</w:t>
      </w:r>
      <w:r>
        <w:rPr>
          <w:rStyle w:val="FootnoteReference"/>
        </w:rPr>
        <w:footnoteReference w:id="263"/>
      </w:r>
      <w:r w:rsidRPr="0072600F">
        <w:rPr>
          <w:sz w:val="26"/>
          <w:szCs w:val="26"/>
        </w:rPr>
        <w:t xml:space="preserve">  </w:t>
      </w:r>
    </w:p>
    <w:p w:rsidR="00760048" w:rsidRPr="00FE47B2" w14:paraId="0BFA0F9C"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 xml:space="preserve">Determination   </w:t>
      </w:r>
    </w:p>
    <w:p w:rsidR="00760048" w:rsidRPr="0072600F" w14:paraId="133584C1" w14:textId="77777777">
      <w:pPr>
        <w:pStyle w:val="FERCparanumber"/>
        <w:widowControl/>
        <w:numPr>
          <w:ilvl w:val="0"/>
          <w:numId w:val="25"/>
        </w:numPr>
        <w:autoSpaceDE/>
        <w:autoSpaceDN/>
        <w:adjustRightInd/>
        <w:spacing w:line="480" w:lineRule="auto"/>
        <w:rPr>
          <w:sz w:val="26"/>
          <w:szCs w:val="26"/>
        </w:rPr>
      </w:pPr>
      <w:bookmarkStart w:id="26" w:name="_Hlk156553861"/>
      <w:r w:rsidRPr="0072600F">
        <w:rPr>
          <w:sz w:val="26"/>
          <w:szCs w:val="26"/>
        </w:rPr>
        <w:t xml:space="preserve">We agree with Clean Energy Associations that revisions to the definition of </w:t>
      </w:r>
      <w:r w:rsidRPr="0072600F">
        <w:rPr>
          <w:sz w:val="26"/>
          <w:szCs w:val="26"/>
        </w:rPr>
        <w:t>stand alone</w:t>
      </w:r>
      <w:r w:rsidRPr="0072600F">
        <w:rPr>
          <w:sz w:val="26"/>
          <w:szCs w:val="26"/>
        </w:rPr>
        <w:t xml:space="preserve"> network upgrades in the </w:t>
      </w:r>
      <w:r w:rsidRPr="0072600F">
        <w:rPr>
          <w:i/>
          <w:iCs/>
          <w:sz w:val="26"/>
          <w:szCs w:val="26"/>
        </w:rPr>
        <w:t>pro forma</w:t>
      </w:r>
      <w:r w:rsidRPr="0072600F">
        <w:rPr>
          <w:sz w:val="26"/>
          <w:szCs w:val="26"/>
        </w:rPr>
        <w:t xml:space="preserve"> LGIP and </w:t>
      </w:r>
      <w:r w:rsidRPr="0072600F">
        <w:rPr>
          <w:i/>
          <w:iCs/>
          <w:sz w:val="26"/>
          <w:szCs w:val="26"/>
        </w:rPr>
        <w:t xml:space="preserve">pro forma </w:t>
      </w:r>
      <w:r w:rsidRPr="0072600F">
        <w:rPr>
          <w:sz w:val="26"/>
          <w:szCs w:val="26"/>
        </w:rPr>
        <w:t xml:space="preserve">LGIA and option to build section of the </w:t>
      </w:r>
      <w:r w:rsidRPr="0072600F">
        <w:rPr>
          <w:i/>
          <w:iCs/>
          <w:sz w:val="26"/>
          <w:szCs w:val="26"/>
        </w:rPr>
        <w:t>pro forma</w:t>
      </w:r>
      <w:r w:rsidRPr="0072600F">
        <w:rPr>
          <w:sz w:val="26"/>
          <w:szCs w:val="26"/>
        </w:rPr>
        <w:t xml:space="preserve"> LGIA are necessary to maintain the pre-Order No. 2023 </w:t>
      </w:r>
      <w:r w:rsidRPr="0072600F">
        <w:rPr>
          <w:i/>
          <w:iCs/>
          <w:sz w:val="26"/>
          <w:szCs w:val="26"/>
        </w:rPr>
        <w:t>status quo</w:t>
      </w:r>
      <w:r w:rsidRPr="0072600F">
        <w:rPr>
          <w:sz w:val="26"/>
          <w:szCs w:val="26"/>
        </w:rPr>
        <w:t xml:space="preserve"> opportunity for interconnection customers to exercise the option to build as part of the cluster study process.  Accordingly, we set aside this aspect of Order No. 2023 and modify the definition of </w:t>
      </w:r>
      <w:r w:rsidRPr="0072600F">
        <w:rPr>
          <w:sz w:val="26"/>
          <w:szCs w:val="26"/>
        </w:rPr>
        <w:t>stand alone</w:t>
      </w:r>
      <w:r w:rsidRPr="0072600F">
        <w:rPr>
          <w:sz w:val="26"/>
          <w:szCs w:val="26"/>
        </w:rPr>
        <w:t xml:space="preserve"> network upgrades </w:t>
      </w:r>
      <w:bookmarkEnd w:id="26"/>
      <w:r w:rsidRPr="0072600F">
        <w:rPr>
          <w:sz w:val="26"/>
          <w:szCs w:val="26"/>
        </w:rPr>
        <w:t xml:space="preserve">in section 1 (Definitions) of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LGIA as follows</w:t>
      </w:r>
      <w:r w:rsidR="00D26345">
        <w:rPr>
          <w:sz w:val="26"/>
          <w:szCs w:val="26"/>
        </w:rPr>
        <w:t>,</w:t>
      </w:r>
      <w:r w:rsidRPr="0072600F">
        <w:rPr>
          <w:sz w:val="26"/>
          <w:szCs w:val="26"/>
        </w:rPr>
        <w:t xml:space="preserve"> with brackets indicating deletions:</w:t>
      </w:r>
    </w:p>
    <w:p w:rsidR="00760048" w:rsidRPr="0072600F" w:rsidP="00071614" w14:paraId="0732929E" w14:textId="77777777">
      <w:pPr>
        <w:spacing w:after="240"/>
        <w:ind w:left="1440" w:right="1440"/>
        <w:jc w:val="both"/>
        <w:rPr>
          <w:rFonts w:ascii="Times New Roman" w:hAnsi="Times New Roman" w:cs="Times New Roman"/>
          <w:sz w:val="26"/>
          <w:szCs w:val="26"/>
        </w:rPr>
      </w:pPr>
      <w:r w:rsidRPr="0072600F">
        <w:rPr>
          <w:rFonts w:ascii="Times New Roman" w:hAnsi="Times New Roman" w:cs="Times New Roman"/>
          <w:b/>
          <w:bCs/>
          <w:sz w:val="26"/>
          <w:szCs w:val="26"/>
        </w:rPr>
        <w:t xml:space="preserve">Stand Alone Network Upgrades </w:t>
      </w:r>
      <w:r w:rsidRPr="0072600F">
        <w:rPr>
          <w:rFonts w:ascii="Times New Roman" w:hAnsi="Times New Roman" w:cs="Times New Roman"/>
          <w:sz w:val="26"/>
          <w:szCs w:val="26"/>
        </w:rPr>
        <w:t>shall mean Network Upgrades that are not part of an Affected System that an Interconnection Customer may construct without affecting day-to-day operations of the Transmission System during their construction [and the following conditions are met: (1)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the Transmission Provider’s Proportional Impact Method]. Both Transmission Provider and Interconnection Customer must agree as to what constitutes Stand Alone Network Upgrades and identify them in Appendix A to the Standard Large Generator Interconnection Agreement. If Transmission Provider and Interconnection Customer disagree about whether a particular Network Upgrade is a Stand Alone Network Upgrade, Transmission Provider must provide Interconnection Customer a written technical explanation outlining why Transmission Provider does not consider the Network Upgrade to be a Stand Alone Network Upgrade within 15 days of its determination.</w:t>
      </w:r>
    </w:p>
    <w:p w:rsidR="00760048" w:rsidRPr="0072600F" w14:paraId="3A2F7B3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Accordingly, we also modify article 5.1.3 (Option to Build) of the </w:t>
      </w:r>
      <w:r w:rsidRPr="0072600F">
        <w:rPr>
          <w:i/>
          <w:iCs/>
          <w:sz w:val="26"/>
          <w:szCs w:val="26"/>
        </w:rPr>
        <w:t>pro forma</w:t>
      </w:r>
      <w:r w:rsidRPr="0072600F">
        <w:rPr>
          <w:sz w:val="26"/>
          <w:szCs w:val="26"/>
        </w:rPr>
        <w:t xml:space="preserve"> LGIA as follows</w:t>
      </w:r>
      <w:r w:rsidR="00D26345">
        <w:rPr>
          <w:sz w:val="26"/>
          <w:szCs w:val="26"/>
        </w:rPr>
        <w:t>,</w:t>
      </w:r>
      <w:r w:rsidRPr="0072600F">
        <w:rPr>
          <w:sz w:val="26"/>
          <w:szCs w:val="26"/>
        </w:rPr>
        <w:t xml:space="preserve"> with italicized language indicating additions:</w:t>
      </w:r>
    </w:p>
    <w:p w:rsidR="00760048" w:rsidRPr="0072600F" w:rsidP="00071614" w14:paraId="4A9688DA" w14:textId="77777777">
      <w:pPr>
        <w:pStyle w:val="FERCparanumber"/>
        <w:numPr>
          <w:ilvl w:val="0"/>
          <w:numId w:val="0"/>
        </w:numPr>
        <w:ind w:left="1440" w:right="1440"/>
        <w:jc w:val="both"/>
        <w:rPr>
          <w:sz w:val="26"/>
          <w:szCs w:val="26"/>
        </w:rPr>
      </w:pPr>
      <w:r w:rsidRPr="0072600F">
        <w:rPr>
          <w:i/>
          <w:iCs/>
          <w:sz w:val="26"/>
          <w:szCs w:val="26"/>
        </w:rPr>
        <w:t xml:space="preserve">Individual or </w:t>
      </w:r>
      <w:r w:rsidRPr="0072600F">
        <w:rPr>
          <w:i/>
          <w:sz w:val="26"/>
          <w:szCs w:val="26"/>
        </w:rPr>
        <w:t>Multiple</w:t>
      </w:r>
      <w:r w:rsidRPr="0072600F">
        <w:rPr>
          <w:sz w:val="26"/>
          <w:szCs w:val="26"/>
        </w:rPr>
        <w:t xml:space="preserve"> Interconnection Customer</w:t>
      </w:r>
      <w:r w:rsidRPr="0072600F">
        <w:rPr>
          <w:i/>
          <w:sz w:val="26"/>
          <w:szCs w:val="26"/>
        </w:rPr>
        <w:t>s</w:t>
      </w:r>
      <w:r w:rsidRPr="0072600F">
        <w:rPr>
          <w:i/>
          <w:sz w:val="26"/>
          <w:szCs w:val="26"/>
        </w:rPr>
        <w:t xml:space="preserve"> </w:t>
      </w:r>
      <w:r w:rsidRPr="0072600F">
        <w:rPr>
          <w:sz w:val="26"/>
          <w:szCs w:val="26"/>
        </w:rPr>
        <w:t xml:space="preserve">shall have the option to assume responsibility for the design, procurement and construction of Transmission Provider's Interconnection Facilities and Stand Alone Network Upgrades on the dates specified in Article 5.1.2, </w:t>
      </w:r>
      <w:r w:rsidRPr="0072600F">
        <w:rPr>
          <w:i/>
          <w:sz w:val="26"/>
          <w:szCs w:val="26"/>
        </w:rPr>
        <w:t xml:space="preserve">if the requirements of this </w:t>
      </w:r>
      <w:r w:rsidRPr="0072600F">
        <w:rPr>
          <w:i/>
          <w:iCs/>
          <w:sz w:val="26"/>
          <w:szCs w:val="26"/>
        </w:rPr>
        <w:t>Article</w:t>
      </w:r>
      <w:r w:rsidRPr="0072600F">
        <w:rPr>
          <w:i/>
          <w:sz w:val="26"/>
          <w:szCs w:val="26"/>
        </w:rPr>
        <w:t xml:space="preserve"> 5.1.3 are met</w:t>
      </w:r>
      <w:r w:rsidRPr="0072600F">
        <w:rPr>
          <w:sz w:val="26"/>
          <w:szCs w:val="26"/>
        </w:rPr>
        <w:t xml:space="preserve">. </w:t>
      </w:r>
      <w:r w:rsidRPr="0072600F">
        <w:rPr>
          <w:i/>
          <w:sz w:val="26"/>
          <w:szCs w:val="26"/>
        </w:rPr>
        <w:t>When multiple Interconnection Customers exercise this option,</w:t>
      </w:r>
      <w:r w:rsidRPr="0072600F">
        <w:rPr>
          <w:sz w:val="26"/>
          <w:szCs w:val="26"/>
        </w:rPr>
        <w:t xml:space="preserve"> </w:t>
      </w:r>
      <w:r w:rsidRPr="0072600F">
        <w:rPr>
          <w:i/>
          <w:iCs/>
          <w:sz w:val="26"/>
          <w:szCs w:val="26"/>
        </w:rPr>
        <w:t xml:space="preserve">multiple Interconnection Customers may agree to exercise this option provided (1) all Transmission Provider’s Interconnection Facilities and Stand Alone Network upgrades constructed under this option are only required for Interconnection Customers in a single Cluster and (2) all impacted Interconnection Customers execute and provide to Transmission Provider an agreement regarding responsibilities, and payment for, the construction of Transmission Provider’s Interconnection Facilities and Stand Alone Network Upgrades planned to be built under this option. </w:t>
      </w:r>
      <w:r w:rsidRPr="0072600F">
        <w:rPr>
          <w:sz w:val="26"/>
          <w:szCs w:val="26"/>
        </w:rPr>
        <w:t xml:space="preserve">Transmission Provider and </w:t>
      </w:r>
      <w:r w:rsidRPr="0072600F">
        <w:rPr>
          <w:i/>
          <w:iCs/>
          <w:sz w:val="26"/>
          <w:szCs w:val="26"/>
        </w:rPr>
        <w:t>the individual Interconnection Customer or</w:t>
      </w:r>
      <w:r w:rsidRPr="0072600F">
        <w:rPr>
          <w:i/>
          <w:sz w:val="26"/>
          <w:szCs w:val="26"/>
        </w:rPr>
        <w:t xml:space="preserve"> each of the multiple</w:t>
      </w:r>
      <w:r w:rsidRPr="0072600F">
        <w:rPr>
          <w:sz w:val="26"/>
          <w:szCs w:val="26"/>
        </w:rPr>
        <w:t xml:space="preserve"> Interconnection Customer</w:t>
      </w:r>
      <w:r w:rsidRPr="0072600F">
        <w:rPr>
          <w:i/>
          <w:sz w:val="26"/>
          <w:szCs w:val="26"/>
        </w:rPr>
        <w:t>s</w:t>
      </w:r>
      <w:r w:rsidRPr="0072600F">
        <w:rPr>
          <w:sz w:val="26"/>
          <w:szCs w:val="26"/>
        </w:rPr>
        <w:t xml:space="preserve"> must agree as to what constitutes Stand Alone Network Upgrades and identify such Stand Alone Network Upgrades in Appendix A. Except for Stand Alone Network Upgrades, Interconnection Customer shall have no right to construct Network Upgrades under this option.  </w:t>
      </w:r>
    </w:p>
    <w:p w:rsidR="00760048" w:rsidRPr="0072600F" w:rsidP="00071614" w14:paraId="0C0D02EB" w14:textId="77777777">
      <w:pPr>
        <w:pStyle w:val="FERCparanumber"/>
        <w:numPr>
          <w:ilvl w:val="0"/>
          <w:numId w:val="0"/>
        </w:numPr>
        <w:ind w:left="1440"/>
        <w:jc w:val="both"/>
        <w:rPr>
          <w:sz w:val="26"/>
          <w:szCs w:val="26"/>
        </w:rPr>
      </w:pPr>
    </w:p>
    <w:p w:rsidR="00760048" w:rsidRPr="0072600F" w14:paraId="6A359E2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find that this revision to the definition of </w:t>
      </w:r>
      <w:r w:rsidRPr="0072600F">
        <w:rPr>
          <w:sz w:val="26"/>
          <w:szCs w:val="26"/>
        </w:rPr>
        <w:t>stand alone</w:t>
      </w:r>
      <w:r w:rsidRPr="0072600F">
        <w:rPr>
          <w:sz w:val="26"/>
          <w:szCs w:val="26"/>
        </w:rPr>
        <w:t xml:space="preserve"> network upgrades and addition to the option to build section in the </w:t>
      </w:r>
      <w:r w:rsidRPr="0072600F">
        <w:rPr>
          <w:i/>
          <w:sz w:val="26"/>
          <w:szCs w:val="26"/>
        </w:rPr>
        <w:t>pro forma</w:t>
      </w:r>
      <w:r w:rsidRPr="0072600F">
        <w:rPr>
          <w:sz w:val="26"/>
          <w:szCs w:val="26"/>
        </w:rPr>
        <w:t xml:space="preserve"> LGIA will </w:t>
      </w:r>
      <w:bookmarkStart w:id="27" w:name="_Hlk156553897"/>
      <w:r w:rsidRPr="0072600F">
        <w:rPr>
          <w:sz w:val="26"/>
          <w:szCs w:val="26"/>
        </w:rPr>
        <w:t>allow interconnection customers to exercise the option to build whether the stand alone network upgrade is attributable to a single interconnection customer or a shared network upgrade shared by multiple interconnection customers.  These revisions will also avoid potentially lengthy disputes between interconnection customers</w:t>
      </w:r>
      <w:bookmarkEnd w:id="27"/>
      <w:r w:rsidRPr="0072600F">
        <w:rPr>
          <w:sz w:val="26"/>
          <w:szCs w:val="26"/>
        </w:rPr>
        <w:t xml:space="preserve">, which was the Commission’s original concern in Order No. 2023, because, for interconnection customers with shared network upgrades that qualify as </w:t>
      </w:r>
      <w:r w:rsidRPr="0072600F">
        <w:rPr>
          <w:sz w:val="26"/>
          <w:szCs w:val="26"/>
        </w:rPr>
        <w:t>stand alone</w:t>
      </w:r>
      <w:r w:rsidRPr="0072600F">
        <w:rPr>
          <w:sz w:val="26"/>
          <w:szCs w:val="26"/>
        </w:rPr>
        <w:t xml:space="preserve"> network upgrades, interconnection customers must mutually agree to such agreement outside the transmission provider’s interconnection process and thus will not slow down that process.</w:t>
      </w:r>
      <w:r>
        <w:rPr>
          <w:rStyle w:val="FootnoteReference"/>
        </w:rPr>
        <w:footnoteReference w:id="264"/>
      </w:r>
      <w:r w:rsidRPr="0072600F">
        <w:rPr>
          <w:sz w:val="26"/>
          <w:szCs w:val="26"/>
        </w:rPr>
        <w:t xml:space="preserve">  We clarify that, for such circumstances, we expect such a written agreement among the relevant interconnection customers to be reached among the interconnection customers on their own and outside of the transmission provider’s interconnection process.  Further, we clarify that, if no mutual agreement is reached among the interconnection customers, no interconnection customer will have the ability to exercise the option to build a </w:t>
      </w:r>
      <w:r w:rsidRPr="0072600F">
        <w:rPr>
          <w:sz w:val="26"/>
          <w:szCs w:val="26"/>
        </w:rPr>
        <w:t>stand alone</w:t>
      </w:r>
      <w:r w:rsidRPr="0072600F">
        <w:rPr>
          <w:sz w:val="26"/>
          <w:szCs w:val="26"/>
        </w:rPr>
        <w:t xml:space="preserve"> network upgrade that is a shared network upgrade. </w:t>
      </w:r>
    </w:p>
    <w:p w:rsidR="00760048" w:rsidRPr="0072600F" w:rsidP="00BD60C2" w14:paraId="26021604" w14:textId="77777777">
      <w:pPr>
        <w:pStyle w:val="FERCparanumber"/>
        <w:widowControl/>
        <w:numPr>
          <w:ilvl w:val="0"/>
          <w:numId w:val="25"/>
        </w:numPr>
        <w:autoSpaceDE/>
        <w:autoSpaceDN/>
        <w:adjustRightInd/>
        <w:spacing w:line="480" w:lineRule="auto"/>
        <w:ind w:right="-90"/>
        <w:rPr>
          <w:sz w:val="26"/>
          <w:szCs w:val="26"/>
        </w:rPr>
      </w:pPr>
      <w:r w:rsidRPr="0072600F">
        <w:rPr>
          <w:sz w:val="26"/>
          <w:szCs w:val="26"/>
        </w:rPr>
        <w:t xml:space="preserve">We are unpersuaded by Clean Energy Associations’ argument that the Commission </w:t>
      </w:r>
      <w:r w:rsidR="003E477A">
        <w:rPr>
          <w:sz w:val="26"/>
          <w:szCs w:val="26"/>
        </w:rPr>
        <w:t xml:space="preserve">should </w:t>
      </w:r>
      <w:r w:rsidRPr="0072600F">
        <w:rPr>
          <w:sz w:val="26"/>
          <w:szCs w:val="26"/>
        </w:rPr>
        <w:t xml:space="preserve">modify the allowed reductions in project size in </w:t>
      </w:r>
      <w:r w:rsidRPr="0072600F">
        <w:rPr>
          <w:i/>
          <w:iCs/>
          <w:sz w:val="26"/>
          <w:szCs w:val="26"/>
        </w:rPr>
        <w:t>pro forma</w:t>
      </w:r>
      <w:r w:rsidRPr="0072600F">
        <w:rPr>
          <w:sz w:val="26"/>
          <w:szCs w:val="26"/>
        </w:rPr>
        <w:t xml:space="preserve"> LGIP sections 4.4.1 and 4.4.2.  We find that implementing Clean Energy Associations’ requested change under a cluster study process is likely to lead to delays in the interconnection study process.  Therefore, we</w:t>
      </w:r>
      <w:r w:rsidRPr="0072600F">
        <w:rPr>
          <w:sz w:val="26"/>
          <w:szCs w:val="26"/>
        </w:rPr>
        <w:t xml:space="preserve"> </w:t>
      </w:r>
      <w:r w:rsidRPr="0072600F">
        <w:rPr>
          <w:sz w:val="26"/>
          <w:szCs w:val="26"/>
        </w:rPr>
        <w:t xml:space="preserve">continue to rely on the transmission provider to assess such a change under </w:t>
      </w:r>
      <w:r w:rsidRPr="0072600F">
        <w:rPr>
          <w:i/>
          <w:iCs/>
          <w:sz w:val="26"/>
          <w:szCs w:val="26"/>
        </w:rPr>
        <w:t xml:space="preserve">pro forma </w:t>
      </w:r>
      <w:r w:rsidRPr="0072600F">
        <w:rPr>
          <w:sz w:val="26"/>
          <w:szCs w:val="26"/>
        </w:rPr>
        <w:t>LGIP section 4.4 (Modifications), where the transmission provider would be able to assess whether modifications to project size (e.g., up to a 60 percent reduction) would have a material impact on the cost or timing of any interconnection requests with an equal or later queue position.</w:t>
      </w:r>
    </w:p>
    <w:p w:rsidR="00760048" w:rsidRPr="00186D5F" w14:paraId="39135FF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Clean Energy Associations’ argument that the customer engagement window is too short.  We note that Order No. 2023 required transmission providers to develop a heatmap of public interconnection information to provide interconnection customers with information prior to submitting an interconnection request, which should obviate the need for a longer engagement window.  We further note that Order No. 2023 adopted readiness requirements to encourage interconnection customers to submit commercially viable interconnection requests, so interconnection </w:t>
      </w:r>
      <w:r w:rsidRPr="00186D5F">
        <w:rPr>
          <w:sz w:val="26"/>
          <w:szCs w:val="26"/>
        </w:rPr>
        <w:t>customers should be relatively confident in the viability of their interconnection requests.</w:t>
      </w:r>
      <w:r>
        <w:rPr>
          <w:rStyle w:val="FootnoteReference"/>
        </w:rPr>
        <w:footnoteReference w:id="265"/>
      </w:r>
    </w:p>
    <w:p w:rsidR="00760048" w:rsidRPr="00186D5F" w14:paraId="375619CB" w14:textId="77777777">
      <w:pPr>
        <w:pStyle w:val="FERCparanumber"/>
        <w:widowControl/>
        <w:numPr>
          <w:ilvl w:val="0"/>
          <w:numId w:val="25"/>
        </w:numPr>
        <w:autoSpaceDE/>
        <w:autoSpaceDN/>
        <w:adjustRightInd/>
        <w:spacing w:line="480" w:lineRule="auto"/>
        <w:rPr>
          <w:sz w:val="26"/>
          <w:szCs w:val="26"/>
        </w:rPr>
      </w:pPr>
      <w:bookmarkStart w:id="28" w:name="_Hlk161743780"/>
      <w:r w:rsidRPr="00186D5F">
        <w:rPr>
          <w:sz w:val="26"/>
          <w:szCs w:val="26"/>
        </w:rPr>
        <w:t>We also are unpersuaded by Clean Energy Associations’ request regarding circumstances in which the transmission provider fails to issue a deficiency notice within five business days.  We find the requested revision unnecessary because a transmission provider taking longer than five business days to issue the deficiency notice would violate its tariff requirements to issue such a notice within five business days.</w:t>
      </w:r>
      <w:r w:rsidRPr="00186D5F" w:rsidR="00C128CB">
        <w:rPr>
          <w:sz w:val="26"/>
          <w:szCs w:val="26"/>
        </w:rPr>
        <w:t xml:space="preserve">  </w:t>
      </w:r>
      <w:r w:rsidRPr="00186D5F" w:rsidR="00186D5F">
        <w:rPr>
          <w:sz w:val="26"/>
          <w:szCs w:val="26"/>
        </w:rPr>
        <w:t xml:space="preserve">We find that the requirement for interconnection customers to cure deficiencies before the close of the cluster request window is necessary to </w:t>
      </w:r>
      <w:r w:rsidRPr="00186D5F" w:rsidR="009A5208">
        <w:rPr>
          <w:sz w:val="26"/>
          <w:szCs w:val="26"/>
        </w:rPr>
        <w:t>ensure the timely processing of the interconnection queue</w:t>
      </w:r>
      <w:r w:rsidRPr="00186D5F" w:rsidR="00950F97">
        <w:rPr>
          <w:sz w:val="26"/>
          <w:szCs w:val="26"/>
        </w:rPr>
        <w:t>.</w:t>
      </w:r>
      <w:r w:rsidRPr="00186D5F" w:rsidR="00261CCD">
        <w:rPr>
          <w:sz w:val="26"/>
          <w:szCs w:val="26"/>
        </w:rPr>
        <w:t xml:space="preserve"> </w:t>
      </w:r>
    </w:p>
    <w:bookmarkEnd w:id="28"/>
    <w:p w:rsidR="00760048" w:rsidRPr="0072600F" w14:paraId="7D28530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w:t>
      </w:r>
      <w:r w:rsidRPr="0072600F">
        <w:rPr>
          <w:sz w:val="26"/>
          <w:szCs w:val="26"/>
        </w:rPr>
        <w:t>Ørsted’s</w:t>
      </w:r>
      <w:r w:rsidRPr="0072600F">
        <w:rPr>
          <w:sz w:val="26"/>
          <w:szCs w:val="26"/>
        </w:rPr>
        <w:t xml:space="preserve"> and Clean Energy Associations</w:t>
      </w:r>
      <w:r w:rsidR="0027211A">
        <w:rPr>
          <w:sz w:val="26"/>
          <w:szCs w:val="26"/>
        </w:rPr>
        <w:t>’</w:t>
      </w:r>
      <w:r w:rsidRPr="0072600F">
        <w:rPr>
          <w:sz w:val="26"/>
          <w:szCs w:val="26"/>
        </w:rPr>
        <w:t xml:space="preserve"> requests to require transmission owners (when not the transmission provider) to attend scoping meetings.  The </w:t>
      </w:r>
      <w:r w:rsidRPr="0072600F">
        <w:rPr>
          <w:i/>
          <w:sz w:val="26"/>
          <w:szCs w:val="26"/>
        </w:rPr>
        <w:t>pro forma</w:t>
      </w:r>
      <w:r w:rsidRPr="0072600F">
        <w:rPr>
          <w:sz w:val="26"/>
          <w:szCs w:val="26"/>
        </w:rPr>
        <w:t xml:space="preserve"> LGIP contemplates that the transmission owner and transmission provider may be the same entity, except in the case of an RTO/ISO, in which case the transmission owner does not have operational control of the facilities and does not perform cluster studies.  We note that transmission providers have incentive, particularly in light of the study delay penalties adopted in Order No. 2023, to facilitate interconnection customers’ access to information they need in order to efficiently navigate the interconnection study process.  Accordingly, we will not require transmission owners to attend scoping meetings where the transmission owner and transmission provider are separate entities.  However, RTOs/ISOs may seek an independent entity variation and propose to require attendance of any entities they feel are necessary to provide critical information to interconnection customers.  </w:t>
      </w:r>
    </w:p>
    <w:p w:rsidR="00760048" w:rsidRPr="0072600F" w14:paraId="0F05AB3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requests that the Commission include a feasibility study as part of the interconnection process.  The NOPR did not propose, and Order No. 2023 did not adopt, a feasibility study.  We reiterate our findings in Order No. 2023 that the move from a serial interconnection process to the new cluster study process, coupled with the Commission’s heatmap requirements, render the feasibility study redundant and an unnecessary burden on transmission provider resources.  </w:t>
      </w:r>
    </w:p>
    <w:p w:rsidR="00760048" w:rsidRPr="0072600F" w14:paraId="6786A3C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However, in response to requests for clarification that transmission providers can continue performing feasibility studies as an independent entity variation, we reiterate that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w:t>
      </w:r>
      <w:r w:rsidRPr="0072600F">
        <w:rPr>
          <w:i/>
          <w:iCs/>
          <w:sz w:val="26"/>
          <w:szCs w:val="26"/>
        </w:rPr>
        <w:t xml:space="preserve">pro forma </w:t>
      </w:r>
      <w:r w:rsidRPr="0072600F">
        <w:rPr>
          <w:sz w:val="26"/>
          <w:szCs w:val="26"/>
        </w:rPr>
        <w:t xml:space="preserve">LGIA, </w:t>
      </w:r>
      <w:r w:rsidRPr="0072600F">
        <w:rPr>
          <w:i/>
          <w:iCs/>
          <w:sz w:val="26"/>
          <w:szCs w:val="26"/>
        </w:rPr>
        <w:t>pro forma</w:t>
      </w:r>
      <w:r w:rsidRPr="0072600F">
        <w:rPr>
          <w:i/>
          <w:sz w:val="26"/>
          <w:szCs w:val="26"/>
        </w:rPr>
        <w:t xml:space="preserve"> </w:t>
      </w:r>
      <w:r w:rsidRPr="0072600F">
        <w:rPr>
          <w:sz w:val="26"/>
          <w:szCs w:val="26"/>
        </w:rPr>
        <w:t xml:space="preserve">SGIP, and/or </w:t>
      </w:r>
      <w:r w:rsidRPr="0072600F">
        <w:rPr>
          <w:i/>
          <w:iCs/>
          <w:sz w:val="26"/>
          <w:szCs w:val="26"/>
        </w:rPr>
        <w:t xml:space="preserve">pro forma </w:t>
      </w:r>
      <w:r w:rsidRPr="0072600F">
        <w:rPr>
          <w:sz w:val="26"/>
          <w:szCs w:val="26"/>
        </w:rPr>
        <w:t xml:space="preserve">SGIA or merit an independent entity variation in the context of RTOs/ISOs. </w:t>
      </w:r>
    </w:p>
    <w:p w:rsidR="00760048" w:rsidRPr="0072600F" w14:paraId="33456BEC" w14:textId="77777777">
      <w:pPr>
        <w:pStyle w:val="FERCparanumber"/>
        <w:widowControl/>
        <w:numPr>
          <w:ilvl w:val="0"/>
          <w:numId w:val="25"/>
        </w:numPr>
        <w:autoSpaceDE/>
        <w:autoSpaceDN/>
        <w:adjustRightInd/>
        <w:spacing w:line="480" w:lineRule="auto"/>
        <w:rPr>
          <w:sz w:val="26"/>
          <w:szCs w:val="26"/>
        </w:rPr>
      </w:pPr>
      <w:bookmarkStart w:id="29" w:name="_Hlk156555097"/>
      <w:r w:rsidRPr="0072600F">
        <w:rPr>
          <w:sz w:val="26"/>
          <w:szCs w:val="26"/>
        </w:rPr>
        <w:t>In response to EEI’s request that the Commission clarify that provisional interconnection service requests continue to be processed as received, we clarify that Order No. 2023 did not modify the process for transmission providers to study provisional interconnection service requests.</w:t>
      </w:r>
    </w:p>
    <w:p w:rsidR="00760048" w:rsidRPr="0072600F" w14:paraId="094A0EC9" w14:textId="77777777">
      <w:pPr>
        <w:pStyle w:val="FERCparanumber"/>
        <w:widowControl/>
        <w:numPr>
          <w:ilvl w:val="0"/>
          <w:numId w:val="25"/>
        </w:numPr>
        <w:autoSpaceDE/>
        <w:autoSpaceDN/>
        <w:adjustRightInd/>
        <w:spacing w:line="480" w:lineRule="auto"/>
        <w:rPr>
          <w:sz w:val="26"/>
          <w:szCs w:val="26"/>
        </w:rPr>
      </w:pPr>
      <w:bookmarkStart w:id="30" w:name="_Hlk156555191"/>
      <w:bookmarkEnd w:id="29"/>
      <w:r w:rsidRPr="0072600F">
        <w:rPr>
          <w:sz w:val="26"/>
          <w:szCs w:val="26"/>
        </w:rPr>
        <w:t xml:space="preserve">In response to EEI’s request that the Commission clarify how the 150-day study deadline applies to restudies, we clarify that transmission providers have 150 days from the point that they inform interconnection customers of the restudy to complete each restudy, which must occur within 30 calendar days after the </w:t>
      </w:r>
      <w:r w:rsidR="00B81419">
        <w:rPr>
          <w:sz w:val="26"/>
          <w:szCs w:val="26"/>
        </w:rPr>
        <w:t>c</w:t>
      </w:r>
      <w:r w:rsidRPr="0072600F">
        <w:rPr>
          <w:sz w:val="26"/>
          <w:szCs w:val="26"/>
        </w:rPr>
        <w:t xml:space="preserve">luster </w:t>
      </w:r>
      <w:r w:rsidR="00B81419">
        <w:rPr>
          <w:sz w:val="26"/>
          <w:szCs w:val="26"/>
        </w:rPr>
        <w:t>s</w:t>
      </w:r>
      <w:r w:rsidRPr="0072600F">
        <w:rPr>
          <w:sz w:val="26"/>
          <w:szCs w:val="26"/>
        </w:rPr>
        <w:t xml:space="preserve">tudy </w:t>
      </w:r>
      <w:r w:rsidR="00B81419">
        <w:rPr>
          <w:sz w:val="26"/>
          <w:szCs w:val="26"/>
        </w:rPr>
        <w:t>r</w:t>
      </w:r>
      <w:r w:rsidRPr="0072600F">
        <w:rPr>
          <w:sz w:val="26"/>
          <w:szCs w:val="26"/>
        </w:rPr>
        <w:t xml:space="preserve">eport </w:t>
      </w:r>
      <w:r w:rsidR="00B81419">
        <w:rPr>
          <w:sz w:val="26"/>
          <w:szCs w:val="26"/>
        </w:rPr>
        <w:t>m</w:t>
      </w:r>
      <w:r w:rsidRPr="0072600F">
        <w:rPr>
          <w:sz w:val="26"/>
          <w:szCs w:val="26"/>
        </w:rPr>
        <w:t xml:space="preserve">eeting.  We further clarify that, in the case of multiple restudies, we expect that the transmission provider will not definitively know whether to initiate a restudy of later-in-time clusters – and thus inform those interconnection customers that restudy is needed – until it has completed the initial restudy. </w:t>
      </w:r>
    </w:p>
    <w:bookmarkEnd w:id="30"/>
    <w:p w:rsidR="00760048" w:rsidRPr="0072600F" w14:paraId="7925E485"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Clean Energy Associations and IPP Coalition, we continue to find, as the Commission did in Order No. 2023, that interconnection customers must select a definitive point of interconnection to be studied when executing the cluster study agreement.  As</w:t>
      </w:r>
      <w:r w:rsidRPr="0072600F">
        <w:rPr>
          <w:sz w:val="26"/>
          <w:szCs w:val="26"/>
        </w:rPr>
        <w:t xml:space="preserve"> </w:t>
      </w:r>
      <w:r w:rsidRPr="0072600F">
        <w:rPr>
          <w:sz w:val="26"/>
          <w:szCs w:val="26"/>
        </w:rPr>
        <w:t>the Commission explained in Order No. 2023, requiring interconnection customers to select one definitive point of interconnection when executing the cluster study agreement allows the interconnection customer to submit its interconnection request with a proposed point of interconnection, participate in the scoping meeting during the customer engagement window, and receive feedback on its proposed point of interconnection.  We continue to believe that this strikes the right balance between allowing for flexibility and potential adjustments to the point of interconnection, based on discussion with the transmission provider and the transmission provider’s detailed knowledge of its transmission system, and providing transmission providers with the information necessary to conduct the cluster study, thus reducing the potential for restudies that would be required if interconnection customers could change their points of interconnection later in the process.</w:t>
      </w:r>
      <w:r>
        <w:rPr>
          <w:rStyle w:val="FootnoteReference"/>
        </w:rPr>
        <w:footnoteReference w:id="266"/>
      </w:r>
    </w:p>
    <w:p w:rsidR="00760048" w:rsidRPr="0072600F" w14:paraId="3DBCC8AA" w14:textId="77777777">
      <w:pPr>
        <w:pStyle w:val="FERCparanumber"/>
        <w:widowControl/>
        <w:numPr>
          <w:ilvl w:val="0"/>
          <w:numId w:val="25"/>
        </w:numPr>
        <w:autoSpaceDE/>
        <w:autoSpaceDN/>
        <w:adjustRightInd/>
        <w:spacing w:line="480" w:lineRule="auto"/>
        <w:rPr>
          <w:sz w:val="26"/>
          <w:szCs w:val="26"/>
        </w:rPr>
      </w:pPr>
      <w:r w:rsidRPr="0072600F">
        <w:rPr>
          <w:sz w:val="26"/>
          <w:szCs w:val="26"/>
        </w:rPr>
        <w:t>Similarly, we continue to believe that allowing multiple points of interconnection (whether they are “electrically proximate” or not) to be studied before the interconnection customer is required to select the definitive point of interconnection fails to take into account the fact that, if an interconnection customer changes the definitive point of interconnection after the cluster study, it may impact the study results of the other interconnection customers in the cluster and could lead to restudies and delays.  It may be the case that an “electrically proximate” point of interconnection location can be effectively implemented within a study process without materially impacting a study process, and the current process allows the transmission provider to determine whether that change to the point of interconnection will be considered a material modification.  We find this sufficient to address IPP Coalition’s concern.</w:t>
      </w:r>
    </w:p>
    <w:p w:rsidR="00760048" w:rsidRPr="0072600F" w14:paraId="0E6AEF7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find </w:t>
      </w:r>
      <w:r w:rsidRPr="0072600F">
        <w:rPr>
          <w:sz w:val="26"/>
          <w:szCs w:val="26"/>
        </w:rPr>
        <w:t>Ørsted’s</w:t>
      </w:r>
      <w:r w:rsidRPr="0072600F">
        <w:rPr>
          <w:sz w:val="26"/>
          <w:szCs w:val="26"/>
        </w:rPr>
        <w:t xml:space="preserve"> request for clarification regarding circumstances where a regulatory limitation requires a change to the point of interconnection to be beyond the scope of Order No. 2023.  The Commission did not adopt a process to change the point of interconnection when there is a regulatory limitation in Order No. 2023.  In such a circumstance, changes to the point of interconnection are addressed in section 4.4 of the </w:t>
      </w:r>
      <w:r w:rsidRPr="0072600F">
        <w:rPr>
          <w:i/>
          <w:iCs/>
          <w:sz w:val="26"/>
          <w:szCs w:val="26"/>
        </w:rPr>
        <w:t>pro forma</w:t>
      </w:r>
      <w:r w:rsidRPr="0072600F">
        <w:rPr>
          <w:sz w:val="26"/>
          <w:szCs w:val="26"/>
        </w:rPr>
        <w:t xml:space="preserve"> LGIP, which governs modifications to an interconnection request.    </w:t>
      </w:r>
      <w:bookmarkStart w:id="31" w:name="_Hlk156555211"/>
    </w:p>
    <w:bookmarkEnd w:id="31"/>
    <w:p w:rsidR="00760048" w:rsidRPr="0072600F" w14:paraId="3771433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PJM’s request for clarification, and in the alternative, rehearing, that transmission providers need not evaluate whether every request to change an interconnection customer’s point of interconnection is a material modification.  First, while we agree that evaluating a change of point of interconnection will require engineering labor, we note that the availability of the public interactive heatmap will provide interconnection customers with far more transparency into the viability of the points of interconnection on the transmission provider’s system prior to entering the interconnection queue.  Thus, we expect the heatmap requirement to reduce the frequency with which interconnection customers request changes to their point of interconnection, as they will be better informed prior to submitting an interconnection request.  The </w:t>
      </w:r>
      <w:r w:rsidRPr="0072600F">
        <w:rPr>
          <w:i/>
          <w:sz w:val="26"/>
          <w:szCs w:val="26"/>
        </w:rPr>
        <w:t>pro forma</w:t>
      </w:r>
      <w:r w:rsidRPr="0072600F">
        <w:rPr>
          <w:sz w:val="26"/>
          <w:szCs w:val="26"/>
        </w:rPr>
        <w:t xml:space="preserve"> LGIP defines “material modifications” as “those modifications that have a material impact on the cost or timing of any Interconnection Request with an equal or later Queue Position</w:t>
      </w:r>
      <w:r w:rsidRPr="0072600F">
        <w:rPr>
          <w:iCs/>
          <w:sz w:val="26"/>
          <w:szCs w:val="26"/>
        </w:rPr>
        <w:t>.”</w:t>
      </w:r>
      <w:r>
        <w:rPr>
          <w:rStyle w:val="FootnoteReference"/>
        </w:rPr>
        <w:footnoteReference w:id="267"/>
      </w:r>
      <w:r w:rsidRPr="0072600F">
        <w:rPr>
          <w:sz w:val="26"/>
          <w:szCs w:val="26"/>
        </w:rPr>
        <w:t xml:space="preserve"> </w:t>
      </w:r>
      <w:r w:rsidRPr="0072600F">
        <w:rPr>
          <w:sz w:val="26"/>
          <w:szCs w:val="26"/>
        </w:rPr>
        <w:t xml:space="preserve"> Other than that provision, we leave the determination of what constitutes a material modification to the transmission providers’</w:t>
      </w:r>
      <w:r w:rsidRPr="0072600F">
        <w:rPr>
          <w:sz w:val="26"/>
          <w:szCs w:val="26"/>
        </w:rPr>
        <w:t xml:space="preserve"> </w:t>
      </w:r>
      <w:r w:rsidRPr="0072600F">
        <w:rPr>
          <w:sz w:val="26"/>
          <w:szCs w:val="26"/>
        </w:rPr>
        <w:t xml:space="preserve">currently-effective processes for determining materiality.  We are unpersuaded that (1) interconnection customers should be limited to one change to their point of interconnection and (2) that all changes to points of interconnection should be presumed to be material outside of certain points in the cluster study, because interconnection customers already have a relatively limited window in which to request changes to points of interconnection.  </w:t>
      </w:r>
      <w:r w:rsidRPr="0072600F">
        <w:rPr>
          <w:i/>
          <w:iCs/>
          <w:sz w:val="26"/>
          <w:szCs w:val="26"/>
        </w:rPr>
        <w:t xml:space="preserve">Pro forma </w:t>
      </w:r>
      <w:r w:rsidRPr="0072600F">
        <w:rPr>
          <w:sz w:val="26"/>
          <w:szCs w:val="26"/>
        </w:rPr>
        <w:t xml:space="preserve">LGIP sections 3.1.2, 4.4, and 4.4.3 make clear that a request to change an interconnection customer’s point of interconnection that comes after the return of the executed </w:t>
      </w:r>
      <w:r w:rsidR="00A4165E">
        <w:rPr>
          <w:sz w:val="26"/>
          <w:szCs w:val="26"/>
        </w:rPr>
        <w:t>c</w:t>
      </w:r>
      <w:r w:rsidRPr="0072600F">
        <w:rPr>
          <w:sz w:val="26"/>
          <w:szCs w:val="26"/>
        </w:rPr>
        <w:t xml:space="preserve">luster </w:t>
      </w:r>
      <w:r w:rsidR="00A4165E">
        <w:rPr>
          <w:sz w:val="26"/>
          <w:szCs w:val="26"/>
        </w:rPr>
        <w:t>s</w:t>
      </w:r>
      <w:r w:rsidRPr="0072600F">
        <w:rPr>
          <w:sz w:val="26"/>
          <w:szCs w:val="26"/>
        </w:rPr>
        <w:t xml:space="preserve">tudy </w:t>
      </w:r>
      <w:r w:rsidR="00A4165E">
        <w:rPr>
          <w:sz w:val="26"/>
          <w:szCs w:val="26"/>
        </w:rPr>
        <w:t>a</w:t>
      </w:r>
      <w:r w:rsidRPr="0072600F">
        <w:rPr>
          <w:sz w:val="26"/>
          <w:szCs w:val="26"/>
        </w:rPr>
        <w:t>greement shall constitute a material modification.  We find these provisions to address PJM’s concern regarding point of interconnection change requests that arise from “project developers seeking to optimize their projects in mid-process”</w:t>
      </w:r>
      <w:r>
        <w:rPr>
          <w:rStyle w:val="FootnoteReference"/>
        </w:rPr>
        <w:footnoteReference w:id="268"/>
      </w:r>
      <w:r w:rsidRPr="0072600F">
        <w:rPr>
          <w:sz w:val="26"/>
          <w:szCs w:val="26"/>
        </w:rPr>
        <w:t xml:space="preserve"> by limiting most point of interconnection change requests to early in the study process and presuming those later in the study process to be material modifications.  We also find </w:t>
      </w:r>
      <w:r w:rsidR="003D2119">
        <w:rPr>
          <w:sz w:val="26"/>
          <w:szCs w:val="26"/>
        </w:rPr>
        <w:t xml:space="preserve">that </w:t>
      </w:r>
      <w:r w:rsidRPr="0072600F">
        <w:rPr>
          <w:sz w:val="26"/>
          <w:szCs w:val="26"/>
        </w:rPr>
        <w:t xml:space="preserve">this </w:t>
      </w:r>
      <w:r w:rsidR="003D2119">
        <w:rPr>
          <w:sz w:val="26"/>
          <w:szCs w:val="26"/>
        </w:rPr>
        <w:t>approach</w:t>
      </w:r>
      <w:r w:rsidRPr="0072600F">
        <w:rPr>
          <w:sz w:val="26"/>
          <w:szCs w:val="26"/>
        </w:rPr>
        <w:t xml:space="preserve"> strikes a reasonable balance between the use of engineering labor to advance feasible projects and reducing late-stage interconnection request modifications or withdrawals that could slow down the study process or lead to restudy.  For these reasons</w:t>
      </w:r>
      <w:r w:rsidR="003D2119">
        <w:rPr>
          <w:sz w:val="26"/>
          <w:szCs w:val="26"/>
        </w:rPr>
        <w:t>,</w:t>
      </w:r>
      <w:r w:rsidRPr="0072600F">
        <w:rPr>
          <w:sz w:val="26"/>
          <w:szCs w:val="26"/>
        </w:rPr>
        <w:t xml:space="preserve"> we find that the existing </w:t>
      </w:r>
      <w:r w:rsidRPr="0072600F">
        <w:rPr>
          <w:i/>
          <w:iCs/>
          <w:sz w:val="26"/>
          <w:szCs w:val="26"/>
        </w:rPr>
        <w:t xml:space="preserve">pro forma </w:t>
      </w:r>
      <w:r w:rsidRPr="0072600F">
        <w:rPr>
          <w:sz w:val="26"/>
          <w:szCs w:val="26"/>
        </w:rPr>
        <w:t>LGIP provisions referenced above adequately address PJM’s concerns</w:t>
      </w:r>
      <w:r w:rsidR="003D2119">
        <w:rPr>
          <w:sz w:val="26"/>
          <w:szCs w:val="26"/>
        </w:rPr>
        <w:t>,</w:t>
      </w:r>
      <w:r w:rsidRPr="0072600F">
        <w:rPr>
          <w:sz w:val="26"/>
          <w:szCs w:val="26"/>
        </w:rPr>
        <w:t xml:space="preserve"> and therefore no clarification or rehearing is necessary. </w:t>
      </w:r>
    </w:p>
    <w:p w:rsidR="00760048" w:rsidRPr="0072600F" w14:paraId="0F2C0AB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As we explain in detail below in section D.1.c.ii, we are unpersuaded by NYISO’s assertions that the 150-day cluster study deadline is unjust and unreasonable and that the Commission’s determination reflects arbitrary and capricious decision-making.  As we note below, and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  Accordingly, we grant MISO’s and NYISO’s requests for clarification that Order No. 2023 does not preempt transmission providers from proposing tariff-defined study deadlines that may differ from the </w:t>
      </w:r>
      <w:r w:rsidRPr="0072600F">
        <w:rPr>
          <w:i/>
          <w:iCs/>
          <w:sz w:val="26"/>
          <w:szCs w:val="26"/>
        </w:rPr>
        <w:t xml:space="preserve">pro forma </w:t>
      </w:r>
      <w:r w:rsidRPr="0072600F">
        <w:rPr>
          <w:sz w:val="26"/>
          <w:szCs w:val="26"/>
        </w:rPr>
        <w:t xml:space="preserve">LGIP’s 150-day schedule.  Rather, the statements MISO and NYISO refer to in Order No. 2023 decline to allow transmission providers flexibility to set </w:t>
      </w:r>
      <w:r w:rsidRPr="0072600F">
        <w:rPr>
          <w:i/>
          <w:iCs/>
          <w:sz w:val="26"/>
          <w:szCs w:val="26"/>
        </w:rPr>
        <w:t>ad-hoc</w:t>
      </w:r>
      <w:r w:rsidRPr="0072600F">
        <w:rPr>
          <w:sz w:val="26"/>
          <w:szCs w:val="26"/>
        </w:rPr>
        <w:t xml:space="preserve"> deadlines beyond their standard, tariff-defined deadlines.  </w:t>
      </w:r>
    </w:p>
    <w:p w:rsidR="00760048" w:rsidRPr="0072600F" w14:paraId="27A3ECB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NYISO requests that the Commission clarify that, during the 45-day cluster request window, interconnection customers are limited to one 10-business day opportunity to cure a deficiency in their applications.  </w:t>
      </w:r>
      <w:bookmarkStart w:id="32" w:name="_Hlk156555251"/>
      <w:r w:rsidRPr="0072600F">
        <w:rPr>
          <w:sz w:val="26"/>
          <w:szCs w:val="26"/>
        </w:rPr>
        <w:t xml:space="preserve">We disagree with NYISO’s interpretation of the applicable </w:t>
      </w:r>
      <w:r w:rsidRPr="0072600F">
        <w:rPr>
          <w:i/>
          <w:iCs/>
          <w:sz w:val="26"/>
          <w:szCs w:val="26"/>
        </w:rPr>
        <w:t>pro forma</w:t>
      </w:r>
      <w:r w:rsidRPr="0072600F">
        <w:rPr>
          <w:sz w:val="26"/>
          <w:szCs w:val="26"/>
        </w:rPr>
        <w:t xml:space="preserve"> LGIP language and note that NYISO offers no argument to support this interpretation.  </w:t>
      </w:r>
      <w:bookmarkStart w:id="33" w:name="_Hlk156555246"/>
      <w:bookmarkEnd w:id="32"/>
      <w:r w:rsidRPr="0072600F">
        <w:rPr>
          <w:sz w:val="26"/>
          <w:szCs w:val="26"/>
        </w:rPr>
        <w:t>We therefore clarify that interconnection customers must receive as many cure periods as needed to remedy a deficient interconnection request, as long as the end of such cure periods fall prior to the last day of the 45-day cluster request window.  In other words, if an interconnection customer fails to fully cure its application within the first cure period, transmission providers must issue a second (or third) deficiency notice to an interconnection customer during the cluster request window, if time allows</w:t>
      </w:r>
      <w:bookmarkEnd w:id="33"/>
      <w:r w:rsidRPr="0072600F">
        <w:rPr>
          <w:sz w:val="26"/>
          <w:szCs w:val="26"/>
        </w:rPr>
        <w:t>.  We clarify that</w:t>
      </w:r>
      <w:r w:rsidR="00401F3E">
        <w:rPr>
          <w:sz w:val="26"/>
          <w:szCs w:val="26"/>
        </w:rPr>
        <w:t>,</w:t>
      </w:r>
      <w:r w:rsidRPr="0072600F">
        <w:rPr>
          <w:sz w:val="26"/>
          <w:szCs w:val="26"/>
        </w:rPr>
        <w:t xml:space="preserve"> if a transmission provider finds an interconnection request to be deficient less than 10 days before the close of the cluster request window, the interconnection customer may have until the close of the cluster request window to cure those deficiencies.</w:t>
      </w:r>
      <w:r>
        <w:rPr>
          <w:rStyle w:val="FootnoteReference"/>
        </w:rPr>
        <w:footnoteReference w:id="269"/>
      </w:r>
    </w:p>
    <w:p w:rsidR="00760048" w:rsidRPr="0072600F" w14:paraId="56BDFBD4" w14:textId="77777777">
      <w:pPr>
        <w:pStyle w:val="FERCparanumber"/>
        <w:widowControl/>
        <w:numPr>
          <w:ilvl w:val="0"/>
          <w:numId w:val="25"/>
        </w:numPr>
        <w:autoSpaceDE/>
        <w:autoSpaceDN/>
        <w:adjustRightInd/>
        <w:spacing w:line="480" w:lineRule="auto"/>
        <w:rPr>
          <w:sz w:val="26"/>
          <w:szCs w:val="26"/>
        </w:rPr>
      </w:pPr>
      <w:bookmarkStart w:id="34" w:name="_Hlk156555270"/>
      <w:r w:rsidRPr="0072600F">
        <w:rPr>
          <w:sz w:val="26"/>
          <w:szCs w:val="26"/>
        </w:rPr>
        <w:t xml:space="preserve">NYISO seeks clarification regarding the sentence in section 3.4.4 of the </w:t>
      </w:r>
      <w:r w:rsidRPr="0072600F">
        <w:rPr>
          <w:i/>
          <w:iCs/>
          <w:sz w:val="26"/>
          <w:szCs w:val="26"/>
        </w:rPr>
        <w:t>pro forma</w:t>
      </w:r>
      <w:r w:rsidRPr="0072600F">
        <w:rPr>
          <w:sz w:val="26"/>
          <w:szCs w:val="26"/>
        </w:rPr>
        <w:t xml:space="preserve"> LGIP</w:t>
      </w:r>
      <w:r w:rsidR="00401F3E">
        <w:rPr>
          <w:sz w:val="26"/>
          <w:szCs w:val="26"/>
        </w:rPr>
        <w:t>,</w:t>
      </w:r>
      <w:r w:rsidRPr="0072600F">
        <w:rPr>
          <w:sz w:val="26"/>
          <w:szCs w:val="26"/>
        </w:rPr>
        <w:t xml:space="preserve"> which reads “At any time, if Transmission Provider finds that the technical data provided by Interconnection Customer is incomplete or contains errors, Interconnection Customer and Transmission Provider shall work expeditiously and in good faith to remedy such issues.”  We grant NYISO’s requested clarification that this language is not meant to extend the time period by which an interconnection customer must address deficiencies for the transmission provider’s acceptance of a valid, complete interconnection request, but instead is simply intended to permit the transmission provider and interconnection customer to address any issues that may be discovered in the interconnection process, subject to applicable deadlines.  In other words, the interconnection customer and transmission provider shall work expeditiously and in good faith to remedy any errors or incomplete information </w:t>
      </w:r>
      <w:r w:rsidR="00483C37">
        <w:rPr>
          <w:sz w:val="26"/>
          <w:szCs w:val="26"/>
        </w:rPr>
        <w:t>(</w:t>
      </w:r>
      <w:r w:rsidRPr="0072600F" w:rsidR="00483C37">
        <w:rPr>
          <w:sz w:val="26"/>
          <w:szCs w:val="26"/>
        </w:rPr>
        <w:t>that do not merit finding the interconnection request deficient</w:t>
      </w:r>
      <w:r w:rsidR="00483C37">
        <w:rPr>
          <w:sz w:val="26"/>
          <w:szCs w:val="26"/>
        </w:rPr>
        <w:t xml:space="preserve">) </w:t>
      </w:r>
      <w:r w:rsidRPr="0072600F">
        <w:rPr>
          <w:sz w:val="26"/>
          <w:szCs w:val="26"/>
        </w:rPr>
        <w:t xml:space="preserve">either during the cluster request window or later, i.e., during the customer engagement window.  We decline to modify the </w:t>
      </w:r>
      <w:r w:rsidRPr="0072600F">
        <w:rPr>
          <w:i/>
          <w:iCs/>
          <w:sz w:val="26"/>
          <w:szCs w:val="26"/>
        </w:rPr>
        <w:t xml:space="preserve">pro forma </w:t>
      </w:r>
      <w:r w:rsidRPr="0072600F">
        <w:rPr>
          <w:sz w:val="26"/>
          <w:szCs w:val="26"/>
        </w:rPr>
        <w:t>LGIP as proposed by NYISO because it is unnecessary.</w:t>
      </w:r>
    </w:p>
    <w:p w:rsidR="00760048" w:rsidRPr="0072600F" w14:paraId="5172E6CE" w14:textId="77777777">
      <w:pPr>
        <w:pStyle w:val="FERCparanumber"/>
        <w:widowControl/>
        <w:numPr>
          <w:ilvl w:val="0"/>
          <w:numId w:val="25"/>
        </w:numPr>
        <w:autoSpaceDE/>
        <w:autoSpaceDN/>
        <w:adjustRightInd/>
        <w:spacing w:line="480" w:lineRule="auto"/>
        <w:rPr>
          <w:sz w:val="26"/>
          <w:szCs w:val="26"/>
        </w:rPr>
      </w:pPr>
      <w:bookmarkStart w:id="35" w:name="_Hlk156555286"/>
      <w:bookmarkEnd w:id="34"/>
      <w:r w:rsidRPr="0072600F">
        <w:rPr>
          <w:sz w:val="26"/>
          <w:szCs w:val="26"/>
        </w:rPr>
        <w:t xml:space="preserve">NYISO seeks further clarification around when a transmission provider must complete its determination that an interconnection request is valid, the timeline in which an interconnection customer may cure deficiencies in its application, and treatment of interconnection requests deemed invalid during the customer engagement window.  We clarify that the transmission provider must complete its determination that an interconnection request is valid by the close of the cluster request window, and therefore, interconnection customers must also cure deficient interconnection requests by the close of the cluster request window.  In other words, only interconnection customers with valid interconnection requests, for which there is no need to cure deficiencies, proceed to the customer engagement window.  </w:t>
      </w:r>
      <w:bookmarkEnd w:id="35"/>
      <w:r w:rsidRPr="0072600F">
        <w:rPr>
          <w:sz w:val="26"/>
          <w:szCs w:val="26"/>
        </w:rPr>
        <w:t xml:space="preserve">As such, transmission providers may not continue determining whether interconnection requests are valid into the customer engagement window.  This means that there is no need for transmission providers to deem interconnection requests withdrawn during the customer engagement window, as all invalid interconnection requests will already have been deemed withdrawn at the close of the cluster request window.  </w:t>
      </w:r>
      <w:bookmarkStart w:id="36" w:name="_Hlk156555303"/>
      <w:r w:rsidRPr="0072600F">
        <w:rPr>
          <w:sz w:val="26"/>
          <w:szCs w:val="26"/>
        </w:rPr>
        <w:t xml:space="preserve">We acknowledge NYISO’s confusion regarding Paragraph 234 of Order No. 2023, which rejects the notion of withdrawing invalid interconnection requests before the end of the customer engagement window.  We set aside Paragraph 234 of Order No. 2023 and clarify that an interconnection customer’s cure period ends at the close of the cluster request window at the latest.  Nevertheless, interconnection customers with valid interconnection requests may work with the transmission provider, per section 3.4.4 of the </w:t>
      </w:r>
      <w:r w:rsidRPr="0072600F">
        <w:rPr>
          <w:i/>
          <w:iCs/>
          <w:sz w:val="26"/>
          <w:szCs w:val="26"/>
        </w:rPr>
        <w:t>pro forma</w:t>
      </w:r>
      <w:r w:rsidRPr="0072600F">
        <w:rPr>
          <w:sz w:val="26"/>
          <w:szCs w:val="26"/>
        </w:rPr>
        <w:t xml:space="preserve"> LIGP and as explained above, to resolve minor errors or incompletions in technical data throughout the process, without the need for the transmission provider to deem an interconnection request deficient, invalid, or withdrawn.  To improve clarity with regard to these issues, we modify section 3.4.5 of the </w:t>
      </w:r>
      <w:r w:rsidRPr="0072600F">
        <w:rPr>
          <w:i/>
          <w:iCs/>
          <w:sz w:val="26"/>
          <w:szCs w:val="26"/>
        </w:rPr>
        <w:t>pro forma</w:t>
      </w:r>
      <w:r w:rsidRPr="0072600F">
        <w:rPr>
          <w:sz w:val="26"/>
          <w:szCs w:val="26"/>
        </w:rPr>
        <w:t xml:space="preserve"> LGIP as follows</w:t>
      </w:r>
      <w:r w:rsidR="00E67D96">
        <w:rPr>
          <w:sz w:val="26"/>
          <w:szCs w:val="26"/>
        </w:rPr>
        <w:t>, with italics indicating additions</w:t>
      </w:r>
      <w:r w:rsidR="005A63B9">
        <w:rPr>
          <w:sz w:val="26"/>
          <w:szCs w:val="26"/>
        </w:rPr>
        <w:t xml:space="preserve"> and brackets indicating deletions</w:t>
      </w:r>
      <w:r w:rsidRPr="0072600F">
        <w:rPr>
          <w:sz w:val="26"/>
          <w:szCs w:val="26"/>
        </w:rPr>
        <w:t>:</w:t>
      </w:r>
    </w:p>
    <w:p w:rsidR="00760048" w:rsidRPr="0072600F" w:rsidP="00071614" w14:paraId="400D512A" w14:textId="77777777">
      <w:pPr>
        <w:spacing w:after="240"/>
        <w:ind w:left="1440" w:right="1440"/>
        <w:jc w:val="both"/>
        <w:rPr>
          <w:rFonts w:ascii="Times New Roman" w:hAnsi="Times New Roman" w:cs="Times New Roman"/>
          <w:sz w:val="26"/>
          <w:szCs w:val="26"/>
        </w:rPr>
      </w:pPr>
      <w:bookmarkStart w:id="37" w:name="_Hlk156563852"/>
      <w:bookmarkEnd w:id="36"/>
      <w:r w:rsidRPr="0072600F">
        <w:rPr>
          <w:rFonts w:ascii="Times New Roman" w:hAnsi="Times New Roman" w:cs="Times New Roman"/>
          <w:sz w:val="26"/>
          <w:szCs w:val="26"/>
        </w:rPr>
        <w:t xml:space="preserve">At the end of the Customer Engagement Window, all Interconnection Requests deemed valid that have executed a Cluster Study Agreement in the form of Appendix 2 to this LGIP shall be included in the Cluster Study.  Any Interconnection Requests </w:t>
      </w:r>
      <w:r w:rsidRPr="0072600F">
        <w:rPr>
          <w:rFonts w:ascii="Times New Roman" w:hAnsi="Times New Roman" w:cs="Times New Roman"/>
          <w:i/>
          <w:iCs/>
          <w:sz w:val="26"/>
          <w:szCs w:val="26"/>
        </w:rPr>
        <w:t>for which the Interconnection Customer has not executed a Cluster Study Agreement</w:t>
      </w:r>
      <w:r w:rsidRPr="0072600F">
        <w:rPr>
          <w:rFonts w:ascii="Times New Roman" w:hAnsi="Times New Roman" w:cs="Times New Roman"/>
          <w:sz w:val="26"/>
          <w:szCs w:val="26"/>
        </w:rPr>
        <w:t>[not deemed valid at the close of the Customer Engagement Window] shall be deemed withdrawn (without the cure period provided under Section 3.7 of this LGIP) by Transmission Provider, the application fee shall be forfeited to the Transmission Provider, and the Transmission Provider shall return the study deposit and Commercial Readiness Deposit to Interconnection Customer.  Immediately following the Customer Engagement Window, Transmission Provider shall initiate the Cluster Study described in Section 7 of this LGIP.</w:t>
      </w:r>
    </w:p>
    <w:bookmarkEnd w:id="37"/>
    <w:p w:rsidR="00760048" w:rsidRPr="0072600F" w14:paraId="59EF9A6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modify </w:t>
      </w:r>
      <w:r w:rsidRPr="0072600F">
        <w:rPr>
          <w:i/>
          <w:iCs/>
          <w:sz w:val="26"/>
          <w:szCs w:val="26"/>
        </w:rPr>
        <w:t>pro forma</w:t>
      </w:r>
      <w:r w:rsidRPr="0072600F">
        <w:rPr>
          <w:sz w:val="26"/>
          <w:szCs w:val="26"/>
        </w:rPr>
        <w:t xml:space="preserve"> LGIP section 3.4.4 to clarify that all items in </w:t>
      </w:r>
      <w:r w:rsidRPr="0072600F">
        <w:rPr>
          <w:i/>
          <w:iCs/>
          <w:sz w:val="26"/>
          <w:szCs w:val="26"/>
        </w:rPr>
        <w:t>pro forma</w:t>
      </w:r>
      <w:r w:rsidRPr="0072600F">
        <w:rPr>
          <w:sz w:val="26"/>
          <w:szCs w:val="26"/>
        </w:rPr>
        <w:t xml:space="preserve"> LGIP section 3.4.2 must be received during the cluster request window.  Taken together, these modifications make clear that the condition to proceed from the cluster request window to the customer engagement window is a valid interconnection request, and the condition to proceed from the customer engagement window is an executed </w:t>
      </w:r>
      <w:r w:rsidR="005A63B9">
        <w:rPr>
          <w:sz w:val="26"/>
          <w:szCs w:val="26"/>
        </w:rPr>
        <w:t>c</w:t>
      </w:r>
      <w:r w:rsidRPr="0072600F">
        <w:rPr>
          <w:sz w:val="26"/>
          <w:szCs w:val="26"/>
        </w:rPr>
        <w:t xml:space="preserve">luster </w:t>
      </w:r>
      <w:r w:rsidR="005A63B9">
        <w:rPr>
          <w:sz w:val="26"/>
          <w:szCs w:val="26"/>
        </w:rPr>
        <w:t>s</w:t>
      </w:r>
      <w:r w:rsidRPr="0072600F">
        <w:rPr>
          <w:sz w:val="26"/>
          <w:szCs w:val="26"/>
        </w:rPr>
        <w:t xml:space="preserve">tudy </w:t>
      </w:r>
      <w:r w:rsidR="005A63B9">
        <w:rPr>
          <w:sz w:val="26"/>
          <w:szCs w:val="26"/>
        </w:rPr>
        <w:t>a</w:t>
      </w:r>
      <w:r w:rsidRPr="0072600F">
        <w:rPr>
          <w:sz w:val="26"/>
          <w:szCs w:val="26"/>
        </w:rPr>
        <w:t xml:space="preserve">greement. </w:t>
      </w:r>
    </w:p>
    <w:p w:rsidR="00760048" w:rsidRPr="0072600F" w14:paraId="5803AC6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unpersuaded by NYISO’s arguments to modify the requirement for transmission providers to post an anonymized list of the projects eligible to participate in the </w:t>
      </w:r>
      <w:r w:rsidR="005A63B9">
        <w:rPr>
          <w:sz w:val="26"/>
          <w:szCs w:val="26"/>
        </w:rPr>
        <w:t>c</w:t>
      </w:r>
      <w:r w:rsidRPr="0072600F">
        <w:rPr>
          <w:sz w:val="26"/>
          <w:szCs w:val="26"/>
        </w:rPr>
        <w:t xml:space="preserve">luster </w:t>
      </w:r>
      <w:r w:rsidR="005A63B9">
        <w:rPr>
          <w:sz w:val="26"/>
          <w:szCs w:val="26"/>
        </w:rPr>
        <w:t>s</w:t>
      </w:r>
      <w:r w:rsidRPr="0072600F">
        <w:rPr>
          <w:sz w:val="26"/>
          <w:szCs w:val="26"/>
        </w:rPr>
        <w:t xml:space="preserve">tudy during the customer engagement window.  NYISO’s position is that the requirement would complicate NYISO’s own specific processes, rather than the processes of transmission providers more broadly.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w:t>
      </w:r>
      <w:r w:rsidRPr="0072600F">
        <w:rPr>
          <w:i/>
          <w:iCs/>
          <w:sz w:val="26"/>
          <w:szCs w:val="26"/>
        </w:rPr>
        <w:t xml:space="preserve">pro forma </w:t>
      </w:r>
      <w:r w:rsidRPr="0072600F">
        <w:rPr>
          <w:sz w:val="26"/>
          <w:szCs w:val="26"/>
        </w:rPr>
        <w:t xml:space="preserve">LGIA, </w:t>
      </w:r>
      <w:r w:rsidRPr="0072600F">
        <w:rPr>
          <w:i/>
          <w:iCs/>
          <w:sz w:val="26"/>
          <w:szCs w:val="26"/>
        </w:rPr>
        <w:t xml:space="preserve">pro forma </w:t>
      </w:r>
      <w:r w:rsidRPr="0072600F">
        <w:rPr>
          <w:sz w:val="26"/>
          <w:szCs w:val="26"/>
        </w:rPr>
        <w:t xml:space="preserve">SGIP, and/or </w:t>
      </w:r>
      <w:r w:rsidRPr="0072600F">
        <w:rPr>
          <w:i/>
          <w:iCs/>
          <w:sz w:val="26"/>
          <w:szCs w:val="26"/>
        </w:rPr>
        <w:t xml:space="preserve">pro forma </w:t>
      </w:r>
      <w:r w:rsidRPr="0072600F">
        <w:rPr>
          <w:sz w:val="26"/>
          <w:szCs w:val="26"/>
        </w:rPr>
        <w:t xml:space="preserve">SGIA or merit an independent entity variation in the context of RTOs/ISOs. </w:t>
      </w:r>
    </w:p>
    <w:p w:rsidR="00760048" w:rsidRPr="0072600F" w14:paraId="1FF9A15E" w14:textId="77777777">
      <w:pPr>
        <w:pStyle w:val="FERCparanumber"/>
        <w:widowControl/>
        <w:numPr>
          <w:ilvl w:val="0"/>
          <w:numId w:val="25"/>
        </w:numPr>
        <w:autoSpaceDE/>
        <w:autoSpaceDN/>
        <w:adjustRightInd/>
        <w:spacing w:line="480" w:lineRule="auto"/>
        <w:rPr>
          <w:sz w:val="26"/>
          <w:szCs w:val="26"/>
        </w:rPr>
      </w:pPr>
      <w:r w:rsidRPr="0072600F">
        <w:rPr>
          <w:sz w:val="26"/>
          <w:szCs w:val="26"/>
        </w:rPr>
        <w:t>We</w:t>
      </w:r>
      <w:r w:rsidRPr="0072600F">
        <w:rPr>
          <w:sz w:val="26"/>
          <w:szCs w:val="26"/>
        </w:rPr>
        <w:t xml:space="preserve"> </w:t>
      </w:r>
      <w:r w:rsidRPr="0072600F">
        <w:rPr>
          <w:sz w:val="26"/>
          <w:szCs w:val="26"/>
        </w:rPr>
        <w:t xml:space="preserve">disagree with </w:t>
      </w:r>
      <w:r w:rsidRPr="0072600F">
        <w:rPr>
          <w:sz w:val="26"/>
          <w:szCs w:val="26"/>
        </w:rPr>
        <w:t>NewSun’s</w:t>
      </w:r>
      <w:r w:rsidRPr="0072600F">
        <w:rPr>
          <w:sz w:val="26"/>
          <w:szCs w:val="26"/>
        </w:rPr>
        <w:t xml:space="preserve"> request to extend the 30-calendar day period for an interconnection customer to execute the facilities study agreement.  The NOPR did not propose, and Order No. 2023 did not adopt, any modifications to section 8.1 of the </w:t>
      </w:r>
      <w:r w:rsidRPr="0072600F">
        <w:rPr>
          <w:i/>
          <w:iCs/>
          <w:sz w:val="26"/>
          <w:szCs w:val="26"/>
        </w:rPr>
        <w:t>pro forma</w:t>
      </w:r>
      <w:r w:rsidRPr="0072600F">
        <w:rPr>
          <w:sz w:val="26"/>
          <w:szCs w:val="26"/>
        </w:rPr>
        <w:t xml:space="preserve"> LGIP regarding the 30-calendar day period.  We believe that 30 calendar days is a sufficient amount of time to meet the requirements of </w:t>
      </w:r>
      <w:r w:rsidRPr="0072600F">
        <w:rPr>
          <w:i/>
          <w:iCs/>
          <w:sz w:val="26"/>
          <w:szCs w:val="26"/>
        </w:rPr>
        <w:t>pro forma</w:t>
      </w:r>
      <w:r w:rsidRPr="0072600F">
        <w:rPr>
          <w:sz w:val="26"/>
          <w:szCs w:val="26"/>
        </w:rPr>
        <w:t xml:space="preserve"> LGIP section 8.1.  We believe that 30-calendar day timeframe balances providing certainty about the timeline for the interconnection process and ensuring that studies progress in a timely manner while providing sufficient time for an interconnection customer to execute the facilities study agreement and submit the appropriate deposit.  We note that, while the Commission implemented changes in Order No. 2023 such as the commercial readiness deposit in </w:t>
      </w:r>
      <w:r w:rsidRPr="0072600F">
        <w:rPr>
          <w:i/>
          <w:iCs/>
          <w:sz w:val="26"/>
          <w:szCs w:val="26"/>
        </w:rPr>
        <w:t>pro forma</w:t>
      </w:r>
      <w:r w:rsidRPr="0072600F">
        <w:rPr>
          <w:sz w:val="26"/>
          <w:szCs w:val="26"/>
        </w:rPr>
        <w:t xml:space="preserve"> LGIP section 8.1 that increase certain burdens on interconnection customers with the goal of discouraging speculative requests, the Commission also implemented changes such as the new study delay penalty structure that reasonably incentivizes transmission providers to ensure the timely processing of interconnection requests.</w:t>
      </w:r>
      <w:r>
        <w:rPr>
          <w:rStyle w:val="FootnoteReference"/>
        </w:rPr>
        <w:footnoteReference w:id="270"/>
      </w:r>
      <w:r w:rsidRPr="0072600F">
        <w:rPr>
          <w:sz w:val="26"/>
          <w:szCs w:val="26"/>
        </w:rPr>
        <w:t xml:space="preserve">  </w:t>
      </w:r>
    </w:p>
    <w:p w:rsidR="00760048" w:rsidRPr="0072600F" w14:paraId="46B0649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However, we are persuaded by </w:t>
      </w:r>
      <w:r w:rsidRPr="0072600F">
        <w:rPr>
          <w:sz w:val="26"/>
          <w:szCs w:val="26"/>
        </w:rPr>
        <w:t>NewSun’s</w:t>
      </w:r>
      <w:r w:rsidRPr="0072600F">
        <w:rPr>
          <w:sz w:val="26"/>
          <w:szCs w:val="26"/>
        </w:rPr>
        <w:t xml:space="preserve"> arguments regarding the overlapping timelines for the notice of restudy and execution of the facilities study agreement (with associated deposits).  </w:t>
      </w:r>
      <w:bookmarkStart w:id="38" w:name="_Hlk160631857"/>
      <w:r w:rsidRPr="0072600F">
        <w:rPr>
          <w:sz w:val="26"/>
          <w:szCs w:val="26"/>
        </w:rPr>
        <w:t xml:space="preserve">Therefore, we modify sections 7.3 and 8.1 of the </w:t>
      </w:r>
      <w:r w:rsidRPr="0072600F">
        <w:rPr>
          <w:i/>
          <w:iCs/>
          <w:sz w:val="26"/>
          <w:szCs w:val="26"/>
        </w:rPr>
        <w:t>pro forma</w:t>
      </w:r>
      <w:r w:rsidRPr="0072600F">
        <w:rPr>
          <w:sz w:val="26"/>
          <w:szCs w:val="26"/>
        </w:rPr>
        <w:t xml:space="preserve"> LGIP to remove the requirement for transmission providers to tender an interconnection facilities study agreement simultaneously with issuance of a cluster study (or restudy) report.  </w:t>
      </w:r>
      <w:bookmarkEnd w:id="38"/>
      <w:r w:rsidRPr="0072600F">
        <w:rPr>
          <w:sz w:val="26"/>
          <w:szCs w:val="26"/>
        </w:rPr>
        <w:t xml:space="preserve">We modify section 8.1 of the </w:t>
      </w:r>
      <w:r w:rsidRPr="0072600F">
        <w:rPr>
          <w:i/>
          <w:iCs/>
          <w:sz w:val="26"/>
          <w:szCs w:val="26"/>
        </w:rPr>
        <w:t xml:space="preserve">pro forma </w:t>
      </w:r>
      <w:r w:rsidRPr="0072600F">
        <w:rPr>
          <w:sz w:val="26"/>
          <w:szCs w:val="26"/>
        </w:rPr>
        <w:t xml:space="preserve">LGIP to clarify that transmission providers shall tender the interconnection facilities study agreement within 5 business days after the transmission provider notifies interconnection customers that no further restudies are required.  This modification addresses </w:t>
      </w:r>
      <w:r w:rsidRPr="0072600F">
        <w:rPr>
          <w:sz w:val="26"/>
          <w:szCs w:val="26"/>
        </w:rPr>
        <w:t>NewSun’s</w:t>
      </w:r>
      <w:r w:rsidRPr="0072600F">
        <w:rPr>
          <w:sz w:val="26"/>
          <w:szCs w:val="26"/>
        </w:rPr>
        <w:t xml:space="preserve"> concern that an interconnection customer will not know if a restudy is required before the interconnection customer is required to commit to a facilities study and make the required deposits.</w:t>
      </w:r>
    </w:p>
    <w:p w:rsidR="00760048" w:rsidRPr="0072600F" w14:paraId="78100610" w14:textId="77777777">
      <w:pPr>
        <w:pStyle w:val="FERCparanumber"/>
        <w:widowControl/>
        <w:numPr>
          <w:ilvl w:val="0"/>
          <w:numId w:val="25"/>
        </w:numPr>
        <w:autoSpaceDE/>
        <w:autoSpaceDN/>
        <w:adjustRightInd/>
        <w:spacing w:line="480" w:lineRule="auto"/>
        <w:rPr>
          <w:sz w:val="26"/>
          <w:szCs w:val="26"/>
        </w:rPr>
      </w:pPr>
      <w:r w:rsidRPr="0072600F">
        <w:rPr>
          <w:sz w:val="26"/>
          <w:szCs w:val="26"/>
        </w:rPr>
        <w:t>Regarding NYTOs’ request for clarification about equal queue priority, we continue to find that</w:t>
      </w:r>
      <w:r w:rsidR="00C33F2F">
        <w:rPr>
          <w:sz w:val="26"/>
          <w:szCs w:val="26"/>
        </w:rPr>
        <w:t>,</w:t>
      </w:r>
      <w:r w:rsidRPr="0072600F">
        <w:rPr>
          <w:sz w:val="26"/>
          <w:szCs w:val="26"/>
        </w:rPr>
        <w:t xml:space="preserve"> under the </w:t>
      </w:r>
      <w:r w:rsidRPr="0072600F">
        <w:rPr>
          <w:i/>
          <w:iCs/>
          <w:sz w:val="26"/>
          <w:szCs w:val="26"/>
        </w:rPr>
        <w:t>pro forma</w:t>
      </w:r>
      <w:r w:rsidRPr="0072600F">
        <w:rPr>
          <w:sz w:val="26"/>
          <w:szCs w:val="26"/>
        </w:rPr>
        <w:t xml:space="preserve"> LGIP, interconnection requests studied in the same cluster have equal queue priority.</w:t>
      </w:r>
      <w:r>
        <w:rPr>
          <w:rStyle w:val="FootnoteReference"/>
        </w:rPr>
        <w:footnoteReference w:id="271"/>
      </w:r>
      <w:r w:rsidRPr="0072600F">
        <w:rPr>
          <w:sz w:val="26"/>
          <w:szCs w:val="26"/>
        </w:rPr>
        <w:t xml:space="preserve">  To address the situation that NYTOs describe, which appears specific to New York, we reiterate that NYISO, as an ISO, may explain its specific circumstances on compliance and justify why any deviations merit an independent entity variation.</w:t>
      </w:r>
    </w:p>
    <w:p w:rsidR="00760048" w:rsidRPr="0072600F" w14:paraId="19C594C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not persuaded by arguments raised by several commenters regarding reforms not adopted in Order No. 2023.  We are not persuaded by AEP’s argument that the Commission should have included a generator replacement process in the </w:t>
      </w:r>
      <w:r w:rsidRPr="0072600F">
        <w:rPr>
          <w:i/>
          <w:iCs/>
          <w:sz w:val="26"/>
          <w:szCs w:val="26"/>
        </w:rPr>
        <w:t>pro forma</w:t>
      </w:r>
      <w:r w:rsidRPr="0072600F">
        <w:rPr>
          <w:sz w:val="26"/>
          <w:szCs w:val="26"/>
        </w:rPr>
        <w:t xml:space="preserve"> LGIP.  The NOPR did not propose such a process, and we continue to believe that the record in this proceeding is insufficient to require such a process generically.  To AEP’s alternative request for clarification, we clarify that nothing in Order No. 2023 limits</w:t>
      </w:r>
      <w:r w:rsidRPr="0072600F">
        <w:rPr>
          <w:sz w:val="26"/>
          <w:szCs w:val="26"/>
        </w:rPr>
        <w:t xml:space="preserve"> </w:t>
      </w:r>
      <w:r w:rsidRPr="0072600F">
        <w:rPr>
          <w:sz w:val="26"/>
          <w:szCs w:val="26"/>
        </w:rPr>
        <w:t>transmission providers’ ability to make an FPA section 205 filing, and we will continue to assess such filings on a case-by-case basis.  In response to MISO, we clarify that Order No. 2023 does not require transmission providers to change, eliminate, or re-justify existing Commission-approved generator replacement processes on compliance.  We reiterate our determination in Order No. 2023 that comments concerning generator replacement processes are beyond the scope of Order No. 2023.</w:t>
      </w:r>
      <w:r>
        <w:rPr>
          <w:rStyle w:val="FootnoteReference"/>
        </w:rPr>
        <w:footnoteReference w:id="272"/>
      </w:r>
    </w:p>
    <w:p w:rsidR="00760048" w:rsidRPr="0072600F" w14:paraId="4BE8EDE8"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disagree with AEP’s argument that the Commission should include an option for processing some interconnection requests outside the cluster study process.  We continue to find, as the Commission did in Order No. 2023, that</w:t>
      </w:r>
      <w:r w:rsidR="007D7CF3">
        <w:rPr>
          <w:sz w:val="26"/>
          <w:szCs w:val="26"/>
        </w:rPr>
        <w:t>, based on the record before us,</w:t>
      </w:r>
      <w:r w:rsidRPr="0072600F">
        <w:rPr>
          <w:sz w:val="26"/>
          <w:szCs w:val="26"/>
        </w:rPr>
        <w:t xml:space="preserve"> establishing a separate interconnection process outside the cluster study process could detract from transmission providers’ efforts to efficiently process cluster studies.</w:t>
      </w:r>
      <w:r>
        <w:rPr>
          <w:rStyle w:val="FootnoteReference"/>
        </w:rPr>
        <w:footnoteReference w:id="273"/>
      </w:r>
      <w:r w:rsidRPr="0072600F">
        <w:rPr>
          <w:sz w:val="26"/>
          <w:szCs w:val="26"/>
        </w:rPr>
        <w:t xml:space="preserve">  </w:t>
      </w:r>
    </w:p>
    <w:p w:rsidR="00760048" w:rsidRPr="0072600F" w14:paraId="41FBBAC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Finally, we revise the </w:t>
      </w:r>
      <w:r w:rsidRPr="0072600F">
        <w:rPr>
          <w:i/>
          <w:iCs/>
          <w:sz w:val="26"/>
          <w:szCs w:val="26"/>
        </w:rPr>
        <w:t xml:space="preserve">pro forma </w:t>
      </w:r>
      <w:r w:rsidRPr="0072600F">
        <w:rPr>
          <w:sz w:val="26"/>
          <w:szCs w:val="26"/>
        </w:rPr>
        <w:t xml:space="preserve">LGIP to correct inadvertent errors and add minor, clarifying edits as follows.  First, we revise section 3.4.6 to correct an inadvertent omission of the word “or” to clarify that the non-disclosure agreement used for the group cluster study scoping meeting will provide for confidentiality of identifying information </w:t>
      </w:r>
      <w:r w:rsidRPr="0072600F">
        <w:rPr>
          <w:i/>
          <w:iCs/>
          <w:sz w:val="26"/>
          <w:szCs w:val="26"/>
        </w:rPr>
        <w:t xml:space="preserve">or </w:t>
      </w:r>
      <w:r w:rsidRPr="0072600F">
        <w:rPr>
          <w:sz w:val="26"/>
          <w:szCs w:val="26"/>
        </w:rPr>
        <w:t>commercially sensitive information, consistent with the discussion in Order No. 2023.</w:t>
      </w:r>
      <w:r>
        <w:rPr>
          <w:rStyle w:val="FootnoteReference"/>
        </w:rPr>
        <w:footnoteReference w:id="274"/>
      </w:r>
      <w:r w:rsidRPr="0072600F">
        <w:rPr>
          <w:sz w:val="26"/>
          <w:szCs w:val="26"/>
        </w:rPr>
        <w:t xml:space="preserve">  Second, we also revise </w:t>
      </w:r>
      <w:r w:rsidRPr="0072600F">
        <w:rPr>
          <w:i/>
          <w:iCs/>
          <w:sz w:val="26"/>
          <w:szCs w:val="26"/>
        </w:rPr>
        <w:t xml:space="preserve">pro forma </w:t>
      </w:r>
      <w:r w:rsidRPr="0072600F">
        <w:rPr>
          <w:sz w:val="26"/>
          <w:szCs w:val="26"/>
        </w:rPr>
        <w:t xml:space="preserve">LGIP section 7.5 to clarify that cluster restudies can be triggered by withdrawal of a higher-queued interconnection customer, and that interconnection customers being restudied are responsible for the cost of any restudy, except as provided in section 3.7.  Third, we revise </w:t>
      </w:r>
      <w:r w:rsidRPr="0072600F">
        <w:rPr>
          <w:i/>
          <w:iCs/>
          <w:sz w:val="26"/>
          <w:szCs w:val="26"/>
        </w:rPr>
        <w:t xml:space="preserve">pro forma </w:t>
      </w:r>
      <w:r w:rsidRPr="0072600F">
        <w:rPr>
          <w:sz w:val="26"/>
          <w:szCs w:val="26"/>
        </w:rPr>
        <w:t xml:space="preserve">LGIP section 3.5.2.4 to clarify that the requirement to track and post metrics on interconnection queue withdrawals includes each stage of the study process.  Fourth, we revise </w:t>
      </w:r>
      <w:r w:rsidRPr="0072600F">
        <w:rPr>
          <w:i/>
          <w:iCs/>
          <w:sz w:val="26"/>
          <w:szCs w:val="26"/>
        </w:rPr>
        <w:t xml:space="preserve">pro forma </w:t>
      </w:r>
      <w:r w:rsidRPr="0072600F">
        <w:rPr>
          <w:sz w:val="26"/>
          <w:szCs w:val="26"/>
        </w:rPr>
        <w:t>LGIP section 3.4.6 to remove the phrase “and one or more available alternative Point(s) of Interconnection,” consistent with the discussion in Order No. 2023.</w:t>
      </w:r>
      <w:r>
        <w:rPr>
          <w:rStyle w:val="FootnoteReference"/>
        </w:rPr>
        <w:footnoteReference w:id="275"/>
      </w:r>
      <w:r w:rsidRPr="0072600F">
        <w:rPr>
          <w:sz w:val="26"/>
          <w:szCs w:val="26"/>
        </w:rPr>
        <w:t xml:space="preserve">  Fifth, we revise the </w:t>
      </w:r>
      <w:r w:rsidRPr="0072600F">
        <w:rPr>
          <w:i/>
          <w:iCs/>
          <w:sz w:val="26"/>
          <w:szCs w:val="26"/>
        </w:rPr>
        <w:t xml:space="preserve">pro forma </w:t>
      </w:r>
      <w:r w:rsidRPr="0072600F">
        <w:rPr>
          <w:sz w:val="26"/>
          <w:szCs w:val="26"/>
        </w:rPr>
        <w:t xml:space="preserve">LGIP definition of “interconnection study” to reference all interconnection studies discussed in the </w:t>
      </w:r>
      <w:r w:rsidRPr="0072600F">
        <w:rPr>
          <w:i/>
          <w:iCs/>
          <w:sz w:val="26"/>
          <w:szCs w:val="26"/>
        </w:rPr>
        <w:t>pro forma</w:t>
      </w:r>
      <w:r w:rsidRPr="0072600F">
        <w:rPr>
          <w:sz w:val="26"/>
          <w:szCs w:val="26"/>
        </w:rPr>
        <w:t xml:space="preserve"> LGIP.  </w:t>
      </w:r>
    </w:p>
    <w:p w:rsidR="00760048" w:rsidRPr="00FE47B2" w14:paraId="7139CB98"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39" w:name="_bmk14"/>
      <w:r w:rsidRPr="00FE47B2">
        <w:rPr>
          <w:b/>
          <w:bCs/>
          <w:sz w:val="26"/>
          <w:u w:val="single"/>
        </w:rPr>
        <w:t>A</w:t>
      </w:r>
      <w:bookmarkEnd w:id="39"/>
      <w:r w:rsidRPr="00FE47B2">
        <w:rPr>
          <w:b/>
          <w:bCs/>
          <w:sz w:val="26"/>
          <w:u w:val="single"/>
        </w:rPr>
        <w:t>llocation of Cluster Network Upgrade Costs</w:t>
      </w:r>
    </w:p>
    <w:p w:rsidR="00760048" w:rsidRPr="00FE47B2" w14:paraId="51447BDB"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Order No. 2023 Requirements</w:t>
      </w:r>
    </w:p>
    <w:p w:rsidR="00760048" w:rsidRPr="0072600F" w14:paraId="4B50614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added new section 4.2.1 (Cost Allocation for Interconnection Facilities and Network Upgrades) to the </w:t>
      </w:r>
      <w:r w:rsidRPr="0072600F">
        <w:rPr>
          <w:i/>
          <w:iCs/>
          <w:sz w:val="26"/>
          <w:szCs w:val="26"/>
        </w:rPr>
        <w:t>pro forma</w:t>
      </w:r>
      <w:r w:rsidRPr="0072600F">
        <w:rPr>
          <w:sz w:val="26"/>
          <w:szCs w:val="26"/>
        </w:rPr>
        <w:t xml:space="preserve"> LGIP to require that transmission providers (1) allocate network upgrade costs based on the proportional impact method and (2) allocate the costs of substation network upgrades on a per capita basis.</w:t>
      </w:r>
      <w:r>
        <w:rPr>
          <w:rStyle w:val="FootnoteReference"/>
        </w:rPr>
        <w:footnoteReference w:id="276"/>
      </w:r>
      <w:r w:rsidRPr="0072600F">
        <w:rPr>
          <w:sz w:val="26"/>
          <w:szCs w:val="26"/>
        </w:rPr>
        <w:t xml:space="preserve">  To implement this requirement, the Commission added definitions for proportional impact method, substation network upgrades, and system network upgrades to the </w:t>
      </w:r>
      <w:r w:rsidRPr="0072600F">
        <w:rPr>
          <w:i/>
          <w:iCs/>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LGIA and modified the existing definition of </w:t>
      </w:r>
      <w:r w:rsidRPr="0072600F">
        <w:rPr>
          <w:sz w:val="26"/>
          <w:szCs w:val="26"/>
        </w:rPr>
        <w:t>stand alone</w:t>
      </w:r>
      <w:r w:rsidRPr="0072600F">
        <w:rPr>
          <w:sz w:val="26"/>
          <w:szCs w:val="26"/>
        </w:rPr>
        <w:t xml:space="preserve"> network upgrades.  The Commission also required transmission providers to allocate the costs of interconnection facilities (i.e., both the interconnection customer’s interconnection facilities and transmission provider’s interconnection facilities) on a per capita basis.</w:t>
      </w:r>
      <w:r>
        <w:rPr>
          <w:rStyle w:val="FootnoteReference"/>
        </w:rPr>
        <w:footnoteReference w:id="277"/>
      </w:r>
      <w:r w:rsidRPr="0072600F">
        <w:rPr>
          <w:sz w:val="26"/>
          <w:szCs w:val="26"/>
        </w:rPr>
        <w:t xml:space="preserve">  The Commission further provided that interconnection customers may agree to share interconnection facilities, that the per capita cost allocation will apply only where interconnection customers agree to share interconnection facilities, and that interconnection customers may choose a different cost sharing arrangement upon mutual agreement.  </w:t>
      </w:r>
    </w:p>
    <w:p w:rsidR="00760048" w:rsidRPr="0072600F" w14:paraId="65B140D4"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found that transmission providers must provide tariff provisions that describe the method they will use for allocating costs of each type of network upgrade, but specific metrics and thresholds for implementing the allocation, or other specific technical information, may be included in business practice manuals, or publicly posted on the transmission provider’s website.</w:t>
      </w:r>
      <w:r>
        <w:rPr>
          <w:rStyle w:val="FootnoteReference"/>
        </w:rPr>
        <w:footnoteReference w:id="278"/>
      </w:r>
      <w:r w:rsidRPr="0072600F">
        <w:rPr>
          <w:sz w:val="26"/>
          <w:szCs w:val="26"/>
        </w:rPr>
        <w:t xml:space="preserve">  The Commission found that, in particular, the technical information surrounding implementation of the proportional impact method by a particular transmission provider does not need to be included in the transmission provider’s tariff under the rule of reason because these provisions are properly classified as implementation details that do not significantly affect rates, terms, and conditions of service.</w:t>
      </w:r>
    </w:p>
    <w:p w:rsidR="00760048" w:rsidRPr="00FE47B2" w:rsidP="00FE47B2" w14:paraId="5C10E2E6"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requests for the Commission to direct transmission providers to</w:t>
      </w:r>
      <w:r w:rsidR="00FE47B2">
        <w:rPr>
          <w:sz w:val="26"/>
          <w:szCs w:val="26"/>
        </w:rPr>
        <w:t xml:space="preserve"> </w:t>
      </w:r>
      <w:r w:rsidRPr="00FE47B2">
        <w:rPr>
          <w:sz w:val="26"/>
          <w:szCs w:val="26"/>
        </w:rPr>
        <w:t>use a specific type of proportional impact method or distribution factor analysis and apply minimum distribution factor thresholds that will be used to evaluate NRIS and ERIS requests, the Commission stated that it was unpersuaded that such level of prescription is needed to ensure just, reasonable, and not unduly discriminatory or preferential rates.</w:t>
      </w:r>
      <w:r>
        <w:rPr>
          <w:rStyle w:val="FootnoteReference"/>
        </w:rPr>
        <w:footnoteReference w:id="279"/>
      </w:r>
      <w:r w:rsidRPr="00FE47B2">
        <w:rPr>
          <w:sz w:val="26"/>
          <w:szCs w:val="26"/>
        </w:rPr>
        <w:t xml:space="preserve">  The Commission stated that, instead, it believes that flexibility for transmission providers to develop such details as part of their compliance filings—and in their business practice manuals, where consistent with the rule of reason—is important to ensure that the proportional impact method used by each transmission provider reflects the characteristics of its region (e.g., types of network upgrade facilities identified in the region, or preferred analyses in the region for determining the share of the need for the specific network upgrade type).</w:t>
      </w:r>
    </w:p>
    <w:p w:rsidR="00760048" w:rsidRPr="00FE47B2" w14:paraId="0EDD8240"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Requests for Rehearing and Clarification</w:t>
      </w:r>
    </w:p>
    <w:p w:rsidR="00760048" w:rsidRPr="0072600F" w14:paraId="62DA8BEB" w14:textId="77777777">
      <w:pPr>
        <w:pStyle w:val="FERCparanumber"/>
        <w:widowControl/>
        <w:numPr>
          <w:ilvl w:val="0"/>
          <w:numId w:val="25"/>
        </w:numPr>
        <w:autoSpaceDE/>
        <w:autoSpaceDN/>
        <w:adjustRightInd/>
        <w:spacing w:line="480" w:lineRule="auto"/>
        <w:rPr>
          <w:sz w:val="26"/>
          <w:szCs w:val="26"/>
        </w:rPr>
      </w:pPr>
      <w:r w:rsidRPr="0072600F">
        <w:rPr>
          <w:sz w:val="26"/>
          <w:szCs w:val="26"/>
        </w:rPr>
        <w:t>Generation Developers request clarification that Order No. 2023 does not prejudge whether any implementation detail regarding the proportional impact method needs to be included in the tariff rather than in a business practice manual, and that Order No. 2023 gives transmission providers flexibility to develop a method consistent with the Commission’s rule of reason.</w:t>
      </w:r>
      <w:r>
        <w:rPr>
          <w:rStyle w:val="FootnoteReference"/>
        </w:rPr>
        <w:footnoteReference w:id="280"/>
      </w:r>
      <w:r w:rsidRPr="0072600F">
        <w:rPr>
          <w:sz w:val="26"/>
          <w:szCs w:val="26"/>
        </w:rPr>
        <w:t xml:space="preserve">  Generation Developers express concern that Order No. 2023 could be misinterpreted such that any implementation detail regarding the proportional impact method does not significantly affect rates and thus need not be included in the tariff.  Generation Developers aver that the Commission has recognized that the rule of reason must be applied on a case-by-case basis and thus it would be inappropriate to make a generic determination that any specific detail can be placed in a business practice manual.</w:t>
      </w:r>
      <w:r>
        <w:rPr>
          <w:rStyle w:val="FootnoteReference"/>
        </w:rPr>
        <w:footnoteReference w:id="281"/>
      </w:r>
      <w:r w:rsidRPr="0072600F">
        <w:rPr>
          <w:sz w:val="26"/>
          <w:szCs w:val="26"/>
        </w:rPr>
        <w:t xml:space="preserve">  Generation Developers further argue that the Commission currently lacks the information necessary to make such a determination because whether a specific threshold or metric will significantly affect rates depends on several factors that will be detailed in the transmission provider’s Order No. 2023 compliance filings.</w:t>
      </w:r>
      <w:r w:rsidRPr="0072600F">
        <w:rPr>
          <w:b/>
          <w:sz w:val="26"/>
          <w:szCs w:val="26"/>
          <w:vertAlign w:val="superscript"/>
        </w:rPr>
        <w:t xml:space="preserve"> </w:t>
      </w:r>
    </w:p>
    <w:p w:rsidR="00760048" w:rsidRPr="0072600F" w14:paraId="753698D3" w14:textId="77777777">
      <w:pPr>
        <w:pStyle w:val="FERCparanumber"/>
        <w:widowControl/>
        <w:numPr>
          <w:ilvl w:val="0"/>
          <w:numId w:val="25"/>
        </w:numPr>
        <w:autoSpaceDE/>
        <w:autoSpaceDN/>
        <w:adjustRightInd/>
        <w:spacing w:line="480" w:lineRule="auto"/>
        <w:rPr>
          <w:sz w:val="26"/>
          <w:szCs w:val="26"/>
        </w:rPr>
      </w:pP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requests rehearing of Order No. 2023’s decision to not require minimum impact thresholds for purposes of the proportional impact method.</w:t>
      </w:r>
      <w:r>
        <w:rPr>
          <w:rStyle w:val="FootnoteReference"/>
        </w:rPr>
        <w:footnoteReference w:id="282"/>
      </w:r>
      <w:r w:rsidRPr="0072600F">
        <w:rPr>
          <w:sz w:val="26"/>
          <w:szCs w:val="26"/>
        </w:rPr>
        <w:t xml:space="preserve">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argues that minimum impact thresholds are necessary to ensure that interconnection customers are not required to finance network upgrades for which they have a de minimis impact.</w:t>
      </w:r>
      <w:r>
        <w:rPr>
          <w:rStyle w:val="FootnoteReference"/>
        </w:rPr>
        <w:footnoteReference w:id="283"/>
      </w:r>
      <w:r w:rsidRPr="0072600F">
        <w:rPr>
          <w:sz w:val="26"/>
          <w:szCs w:val="26"/>
        </w:rPr>
        <w:t xml:space="preserve">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 xml:space="preserve">avers that the absence of a minimum impact threshold is administratively burdensome for transmission providers because they must track a larger number of interconnection requests.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 xml:space="preserve">asserts that interconnection customers may be exposed to construction delays for network upgrades for which they only have a de minimis impact.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notes that the Commission has accepted minimum impact thresholds in other instances.</w:t>
      </w:r>
      <w:r>
        <w:rPr>
          <w:rStyle w:val="FootnoteReference"/>
        </w:rPr>
        <w:footnoteReference w:id="284"/>
      </w:r>
      <w:r w:rsidRPr="0072600F">
        <w:rPr>
          <w:sz w:val="26"/>
          <w:szCs w:val="26"/>
        </w:rPr>
        <w:t xml:space="preserve">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further argues that minimum impact thresholds are necessary to prevent any withdrawing interconnection request from materially impacting the remaining interconnection customers and thus triggering a withdrawal penalty.</w:t>
      </w:r>
      <w:r>
        <w:rPr>
          <w:rStyle w:val="FootnoteReference"/>
        </w:rPr>
        <w:footnoteReference w:id="285"/>
      </w:r>
      <w:r w:rsidRPr="0072600F">
        <w:rPr>
          <w:sz w:val="26"/>
          <w:szCs w:val="26"/>
        </w:rPr>
        <w:t xml:space="preserve">  Finally,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requests clarification that Order No. 2023 does not preclude a transmission provider from using minimum impact thresholds.</w:t>
      </w:r>
    </w:p>
    <w:p w:rsidR="00760048" w:rsidRPr="0072600F" w14:paraId="4A91CA6B"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request clarification that substation network upgrade cost allocation is based on the number of interconnection facilities (i.e., generator tie lines) connecting to the substation at the point of interconnection and not based on the number of generating facilities connecting to the substation.</w:t>
      </w:r>
      <w:r>
        <w:rPr>
          <w:rStyle w:val="FootnoteReference"/>
        </w:rPr>
        <w:footnoteReference w:id="286"/>
      </w:r>
      <w:r w:rsidRPr="0072600F">
        <w:rPr>
          <w:sz w:val="26"/>
          <w:szCs w:val="26"/>
        </w:rPr>
        <w:t xml:space="preserve">  Clean Energy Associations explain that it is the number of interconnection facilities, not the number of generating facilities, that drive substation expansion.  Clean Energy Associations request that the Commission clarify that the transmission provider should first allocate substation network upgrade costs on a per capita basis for each interconnection facility connecting to the substation, and secondly divide those costs between the multiple generating facilities using that interconnection facility.</w:t>
      </w:r>
      <w:r w:rsidRPr="0072600F">
        <w:rPr>
          <w:rStyle w:val="FootnoteReference"/>
        </w:rPr>
        <w:t xml:space="preserve"> </w:t>
      </w:r>
    </w:p>
    <w:p w:rsidR="00760048" w:rsidRPr="0072600F" w14:paraId="560F36C6"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also request clarification that substation network upgrades are at distinctive voltage levels.</w:t>
      </w:r>
      <w:r>
        <w:rPr>
          <w:rStyle w:val="FootnoteReference"/>
        </w:rPr>
        <w:footnoteReference w:id="287"/>
      </w:r>
      <w:r w:rsidRPr="0072600F">
        <w:rPr>
          <w:sz w:val="26"/>
          <w:szCs w:val="26"/>
        </w:rPr>
        <w:t xml:space="preserve">  Clean Energy Associations explain that definitive selection of a point of interconnection requires a voltage level to be specified as well as a substation, and that expansion costs for different voltage levels are normally unrelated and may be very different.</w:t>
      </w:r>
      <w:r w:rsidRPr="0072600F">
        <w:rPr>
          <w:rStyle w:val="FootnoteReference"/>
        </w:rPr>
        <w:t xml:space="preserve"> </w:t>
      </w:r>
    </w:p>
    <w:p w:rsidR="00760048" w:rsidRPr="00FE47B2" w14:paraId="20B523D9"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Determination</w:t>
      </w:r>
    </w:p>
    <w:p w:rsidR="00760048" w:rsidRPr="0072600F" w14:paraId="602CEE1B"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Generation Developers’ request for clarification regarding the location of details on the implementation of the proportional impact method, we clarify that, consistent with the rule of reason, the Commission will consider the details of the transmission provider’s proposed proportional impact method and whether those details should be in the tariff in its individual Order No. 2023 compliance filing.</w:t>
      </w:r>
      <w:r w:rsidRPr="0072600F">
        <w:rPr>
          <w:sz w:val="26"/>
          <w:szCs w:val="26"/>
        </w:rPr>
        <w:t xml:space="preserve"> </w:t>
      </w:r>
    </w:p>
    <w:p w:rsidR="00760048" w:rsidRPr="0072600F" w14:paraId="36B77D71" w14:textId="77777777">
      <w:pPr>
        <w:pStyle w:val="FERCparanumber"/>
        <w:widowControl/>
        <w:numPr>
          <w:ilvl w:val="0"/>
          <w:numId w:val="25"/>
        </w:numPr>
        <w:autoSpaceDE/>
        <w:autoSpaceDN/>
        <w:adjustRightInd/>
        <w:spacing w:line="480" w:lineRule="auto"/>
        <w:rPr>
          <w:sz w:val="26"/>
          <w:szCs w:val="26"/>
        </w:rPr>
      </w:pPr>
      <w:r w:rsidRPr="0072600F">
        <w:rPr>
          <w:sz w:val="26"/>
          <w:szCs w:val="26"/>
        </w:rPr>
        <w:t>We</w:t>
      </w:r>
      <w:r w:rsidRPr="0072600F">
        <w:rPr>
          <w:sz w:val="26"/>
          <w:szCs w:val="26"/>
        </w:rPr>
        <w:t xml:space="preserve"> </w:t>
      </w:r>
      <w:r w:rsidRPr="0072600F">
        <w:rPr>
          <w:sz w:val="26"/>
          <w:szCs w:val="26"/>
        </w:rPr>
        <w:t xml:space="preserve">are unpersuaded by </w:t>
      </w:r>
      <w:r w:rsidRPr="0072600F">
        <w:rPr>
          <w:sz w:val="26"/>
          <w:szCs w:val="26"/>
        </w:rPr>
        <w:t>Longroad</w:t>
      </w:r>
      <w:r w:rsidRPr="0072600F">
        <w:rPr>
          <w:sz w:val="26"/>
          <w:szCs w:val="26"/>
        </w:rPr>
        <w:t xml:space="preserve"> Energy’s request for rehearing to require all transmission providers to use minimum impact thresholds.  We reiterate the Commission’s finding in Order No. 2023 that it is appropriate for transmission providers to propose such details in their Order No. 2023 compliance filings to ensure that the method used by each transmission provider reflects the characteristics of its region.</w:t>
      </w:r>
      <w:r>
        <w:rPr>
          <w:rStyle w:val="FootnoteReference"/>
        </w:rPr>
        <w:footnoteReference w:id="288"/>
      </w:r>
      <w:r w:rsidRPr="0072600F">
        <w:rPr>
          <w:sz w:val="26"/>
          <w:szCs w:val="26"/>
        </w:rPr>
        <w:t xml:space="preserve">  For example, different regions may identify different types of network upgrades or have preferred analyses for identifying specific network upgrade types.</w:t>
      </w:r>
      <w:r w:rsidRPr="0072600F">
        <w:rPr>
          <w:sz w:val="26"/>
          <w:szCs w:val="26"/>
        </w:rPr>
        <w:t xml:space="preserve">  </w:t>
      </w:r>
      <w:r w:rsidRPr="0072600F">
        <w:rPr>
          <w:sz w:val="26"/>
          <w:szCs w:val="26"/>
        </w:rPr>
        <w:t xml:space="preserve">We disagree with </w:t>
      </w:r>
      <w:r w:rsidRPr="0072600F">
        <w:rPr>
          <w:sz w:val="26"/>
          <w:szCs w:val="26"/>
        </w:rPr>
        <w:t>Longroad</w:t>
      </w:r>
      <w:r w:rsidRPr="0072600F">
        <w:rPr>
          <w:sz w:val="26"/>
          <w:szCs w:val="26"/>
        </w:rPr>
        <w:t xml:space="preserve"> Energy’s assertion that minimum impact thresholds are necessary to prevent any withdrawal from triggering a withdrawal penalty, as the transmission provider must still assess whether the withdrawal has a material impact on the cost or timing of equal or lower-queued interconnection requests in accordance with section 3.7.1 of the </w:t>
      </w:r>
      <w:r w:rsidRPr="0072600F">
        <w:rPr>
          <w:i/>
          <w:iCs/>
          <w:sz w:val="26"/>
          <w:szCs w:val="26"/>
        </w:rPr>
        <w:t>pro forma</w:t>
      </w:r>
      <w:r w:rsidRPr="0072600F">
        <w:rPr>
          <w:sz w:val="26"/>
          <w:szCs w:val="26"/>
        </w:rPr>
        <w:t xml:space="preserve"> LGIP.</w:t>
      </w:r>
      <w:r w:rsidRPr="0072600F">
        <w:rPr>
          <w:sz w:val="26"/>
          <w:szCs w:val="26"/>
        </w:rPr>
        <w:t xml:space="preserve">  </w:t>
      </w:r>
      <w:r w:rsidRPr="0072600F">
        <w:rPr>
          <w:sz w:val="26"/>
          <w:szCs w:val="26"/>
        </w:rPr>
        <w:t xml:space="preserve">In response to </w:t>
      </w:r>
      <w:r w:rsidRPr="0072600F">
        <w:rPr>
          <w:sz w:val="26"/>
          <w:szCs w:val="26"/>
        </w:rPr>
        <w:t>Longroad</w:t>
      </w:r>
      <w:r w:rsidRPr="0072600F">
        <w:rPr>
          <w:sz w:val="26"/>
          <w:szCs w:val="26"/>
        </w:rPr>
        <w:t xml:space="preserve"> Energy’s</w:t>
      </w:r>
      <w:r w:rsidRPr="0072600F">
        <w:rPr>
          <w:sz w:val="26"/>
          <w:szCs w:val="26"/>
        </w:rPr>
        <w:t xml:space="preserve"> </w:t>
      </w:r>
      <w:r w:rsidRPr="0072600F">
        <w:rPr>
          <w:sz w:val="26"/>
          <w:szCs w:val="26"/>
        </w:rPr>
        <w:t>request for clarification, we clarify that Order No. 2023 does not preclude transmission providers from proposing a minimum impact threshold.</w:t>
      </w:r>
    </w:p>
    <w:p w:rsidR="00760048" w:rsidRPr="0072600F" w14:paraId="385426A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Clean Energy Associations’ request for clarification regarding substation network upgrade cost allocation, we clarify that the cost allocation is based on the number of interconnection facilities connecting to the substation located at the point of interconnection.  Accordingly, to allocate such costs per capita to each generating facility in accordance with section 4.2.1.1.a of the </w:t>
      </w:r>
      <w:r w:rsidRPr="0072600F">
        <w:rPr>
          <w:i/>
          <w:iCs/>
          <w:sz w:val="26"/>
          <w:szCs w:val="26"/>
        </w:rPr>
        <w:t>pro forma</w:t>
      </w:r>
      <w:r w:rsidRPr="0072600F">
        <w:rPr>
          <w:sz w:val="26"/>
          <w:szCs w:val="26"/>
        </w:rPr>
        <w:t xml:space="preserve"> LGIP, the transmission provider must first allocate the costs of substation network upgrades on a per capita basis for each interconnection facility connecting to the substation, and then allocate those costs on a per capita basis between each generating facility using the interconnection facility.</w:t>
      </w:r>
    </w:p>
    <w:p w:rsidR="00760048" w:rsidRPr="0072600F" w14:paraId="0F5B9CE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grant Clean Energy Associations’ request for clarification that substation network upgrades are at distinct voltage levels.  Accordingly, we modify section 4.2.1.1.a of the </w:t>
      </w:r>
      <w:r w:rsidRPr="0072600F">
        <w:rPr>
          <w:i/>
          <w:iCs/>
          <w:sz w:val="26"/>
          <w:szCs w:val="26"/>
        </w:rPr>
        <w:t>pro forma</w:t>
      </w:r>
      <w:r w:rsidRPr="0072600F">
        <w:rPr>
          <w:sz w:val="26"/>
          <w:szCs w:val="26"/>
        </w:rPr>
        <w:t xml:space="preserve"> LGIP as follows</w:t>
      </w:r>
      <w:r w:rsidR="00F127D8">
        <w:rPr>
          <w:sz w:val="26"/>
          <w:szCs w:val="26"/>
        </w:rPr>
        <w:t>, with brackets indicating deletions and italics indicating additions</w:t>
      </w:r>
      <w:r w:rsidRPr="0072600F">
        <w:rPr>
          <w:sz w:val="26"/>
          <w:szCs w:val="26"/>
        </w:rPr>
        <w:t>:</w:t>
      </w:r>
    </w:p>
    <w:p w:rsidR="00760048" w:rsidRPr="0072600F" w:rsidP="00071614" w14:paraId="489F014A" w14:textId="77777777">
      <w:pPr>
        <w:spacing w:after="240"/>
        <w:ind w:left="1440" w:right="1440"/>
        <w:jc w:val="both"/>
        <w:rPr>
          <w:rFonts w:ascii="Times New Roman" w:hAnsi="Times New Roman" w:cs="Times New Roman"/>
          <w:sz w:val="26"/>
          <w:szCs w:val="26"/>
        </w:rPr>
      </w:pPr>
      <w:r w:rsidRPr="0072600F">
        <w:rPr>
          <w:rFonts w:ascii="Times New Roman" w:hAnsi="Times New Roman" w:cs="Times New Roman"/>
          <w:sz w:val="26"/>
          <w:szCs w:val="26"/>
        </w:rPr>
        <w:t xml:space="preserve">Substation Network Upgrades, including all switching stations, shall be allocated </w:t>
      </w:r>
      <w:r w:rsidRPr="0072600F">
        <w:rPr>
          <w:rFonts w:ascii="Times New Roman" w:hAnsi="Times New Roman" w:cs="Times New Roman"/>
          <w:i/>
          <w:iCs/>
          <w:sz w:val="26"/>
          <w:szCs w:val="26"/>
        </w:rPr>
        <w:t>first</w:t>
      </w:r>
      <w:r w:rsidRPr="0072600F">
        <w:rPr>
          <w:rFonts w:ascii="Times New Roman" w:hAnsi="Times New Roman" w:cs="Times New Roman"/>
          <w:sz w:val="26"/>
          <w:szCs w:val="26"/>
        </w:rPr>
        <w:t xml:space="preserve"> </w:t>
      </w:r>
      <w:r w:rsidRPr="00C236B7" w:rsidR="00C236B7">
        <w:rPr>
          <w:rFonts w:ascii="Times New Roman" w:hAnsi="Times New Roman" w:cs="Times New Roman"/>
          <w:i/>
          <w:sz w:val="26"/>
          <w:szCs w:val="26"/>
        </w:rPr>
        <w:t xml:space="preserve"> </w:t>
      </w:r>
      <w:r w:rsidRPr="00434A32" w:rsidR="00C236B7">
        <w:rPr>
          <w:rFonts w:ascii="Times New Roman" w:hAnsi="Times New Roman" w:cs="Times New Roman"/>
          <w:i/>
          <w:sz w:val="26"/>
          <w:szCs w:val="26"/>
        </w:rPr>
        <w:t>to</w:t>
      </w:r>
      <w:r w:rsidRPr="0072600F" w:rsidR="00C236B7">
        <w:rPr>
          <w:rFonts w:ascii="Times New Roman" w:hAnsi="Times New Roman" w:cs="Times New Roman"/>
          <w:sz w:val="26"/>
          <w:szCs w:val="26"/>
        </w:rPr>
        <w:t xml:space="preserve"> </w:t>
      </w:r>
      <w:r w:rsidRPr="0072600F" w:rsidR="00C236B7">
        <w:rPr>
          <w:rFonts w:ascii="Times New Roman" w:hAnsi="Times New Roman" w:cs="Times New Roman"/>
          <w:i/>
          <w:iCs/>
          <w:sz w:val="26"/>
          <w:szCs w:val="26"/>
        </w:rPr>
        <w:t>Interconnection Facilit</w:t>
      </w:r>
      <w:r w:rsidR="00C236B7">
        <w:rPr>
          <w:rFonts w:ascii="Times New Roman" w:hAnsi="Times New Roman" w:cs="Times New Roman"/>
          <w:i/>
          <w:iCs/>
          <w:sz w:val="26"/>
          <w:szCs w:val="26"/>
        </w:rPr>
        <w:t>ies</w:t>
      </w:r>
      <w:r w:rsidRPr="0072600F" w:rsidR="00C236B7">
        <w:rPr>
          <w:rFonts w:ascii="Times New Roman" w:hAnsi="Times New Roman" w:cs="Times New Roman"/>
          <w:i/>
          <w:iCs/>
          <w:sz w:val="26"/>
          <w:szCs w:val="26"/>
        </w:rPr>
        <w:t xml:space="preserve"> </w:t>
      </w:r>
      <w:r w:rsidR="00C236B7">
        <w:rPr>
          <w:rFonts w:ascii="Times New Roman" w:hAnsi="Times New Roman" w:cs="Times New Roman"/>
          <w:i/>
          <w:iCs/>
          <w:sz w:val="26"/>
          <w:szCs w:val="26"/>
        </w:rPr>
        <w:t>interconnecting to the substation at the same voltage level</w:t>
      </w:r>
      <w:r w:rsidR="007C0027">
        <w:rPr>
          <w:rFonts w:ascii="Times New Roman" w:hAnsi="Times New Roman" w:cs="Times New Roman"/>
          <w:i/>
          <w:iCs/>
          <w:sz w:val="26"/>
          <w:szCs w:val="26"/>
        </w:rPr>
        <w:t xml:space="preserve">, </w:t>
      </w:r>
      <w:r w:rsidRPr="0072600F">
        <w:rPr>
          <w:rFonts w:ascii="Times New Roman" w:hAnsi="Times New Roman" w:cs="Times New Roman"/>
          <w:i/>
          <w:iCs/>
          <w:sz w:val="26"/>
          <w:szCs w:val="26"/>
        </w:rPr>
        <w:t xml:space="preserve">and then per capita </w:t>
      </w:r>
      <w:r w:rsidRPr="0072600F">
        <w:rPr>
          <w:rFonts w:ascii="Times New Roman" w:hAnsi="Times New Roman" w:cs="Times New Roman"/>
          <w:sz w:val="26"/>
          <w:szCs w:val="26"/>
        </w:rPr>
        <w:t xml:space="preserve">to each Generating Facility </w:t>
      </w:r>
      <w:r w:rsidR="00DF0107">
        <w:rPr>
          <w:rFonts w:ascii="Times New Roman" w:hAnsi="Times New Roman" w:cs="Times New Roman"/>
          <w:i/>
          <w:iCs/>
          <w:sz w:val="26"/>
          <w:szCs w:val="26"/>
        </w:rPr>
        <w:t>sharing</w:t>
      </w:r>
      <w:r w:rsidRPr="00434A32" w:rsidR="005A4925">
        <w:rPr>
          <w:rFonts w:ascii="Times New Roman" w:hAnsi="Times New Roman" w:cs="Times New Roman"/>
          <w:i/>
          <w:sz w:val="26"/>
          <w:szCs w:val="26"/>
        </w:rPr>
        <w:t xml:space="preserve"> the Inter</w:t>
      </w:r>
      <w:r w:rsidRPr="00434A32" w:rsidR="00530929">
        <w:rPr>
          <w:rFonts w:ascii="Times New Roman" w:hAnsi="Times New Roman" w:cs="Times New Roman"/>
          <w:i/>
          <w:sz w:val="26"/>
          <w:szCs w:val="26"/>
        </w:rPr>
        <w:t>connection Facility</w:t>
      </w:r>
      <w:r w:rsidRPr="0072600F" w:rsidR="00D32FBE">
        <w:rPr>
          <w:rFonts w:ascii="Times New Roman" w:hAnsi="Times New Roman" w:cs="Times New Roman"/>
          <w:sz w:val="26"/>
          <w:szCs w:val="26"/>
        </w:rPr>
        <w:t xml:space="preserve"> </w:t>
      </w:r>
      <w:r w:rsidR="004C38E1">
        <w:rPr>
          <w:rFonts w:ascii="Times New Roman" w:hAnsi="Times New Roman" w:cs="Times New Roman"/>
          <w:sz w:val="26"/>
          <w:szCs w:val="26"/>
        </w:rPr>
        <w:t>[</w:t>
      </w:r>
      <w:r w:rsidRPr="0072600F">
        <w:rPr>
          <w:rFonts w:ascii="Times New Roman" w:hAnsi="Times New Roman" w:cs="Times New Roman"/>
          <w:sz w:val="26"/>
          <w:szCs w:val="26"/>
        </w:rPr>
        <w:t>interconnecting</w:t>
      </w:r>
      <w:r w:rsidR="00AF4078">
        <w:rPr>
          <w:rFonts w:ascii="Times New Roman" w:hAnsi="Times New Roman" w:cs="Times New Roman"/>
          <w:sz w:val="26"/>
          <w:szCs w:val="26"/>
        </w:rPr>
        <w:t xml:space="preserve"> </w:t>
      </w:r>
      <w:r w:rsidRPr="0072600F">
        <w:rPr>
          <w:rFonts w:ascii="Times New Roman" w:hAnsi="Times New Roman" w:cs="Times New Roman"/>
          <w:sz w:val="26"/>
          <w:szCs w:val="26"/>
        </w:rPr>
        <w:t>at the same substation</w:t>
      </w:r>
      <w:r w:rsidR="004C38E1">
        <w:rPr>
          <w:rFonts w:ascii="Times New Roman" w:hAnsi="Times New Roman" w:cs="Times New Roman"/>
          <w:sz w:val="26"/>
          <w:szCs w:val="26"/>
        </w:rPr>
        <w:t>]</w:t>
      </w:r>
      <w:r w:rsidRPr="0072600F">
        <w:rPr>
          <w:rFonts w:ascii="Times New Roman" w:hAnsi="Times New Roman" w:cs="Times New Roman"/>
          <w:sz w:val="26"/>
          <w:szCs w:val="26"/>
        </w:rPr>
        <w:t>.</w:t>
      </w:r>
    </w:p>
    <w:p w:rsidR="00760048" w:rsidRPr="00FE47B2" w14:paraId="170156A4"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40" w:name="_bmk15"/>
      <w:r w:rsidRPr="00FE47B2">
        <w:rPr>
          <w:b/>
          <w:bCs/>
          <w:sz w:val="26"/>
          <w:u w:val="single"/>
        </w:rPr>
        <w:t>S</w:t>
      </w:r>
      <w:bookmarkEnd w:id="40"/>
      <w:r w:rsidRPr="00FE47B2">
        <w:rPr>
          <w:b/>
          <w:bCs/>
          <w:sz w:val="26"/>
          <w:u w:val="single"/>
        </w:rPr>
        <w:t>hared Network Upgrades</w:t>
      </w:r>
    </w:p>
    <w:p w:rsidR="00760048" w:rsidRPr="00FE47B2" w14:paraId="2965947E"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Order No. 2023 Requirements</w:t>
      </w:r>
    </w:p>
    <w:p w:rsidR="00760048" w:rsidRPr="0072600F" w14:paraId="38FE611E" w14:textId="77777777">
      <w:pPr>
        <w:pStyle w:val="FERCparanumber"/>
        <w:widowControl/>
        <w:numPr>
          <w:ilvl w:val="0"/>
          <w:numId w:val="25"/>
        </w:numPr>
        <w:autoSpaceDE/>
        <w:autoSpaceDN/>
        <w:adjustRightInd/>
        <w:spacing w:line="480" w:lineRule="auto"/>
        <w:rPr>
          <w:sz w:val="26"/>
          <w:szCs w:val="26"/>
        </w:rPr>
      </w:pPr>
      <w:r w:rsidRPr="0072600F">
        <w:rPr>
          <w:sz w:val="26"/>
          <w:szCs w:val="26"/>
        </w:rPr>
        <w:t>In Order No. 2023, the Commission declined to adopt the NOPR proposal to implement cost sharing of network upgrades between interconnection customers in an earlier cluster and interconnection customers in a subsequent cluster.</w:t>
      </w:r>
      <w:r>
        <w:rPr>
          <w:rStyle w:val="FootnoteReference"/>
        </w:rPr>
        <w:footnoteReference w:id="289"/>
      </w:r>
      <w:r w:rsidRPr="0072600F">
        <w:rPr>
          <w:sz w:val="26"/>
          <w:szCs w:val="26"/>
        </w:rPr>
        <w:t xml:space="preserve">  The Commission stated that it declined to adopt the NOPR proposal because of its potentially significant administrative burden and because Order No. 2023’s cluster network upgrade cost allocation reform would address the “first mover/free rider” issue that motivated the NOPR proposal.</w:t>
      </w:r>
      <w:r w:rsidRPr="0072600F">
        <w:rPr>
          <w:rStyle w:val="FootnoteReference"/>
        </w:rPr>
        <w:t xml:space="preserve"> </w:t>
      </w:r>
    </w:p>
    <w:p w:rsidR="00760048" w:rsidRPr="00FE47B2" w14:paraId="11E09059"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Requests for Rehearing and Clarification</w:t>
      </w:r>
    </w:p>
    <w:p w:rsidR="00760048" w:rsidRPr="0072600F" w14:paraId="6F0E4EA4" w14:textId="77777777">
      <w:pPr>
        <w:pStyle w:val="FERCparanumber"/>
        <w:widowControl/>
        <w:numPr>
          <w:ilvl w:val="0"/>
          <w:numId w:val="25"/>
        </w:numPr>
        <w:autoSpaceDE/>
        <w:autoSpaceDN/>
        <w:adjustRightInd/>
        <w:spacing w:line="480" w:lineRule="auto"/>
        <w:rPr>
          <w:sz w:val="26"/>
          <w:szCs w:val="26"/>
        </w:rPr>
      </w:pPr>
      <w:r w:rsidRPr="0072600F">
        <w:rPr>
          <w:sz w:val="26"/>
          <w:szCs w:val="26"/>
        </w:rPr>
        <w:t>Shell requests clarification that Order No. 2023 does not prohibit existing mechanisms of inter-cluster cost sharing of network upgrades and that the Commission will not prohibit inter-cluster cost sharing in the future.</w:t>
      </w:r>
      <w:r>
        <w:rPr>
          <w:rStyle w:val="FootnoteReference"/>
        </w:rPr>
        <w:footnoteReference w:id="290"/>
      </w:r>
      <w:r w:rsidRPr="0072600F">
        <w:rPr>
          <w:sz w:val="26"/>
          <w:szCs w:val="26"/>
        </w:rPr>
        <w:t xml:space="preserve">  Shell avers that network upgrade cost sharing between initial and subsequent interconnection customers is common in the industry, for example in the ISO-NE market.</w:t>
      </w:r>
    </w:p>
    <w:p w:rsidR="00760048" w:rsidRPr="00FE47B2" w14:paraId="12EBDF25"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Determination</w:t>
      </w:r>
    </w:p>
    <w:p w:rsidR="00760048" w:rsidRPr="0072600F" w14:paraId="7DDC41C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clarify that Order No. 2023 does not require transmission providers to eliminate, change, or re-justify existing tariff mechanisms regarding cost sharing of network upgrades between earlier-in-time and later-in-time clusters because such provisions are not impacted by the requirements of Order No. 2023.  We reiterate that transmission providers need only seek approval to maintain previously approved variations from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 xml:space="preserve">LGIA if such variations are impacted by the requirements of Order No. 2023.  </w:t>
      </w:r>
    </w:p>
    <w:p w:rsidR="00760048" w:rsidRPr="00FE47B2" w14:paraId="05D3E64E"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41" w:name="_bmk16"/>
      <w:r w:rsidRPr="00FE47B2">
        <w:rPr>
          <w:b/>
          <w:bCs/>
          <w:sz w:val="26"/>
          <w:u w:val="single"/>
        </w:rPr>
        <w:t>I</w:t>
      </w:r>
      <w:bookmarkEnd w:id="41"/>
      <w:r w:rsidRPr="00FE47B2">
        <w:rPr>
          <w:b/>
          <w:bCs/>
          <w:sz w:val="26"/>
          <w:u w:val="single"/>
        </w:rPr>
        <w:t>ncreased Financial Commitments and Readiness Requirements</w:t>
      </w:r>
    </w:p>
    <w:p w:rsidR="00760048" w:rsidRPr="00FE47B2" w14:paraId="2D36F99B"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Financial Security Generally</w:t>
      </w:r>
    </w:p>
    <w:p w:rsidR="00760048" w:rsidRPr="00FE47B2" w14:paraId="31127CC9"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Order No. 2023 Requirements</w:t>
      </w:r>
    </w:p>
    <w:p w:rsidR="00760048" w:rsidRPr="0072600F" w14:paraId="2D49FDD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modified sections 3.4.2(vi), 5.1.1.1, 5.1.1.2, 7.5, and 8.1(3) of the </w:t>
      </w:r>
      <w:r w:rsidRPr="0072600F">
        <w:rPr>
          <w:i/>
          <w:iCs/>
          <w:sz w:val="26"/>
          <w:szCs w:val="26"/>
        </w:rPr>
        <w:t>pro forma</w:t>
      </w:r>
      <w:r w:rsidRPr="0072600F">
        <w:rPr>
          <w:sz w:val="26"/>
          <w:szCs w:val="26"/>
        </w:rPr>
        <w:t xml:space="preserve"> LGIP to require that an interconnection customer pay the commercial readiness deposit and deposits prior to the transitional serial study, transitional cluster study, cluster restudy and the interconnection facilities study via cash or a letter of credit.</w:t>
      </w:r>
      <w:r>
        <w:rPr>
          <w:rStyle w:val="FootnoteReference"/>
        </w:rPr>
        <w:footnoteReference w:id="291"/>
      </w:r>
      <w:r w:rsidRPr="0072600F">
        <w:rPr>
          <w:sz w:val="26"/>
          <w:szCs w:val="26"/>
        </w:rPr>
        <w:t xml:space="preserve">  The Commission also established a </w:t>
      </w:r>
      <w:r w:rsidRPr="0072600F">
        <w:rPr>
          <w:i/>
          <w:iCs/>
          <w:sz w:val="26"/>
          <w:szCs w:val="26"/>
        </w:rPr>
        <w:t xml:space="preserve">pro forma </w:t>
      </w:r>
      <w:r w:rsidRPr="0072600F">
        <w:rPr>
          <w:sz w:val="26"/>
          <w:szCs w:val="26"/>
        </w:rPr>
        <w:t xml:space="preserve">two-party affected system facilities construction agreement in Appendix 11 to the </w:t>
      </w:r>
      <w:r w:rsidRPr="0072600F">
        <w:rPr>
          <w:i/>
          <w:iCs/>
          <w:sz w:val="26"/>
          <w:szCs w:val="26"/>
        </w:rPr>
        <w:t>pro forma</w:t>
      </w:r>
      <w:r w:rsidRPr="0072600F">
        <w:rPr>
          <w:sz w:val="26"/>
          <w:szCs w:val="26"/>
        </w:rPr>
        <w:t xml:space="preserve"> LGIP and a </w:t>
      </w:r>
      <w:r w:rsidRPr="0072600F">
        <w:rPr>
          <w:i/>
          <w:iCs/>
          <w:sz w:val="26"/>
          <w:szCs w:val="26"/>
        </w:rPr>
        <w:t>pro forma</w:t>
      </w:r>
      <w:r w:rsidRPr="0072600F">
        <w:rPr>
          <w:sz w:val="26"/>
          <w:szCs w:val="26"/>
        </w:rPr>
        <w:t xml:space="preserve"> multiparty affected system facilities construction agreement in Appendix 12 to the </w:t>
      </w:r>
      <w:r w:rsidRPr="0072600F">
        <w:rPr>
          <w:i/>
          <w:iCs/>
          <w:sz w:val="26"/>
          <w:szCs w:val="26"/>
        </w:rPr>
        <w:t>pro forma</w:t>
      </w:r>
      <w:r w:rsidRPr="0072600F">
        <w:rPr>
          <w:sz w:val="26"/>
          <w:szCs w:val="26"/>
        </w:rPr>
        <w:t xml:space="preserve"> LGIP.</w:t>
      </w:r>
      <w:r>
        <w:rPr>
          <w:rStyle w:val="FootnoteReference"/>
        </w:rPr>
        <w:footnoteReference w:id="292"/>
      </w:r>
      <w:r w:rsidRPr="0072600F">
        <w:rPr>
          <w:sz w:val="26"/>
          <w:szCs w:val="26"/>
        </w:rPr>
        <w:t xml:space="preserve">  In section 4.1 of Appendix 11 to the </w:t>
      </w:r>
      <w:r w:rsidRPr="0072600F">
        <w:rPr>
          <w:i/>
          <w:iCs/>
          <w:sz w:val="26"/>
          <w:szCs w:val="26"/>
        </w:rPr>
        <w:t>pro forma</w:t>
      </w:r>
      <w:r w:rsidRPr="0072600F">
        <w:rPr>
          <w:sz w:val="26"/>
          <w:szCs w:val="26"/>
        </w:rPr>
        <w:t xml:space="preserve"> LGIP and section 4.1 of Appendix 12 to the </w:t>
      </w:r>
      <w:r w:rsidRPr="0072600F">
        <w:rPr>
          <w:i/>
          <w:iCs/>
          <w:sz w:val="26"/>
          <w:szCs w:val="26"/>
        </w:rPr>
        <w:t>pro forma</w:t>
      </w:r>
      <w:r w:rsidRPr="0072600F">
        <w:rPr>
          <w:sz w:val="26"/>
          <w:szCs w:val="26"/>
        </w:rPr>
        <w:t xml:space="preserve"> LGIP, the Commission required that an affected system interconnection customer provide financial security to the transmission provider in an amount sufficient to cover the costs for constructing, procuring, and installing the applicable portion of affected system network upgrade(s)</w:t>
      </w:r>
      <w:r w:rsidRPr="0072600F">
        <w:rPr>
          <w:i/>
          <w:iCs/>
          <w:sz w:val="26"/>
          <w:szCs w:val="26"/>
        </w:rPr>
        <w:t xml:space="preserve"> </w:t>
      </w:r>
      <w:r w:rsidRPr="0072600F">
        <w:rPr>
          <w:sz w:val="26"/>
          <w:szCs w:val="26"/>
        </w:rPr>
        <w:t>in the form of a guarantee, a surety bond, a letter of credit or other form of security that is reasonably acceptable to transmission provider, at the affected system interconnection customer’s option.</w:t>
      </w:r>
    </w:p>
    <w:p w:rsidR="00760048" w:rsidRPr="00FE47B2" w14:paraId="0A9B09C1"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Requests for Rehearing and Clarification</w:t>
      </w:r>
    </w:p>
    <w:p w:rsidR="00760048" w:rsidRPr="0072600F" w14:paraId="78D1E7E2"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request clarification or, in the alternative, rehearing that acceptable forms of security for the commercial readiness deposit, transitional serial study deposit, and transitional cluster study deposit are not limited to only irrevocable letters of credit and cash.</w:t>
      </w:r>
      <w:r>
        <w:rPr>
          <w:rStyle w:val="FootnoteReference"/>
        </w:rPr>
        <w:footnoteReference w:id="293"/>
      </w:r>
      <w:r w:rsidRPr="0072600F">
        <w:rPr>
          <w:sz w:val="26"/>
          <w:szCs w:val="26"/>
        </w:rPr>
        <w:t xml:space="preserve">  Clean Energy Associations assert that the Commission did not explain the decision to list these forms of security to the exclusion of other forms, such as surety bonds or other forms of security that may be acceptable to the transmission provider, and ignored comments in the record explicitly requesting flexibility for these alternative forms of security to be considered.</w:t>
      </w:r>
    </w:p>
    <w:p w:rsidR="00760048" w:rsidRPr="0072600F" w14:paraId="27B9C0D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Similarly, </w:t>
      </w:r>
      <w:r w:rsidRPr="0072600F">
        <w:rPr>
          <w:sz w:val="26"/>
          <w:szCs w:val="26"/>
        </w:rPr>
        <w:t>Longroad</w:t>
      </w:r>
      <w:r w:rsidRPr="0072600F">
        <w:rPr>
          <w:sz w:val="26"/>
          <w:szCs w:val="26"/>
        </w:rPr>
        <w:t xml:space="preserve"> Energy requests rehearing to allow generator interconnection customers to pay deposits or provide security in the form of cash, irrevocable letter of credit, surety bond, or other reasonably acceptable form of financial security, at the generator interconnection customer’s discretion.</w:t>
      </w:r>
      <w:r>
        <w:rPr>
          <w:rStyle w:val="FootnoteReference"/>
        </w:rPr>
        <w:footnoteReference w:id="294"/>
      </w:r>
      <w:r w:rsidRPr="0072600F">
        <w:rPr>
          <w:sz w:val="26"/>
          <w:szCs w:val="26"/>
        </w:rPr>
        <w:t xml:space="preserve">  Additionally, if the interconnection customer submits its required deposit or security in the form of a letter of credit or surety bond, and ultimately some or all of the security is drawn by the transmission provider, </w:t>
      </w:r>
      <w:r w:rsidRPr="0072600F">
        <w:rPr>
          <w:sz w:val="26"/>
          <w:szCs w:val="26"/>
        </w:rPr>
        <w:t>Longroad</w:t>
      </w:r>
      <w:r w:rsidRPr="0072600F">
        <w:rPr>
          <w:sz w:val="26"/>
          <w:szCs w:val="26"/>
        </w:rPr>
        <w:t xml:space="preserve"> Energy argues that the interconnection customer should be given the option to pay the amount due in cash rather than drawing on the letter of credit or bond.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argues that limiting the acceptable forms of financial assurance to only irrevocable letters of credit and cash is arbitrary and capricious and an unexplained departure from Commission precedent in Order No. 2003.</w:t>
      </w:r>
      <w:r>
        <w:rPr>
          <w:rStyle w:val="FootnoteReference"/>
        </w:rPr>
        <w:footnoteReference w:id="295"/>
      </w:r>
      <w:r w:rsidRPr="0072600F">
        <w:rPr>
          <w:sz w:val="26"/>
          <w:szCs w:val="26"/>
        </w:rPr>
        <w:t xml:space="preserve">  In addition to the deposits mentioned by Clean Energy Associations, </w:t>
      </w:r>
      <w:r w:rsidRPr="0072600F">
        <w:rPr>
          <w:sz w:val="26"/>
          <w:szCs w:val="26"/>
        </w:rPr>
        <w:t>Longroad</w:t>
      </w:r>
      <w:r w:rsidRPr="0072600F">
        <w:rPr>
          <w:sz w:val="26"/>
          <w:szCs w:val="26"/>
        </w:rPr>
        <w:t xml:space="preserve"> Energy requests rehearing regarding the acceptable form of security for the deposits prior to the cluster restudy and the interconnection facilities study.</w:t>
      </w:r>
      <w:r>
        <w:rPr>
          <w:rStyle w:val="FootnoteReference"/>
        </w:rPr>
        <w:footnoteReference w:id="296"/>
      </w:r>
      <w:r w:rsidRPr="0072600F">
        <w:rPr>
          <w:sz w:val="26"/>
          <w:szCs w:val="26"/>
        </w:rPr>
        <w:t xml:space="preserve">  </w:t>
      </w:r>
      <w:r w:rsidRPr="0072600F">
        <w:rPr>
          <w:sz w:val="26"/>
          <w:szCs w:val="26"/>
        </w:rPr>
        <w:t>Longroad</w:t>
      </w:r>
      <w:r w:rsidRPr="0072600F">
        <w:rPr>
          <w:sz w:val="26"/>
          <w:szCs w:val="26"/>
        </w:rPr>
        <w:t xml:space="preserve"> Energy notes that Order No. 2023 explicitly allows surety bonds or other forms of reasonably acceptable financial security for affected system network upgrade deposits but </w:t>
      </w:r>
      <w:r w:rsidRPr="0072600F">
        <w:rPr>
          <w:sz w:val="26"/>
          <w:szCs w:val="26"/>
        </w:rPr>
        <w:t>not</w:t>
      </w:r>
      <w:r w:rsidRPr="0072600F">
        <w:rPr>
          <w:sz w:val="26"/>
          <w:szCs w:val="26"/>
        </w:rPr>
        <w:t xml:space="preserve"> other deposits, which is unduly discriminatory.</w:t>
      </w:r>
      <w:r>
        <w:rPr>
          <w:rStyle w:val="FootnoteReference"/>
        </w:rPr>
        <w:footnoteReference w:id="297"/>
      </w:r>
    </w:p>
    <w:p w:rsidR="00760048" w:rsidRPr="00FE47B2" w14:paraId="1C27B5C6"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Determination</w:t>
      </w:r>
    </w:p>
    <w:p w:rsidR="00760048" w:rsidRPr="0072600F" w14:paraId="3A75333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persuaded by Clean Energy Associations and </w:t>
      </w:r>
      <w:r w:rsidRPr="0072600F">
        <w:rPr>
          <w:sz w:val="26"/>
          <w:szCs w:val="26"/>
        </w:rPr>
        <w:t>Longroad</w:t>
      </w:r>
      <w:r w:rsidRPr="0072600F">
        <w:rPr>
          <w:sz w:val="26"/>
          <w:szCs w:val="26"/>
        </w:rPr>
        <w:t xml:space="preserve"> Energy’s arguments on rehearing.  We believe that allowing surety bonds or other forms of financial security that are reasonably acceptable to the transmission provider for the commercial readiness deposit and all study deposits </w:t>
      </w:r>
      <w:r w:rsidRPr="0072600F">
        <w:rPr>
          <w:bCs/>
          <w:sz w:val="26"/>
          <w:szCs w:val="26"/>
        </w:rPr>
        <w:t>will help ensure that interconnection customers do not face unjust and unreasonable or unduly discriminatory hurdles to the interconnection of new generation through limitations on the acceptable forms of financial security.</w:t>
      </w:r>
      <w:r w:rsidRPr="0072600F">
        <w:rPr>
          <w:sz w:val="26"/>
          <w:szCs w:val="26"/>
        </w:rPr>
        <w:t xml:space="preserve">  We find that acceptable forms of security for the commercial readiness deposit and deposits prior to the transitional serial study, transitional cluster study, cluster restudy and the interconnection facilities study should include not only cash or an irrevocable letter of credit, but also surety bonds or other forms of financial security that are reasonably acceptable to the transmission provider.  Accordingly, we modify sections 3.4.2, 5.1.1.1, 5.1.1.2, 7.5, and 8.1 of the </w:t>
      </w:r>
      <w:r w:rsidRPr="0072600F">
        <w:rPr>
          <w:i/>
          <w:iCs/>
          <w:sz w:val="26"/>
          <w:szCs w:val="26"/>
        </w:rPr>
        <w:t>pro forma</w:t>
      </w:r>
      <w:r w:rsidRPr="0072600F">
        <w:rPr>
          <w:sz w:val="26"/>
          <w:szCs w:val="26"/>
        </w:rPr>
        <w:t xml:space="preserve"> LGIP to reflect this finding.</w:t>
      </w:r>
    </w:p>
    <w:p w:rsidR="00760048" w:rsidRPr="0072600F" w14:paraId="3D3A86F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However, we are not persuaded by </w:t>
      </w:r>
      <w:r w:rsidRPr="0072600F">
        <w:rPr>
          <w:sz w:val="26"/>
          <w:szCs w:val="26"/>
        </w:rPr>
        <w:t>Longroad</w:t>
      </w:r>
      <w:r w:rsidRPr="0072600F">
        <w:rPr>
          <w:sz w:val="26"/>
          <w:szCs w:val="26"/>
        </w:rPr>
        <w:t xml:space="preserve"> Energy’s request that, if the interconnection customer submits its required deposit or security in the form of a letter of credit or surety bond, the interconnection customer should be given the option to pay any amount drawn by the transmission provider in cash rather than drawing on the letter of credit or surety bond.  </w:t>
      </w:r>
      <w:r w:rsidRPr="0072600F">
        <w:rPr>
          <w:sz w:val="26"/>
          <w:szCs w:val="26"/>
        </w:rPr>
        <w:t>Longroad</w:t>
      </w:r>
      <w:r w:rsidRPr="0072600F">
        <w:rPr>
          <w:sz w:val="26"/>
          <w:szCs w:val="26"/>
        </w:rPr>
        <w:t xml:space="preserve"> Energy</w:t>
      </w:r>
      <w:r w:rsidRPr="0072600F">
        <w:rPr>
          <w:sz w:val="26"/>
          <w:szCs w:val="26"/>
        </w:rPr>
        <w:t xml:space="preserve"> </w:t>
      </w:r>
      <w:r w:rsidRPr="0072600F">
        <w:rPr>
          <w:sz w:val="26"/>
          <w:szCs w:val="26"/>
        </w:rPr>
        <w:t>did not provide sufficient reasoning or evidence as to why this clarification is necessary to ensure just and reasonable and not unduly discriminatory or preferential rates.  However, we clarify that we do not preclude transmission providers from allowing interconnection customers to pay cash in lieu of drawing on a previously submitted letter of credit or surety bond.</w:t>
      </w:r>
    </w:p>
    <w:p w:rsidR="00760048" w:rsidRPr="00FE47B2" w14:paraId="09599917"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Increased Study Deposits</w:t>
      </w:r>
    </w:p>
    <w:p w:rsidR="00760048" w:rsidRPr="00FE47B2" w14:paraId="4D52C086"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Order No. 2023 Requirements</w:t>
      </w:r>
    </w:p>
    <w:p w:rsidR="00760048" w:rsidRPr="0072600F" w14:paraId="7AB0C53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adopted the following study deposit framework in section 3.1.1.1 (Study Deposit) of the </w:t>
      </w:r>
      <w:r w:rsidRPr="0072600F">
        <w:rPr>
          <w:i/>
          <w:sz w:val="26"/>
          <w:szCs w:val="26"/>
        </w:rPr>
        <w:t>pro forma</w:t>
      </w:r>
      <w:r w:rsidRPr="0072600F">
        <w:rPr>
          <w:sz w:val="26"/>
          <w:szCs w:val="26"/>
        </w:rPr>
        <w:t xml:space="preserve"> LGIP:</w:t>
      </w:r>
      <w:r>
        <w:rPr>
          <w:rStyle w:val="FootnoteReference"/>
        </w:rPr>
        <w:footnoteReference w:id="298"/>
      </w:r>
    </w:p>
    <w:tbl>
      <w:tblPr>
        <w:tblW w:w="6475" w:type="dxa"/>
        <w:jc w:val="center"/>
        <w:tblLook w:val="04A0"/>
      </w:tblPr>
      <w:tblGrid>
        <w:gridCol w:w="3685"/>
        <w:gridCol w:w="2790"/>
      </w:tblGrid>
      <w:tr w14:paraId="3EED5982" w14:textId="77777777" w:rsidTr="00071614">
        <w:tblPrEx>
          <w:tblW w:w="6475" w:type="dxa"/>
          <w:jc w:val="center"/>
          <w:tblLook w:val="04A0"/>
        </w:tblPrEx>
        <w:trPr>
          <w:trHeight w:val="990"/>
          <w:tblHeader/>
          <w:jc w:val="center"/>
        </w:trPr>
        <w:tc>
          <w:tcPr>
            <w:tcW w:w="36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60048" w:rsidRPr="0072600F" w:rsidP="00071614" w14:paraId="6A8AEECD" w14:textId="77777777">
            <w:pPr>
              <w:jc w:val="center"/>
              <w:rPr>
                <w:rFonts w:ascii="Times New Roman" w:hAnsi="Times New Roman" w:cs="Times New Roman"/>
                <w:sz w:val="26"/>
                <w:szCs w:val="26"/>
              </w:rPr>
            </w:pPr>
            <w:bookmarkStart w:id="42" w:name="_Hlk156995151"/>
            <w:r w:rsidRPr="0072600F">
              <w:rPr>
                <w:rFonts w:ascii="Times New Roman" w:hAnsi="Times New Roman" w:cs="Times New Roman"/>
                <w:sz w:val="26"/>
                <w:szCs w:val="26"/>
              </w:rPr>
              <w:t>Size of Proposed Generating Facility Associated with Interconnection Request</w:t>
            </w:r>
          </w:p>
        </w:tc>
        <w:tc>
          <w:tcPr>
            <w:tcW w:w="2790" w:type="dxa"/>
            <w:tcBorders>
              <w:top w:val="single" w:sz="4" w:space="0" w:color="auto"/>
              <w:left w:val="nil"/>
              <w:bottom w:val="single" w:sz="4" w:space="0" w:color="auto"/>
              <w:right w:val="single" w:sz="4" w:space="0" w:color="auto"/>
            </w:tcBorders>
            <w:shd w:val="clear" w:color="000000" w:fill="E2EFDA"/>
            <w:vAlign w:val="center"/>
            <w:hideMark/>
          </w:tcPr>
          <w:p w:rsidR="00760048" w:rsidRPr="0072600F" w:rsidP="00071614" w14:paraId="6EF8193E" w14:textId="77777777">
            <w:pPr>
              <w:jc w:val="center"/>
              <w:rPr>
                <w:rFonts w:ascii="Times New Roman" w:hAnsi="Times New Roman" w:cs="Times New Roman"/>
                <w:sz w:val="26"/>
                <w:szCs w:val="26"/>
              </w:rPr>
            </w:pPr>
            <w:r w:rsidRPr="0072600F">
              <w:rPr>
                <w:rFonts w:ascii="Times New Roman" w:hAnsi="Times New Roman" w:cs="Times New Roman"/>
                <w:sz w:val="26"/>
                <w:szCs w:val="26"/>
              </w:rPr>
              <w:t>Amount of Deposit</w:t>
            </w:r>
          </w:p>
        </w:tc>
      </w:tr>
      <w:tr w14:paraId="10296968" w14:textId="77777777" w:rsidTr="00071614">
        <w:tblPrEx>
          <w:tblW w:w="6475" w:type="dxa"/>
          <w:jc w:val="cente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760048" w:rsidRPr="0072600F" w:rsidP="00071614" w14:paraId="328F9EFA" w14:textId="77777777">
            <w:pPr>
              <w:rPr>
                <w:rFonts w:ascii="Times New Roman" w:hAnsi="Times New Roman" w:cs="Times New Roman"/>
                <w:sz w:val="26"/>
                <w:szCs w:val="26"/>
              </w:rPr>
            </w:pPr>
            <w:r w:rsidRPr="0072600F">
              <w:rPr>
                <w:rFonts w:ascii="Times New Roman" w:hAnsi="Times New Roman" w:cs="Times New Roman"/>
                <w:sz w:val="26"/>
                <w:szCs w:val="26"/>
              </w:rPr>
              <w:t>&gt; 20 MW &lt; 80 MW</w:t>
            </w:r>
          </w:p>
        </w:tc>
        <w:tc>
          <w:tcPr>
            <w:tcW w:w="2790" w:type="dxa"/>
            <w:tcBorders>
              <w:top w:val="nil"/>
              <w:left w:val="nil"/>
              <w:bottom w:val="single" w:sz="4" w:space="0" w:color="auto"/>
              <w:right w:val="single" w:sz="4" w:space="0" w:color="auto"/>
            </w:tcBorders>
            <w:shd w:val="clear" w:color="auto" w:fill="auto"/>
            <w:noWrap/>
            <w:vAlign w:val="bottom"/>
            <w:hideMark/>
          </w:tcPr>
          <w:p w:rsidR="00760048" w:rsidRPr="0072600F" w:rsidP="00071614" w14:paraId="4AD2B2FD" w14:textId="77777777">
            <w:pPr>
              <w:rPr>
                <w:rFonts w:ascii="Times New Roman" w:hAnsi="Times New Roman" w:cs="Times New Roman"/>
                <w:sz w:val="26"/>
                <w:szCs w:val="26"/>
              </w:rPr>
            </w:pPr>
            <w:r w:rsidRPr="0072600F">
              <w:rPr>
                <w:rFonts w:ascii="Times New Roman" w:hAnsi="Times New Roman" w:cs="Times New Roman"/>
                <w:sz w:val="26"/>
                <w:szCs w:val="26"/>
              </w:rPr>
              <w:t>$35,000 + $1,000/MW</w:t>
            </w:r>
          </w:p>
        </w:tc>
      </w:tr>
      <w:tr w14:paraId="3AB03497" w14:textId="77777777" w:rsidTr="00071614">
        <w:tblPrEx>
          <w:tblW w:w="6475" w:type="dxa"/>
          <w:jc w:val="cente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760048" w:rsidRPr="0072600F" w:rsidP="00071614" w14:paraId="1FBD77ED" w14:textId="77777777">
            <w:pPr>
              <w:rPr>
                <w:rFonts w:ascii="Times New Roman" w:hAnsi="Times New Roman" w:cs="Times New Roman"/>
                <w:sz w:val="26"/>
                <w:szCs w:val="26"/>
              </w:rPr>
            </w:pPr>
            <w:r w:rsidRPr="0072600F">
              <w:rPr>
                <w:rFonts w:ascii="Times New Roman" w:hAnsi="Times New Roman" w:cs="Times New Roman"/>
                <w:sz w:val="26"/>
                <w:szCs w:val="26"/>
                <w:u w:val="single"/>
              </w:rPr>
              <w:t>&gt;</w:t>
            </w:r>
            <w:r w:rsidRPr="0072600F">
              <w:rPr>
                <w:rFonts w:ascii="Times New Roman" w:hAnsi="Times New Roman" w:cs="Times New Roman"/>
                <w:sz w:val="26"/>
                <w:szCs w:val="26"/>
              </w:rPr>
              <w:t xml:space="preserve"> 80 MW &lt; 200 MW</w:t>
            </w:r>
          </w:p>
        </w:tc>
        <w:tc>
          <w:tcPr>
            <w:tcW w:w="2790" w:type="dxa"/>
            <w:tcBorders>
              <w:top w:val="nil"/>
              <w:left w:val="nil"/>
              <w:bottom w:val="single" w:sz="4" w:space="0" w:color="auto"/>
              <w:right w:val="single" w:sz="4" w:space="0" w:color="auto"/>
            </w:tcBorders>
            <w:shd w:val="clear" w:color="auto" w:fill="auto"/>
            <w:noWrap/>
            <w:vAlign w:val="bottom"/>
            <w:hideMark/>
          </w:tcPr>
          <w:p w:rsidR="00760048" w:rsidRPr="0072600F" w:rsidP="00071614" w14:paraId="42AE7AF7" w14:textId="77777777">
            <w:pPr>
              <w:rPr>
                <w:rFonts w:ascii="Times New Roman" w:hAnsi="Times New Roman" w:cs="Times New Roman"/>
                <w:sz w:val="26"/>
                <w:szCs w:val="26"/>
              </w:rPr>
            </w:pPr>
            <w:r w:rsidRPr="0072600F">
              <w:rPr>
                <w:rFonts w:ascii="Times New Roman" w:hAnsi="Times New Roman" w:cs="Times New Roman"/>
                <w:sz w:val="26"/>
                <w:szCs w:val="26"/>
              </w:rPr>
              <w:t xml:space="preserve">$150,000 </w:t>
            </w:r>
          </w:p>
        </w:tc>
      </w:tr>
      <w:tr w14:paraId="0B17370A" w14:textId="77777777" w:rsidTr="00071614">
        <w:tblPrEx>
          <w:tblW w:w="6475" w:type="dxa"/>
          <w:jc w:val="cente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760048" w:rsidRPr="0072600F" w:rsidP="00071614" w14:paraId="14DE5D0D" w14:textId="77777777">
            <w:pPr>
              <w:rPr>
                <w:rFonts w:ascii="Times New Roman" w:hAnsi="Times New Roman" w:cs="Times New Roman"/>
                <w:sz w:val="26"/>
                <w:szCs w:val="26"/>
              </w:rPr>
            </w:pPr>
            <w:r w:rsidRPr="0072600F">
              <w:rPr>
                <w:rFonts w:ascii="Times New Roman" w:hAnsi="Times New Roman" w:cs="Times New Roman"/>
                <w:sz w:val="26"/>
                <w:szCs w:val="26"/>
                <w:u w:val="single"/>
              </w:rPr>
              <w:t>&gt;</w:t>
            </w:r>
            <w:r w:rsidRPr="0072600F">
              <w:rPr>
                <w:rFonts w:ascii="Times New Roman" w:hAnsi="Times New Roman" w:cs="Times New Roman"/>
                <w:sz w:val="26"/>
                <w:szCs w:val="26"/>
              </w:rPr>
              <w:t xml:space="preserve"> 200 MW</w:t>
            </w:r>
          </w:p>
        </w:tc>
        <w:tc>
          <w:tcPr>
            <w:tcW w:w="2790" w:type="dxa"/>
            <w:tcBorders>
              <w:top w:val="nil"/>
              <w:left w:val="nil"/>
              <w:bottom w:val="single" w:sz="4" w:space="0" w:color="auto"/>
              <w:right w:val="single" w:sz="4" w:space="0" w:color="auto"/>
            </w:tcBorders>
            <w:shd w:val="clear" w:color="auto" w:fill="auto"/>
            <w:noWrap/>
            <w:vAlign w:val="bottom"/>
            <w:hideMark/>
          </w:tcPr>
          <w:p w:rsidR="00760048" w:rsidRPr="0072600F" w:rsidP="00071614" w14:paraId="31A4672F" w14:textId="77777777">
            <w:pPr>
              <w:rPr>
                <w:rFonts w:ascii="Times New Roman" w:hAnsi="Times New Roman" w:cs="Times New Roman"/>
                <w:sz w:val="26"/>
                <w:szCs w:val="26"/>
              </w:rPr>
            </w:pPr>
            <w:r w:rsidRPr="0072600F">
              <w:rPr>
                <w:rFonts w:ascii="Times New Roman" w:hAnsi="Times New Roman" w:cs="Times New Roman"/>
                <w:sz w:val="26"/>
                <w:szCs w:val="26"/>
              </w:rPr>
              <w:t xml:space="preserve">$250,000 </w:t>
            </w:r>
          </w:p>
        </w:tc>
      </w:tr>
      <w:bookmarkEnd w:id="42"/>
    </w:tbl>
    <w:p w:rsidR="00760048" w:rsidRPr="0072600F" w:rsidP="00071614" w14:paraId="14A7409E" w14:textId="77777777">
      <w:pPr>
        <w:pStyle w:val="FERCparanumber"/>
        <w:numPr>
          <w:ilvl w:val="0"/>
          <w:numId w:val="0"/>
        </w:numPr>
        <w:rPr>
          <w:sz w:val="26"/>
          <w:szCs w:val="26"/>
        </w:rPr>
      </w:pPr>
    </w:p>
    <w:p w:rsidR="00760048" w:rsidRPr="0072600F" w:rsidP="00FE47B2" w14:paraId="6F66B9E6" w14:textId="77777777">
      <w:pPr>
        <w:pStyle w:val="FERCparanumber"/>
        <w:numPr>
          <w:ilvl w:val="0"/>
          <w:numId w:val="0"/>
        </w:numPr>
        <w:spacing w:line="480" w:lineRule="auto"/>
        <w:rPr>
          <w:sz w:val="26"/>
          <w:szCs w:val="26"/>
        </w:rPr>
      </w:pPr>
      <w:r w:rsidRPr="0072600F">
        <w:rPr>
          <w:sz w:val="26"/>
          <w:szCs w:val="26"/>
        </w:rPr>
        <w:t>The Commission required transmission providers to collect this study deposit once, upon entry into the cluster.</w:t>
      </w:r>
      <w:r>
        <w:rPr>
          <w:rStyle w:val="FootnoteReference"/>
        </w:rPr>
        <w:footnoteReference w:id="299"/>
      </w:r>
      <w:r w:rsidRPr="0072600F">
        <w:rPr>
          <w:sz w:val="26"/>
          <w:szCs w:val="26"/>
        </w:rPr>
        <w:t xml:space="preserve">  </w:t>
      </w:r>
    </w:p>
    <w:p w:rsidR="00760048" w:rsidRPr="00FE47B2" w14:paraId="52F697DA"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Determination</w:t>
      </w:r>
    </w:p>
    <w:p w:rsidR="00760048" w:rsidRPr="0072600F" w14:paraId="592C643B" w14:textId="77777777">
      <w:pPr>
        <w:pStyle w:val="FERCparanumber"/>
        <w:widowControl/>
        <w:numPr>
          <w:ilvl w:val="0"/>
          <w:numId w:val="25"/>
        </w:numPr>
        <w:autoSpaceDE/>
        <w:autoSpaceDN/>
        <w:adjustRightInd/>
        <w:spacing w:line="480" w:lineRule="auto"/>
        <w:rPr>
          <w:sz w:val="26"/>
          <w:szCs w:val="26"/>
        </w:rPr>
      </w:pPr>
      <w:r w:rsidRPr="0072600F">
        <w:rPr>
          <w:sz w:val="26"/>
          <w:szCs w:val="26"/>
        </w:rPr>
        <w:t>Given that interconnection customers developing small generating facilities requesting NRIS submit their interconnection requests under the relevant transmission providers’ LGIP,</w:t>
      </w:r>
      <w:r>
        <w:rPr>
          <w:rStyle w:val="FootnoteReference"/>
        </w:rPr>
        <w:footnoteReference w:id="300"/>
      </w:r>
      <w:r w:rsidRPr="0072600F">
        <w:rPr>
          <w:sz w:val="26"/>
          <w:szCs w:val="26"/>
        </w:rPr>
        <w:t xml:space="preserve"> we modify 3.1.1.1 as follows to clarify the applicable study deposits in such instances:</w:t>
      </w:r>
    </w:p>
    <w:tbl>
      <w:tblPr>
        <w:tblW w:w="6475" w:type="dxa"/>
        <w:jc w:val="center"/>
        <w:tblLook w:val="04A0"/>
      </w:tblPr>
      <w:tblGrid>
        <w:gridCol w:w="3685"/>
        <w:gridCol w:w="2790"/>
      </w:tblGrid>
      <w:tr w14:paraId="0B2EAF22" w14:textId="77777777" w:rsidTr="00071614">
        <w:tblPrEx>
          <w:tblW w:w="6475" w:type="dxa"/>
          <w:jc w:val="center"/>
          <w:tblLook w:val="04A0"/>
        </w:tblPrEx>
        <w:trPr>
          <w:trHeight w:val="990"/>
          <w:tblHeader/>
          <w:jc w:val="center"/>
        </w:trPr>
        <w:tc>
          <w:tcPr>
            <w:tcW w:w="36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60048" w:rsidRPr="0072600F" w:rsidP="00071614" w14:paraId="170E03B4" w14:textId="77777777">
            <w:pPr>
              <w:jc w:val="center"/>
              <w:rPr>
                <w:rFonts w:ascii="Times New Roman" w:hAnsi="Times New Roman" w:cs="Times New Roman"/>
                <w:sz w:val="26"/>
                <w:szCs w:val="26"/>
              </w:rPr>
            </w:pPr>
            <w:r w:rsidRPr="0072600F">
              <w:rPr>
                <w:rFonts w:ascii="Times New Roman" w:hAnsi="Times New Roman" w:cs="Times New Roman"/>
                <w:sz w:val="26"/>
                <w:szCs w:val="26"/>
              </w:rPr>
              <w:t xml:space="preserve">Size of Proposed Generating Facility Associated with Interconnection Request under the </w:t>
            </w:r>
            <w:r w:rsidRPr="0072600F">
              <w:rPr>
                <w:rFonts w:ascii="Times New Roman" w:hAnsi="Times New Roman" w:cs="Times New Roman"/>
                <w:i/>
                <w:iCs/>
                <w:sz w:val="26"/>
                <w:szCs w:val="26"/>
              </w:rPr>
              <w:t xml:space="preserve">pro forma </w:t>
            </w:r>
            <w:r w:rsidRPr="0072600F">
              <w:rPr>
                <w:rFonts w:ascii="Times New Roman" w:hAnsi="Times New Roman" w:cs="Times New Roman"/>
                <w:sz w:val="26"/>
                <w:szCs w:val="26"/>
              </w:rPr>
              <w:t>LGIP</w:t>
            </w:r>
          </w:p>
        </w:tc>
        <w:tc>
          <w:tcPr>
            <w:tcW w:w="2790" w:type="dxa"/>
            <w:tcBorders>
              <w:top w:val="single" w:sz="4" w:space="0" w:color="auto"/>
              <w:left w:val="nil"/>
              <w:bottom w:val="single" w:sz="4" w:space="0" w:color="auto"/>
              <w:right w:val="single" w:sz="4" w:space="0" w:color="auto"/>
            </w:tcBorders>
            <w:shd w:val="clear" w:color="000000" w:fill="E2EFDA"/>
            <w:vAlign w:val="center"/>
            <w:hideMark/>
          </w:tcPr>
          <w:p w:rsidR="00760048" w:rsidRPr="0072600F" w:rsidP="00071614" w14:paraId="0FB0C2D2" w14:textId="77777777">
            <w:pPr>
              <w:jc w:val="center"/>
              <w:rPr>
                <w:rFonts w:ascii="Times New Roman" w:hAnsi="Times New Roman" w:cs="Times New Roman"/>
                <w:sz w:val="26"/>
                <w:szCs w:val="26"/>
              </w:rPr>
            </w:pPr>
            <w:r w:rsidRPr="0072600F">
              <w:rPr>
                <w:rFonts w:ascii="Times New Roman" w:hAnsi="Times New Roman" w:cs="Times New Roman"/>
                <w:sz w:val="26"/>
                <w:szCs w:val="26"/>
              </w:rPr>
              <w:t>Amount of Deposit</w:t>
            </w:r>
          </w:p>
        </w:tc>
      </w:tr>
      <w:tr w14:paraId="6C66C1C6" w14:textId="77777777" w:rsidTr="00071614">
        <w:tblPrEx>
          <w:tblW w:w="6475" w:type="dxa"/>
          <w:jc w:val="cente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760048" w:rsidRPr="0072600F" w:rsidP="00071614" w14:paraId="190171B6" w14:textId="77777777">
            <w:pPr>
              <w:rPr>
                <w:rFonts w:ascii="Times New Roman" w:hAnsi="Times New Roman" w:cs="Times New Roman"/>
                <w:sz w:val="26"/>
                <w:szCs w:val="26"/>
              </w:rPr>
            </w:pPr>
            <w:r w:rsidRPr="0072600F">
              <w:rPr>
                <w:rFonts w:ascii="Times New Roman" w:hAnsi="Times New Roman" w:cs="Times New Roman"/>
                <w:sz w:val="26"/>
                <w:szCs w:val="26"/>
              </w:rPr>
              <w:t>&lt; 80 MW</w:t>
            </w:r>
          </w:p>
        </w:tc>
        <w:tc>
          <w:tcPr>
            <w:tcW w:w="2790" w:type="dxa"/>
            <w:tcBorders>
              <w:top w:val="nil"/>
              <w:left w:val="nil"/>
              <w:bottom w:val="single" w:sz="4" w:space="0" w:color="auto"/>
              <w:right w:val="single" w:sz="4" w:space="0" w:color="auto"/>
            </w:tcBorders>
            <w:shd w:val="clear" w:color="auto" w:fill="auto"/>
            <w:noWrap/>
            <w:vAlign w:val="bottom"/>
            <w:hideMark/>
          </w:tcPr>
          <w:p w:rsidR="00760048" w:rsidRPr="0072600F" w:rsidP="00071614" w14:paraId="67741C18" w14:textId="77777777">
            <w:pPr>
              <w:rPr>
                <w:rFonts w:ascii="Times New Roman" w:hAnsi="Times New Roman" w:cs="Times New Roman"/>
                <w:sz w:val="26"/>
                <w:szCs w:val="26"/>
              </w:rPr>
            </w:pPr>
            <w:r w:rsidRPr="0072600F">
              <w:rPr>
                <w:rFonts w:ascii="Times New Roman" w:hAnsi="Times New Roman" w:cs="Times New Roman"/>
                <w:sz w:val="26"/>
                <w:szCs w:val="26"/>
              </w:rPr>
              <w:t>$35,000 + $1,000/MW</w:t>
            </w:r>
          </w:p>
        </w:tc>
      </w:tr>
      <w:tr w14:paraId="12064BB2" w14:textId="77777777" w:rsidTr="00071614">
        <w:tblPrEx>
          <w:tblW w:w="6475" w:type="dxa"/>
          <w:jc w:val="cente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760048" w:rsidRPr="0072600F" w:rsidP="00071614" w14:paraId="3D24A8D7" w14:textId="77777777">
            <w:pPr>
              <w:rPr>
                <w:rFonts w:ascii="Times New Roman" w:hAnsi="Times New Roman" w:cs="Times New Roman"/>
                <w:sz w:val="26"/>
                <w:szCs w:val="26"/>
              </w:rPr>
            </w:pPr>
            <w:r w:rsidRPr="0072600F">
              <w:rPr>
                <w:rFonts w:ascii="Times New Roman" w:hAnsi="Times New Roman" w:cs="Times New Roman"/>
                <w:sz w:val="26"/>
                <w:szCs w:val="26"/>
                <w:u w:val="single"/>
              </w:rPr>
              <w:t>&gt;</w:t>
            </w:r>
            <w:r w:rsidRPr="0072600F">
              <w:rPr>
                <w:rFonts w:ascii="Times New Roman" w:hAnsi="Times New Roman" w:cs="Times New Roman"/>
                <w:sz w:val="26"/>
                <w:szCs w:val="26"/>
              </w:rPr>
              <w:t xml:space="preserve"> 80 MW &lt; 200 MW</w:t>
            </w:r>
          </w:p>
        </w:tc>
        <w:tc>
          <w:tcPr>
            <w:tcW w:w="2790" w:type="dxa"/>
            <w:tcBorders>
              <w:top w:val="nil"/>
              <w:left w:val="nil"/>
              <w:bottom w:val="single" w:sz="4" w:space="0" w:color="auto"/>
              <w:right w:val="single" w:sz="4" w:space="0" w:color="auto"/>
            </w:tcBorders>
            <w:shd w:val="clear" w:color="auto" w:fill="auto"/>
            <w:noWrap/>
            <w:vAlign w:val="bottom"/>
            <w:hideMark/>
          </w:tcPr>
          <w:p w:rsidR="00760048" w:rsidRPr="0072600F" w:rsidP="00071614" w14:paraId="426E06C3" w14:textId="77777777">
            <w:pPr>
              <w:rPr>
                <w:rFonts w:ascii="Times New Roman" w:hAnsi="Times New Roman" w:cs="Times New Roman"/>
                <w:sz w:val="26"/>
                <w:szCs w:val="26"/>
              </w:rPr>
            </w:pPr>
            <w:r w:rsidRPr="0072600F">
              <w:rPr>
                <w:rFonts w:ascii="Times New Roman" w:hAnsi="Times New Roman" w:cs="Times New Roman"/>
                <w:sz w:val="26"/>
                <w:szCs w:val="26"/>
              </w:rPr>
              <w:t xml:space="preserve">$150,000 </w:t>
            </w:r>
          </w:p>
        </w:tc>
      </w:tr>
      <w:tr w14:paraId="6F107CCD" w14:textId="77777777" w:rsidTr="00071614">
        <w:tblPrEx>
          <w:tblW w:w="6475" w:type="dxa"/>
          <w:jc w:val="center"/>
          <w:tblLook w:val="04A0"/>
        </w:tblPrEx>
        <w:trPr>
          <w:trHeight w:val="33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760048" w:rsidRPr="0072600F" w:rsidP="00071614" w14:paraId="1692B1E0" w14:textId="77777777">
            <w:pPr>
              <w:rPr>
                <w:rFonts w:ascii="Times New Roman" w:hAnsi="Times New Roman" w:cs="Times New Roman"/>
                <w:sz w:val="26"/>
                <w:szCs w:val="26"/>
              </w:rPr>
            </w:pPr>
            <w:r w:rsidRPr="0072600F">
              <w:rPr>
                <w:rFonts w:ascii="Times New Roman" w:hAnsi="Times New Roman" w:cs="Times New Roman"/>
                <w:sz w:val="26"/>
                <w:szCs w:val="26"/>
                <w:u w:val="single"/>
              </w:rPr>
              <w:t>&gt;</w:t>
            </w:r>
            <w:r w:rsidRPr="0072600F">
              <w:rPr>
                <w:rFonts w:ascii="Times New Roman" w:hAnsi="Times New Roman" w:cs="Times New Roman"/>
                <w:sz w:val="26"/>
                <w:szCs w:val="26"/>
              </w:rPr>
              <w:t xml:space="preserve"> 200 MW</w:t>
            </w:r>
          </w:p>
        </w:tc>
        <w:tc>
          <w:tcPr>
            <w:tcW w:w="2790" w:type="dxa"/>
            <w:tcBorders>
              <w:top w:val="nil"/>
              <w:left w:val="nil"/>
              <w:bottom w:val="single" w:sz="4" w:space="0" w:color="auto"/>
              <w:right w:val="single" w:sz="4" w:space="0" w:color="auto"/>
            </w:tcBorders>
            <w:shd w:val="clear" w:color="auto" w:fill="auto"/>
            <w:noWrap/>
            <w:vAlign w:val="bottom"/>
            <w:hideMark/>
          </w:tcPr>
          <w:p w:rsidR="00760048" w:rsidRPr="0072600F" w:rsidP="00071614" w14:paraId="14BE996C" w14:textId="77777777">
            <w:pPr>
              <w:rPr>
                <w:rFonts w:ascii="Times New Roman" w:hAnsi="Times New Roman" w:cs="Times New Roman"/>
                <w:sz w:val="26"/>
                <w:szCs w:val="26"/>
              </w:rPr>
            </w:pPr>
            <w:r w:rsidRPr="0072600F">
              <w:rPr>
                <w:rFonts w:ascii="Times New Roman" w:hAnsi="Times New Roman" w:cs="Times New Roman"/>
                <w:sz w:val="26"/>
                <w:szCs w:val="26"/>
              </w:rPr>
              <w:t xml:space="preserve">$250,000 </w:t>
            </w:r>
          </w:p>
        </w:tc>
      </w:tr>
    </w:tbl>
    <w:p w:rsidR="00760048" w:rsidRPr="0072600F" w14:paraId="6690C9FE" w14:textId="77777777">
      <w:pPr>
        <w:pStyle w:val="FERCparanumber"/>
        <w:widowControl/>
        <w:numPr>
          <w:ilvl w:val="0"/>
          <w:numId w:val="25"/>
        </w:numPr>
        <w:autoSpaceDE/>
        <w:autoSpaceDN/>
        <w:adjustRightInd/>
        <w:spacing w:before="240" w:line="480" w:lineRule="auto"/>
        <w:rPr>
          <w:sz w:val="26"/>
          <w:szCs w:val="26"/>
        </w:rPr>
      </w:pPr>
      <w:r w:rsidRPr="0072600F">
        <w:rPr>
          <w:sz w:val="26"/>
          <w:szCs w:val="26"/>
        </w:rPr>
        <w:t xml:space="preserve">We also modify section 3.1.1.1 of the </w:t>
      </w:r>
      <w:r w:rsidRPr="0072600F">
        <w:rPr>
          <w:i/>
          <w:iCs/>
          <w:sz w:val="26"/>
          <w:szCs w:val="26"/>
        </w:rPr>
        <w:t xml:space="preserve">pro forma </w:t>
      </w:r>
      <w:r w:rsidRPr="0072600F">
        <w:rPr>
          <w:sz w:val="26"/>
          <w:szCs w:val="26"/>
        </w:rPr>
        <w:t xml:space="preserve">LGIP to clarify that the $5,000 application fee is non-refundable.  We also modify section 13.3 of the </w:t>
      </w:r>
      <w:r w:rsidRPr="0072600F">
        <w:rPr>
          <w:i/>
          <w:iCs/>
          <w:sz w:val="26"/>
          <w:szCs w:val="26"/>
        </w:rPr>
        <w:t xml:space="preserve">pro forma </w:t>
      </w:r>
      <w:r w:rsidRPr="0072600F">
        <w:rPr>
          <w:sz w:val="26"/>
          <w:szCs w:val="26"/>
        </w:rPr>
        <w:t xml:space="preserve">LGIP to remove language “or offset against the cost of any future Interconnection Studies associated with the applicable Cluster prior to beginning of any such future Interconnection Studies,” given that the study deposit structure under Order No. 2023 includes an initial study deposit at the beginning of the study process, rather than separate deposits before each phase of study. </w:t>
      </w:r>
    </w:p>
    <w:p w:rsidR="00760048" w:rsidRPr="00FE47B2" w14:paraId="5BA2097C"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before="240" w:after="260"/>
        <w:rPr>
          <w:b/>
          <w:bCs/>
          <w:sz w:val="26"/>
          <w:u w:val="single"/>
        </w:rPr>
      </w:pPr>
      <w:r w:rsidRPr="00FE47B2">
        <w:rPr>
          <w:b/>
          <w:bCs/>
          <w:sz w:val="26"/>
          <w:u w:val="single"/>
        </w:rPr>
        <w:t>Demonstration of Site Control</w:t>
      </w:r>
    </w:p>
    <w:p w:rsidR="00760048" w:rsidRPr="00FE47B2" w14:paraId="7252CFAE"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Order No. 2023 Requirements</w:t>
      </w:r>
    </w:p>
    <w:p w:rsidR="00760048" w:rsidRPr="0072600F" w14:paraId="6DF64D2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adopted revisions to the </w:t>
      </w:r>
      <w:r w:rsidRPr="0072600F">
        <w:rPr>
          <w:i/>
          <w:iCs/>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LGIA to add more stringency to the site control requirements and to help prevent speculative interconnection requests from entering the interconnection queue.</w:t>
      </w:r>
      <w:r>
        <w:rPr>
          <w:rStyle w:val="FootnoteReference"/>
        </w:rPr>
        <w:footnoteReference w:id="301"/>
      </w:r>
      <w:r w:rsidRPr="0072600F">
        <w:rPr>
          <w:sz w:val="26"/>
          <w:szCs w:val="26"/>
        </w:rPr>
        <w:t xml:space="preserve"> </w:t>
      </w:r>
      <w:r w:rsidRPr="0072600F">
        <w:rPr>
          <w:b/>
          <w:bCs/>
          <w:sz w:val="26"/>
          <w:szCs w:val="26"/>
        </w:rPr>
        <w:t xml:space="preserve"> </w:t>
      </w:r>
      <w:r w:rsidRPr="0072600F">
        <w:rPr>
          <w:sz w:val="26"/>
          <w:szCs w:val="26"/>
        </w:rPr>
        <w:t xml:space="preserve">The Commission found that, taken together, these reforms will help ensure that commercially viable interconnection requests with demonstrated site control or with demonstrated regulatory limitations will be able to enter the interconnection queue, thereby reducing the negative impacts of speculative interconnection requests. </w:t>
      </w:r>
    </w:p>
    <w:p w:rsidR="00760048" w:rsidRPr="0072600F" w14:paraId="1CFAD69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As relevant to the requests for rehearing and clarification, in Order No. 2023, the Commission revised:  (1) the definition for “site control” in section 1 of the </w:t>
      </w:r>
      <w:r w:rsidRPr="0072600F">
        <w:rPr>
          <w:i/>
          <w:iCs/>
          <w:sz w:val="26"/>
          <w:szCs w:val="26"/>
        </w:rPr>
        <w:t>pro forma</w:t>
      </w:r>
      <w:r w:rsidRPr="0072600F">
        <w:rPr>
          <w:sz w:val="26"/>
          <w:szCs w:val="26"/>
        </w:rPr>
        <w:t xml:space="preserve"> LGIP and in article 1 of the </w:t>
      </w:r>
      <w:r w:rsidRPr="0072600F">
        <w:rPr>
          <w:i/>
          <w:iCs/>
          <w:sz w:val="26"/>
          <w:szCs w:val="26"/>
        </w:rPr>
        <w:t>pro forma</w:t>
      </w:r>
      <w:r w:rsidRPr="0072600F">
        <w:rPr>
          <w:sz w:val="26"/>
          <w:szCs w:val="26"/>
        </w:rPr>
        <w:t xml:space="preserve"> LGIA;</w:t>
      </w:r>
      <w:r>
        <w:rPr>
          <w:rStyle w:val="FootnoteReference"/>
        </w:rPr>
        <w:footnoteReference w:id="302"/>
      </w:r>
      <w:r w:rsidRPr="0072600F">
        <w:rPr>
          <w:sz w:val="26"/>
          <w:szCs w:val="26"/>
        </w:rPr>
        <w:t xml:space="preserve"> and (2) section 3.4.2 of the </w:t>
      </w:r>
      <w:r w:rsidRPr="0072600F">
        <w:rPr>
          <w:i/>
          <w:iCs/>
          <w:sz w:val="26"/>
          <w:szCs w:val="26"/>
        </w:rPr>
        <w:t>pro forma</w:t>
      </w:r>
      <w:r w:rsidRPr="0072600F">
        <w:rPr>
          <w:sz w:val="26"/>
          <w:szCs w:val="26"/>
        </w:rPr>
        <w:t xml:space="preserve"> LGIP to include a limited option for interconnection customers to submit a deposit in lieu of site control when they submit their interconnection request—only if qualifying regulatory limitations prohibit the interconnection customer from obtaining site control.</w:t>
      </w:r>
      <w:r>
        <w:rPr>
          <w:rStyle w:val="FootnoteReference"/>
        </w:rPr>
        <w:footnoteReference w:id="303"/>
      </w:r>
      <w:r w:rsidRPr="0072600F">
        <w:rPr>
          <w:sz w:val="26"/>
          <w:szCs w:val="26"/>
        </w:rPr>
        <w:t xml:space="preserve">  </w:t>
      </w:r>
    </w:p>
    <w:p w:rsidR="00760048" w:rsidRPr="0072600F" w14:paraId="5E083234" w14:textId="77777777">
      <w:pPr>
        <w:pStyle w:val="FERCparanumber"/>
        <w:widowControl/>
        <w:numPr>
          <w:ilvl w:val="0"/>
          <w:numId w:val="25"/>
        </w:numPr>
        <w:autoSpaceDE/>
        <w:autoSpaceDN/>
        <w:adjustRightInd/>
        <w:spacing w:line="480" w:lineRule="auto"/>
        <w:rPr>
          <w:sz w:val="26"/>
          <w:szCs w:val="26"/>
        </w:rPr>
      </w:pPr>
      <w:r w:rsidRPr="0072600F">
        <w:rPr>
          <w:sz w:val="26"/>
          <w:szCs w:val="26"/>
        </w:rPr>
        <w:t>Also relevant to the requests for clarification, in Order No. 2023, the Commission clarified that deposits in lieu of site control for interconnection customers with regulatory limitations are refundable and cannot be applied to the costs of interconnection studies or withdrawal penalties.</w:t>
      </w:r>
      <w:r>
        <w:rPr>
          <w:rStyle w:val="FootnoteReference"/>
        </w:rPr>
        <w:footnoteReference w:id="304"/>
      </w:r>
      <w:r w:rsidRPr="0072600F">
        <w:rPr>
          <w:sz w:val="26"/>
          <w:szCs w:val="26"/>
        </w:rPr>
        <w:t xml:space="preserve">  The Commission also clarified that the site control demonstration requirements apply only to the land needed for the generating facility and explained that, because it did not propose site control requirements for interconnection facilities in the NOPR, it declined to address comments suggesting alternative site control requirements for interconnection facilities or network upgrades.</w:t>
      </w:r>
      <w:r>
        <w:rPr>
          <w:rStyle w:val="FootnoteReference"/>
        </w:rPr>
        <w:footnoteReference w:id="305"/>
      </w:r>
      <w:r w:rsidRPr="0072600F">
        <w:rPr>
          <w:sz w:val="26"/>
          <w:szCs w:val="26"/>
        </w:rPr>
        <w:t xml:space="preserve">   </w:t>
      </w:r>
    </w:p>
    <w:p w:rsidR="00760048" w:rsidRPr="00FE47B2" w14:paraId="7B7AE7AD"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Requests for Rehearing and Clarification</w:t>
      </w:r>
    </w:p>
    <w:p w:rsidR="00760048" w:rsidRPr="0072600F" w14:paraId="3516E28A" w14:textId="77777777">
      <w:pPr>
        <w:pStyle w:val="FERCparanumber"/>
        <w:widowControl/>
        <w:numPr>
          <w:ilvl w:val="0"/>
          <w:numId w:val="25"/>
        </w:numPr>
        <w:autoSpaceDE/>
        <w:autoSpaceDN/>
        <w:adjustRightInd/>
        <w:spacing w:line="480" w:lineRule="auto"/>
        <w:rPr>
          <w:sz w:val="26"/>
          <w:szCs w:val="26"/>
        </w:rPr>
      </w:pPr>
      <w:r w:rsidRPr="0072600F">
        <w:rPr>
          <w:sz w:val="26"/>
          <w:szCs w:val="26"/>
        </w:rPr>
        <w:t>IPP Coalition</w:t>
      </w:r>
      <w:r w:rsidRPr="0072600F">
        <w:rPr>
          <w:sz w:val="26"/>
          <w:szCs w:val="26"/>
        </w:rPr>
        <w:t xml:space="preserve"> </w:t>
      </w:r>
      <w:r w:rsidRPr="0072600F">
        <w:rPr>
          <w:sz w:val="26"/>
          <w:szCs w:val="26"/>
        </w:rPr>
        <w:t>requests rehearing and urges the Commission to establish a requirement for full site control over generator interconnection facilities without a deposit in lieu of site control demonstration option at the facilities study phase.</w:t>
      </w:r>
      <w:r>
        <w:rPr>
          <w:rStyle w:val="FootnoteReference"/>
        </w:rPr>
        <w:footnoteReference w:id="306"/>
      </w:r>
      <w:r w:rsidRPr="0072600F">
        <w:rPr>
          <w:sz w:val="26"/>
          <w:szCs w:val="26"/>
        </w:rPr>
        <w:t xml:space="preserve">  IPP Coalition</w:t>
      </w:r>
      <w:r w:rsidRPr="0072600F">
        <w:rPr>
          <w:sz w:val="26"/>
          <w:szCs w:val="26"/>
        </w:rPr>
        <w:t xml:space="preserve"> </w:t>
      </w:r>
      <w:r w:rsidRPr="0072600F">
        <w:rPr>
          <w:sz w:val="26"/>
          <w:szCs w:val="26"/>
        </w:rPr>
        <w:t>contends that Order No. 2023 limited site control requirements to “the land needed for the generating facility” and declined to extend any site control requirements to the interconnection customer’s interconnection facilities without substantive consideration and a reasoned response to the comments urging such a requirement,</w:t>
      </w:r>
      <w:r>
        <w:rPr>
          <w:rStyle w:val="FootnoteReference"/>
        </w:rPr>
        <w:footnoteReference w:id="307"/>
      </w:r>
      <w:r w:rsidRPr="0072600F">
        <w:rPr>
          <w:sz w:val="26"/>
          <w:szCs w:val="26"/>
        </w:rPr>
        <w:t xml:space="preserve"> which is contrary to reasoned decision-making principles in violation of the APA.  IPP Coalition</w:t>
      </w:r>
      <w:r w:rsidRPr="0072600F">
        <w:rPr>
          <w:sz w:val="26"/>
          <w:szCs w:val="26"/>
        </w:rPr>
        <w:t xml:space="preserve"> </w:t>
      </w:r>
      <w:r w:rsidRPr="0072600F">
        <w:rPr>
          <w:sz w:val="26"/>
          <w:szCs w:val="26"/>
        </w:rPr>
        <w:t>argues that requiring site control for interconnection facilities would increase the quality of interconnection study results and increase certainty for interconnection customers as the interconnection process becomes more costly and risky to navigate.  IPP Coalition</w:t>
      </w:r>
      <w:r w:rsidRPr="0072600F">
        <w:rPr>
          <w:sz w:val="26"/>
          <w:szCs w:val="26"/>
        </w:rPr>
        <w:t xml:space="preserve"> </w:t>
      </w:r>
      <w:r w:rsidRPr="0072600F">
        <w:rPr>
          <w:sz w:val="26"/>
          <w:szCs w:val="26"/>
        </w:rPr>
        <w:t>further argues that the record reflects that such a requirement could prevent gaming and reduce the risk of more speculative projects delaying the interconnection process.</w:t>
      </w:r>
      <w:r>
        <w:rPr>
          <w:rStyle w:val="FootnoteReference"/>
        </w:rPr>
        <w:footnoteReference w:id="308"/>
      </w:r>
    </w:p>
    <w:p w:rsidR="00760048" w:rsidRPr="0072600F" w14:paraId="49FDAA5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ask the Commission to clarify that the revised definition of site control in the </w:t>
      </w:r>
      <w:r w:rsidRPr="0072600F">
        <w:rPr>
          <w:i/>
          <w:iCs/>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LGIA is not meant to impose term requirements on site control.</w:t>
      </w:r>
      <w:r>
        <w:rPr>
          <w:rStyle w:val="FootnoteReference"/>
        </w:rPr>
        <w:footnoteReference w:id="309"/>
      </w:r>
      <w:r w:rsidRPr="0072600F">
        <w:rPr>
          <w:sz w:val="26"/>
          <w:szCs w:val="26"/>
        </w:rPr>
        <w:t xml:space="preserve">  Further, Clean Energy Associations urge the Commission to clarify and modify the definition of site control to prevent future confusion and misinterpretation by transmission providers regarding any term requirements for site control.  Clean Energy Associations assert that Order No. 2023 revised the definition of site control in a way that is not discussed in the order or in the preceding NOPR to include the words “right to develop, </w:t>
      </w:r>
      <w:r w:rsidRPr="0072600F">
        <w:rPr>
          <w:i/>
          <w:iCs/>
          <w:sz w:val="26"/>
          <w:szCs w:val="26"/>
        </w:rPr>
        <w:t>construct, operate, and maintain</w:t>
      </w:r>
      <w:r w:rsidRPr="0072600F">
        <w:rPr>
          <w:sz w:val="26"/>
          <w:szCs w:val="26"/>
        </w:rPr>
        <w:t xml:space="preserve"> the Generating Facility </w:t>
      </w:r>
      <w:r w:rsidRPr="0072600F">
        <w:rPr>
          <w:i/>
          <w:iCs/>
          <w:sz w:val="26"/>
          <w:szCs w:val="26"/>
        </w:rPr>
        <w:t>over the term of expected operation</w:t>
      </w:r>
      <w:r w:rsidRPr="0072600F">
        <w:rPr>
          <w:sz w:val="26"/>
          <w:szCs w:val="26"/>
        </w:rPr>
        <w:t xml:space="preserve"> of the Generation Facility” (emphasis added).</w:t>
      </w:r>
      <w:r>
        <w:rPr>
          <w:rStyle w:val="FootnoteReference"/>
        </w:rPr>
        <w:footnoteReference w:id="310"/>
      </w:r>
      <w:r w:rsidRPr="0072600F">
        <w:rPr>
          <w:sz w:val="26"/>
          <w:szCs w:val="26"/>
        </w:rPr>
        <w:t xml:space="preserve">  Clean Energy Associations assert that this revision implies that a lease option or other form of site control must have a term that is valid for the entire life of the generating facility.  Clean Energy Associations argue that such a term is contrary to standard industry practice,</w:t>
      </w:r>
      <w:r>
        <w:rPr>
          <w:rStyle w:val="FootnoteReference"/>
        </w:rPr>
        <w:footnoteReference w:id="311"/>
      </w:r>
      <w:r w:rsidRPr="0072600F">
        <w:rPr>
          <w:sz w:val="26"/>
          <w:szCs w:val="26"/>
        </w:rPr>
        <w:t xml:space="preserve"> is unnecessary to ensure that developers have sufficient rights to develop, construct, operate, and maintain their generating facilities, and unnecessarily increases the cost of development, resulting in rates to consumers that are unjust and unreasonable.</w:t>
      </w:r>
      <w:r>
        <w:rPr>
          <w:rStyle w:val="FootnoteReference"/>
        </w:rPr>
        <w:footnoteReference w:id="312"/>
      </w:r>
    </w:p>
    <w:p w:rsidR="00760048" w:rsidRPr="0072600F" w14:paraId="237D90A5" w14:textId="77777777">
      <w:pPr>
        <w:pStyle w:val="FERCparanumber"/>
        <w:widowControl/>
        <w:numPr>
          <w:ilvl w:val="0"/>
          <w:numId w:val="25"/>
        </w:numPr>
        <w:autoSpaceDE/>
        <w:autoSpaceDN/>
        <w:adjustRightInd/>
        <w:spacing w:line="480" w:lineRule="auto"/>
        <w:rPr>
          <w:sz w:val="26"/>
          <w:szCs w:val="26"/>
        </w:rPr>
      </w:pPr>
      <w:r w:rsidRPr="0072600F">
        <w:rPr>
          <w:sz w:val="26"/>
          <w:szCs w:val="26"/>
        </w:rPr>
        <w:t>ACP requests that the Commission clarify that, in their compliance filings, transmission providers may seek to expand opportunities for interconnection customers to submit deposits in lieu of demonstrating 90% site control when submitting an interconnection request to address other exigent circumstances beyond regulatory constraints.</w:t>
      </w:r>
      <w:r>
        <w:rPr>
          <w:rStyle w:val="FootnoteReference"/>
        </w:rPr>
        <w:footnoteReference w:id="313"/>
      </w:r>
      <w:r w:rsidRPr="0072600F">
        <w:rPr>
          <w:sz w:val="26"/>
          <w:szCs w:val="26"/>
        </w:rPr>
        <w:t xml:space="preserve">  ACP argues that land acquisition in dense urban areas where battery storage facilities are more frequently sited is much more difficult and costly to achieve at the time an interconnection request is submitted than is typically the case for project sites much further from load.  ACP asserts that denying such flexibility on compliance could result in key battery storage projects and other projects near load being unable to move forward, endangering grid reliability where and when those resources are most needed.</w:t>
      </w:r>
      <w:r>
        <w:rPr>
          <w:rStyle w:val="FootnoteReference"/>
        </w:rPr>
        <w:footnoteReference w:id="314"/>
      </w:r>
      <w:r w:rsidRPr="0072600F">
        <w:rPr>
          <w:sz w:val="26"/>
          <w:szCs w:val="26"/>
        </w:rPr>
        <w:t xml:space="preserve">  ACP</w:t>
      </w:r>
      <w:r w:rsidRPr="0072600F">
        <w:rPr>
          <w:sz w:val="26"/>
          <w:szCs w:val="26"/>
        </w:rPr>
        <w:t xml:space="preserve"> </w:t>
      </w:r>
      <w:r w:rsidRPr="0072600F">
        <w:rPr>
          <w:sz w:val="26"/>
          <w:szCs w:val="26"/>
        </w:rPr>
        <w:t>argues that this clarification would not alter any aspect of Order No. 2023 but would provide valuable information to transmission providers and interconnection customers in developing effective compliance filings.</w:t>
      </w:r>
      <w:r>
        <w:rPr>
          <w:rStyle w:val="FootnoteReference"/>
        </w:rPr>
        <w:footnoteReference w:id="315"/>
      </w:r>
    </w:p>
    <w:p w:rsidR="00760048" w:rsidRPr="0072600F" w14:paraId="2322E22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the event the point of interconnection must change due to a new government policy or regulatory requirement, </w:t>
      </w:r>
      <w:r w:rsidRPr="0072600F">
        <w:rPr>
          <w:sz w:val="26"/>
          <w:szCs w:val="26"/>
        </w:rPr>
        <w:t>Ørsted</w:t>
      </w:r>
      <w:r w:rsidRPr="0072600F">
        <w:rPr>
          <w:sz w:val="26"/>
          <w:szCs w:val="26"/>
        </w:rPr>
        <w:t xml:space="preserve"> requests clarification that any deposits submitted in lieu of site control would still be treated as refundable and the project would not be subject to withdrawal penalties if the change cannot be accommodated.</w:t>
      </w:r>
      <w:r>
        <w:rPr>
          <w:rStyle w:val="FootnoteReference"/>
        </w:rPr>
        <w:footnoteReference w:id="316"/>
      </w:r>
      <w:r w:rsidRPr="0072600F">
        <w:rPr>
          <w:rStyle w:val="FootnoteReference"/>
        </w:rPr>
        <w:t xml:space="preserve"> </w:t>
      </w:r>
    </w:p>
    <w:p w:rsidR="00760048" w:rsidRPr="00FE47B2" w14:paraId="0C4A042D"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Determination</w:t>
      </w:r>
    </w:p>
    <w:p w:rsidR="00760048" w:rsidRPr="0072600F" w14:paraId="0E8EF350"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IPP Coalition’s</w:t>
      </w:r>
      <w:r w:rsidRPr="0072600F">
        <w:rPr>
          <w:sz w:val="26"/>
          <w:szCs w:val="26"/>
        </w:rPr>
        <w:t xml:space="preserve"> </w:t>
      </w:r>
      <w:r w:rsidRPr="0072600F">
        <w:rPr>
          <w:sz w:val="26"/>
          <w:szCs w:val="26"/>
        </w:rPr>
        <w:t>request for rehearing of the Commission’s decision to apply site control demonstration requirements only to the land needed for the generating facility.  We reiterate that the Commission did not propose site control requirements for interconnection facilities in the NOPR.  While we note that some comments were submitted on this topic,</w:t>
      </w:r>
      <w:r>
        <w:rPr>
          <w:rStyle w:val="FootnoteReference"/>
        </w:rPr>
        <w:footnoteReference w:id="317"/>
      </w:r>
      <w:r w:rsidRPr="0072600F">
        <w:rPr>
          <w:sz w:val="26"/>
          <w:szCs w:val="26"/>
        </w:rPr>
        <w:t xml:space="preserve"> we continue to find the record insufficient for the Commission to assess alternative site control requirements for interconnection facilities and impose them on a nationwide basis.  We also note that some of the comments that were submitted argued that interconnection customers require flexibility when siting interconnection facilities because the route for such facilities may not be identified until the very end of the interconnection process.</w:t>
      </w:r>
      <w:r>
        <w:rPr>
          <w:rStyle w:val="FootnoteReference"/>
        </w:rPr>
        <w:footnoteReference w:id="318"/>
      </w:r>
    </w:p>
    <w:p w:rsidR="00760048" w:rsidRPr="0072600F" w14:paraId="1D190A0C"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also unpersuaded by Clean Energy Associations’ request for clarification and to modify the definition of site control to avoid imposing term limits.  We disagree with Clean Energy Associations that Order No. 2023 revised the definition of site control in a way that was not discussed in the NOPR and note that the proposed definition of site control in the NOPR included the words “right to develop, construct, operate, and maintain the Generating Facility over the term of expected operation of the Generation Facility.”</w:t>
      </w:r>
      <w:r>
        <w:rPr>
          <w:rStyle w:val="FootnoteReference"/>
        </w:rPr>
        <w:footnoteReference w:id="319"/>
      </w:r>
      <w:r w:rsidRPr="0072600F">
        <w:rPr>
          <w:sz w:val="26"/>
          <w:szCs w:val="26"/>
        </w:rPr>
        <w:t xml:space="preserve">  We find that allowing interconnection customers to submit site control documentation with a term shorter than the expected operation of the generating facility would increase risks for all parties.  For example, in the event a shorter lease expires, an </w:t>
      </w:r>
      <w:r w:rsidRPr="0072600F">
        <w:rPr>
          <w:bCs/>
          <w:sz w:val="26"/>
          <w:szCs w:val="26"/>
        </w:rPr>
        <w:t xml:space="preserve">interconnection customer could face property rights disputes that threaten its ability to operate its generating facility, which in turn, could jeopardize the transmission provider’s ability to reliably operate its transmission system.  Consistent with Order No. 2023, we find that it is the interconnection customer’s responsibility to obtain exclusive site control over the term of expected operation of the generating facility.  </w:t>
      </w:r>
    </w:p>
    <w:p w:rsidR="00760048" w:rsidRPr="0072600F" w14:paraId="64A33AD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further unpersuaded by ACP’s request for clarification.  We reiterate that, because a deposit in lieu of site control does not demonstrate that an interconnection customer has the exclusive right to develop a site, it does not indicate that an interconnection customer is ready to proceed with construction and commercial operation of the generating facility.  As a result, we believe that allowing transmission providers to expand the option for interconnection customers to submit a deposit in lieu of demonstrating site control to address other exigent circumstances, beyond regulatory limitations, would not help to prevent speculative, commercially non-viable interconnection requests from entering the interconnection queue.  In cases where it is particularly challenging or costly to achieve exclusive site control, the interconnection customer may not be ready to proceed with the construction and commercial operation of the generating facility, and therefore it may be inappropriate to submit an interconnection request for such a facility.  Thus, we decline to clarify that transmission providers may expand the option for interconnection customers to submit a deposit in lieu of demonstrating site control.  </w:t>
      </w:r>
    </w:p>
    <w:p w:rsidR="00760048" w:rsidRPr="0072600F" w14:paraId="6515F53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the event a new regulatory limitation requires a change to the point of interconnection that cannot be accommodated and results in an interconnection request being withdrawn, we grant </w:t>
      </w:r>
      <w:r w:rsidRPr="0072600F">
        <w:rPr>
          <w:sz w:val="26"/>
          <w:szCs w:val="26"/>
        </w:rPr>
        <w:t>Ørsted’s</w:t>
      </w:r>
      <w:r w:rsidRPr="0072600F">
        <w:rPr>
          <w:sz w:val="26"/>
          <w:szCs w:val="26"/>
        </w:rPr>
        <w:t xml:space="preserve"> request for clarification and clarify that any deposits submitted by the interconnection customer in lieu of site control must be refundable.  Nevertheless,</w:t>
      </w:r>
      <w:r w:rsidRPr="0072600F">
        <w:rPr>
          <w:sz w:val="26"/>
          <w:szCs w:val="26"/>
        </w:rPr>
        <w:t xml:space="preserve"> </w:t>
      </w:r>
      <w:r w:rsidRPr="0072600F">
        <w:rPr>
          <w:sz w:val="26"/>
          <w:szCs w:val="26"/>
        </w:rPr>
        <w:t xml:space="preserve">the interconnection customer may be subject to a withdrawal penalty.  We acknowledge that certain interconnection customers, such as offshore wind resources, may be required to modify their point of interconnection, after they have already submitted an interconnection request, in response to a state or federal policy or regulation.  However, the Commission did not adopt a process for interconnection customers to modify their point of interconnection due to a regulatory limitation in Order No. 2023.  An interconnection customer can request to modify its interconnection request pursuant to section 4.4 of the </w:t>
      </w:r>
      <w:r w:rsidRPr="0072600F">
        <w:rPr>
          <w:i/>
          <w:iCs/>
          <w:sz w:val="26"/>
          <w:szCs w:val="26"/>
        </w:rPr>
        <w:t>pro forma</w:t>
      </w:r>
      <w:r w:rsidRPr="0072600F">
        <w:rPr>
          <w:sz w:val="26"/>
          <w:szCs w:val="26"/>
        </w:rPr>
        <w:t xml:space="preserve"> LGIP, but if the transmission provider determines that the change to the point of interconnection is a material modification, and the interconnection customer elects to withdraw its interconnection request, the interconnection customer may be subject to a withdrawal penalty.  </w:t>
      </w:r>
    </w:p>
    <w:p w:rsidR="00760048" w:rsidRPr="00FE47B2" w14:paraId="166D4362"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Commercial Readiness</w:t>
      </w:r>
    </w:p>
    <w:p w:rsidR="00760048" w:rsidRPr="00FE47B2" w14:paraId="78BEB880"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Order No. 2023 Requirements</w:t>
      </w:r>
    </w:p>
    <w:p w:rsidR="00760048" w:rsidRPr="0072600F" w14:paraId="47B905A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sections 3.4.2, 7.5, 8.1, and 11.3 of the </w:t>
      </w:r>
      <w:r w:rsidRPr="0072600F">
        <w:rPr>
          <w:i/>
          <w:iCs/>
          <w:sz w:val="26"/>
          <w:szCs w:val="26"/>
        </w:rPr>
        <w:t xml:space="preserve">pro forma </w:t>
      </w:r>
      <w:r w:rsidRPr="0072600F">
        <w:rPr>
          <w:sz w:val="26"/>
          <w:szCs w:val="26"/>
        </w:rPr>
        <w:t>LGIP to require interconnection customers to submit commercial readiness deposits to help reduce the submission of speculative, commercially non-viable interconnection requests into interconnection queues.</w:t>
      </w:r>
      <w:r>
        <w:rPr>
          <w:rStyle w:val="FootnoteReference"/>
        </w:rPr>
        <w:footnoteReference w:id="320"/>
      </w:r>
      <w:r w:rsidRPr="0072600F">
        <w:rPr>
          <w:sz w:val="26"/>
          <w:szCs w:val="26"/>
        </w:rPr>
        <w:t xml:space="preserve">  The Commission found that, because the interconnection customer’s total commercial readiness deposit held by the transmission provider increases as the interconnection process proceeds, this approach will encourage interconnection customers not ready to proceed through the interconnection process—or whose projects become commercially non-viable during the interconnection process—to withdraw earlier in the process, thereby lessening the incidence of late-stage withdrawals that result in delays and restudies.</w:t>
      </w:r>
      <w:r>
        <w:rPr>
          <w:rStyle w:val="FootnoteReference"/>
        </w:rPr>
        <w:footnoteReference w:id="321"/>
      </w:r>
    </w:p>
    <w:p w:rsidR="00760048" w:rsidRPr="0072600F" w14:paraId="201ABAF3"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declined to adopt the non-financial commercial readiness demonstrations proposed in the NOPR because they were not necessary to address the need for reform—providing additional deterrence of speculative, commercially non-viable interconnection requests—given the significant, increasing commercial readiness deposits adopted instead.</w:t>
      </w:r>
      <w:r>
        <w:rPr>
          <w:rStyle w:val="FootnoteReference"/>
        </w:rPr>
        <w:footnoteReference w:id="322"/>
      </w:r>
      <w:r w:rsidRPr="0072600F">
        <w:rPr>
          <w:sz w:val="26"/>
          <w:szCs w:val="26"/>
        </w:rPr>
        <w:t xml:space="preserve">  The Commission also indicated that the non-financial commercial readiness demonstrations proposed in the NOPR may not necessarily serve as appropriate indicators of a proposed generating facility’s commercial viability on a national basis, or may not match the timelines of state procurement efforts.</w:t>
      </w:r>
      <w:r>
        <w:rPr>
          <w:rStyle w:val="FootnoteReference"/>
        </w:rPr>
        <w:footnoteReference w:id="323"/>
      </w:r>
      <w:r w:rsidRPr="0072600F">
        <w:rPr>
          <w:sz w:val="26"/>
          <w:szCs w:val="26"/>
        </w:rPr>
        <w:t xml:space="preserve">  Additionally, the Commission expressed concern that the proposed non-financial commercial readiness demonstrations could incentivize power purchasers in some regions to execute purchase contracts with interconnection customers whose generating facilities will later be determined to be commercially non-viable.</w:t>
      </w:r>
      <w:r>
        <w:rPr>
          <w:rStyle w:val="FootnoteReference"/>
        </w:rPr>
        <w:footnoteReference w:id="324"/>
      </w:r>
      <w:r w:rsidRPr="0072600F">
        <w:rPr>
          <w:sz w:val="26"/>
          <w:szCs w:val="26"/>
        </w:rPr>
        <w:t xml:space="preserve">  </w:t>
      </w:r>
    </w:p>
    <w:p w:rsidR="00760048" w:rsidRPr="0072600F" w14:paraId="3C82C99B" w14:textId="77777777">
      <w:pPr>
        <w:pStyle w:val="FERCparanumber"/>
        <w:widowControl/>
        <w:numPr>
          <w:ilvl w:val="0"/>
          <w:numId w:val="25"/>
        </w:numPr>
        <w:autoSpaceDE/>
        <w:autoSpaceDN/>
        <w:adjustRightInd/>
        <w:spacing w:line="480" w:lineRule="auto"/>
        <w:rPr>
          <w:sz w:val="26"/>
          <w:szCs w:val="26"/>
        </w:rPr>
      </w:pPr>
      <w:r w:rsidRPr="0072600F">
        <w:rPr>
          <w:sz w:val="26"/>
          <w:szCs w:val="26"/>
        </w:rPr>
        <w:t>Because the Commission did not adopt the non-financial commercial readiness demonstrations proposed in the NOPR, the Commission found that it was unnecessary to address commenter concerns that certain non-financial commercial readiness demonstrations could provide an unduly discriminatory or preferential advantage to projects being developed by transmission providers or their affiliates.</w:t>
      </w:r>
      <w:r>
        <w:rPr>
          <w:rStyle w:val="FootnoteReference"/>
        </w:rPr>
        <w:footnoteReference w:id="325"/>
      </w:r>
      <w:r w:rsidRPr="0072600F">
        <w:rPr>
          <w:sz w:val="26"/>
          <w:szCs w:val="26"/>
        </w:rPr>
        <w:t xml:space="preserve">  Although the Commission found that commercial readiness deposits are sufficient to address the need for reform in this proceeding, the Commission stated that this finding does not preclude transmission providers from proposing to adopt non-financial commercial readiness demonstrations on compliance, provided they meet the requirements of the relevant standards (i.e., an independent entity variation or the “consistent with and superior to” standard) when requesting a variation.</w:t>
      </w:r>
      <w:r>
        <w:rPr>
          <w:rStyle w:val="FootnoteReference"/>
        </w:rPr>
        <w:footnoteReference w:id="326"/>
      </w:r>
    </w:p>
    <w:p w:rsidR="00760048" w:rsidRPr="00FE47B2" w14:paraId="007D042C"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Requests for Rehearing and Clarification</w:t>
      </w:r>
    </w:p>
    <w:p w:rsidR="00760048" w:rsidRPr="0072600F" w14:paraId="5715BCB0"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request that the Commission clarify Order No. 2023 by indicating the evaluation framework to determine if non-financial commercial readiness criteria are unduly discriminatory or preferential.</w:t>
      </w:r>
      <w:r>
        <w:rPr>
          <w:rStyle w:val="FootnoteReference"/>
        </w:rPr>
        <w:footnoteReference w:id="327"/>
      </w:r>
      <w:r w:rsidRPr="0072600F">
        <w:rPr>
          <w:sz w:val="26"/>
          <w:szCs w:val="26"/>
        </w:rPr>
        <w:t xml:space="preserve">  Clean Energy Associations urge the Commission to clarify how it will ensure that any additional non-financial commercial readiness demonstrations that a transmission provider may propose will not provide an unduly or preferential advantage to projects being developed by the transmission provider or its affiliates.  Clean Energy Associations further request that the Commission clarify whether it will require a proposing transmission provider to use the </w:t>
      </w:r>
      <w:r w:rsidRPr="0072600F">
        <w:rPr>
          <w:i/>
          <w:iCs/>
          <w:sz w:val="26"/>
          <w:szCs w:val="26"/>
        </w:rPr>
        <w:t>pro forma</w:t>
      </w:r>
      <w:r w:rsidRPr="0072600F">
        <w:rPr>
          <w:sz w:val="26"/>
          <w:szCs w:val="26"/>
        </w:rPr>
        <w:t xml:space="preserve"> readiness requirements before, or along with, implementing non-financial demonstrations.  In the alternative, Clean Energy Associations seek rehearing on the basis that the Commission failed to meaningfully respond to evidence that the non-financial commercial readiness demonstrations present ample opportunity for non RTO/ ISO transmission providers to discriminate against independent power producers.</w:t>
      </w:r>
      <w:r>
        <w:rPr>
          <w:rStyle w:val="FootnoteReference"/>
        </w:rPr>
        <w:footnoteReference w:id="328"/>
      </w:r>
      <w:r w:rsidRPr="0072600F">
        <w:rPr>
          <w:sz w:val="26"/>
          <w:szCs w:val="26"/>
        </w:rPr>
        <w:t xml:space="preserve">  Clean Energy Associations argue that it is nearly impossible for independent power producers to enter the queue by making a non-financial demonstration of commercial readiness, whereas transmission providers may be able to use non-financial readiness demonstrations to grant their own projects preferential contracts, resulting in undue discrimination against independent power producers.</w:t>
      </w:r>
      <w:r>
        <w:rPr>
          <w:rStyle w:val="FootnoteReference"/>
        </w:rPr>
        <w:footnoteReference w:id="329"/>
      </w:r>
    </w:p>
    <w:p w:rsidR="00760048" w:rsidRPr="00FE47B2" w14:paraId="77F48852"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Determination</w:t>
      </w:r>
    </w:p>
    <w:p w:rsidR="00760048" w:rsidRPr="0072600F" w14:paraId="7B1EBC07"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Clean Energy Associations’ arguments on rehearing that the Commission must establish an evaluation framework to determine if non-financial commercial readiness criteria are unduly discriminatory or preferential.  The Commission did not adopt non-financial commercial readiness demonstrations in Order No. 2023, and therefore such an evaluation framework is not needed to evaluate compliance with Order No. 2023.  Rather, we reiterate the Commission’s finding that non-financial commercial readiness demonstrations are not necessary to address the need for reform—providing additional deterrence of speculative, commercially non-viable interconnection requests—given the significant, increasing commercial readiness deposits the Commission adopted</w:t>
      </w:r>
      <w:r w:rsidRPr="0072600F">
        <w:rPr>
          <w:sz w:val="26"/>
          <w:szCs w:val="26"/>
        </w:rPr>
        <w:t xml:space="preserve"> </w:t>
      </w:r>
      <w:r w:rsidRPr="0072600F">
        <w:rPr>
          <w:sz w:val="26"/>
          <w:szCs w:val="26"/>
        </w:rPr>
        <w:t xml:space="preserve">in Order No. 2023.  Given that the Commission did not adopt non-financial commercial readiness demonstrations, we do not need to respond to arguments that such demonstrations could be unduly discriminatory.  </w:t>
      </w:r>
      <w:r w:rsidR="007D7CF3">
        <w:rPr>
          <w:sz w:val="26"/>
          <w:szCs w:val="26"/>
        </w:rPr>
        <w:t>As such, we are not prejudging any compliance proposals that might include non-financial commercial readiness demonstrations, and t</w:t>
      </w:r>
      <w:r w:rsidRPr="0072600F">
        <w:rPr>
          <w:sz w:val="26"/>
          <w:szCs w:val="26"/>
        </w:rPr>
        <w:t xml:space="preserve">ransmission providers may explain specific circumstances on compliance and justify why any deviations from Order No. 2023 are either consistent with or superior to the </w:t>
      </w:r>
      <w:r w:rsidRPr="0072600F">
        <w:rPr>
          <w:i/>
          <w:sz w:val="26"/>
          <w:szCs w:val="26"/>
        </w:rPr>
        <w:t>pro forma</w:t>
      </w:r>
      <w:r w:rsidRPr="0072600F">
        <w:rPr>
          <w:sz w:val="26"/>
          <w:szCs w:val="26"/>
        </w:rPr>
        <w:t xml:space="preserve"> LGIP or merit an independent entity variation in the context of RTOs/ISOs.</w:t>
      </w:r>
      <w:r>
        <w:rPr>
          <w:rStyle w:val="FootnoteReference"/>
        </w:rPr>
        <w:footnoteReference w:id="330"/>
      </w:r>
      <w:r w:rsidRPr="0072600F">
        <w:rPr>
          <w:sz w:val="26"/>
          <w:szCs w:val="26"/>
        </w:rPr>
        <w:t xml:space="preserve"> </w:t>
      </w:r>
    </w:p>
    <w:p w:rsidR="00760048" w:rsidRPr="00FE47B2" w14:paraId="65205DB0"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Withdrawal Penalties</w:t>
      </w:r>
    </w:p>
    <w:p w:rsidR="00760048" w:rsidRPr="00FE47B2" w14:paraId="25B7209A"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Order No. 2023 Requirements</w:t>
      </w:r>
    </w:p>
    <w:p w:rsidR="00760048" w:rsidRPr="0072600F" w14:paraId="7D6A6A7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added the term “withdrawal penalty” to section 1 of the </w:t>
      </w:r>
      <w:r w:rsidRPr="0072600F">
        <w:rPr>
          <w:i/>
          <w:iCs/>
          <w:sz w:val="26"/>
          <w:szCs w:val="26"/>
        </w:rPr>
        <w:t xml:space="preserve">pro forma </w:t>
      </w:r>
      <w:r w:rsidRPr="0072600F">
        <w:rPr>
          <w:sz w:val="26"/>
          <w:szCs w:val="26"/>
        </w:rPr>
        <w:t xml:space="preserve">LGIP; revised section 3.7 of the </w:t>
      </w:r>
      <w:r w:rsidRPr="0072600F">
        <w:rPr>
          <w:i/>
          <w:sz w:val="26"/>
          <w:szCs w:val="26"/>
        </w:rPr>
        <w:t>pro forma</w:t>
      </w:r>
      <w:r w:rsidRPr="0072600F">
        <w:rPr>
          <w:sz w:val="26"/>
          <w:szCs w:val="26"/>
        </w:rPr>
        <w:t xml:space="preserve"> LGIP; and added sections 3.7.1, 3.7.1.1, and 3.7.1.2 related to withdrawal penalties to the </w:t>
      </w:r>
      <w:r w:rsidRPr="0072600F">
        <w:rPr>
          <w:i/>
          <w:sz w:val="26"/>
          <w:szCs w:val="26"/>
        </w:rPr>
        <w:t>pro forma</w:t>
      </w:r>
      <w:r w:rsidRPr="0072600F">
        <w:rPr>
          <w:sz w:val="26"/>
          <w:szCs w:val="26"/>
        </w:rPr>
        <w:t xml:space="preserve"> LGIP.</w:t>
      </w:r>
      <w:r>
        <w:rPr>
          <w:rStyle w:val="FootnoteReference"/>
        </w:rPr>
        <w:footnoteReference w:id="331"/>
      </w:r>
      <w:r w:rsidRPr="0072600F">
        <w:rPr>
          <w:sz w:val="26"/>
          <w:szCs w:val="26"/>
        </w:rPr>
        <w:t xml:space="preserve">  The Commission required transmission providers to apply withdrawal penalties to an interconnection customer if:  (1) the interconnection customer withdraws its interconnection request at any point in the interconnection process; (2) the interconnection customer’s interconnection request has been deemed withdrawn by the transmission provider at any point in the interconnection process; or (3) the interconnection customer’s generating facility does not reach commercial operation (such as when an interconnection customer’s LGIA is terminated prior to reaching commercial operation).</w:t>
      </w:r>
      <w:r>
        <w:rPr>
          <w:rStyle w:val="FootnoteReference"/>
        </w:rPr>
        <w:footnoteReference w:id="332"/>
      </w:r>
      <w:r w:rsidRPr="0072600F">
        <w:rPr>
          <w:sz w:val="26"/>
          <w:szCs w:val="26"/>
        </w:rPr>
        <w:t xml:space="preserve">  However, a withdrawal penalty must only be assessed if the withdrawal has a material impact on the cost or timing of any interconnection requests with an equal or lower queue position.  The Commission stated that the interconnection customer will also be exempt from paying a withdrawal penalty if (1) the interconnection customer withdraws its interconnection request after receiving the most recent cluster study report and the network upgrade costs assigned to the interconnection customer’s request have increased 25% compared to the previous cluster study report, or (2) the interconnection customer withdraws its interconnection request after receiving the individual facilities study report and the network upgrade costs assigned to the interconnection customer’s request have increased by more than 100% compared to costs identified in the cluster study report.</w:t>
      </w:r>
      <w:r>
        <w:rPr>
          <w:rStyle w:val="FootnoteReference"/>
        </w:rPr>
        <w:footnoteReference w:id="333"/>
      </w:r>
    </w:p>
    <w:p w:rsidR="00760048" w:rsidRPr="0072600F" w14:paraId="7684469A"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required a transmission provider to assess a withdrawal penalty on an interconnection customer with a proposed generating facility that does not reach commercial operation based either on the actual study costs or on a percentage of the interconnection customer’s assigned network upgrade costs, depending on what phase the interconnection customer withdraws its interconnection request.</w:t>
      </w:r>
      <w:r>
        <w:rPr>
          <w:rStyle w:val="FootnoteReference"/>
        </w:rPr>
        <w:footnoteReference w:id="334"/>
      </w:r>
      <w:r w:rsidRPr="0072600F">
        <w:rPr>
          <w:sz w:val="26"/>
          <w:szCs w:val="26"/>
        </w:rPr>
        <w:t xml:space="preserve">  Thus, the withdrawal penalty for an interconnection customer will be calculated as the greater of the study deposit or:  (1) two times the study cost if the interconnection customer withdraws during the cluster study or after receipt of a cluster study report; (2) 5% of the interconnection customer’s identified network upgrade costs </w:t>
      </w:r>
      <w:r w:rsidRPr="0072600F">
        <w:rPr>
          <w:sz w:val="26"/>
          <w:szCs w:val="26"/>
        </w:rPr>
        <w:t>if the interconnection customer withdraws during the cluster restudy or after receipt of any applicable restudy reports</w:t>
      </w:r>
      <w:r w:rsidRPr="0072600F">
        <w:rPr>
          <w:sz w:val="26"/>
          <w:szCs w:val="26"/>
        </w:rPr>
        <w:t>; (3) 10% of the interconnection customer’s identified network upgrade costs if the interconnection customer withdraws during the facilities study, after receipt of the individual facilities study report, or after receipt of the draft LGIA; or (4) 20% of the interconnection customer’s identified network upgrade costs if, after executing, or requesting to file unexecuted, the LGIA, the interconnection customer’s LGIA is terminated before its generating facility achieves commercial operation.</w:t>
      </w:r>
    </w:p>
    <w:p w:rsidR="00760048" w:rsidRPr="0072600F" w14:paraId="4B957243"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w:t>
      </w:r>
      <w:r w:rsidRPr="0072600F">
        <w:rPr>
          <w:sz w:val="26"/>
          <w:szCs w:val="26"/>
        </w:rPr>
        <w:t xml:space="preserve"> </w:t>
      </w:r>
      <w:r w:rsidRPr="0072600F">
        <w:rPr>
          <w:sz w:val="26"/>
          <w:szCs w:val="26"/>
        </w:rPr>
        <w:t>required transmission providers to use the withdrawal penalty funds as follows:  (1) to fund studies and restudies in the same cluster; (2) if withdrawal penalty funds remain, to offset net increases in costs borne by other remaining interconnection customers from the same cluster for network upgrades shared by both the withdrawing and non-withdrawing interconnection customers prior to the withdrawal; and (3) if any withdrawal penalty funds remain, to be returned to the withdrawing interconnection customer.</w:t>
      </w:r>
      <w:r>
        <w:rPr>
          <w:rStyle w:val="FootnoteReference"/>
        </w:rPr>
        <w:footnoteReference w:id="335"/>
      </w:r>
    </w:p>
    <w:p w:rsidR="00760048" w:rsidRPr="0072600F" w14:paraId="3F4D58F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Section 3.7.1.2.1 of the </w:t>
      </w:r>
      <w:r w:rsidRPr="0072600F">
        <w:rPr>
          <w:i/>
          <w:iCs/>
          <w:sz w:val="26"/>
          <w:szCs w:val="26"/>
        </w:rPr>
        <w:t>pro forma</w:t>
      </w:r>
      <w:r w:rsidRPr="0072600F">
        <w:rPr>
          <w:sz w:val="26"/>
          <w:szCs w:val="26"/>
        </w:rPr>
        <w:t xml:space="preserve"> LGIP describes the transmission provider’s handling of withdrawal penalty funds and the first step of distributing them to fund studies and restudies.</w:t>
      </w:r>
      <w:r>
        <w:rPr>
          <w:rStyle w:val="FootnoteReference"/>
        </w:rPr>
        <w:footnoteReference w:id="336"/>
      </w:r>
      <w:r w:rsidRPr="0072600F">
        <w:rPr>
          <w:sz w:val="26"/>
          <w:szCs w:val="26"/>
        </w:rPr>
        <w:t xml:space="preserve">  For a single cluster, the transmission provider shall hold all withdrawal penalty funds until all interconnection customers in that cluster have:  (1)  withdrawn or been deemed withdrawn; (2) executed an LGIA; or (3) requested an LGIA to be filed unexecuted.  Any withdrawal penalty funds collected shall first be used to fund studies for interconnection customers in the same cluster that have executed an LGIA or requested an LGIA to be filed unexecuted.  Distribution of the withdrawal penalty funds for such study costs shall not exceed the total actual study costs.</w:t>
      </w:r>
    </w:p>
    <w:p w:rsidR="00760048" w:rsidRPr="0072600F" w14:paraId="155AF9C3"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adopted section 3.7.1.2.2 of the</w:t>
      </w:r>
      <w:r w:rsidRPr="0072600F">
        <w:rPr>
          <w:i/>
          <w:iCs/>
          <w:sz w:val="26"/>
          <w:szCs w:val="26"/>
        </w:rPr>
        <w:t xml:space="preserve"> pro forma</w:t>
      </w:r>
      <w:r w:rsidRPr="0072600F">
        <w:rPr>
          <w:sz w:val="26"/>
          <w:szCs w:val="26"/>
        </w:rPr>
        <w:t xml:space="preserve"> LGIP, which provides that if, after the first distribution step is complete, withdrawal penalty funds remain, the transmission provider must proceed to the second step of distributing them to offset net increases in network upgrade cost assignments driven by the withdrawal.</w:t>
      </w:r>
      <w:r>
        <w:rPr>
          <w:rStyle w:val="FootnoteReference"/>
        </w:rPr>
        <w:footnoteReference w:id="337"/>
      </w:r>
      <w:r w:rsidRPr="0072600F">
        <w:rPr>
          <w:sz w:val="26"/>
          <w:szCs w:val="26"/>
        </w:rPr>
        <w:t xml:space="preserve">  The transmission provider will determine if the withdrawn interconnection customers, at any point in the cluster study process, shared cost assignment for one or more network upgrades with any remaining interconnection customers in the same cluster based on the cluster study report, cluster restudy report(s), interconnection facilities study report, and any subsequent issued restudy report for the cluster.  </w:t>
      </w:r>
    </w:p>
    <w:p w:rsidR="00760048" w:rsidRPr="0072600F" w14:paraId="5E2C753F" w14:textId="77777777">
      <w:pPr>
        <w:pStyle w:val="FERCparanumber"/>
        <w:widowControl/>
        <w:numPr>
          <w:ilvl w:val="0"/>
          <w:numId w:val="25"/>
        </w:numPr>
        <w:autoSpaceDE/>
        <w:autoSpaceDN/>
        <w:adjustRightInd/>
        <w:spacing w:line="480" w:lineRule="auto"/>
        <w:rPr>
          <w:sz w:val="26"/>
          <w:szCs w:val="26"/>
        </w:rPr>
      </w:pPr>
      <w:r w:rsidRPr="0072600F">
        <w:rPr>
          <w:sz w:val="26"/>
          <w:szCs w:val="26"/>
        </w:rPr>
        <w:t>If the transmission provider determines that withdrawn interconnection customers shared cost assignment for network upgrades with remaining interconnection customers in the same cluster, the transmission provider will calculate the remaining interconnection customers’ net increase in costs (i.e., financial impact) due to a shared cost assignment for network upgrades with the withdrawn interconnection customer.</w:t>
      </w:r>
      <w:r>
        <w:rPr>
          <w:rStyle w:val="FootnoteReference"/>
        </w:rPr>
        <w:footnoteReference w:id="338"/>
      </w:r>
      <w:r w:rsidRPr="0072600F">
        <w:rPr>
          <w:sz w:val="26"/>
          <w:szCs w:val="26"/>
        </w:rPr>
        <w:t xml:space="preserve">  It will then distribute withdrawal penalty funds as described in section 3.7.1.2.3 of the </w:t>
      </w:r>
      <w:r w:rsidRPr="0072600F">
        <w:rPr>
          <w:i/>
          <w:iCs/>
          <w:sz w:val="26"/>
          <w:szCs w:val="26"/>
        </w:rPr>
        <w:t xml:space="preserve">pro forma </w:t>
      </w:r>
      <w:r w:rsidRPr="0072600F">
        <w:rPr>
          <w:sz w:val="26"/>
          <w:szCs w:val="26"/>
        </w:rPr>
        <w:t>LGIP, depending on whether the withdrawal occurred before the withdrawing interconnection customer executed an LGIA (i.e., during the cluster study process) or afterward.</w:t>
      </w:r>
    </w:p>
    <w:p w:rsidR="00760048" w:rsidRPr="0072600F" w14:paraId="6A9ACFB2" w14:textId="77777777">
      <w:pPr>
        <w:pStyle w:val="FERCparanumber"/>
        <w:widowControl/>
        <w:numPr>
          <w:ilvl w:val="0"/>
          <w:numId w:val="25"/>
        </w:numPr>
        <w:autoSpaceDE/>
        <w:autoSpaceDN/>
        <w:adjustRightInd/>
        <w:spacing w:line="480" w:lineRule="auto"/>
        <w:rPr>
          <w:sz w:val="26"/>
          <w:szCs w:val="26"/>
        </w:rPr>
      </w:pPr>
      <w:r w:rsidRPr="0072600F">
        <w:rPr>
          <w:sz w:val="26"/>
          <w:szCs w:val="26"/>
        </w:rPr>
        <w:t>If the transmission provider determines that more than one interconnection customer in the same cluster was financially impacted by the same withdrawn interconnection customer, the transmission provider will apply the relevant withdrawn interconnection customer’s withdrawal penalty to reduce the financial impact to each impacted interconnection customer based on each withdrawn interconnection customer’s proportional share of the financial impact.</w:t>
      </w:r>
      <w:r>
        <w:rPr>
          <w:rStyle w:val="FootnoteReference"/>
        </w:rPr>
        <w:footnoteReference w:id="339"/>
      </w:r>
      <w:r w:rsidRPr="0072600F">
        <w:rPr>
          <w:sz w:val="26"/>
          <w:szCs w:val="26"/>
        </w:rPr>
        <w:t xml:space="preserve">  Each interconnection customer’s proportional share will be determined by either the proportional impact method if the net cost increase is related to a system network upgrade or on a per capita basis if the net cost increase is related to a substation network upgrade.</w:t>
      </w:r>
    </w:p>
    <w:p w:rsidR="00760048" w:rsidRPr="0072600F" w14:paraId="501EC96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Section 3.7.1.2.4 of the </w:t>
      </w:r>
      <w:r w:rsidRPr="0072600F">
        <w:rPr>
          <w:i/>
          <w:iCs/>
          <w:sz w:val="26"/>
          <w:szCs w:val="26"/>
        </w:rPr>
        <w:t>pro forma</w:t>
      </w:r>
      <w:r w:rsidRPr="0072600F">
        <w:rPr>
          <w:sz w:val="26"/>
          <w:szCs w:val="26"/>
        </w:rPr>
        <w:t xml:space="preserve"> LGIP details the process by which the transmission provider will provide amended LGIAs to any interconnection customers in the cluster that qualify for distribution of withdrawal penalty funds under this framework.</w:t>
      </w:r>
      <w:r>
        <w:rPr>
          <w:rStyle w:val="FootnoteReference"/>
        </w:rPr>
        <w:footnoteReference w:id="340"/>
      </w:r>
      <w:r w:rsidRPr="0072600F">
        <w:rPr>
          <w:sz w:val="26"/>
          <w:szCs w:val="26"/>
        </w:rPr>
        <w:t xml:space="preserve">  To account for withdrawals that occurred </w:t>
      </w:r>
      <w:r w:rsidRPr="0072600F">
        <w:rPr>
          <w:i/>
          <w:sz w:val="26"/>
          <w:szCs w:val="26"/>
        </w:rPr>
        <w:t>during the cluster study process</w:t>
      </w:r>
      <w:r w:rsidRPr="0072600F">
        <w:rPr>
          <w:sz w:val="26"/>
          <w:szCs w:val="26"/>
        </w:rPr>
        <w:t>, the transmission provider must do the following:</w:t>
      </w:r>
      <w:r w:rsidRPr="0072600F">
        <w:rPr>
          <w:iCs/>
          <w:sz w:val="26"/>
          <w:szCs w:val="26"/>
        </w:rPr>
        <w:t xml:space="preserve">  w</w:t>
      </w:r>
      <w:r w:rsidRPr="0072600F">
        <w:rPr>
          <w:sz w:val="26"/>
          <w:szCs w:val="26"/>
        </w:rPr>
        <w:t>ithin 30 calendar days of all interconnection customers in the same cluster having:  (1) withdrawn or been deemed withdrawn; (2) executed an LGIA; or (3)</w:t>
      </w:r>
      <w:r w:rsidRPr="0072600F">
        <w:rPr>
          <w:sz w:val="26"/>
          <w:szCs w:val="26"/>
        </w:rPr>
        <w:t xml:space="preserve"> </w:t>
      </w:r>
      <w:r w:rsidRPr="0072600F">
        <w:rPr>
          <w:sz w:val="26"/>
          <w:szCs w:val="26"/>
        </w:rPr>
        <w:t>requested an LGIA to be filed unexecuted, determine if, and to what extent, any interconnection customers qualify to have their increased network upgrade costs offset by withdrawal penalt</w:t>
      </w:r>
      <w:r w:rsidRPr="0072600F">
        <w:rPr>
          <w:iCs/>
          <w:sz w:val="26"/>
          <w:szCs w:val="26"/>
        </w:rPr>
        <w:t>y funds</w:t>
      </w:r>
      <w:r w:rsidRPr="0072600F">
        <w:rPr>
          <w:sz w:val="26"/>
          <w:szCs w:val="26"/>
        </w:rPr>
        <w:t xml:space="preserve"> and provide such interconnection customers with an amended LGIA that provides the reduction in network upgrade cost assignment and associated reduction to the interconnection customer’s financial security requirements.</w:t>
      </w:r>
    </w:p>
    <w:p w:rsidR="00760048" w:rsidRPr="0072600F" w14:paraId="4820C01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To account for withdrawals that occurred in the same cluster after the withdrawing interconnection customer executed an LGIA, or requests the filing of an unexecuted LGIA, the transmission provider must do the following:  </w:t>
      </w:r>
      <w:r w:rsidR="000403F5">
        <w:rPr>
          <w:sz w:val="26"/>
          <w:szCs w:val="26"/>
        </w:rPr>
        <w:t>w</w:t>
      </w:r>
      <w:r w:rsidRPr="0072600F">
        <w:rPr>
          <w:sz w:val="26"/>
          <w:szCs w:val="26"/>
        </w:rPr>
        <w:t>ithin 30 calendar days of such withdrawal or termination, determine if, and to what extent, any interconnection customers qualify to have their increased network upgrade costs offset by withdrawal penalty funds and provide such interconnection customers with an amended LGIA that provides the reduction in network upgrade cost assignment and associated reduction to the interconnection customer’s financial security requirements.</w:t>
      </w:r>
      <w:r>
        <w:rPr>
          <w:rStyle w:val="FootnoteReference"/>
        </w:rPr>
        <w:footnoteReference w:id="341"/>
      </w:r>
    </w:p>
    <w:p w:rsidR="00760048" w:rsidRPr="0072600F" w14:paraId="2B7720FB" w14:textId="77777777">
      <w:pPr>
        <w:pStyle w:val="FERCparanumber"/>
        <w:widowControl/>
        <w:numPr>
          <w:ilvl w:val="0"/>
          <w:numId w:val="25"/>
        </w:numPr>
        <w:autoSpaceDE/>
        <w:autoSpaceDN/>
        <w:adjustRightInd/>
        <w:spacing w:line="480" w:lineRule="auto"/>
        <w:rPr>
          <w:sz w:val="26"/>
          <w:szCs w:val="26"/>
        </w:rPr>
      </w:pPr>
      <w:r w:rsidRPr="0072600F">
        <w:rPr>
          <w:sz w:val="26"/>
          <w:szCs w:val="26"/>
        </w:rPr>
        <w:t>For any given withdrawal, if the transmission provider determines that there are no network upgrade cost assignments in the withdrawn interconnection customer’s cluster shared with the withdrawn interconnection customer, or if the transmission provider determines that the withdrawn interconnection customer’s withdrawal did not cause a net increase in the shared cost assignment for any remaining interconnection customers in the cluster, the transmission provider must return the remaining withdrawal penalty to the withdrawn interconnection customer.</w:t>
      </w:r>
      <w:r>
        <w:rPr>
          <w:rStyle w:val="FootnoteReference"/>
        </w:rPr>
        <w:footnoteReference w:id="342"/>
      </w:r>
      <w:r w:rsidRPr="0072600F">
        <w:rPr>
          <w:sz w:val="26"/>
          <w:szCs w:val="26"/>
        </w:rPr>
        <w:t xml:space="preserve">  Such remaining withdrawal penalties will be returned to withdrawn interconnection customers based on the proportion of each withdrawn interconnection customer’s contribution to the total amount of withdrawal penalty funds collected for the cluster.  The transmission provider must make such disbursement within 60 calendar days of the date on which all interconnection customers in the same cluster have either</w:t>
      </w:r>
      <w:r w:rsidR="00933798">
        <w:rPr>
          <w:sz w:val="26"/>
          <w:szCs w:val="26"/>
        </w:rPr>
        <w:t xml:space="preserve">: </w:t>
      </w:r>
      <w:r w:rsidRPr="0072600F">
        <w:rPr>
          <w:sz w:val="26"/>
          <w:szCs w:val="26"/>
        </w:rPr>
        <w:t xml:space="preserve"> (1) withdrawn or been deemed withdrawn; (2) executed an LGIA; or (3)</w:t>
      </w:r>
      <w:r w:rsidRPr="0072600F">
        <w:rPr>
          <w:sz w:val="26"/>
          <w:szCs w:val="26"/>
        </w:rPr>
        <w:t xml:space="preserve"> </w:t>
      </w:r>
      <w:r w:rsidRPr="0072600F">
        <w:rPr>
          <w:sz w:val="26"/>
          <w:szCs w:val="26"/>
        </w:rPr>
        <w:t>requested an LGIA to be filed unexecuted.</w:t>
      </w:r>
    </w:p>
    <w:p w:rsidR="00760048" w:rsidRPr="0072600F" w14:paraId="14390E1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Finally, section 3.7.1.2.5 of the </w:t>
      </w:r>
      <w:r w:rsidRPr="0072600F">
        <w:rPr>
          <w:i/>
          <w:iCs/>
          <w:sz w:val="26"/>
          <w:szCs w:val="26"/>
        </w:rPr>
        <w:t>pro forma</w:t>
      </w:r>
      <w:r w:rsidRPr="0072600F">
        <w:rPr>
          <w:sz w:val="26"/>
          <w:szCs w:val="26"/>
        </w:rPr>
        <w:t xml:space="preserve"> LGIP provides that if, after the first and second distribution steps are complete, some or all of an interconnection customer’s withdrawal penalty remains, the transmission provider must return the balance of the withdrawn interconnection customer’s withdrawal penalty funds to the withdrawn interconnection customer.</w:t>
      </w:r>
      <w:r>
        <w:rPr>
          <w:rStyle w:val="FootnoteReference"/>
        </w:rPr>
        <w:footnoteReference w:id="343"/>
      </w:r>
    </w:p>
    <w:p w:rsidR="00760048" w:rsidRPr="00FE47B2" w14:paraId="6BDF023D"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Requests for Rehearing and Clarification</w:t>
      </w:r>
    </w:p>
    <w:p w:rsidR="00760048" w:rsidRPr="0072600F" w14:paraId="6565D598"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states that the Commission’s withdrawal penalty structure adopted in Order No. 2023 does not reflect reasoned decision-making as it is unnecessarily complicated and establishes significant new administrative burdens on the transmission provider that are at odds with the intent of Order No. 2023 to enable transmission  providers to more efficiently and timely process interconnection requests.</w:t>
      </w:r>
      <w:r>
        <w:rPr>
          <w:rStyle w:val="FootnoteReference"/>
        </w:rPr>
        <w:footnoteReference w:id="344"/>
      </w:r>
      <w:r w:rsidRPr="0072600F">
        <w:rPr>
          <w:sz w:val="26"/>
          <w:szCs w:val="26"/>
        </w:rPr>
        <w:t xml:space="preserve">  NYISO states that the Commission’s framework substantially deviates from its straightforward proposal in the NOPR, in which the transmission provider would solely use the collected penalties to offset study costs for the cluster.  NYISO asserts that the Commission has not</w:t>
      </w:r>
      <w:r w:rsidRPr="0072600F">
        <w:rPr>
          <w:sz w:val="26"/>
          <w:szCs w:val="26"/>
        </w:rPr>
        <w:t xml:space="preserve"> </w:t>
      </w:r>
      <w:r w:rsidRPr="0072600F">
        <w:rPr>
          <w:sz w:val="26"/>
          <w:szCs w:val="26"/>
        </w:rPr>
        <w:t xml:space="preserve">provided a reasonable basis for expanding this process to insert an additional layer to address offsetting increases in network upgrade costs for shared network upgrades.  NYISO states that </w:t>
      </w:r>
      <w:r w:rsidR="00AC3B6C">
        <w:rPr>
          <w:sz w:val="26"/>
          <w:szCs w:val="26"/>
        </w:rPr>
        <w:t>the</w:t>
      </w:r>
      <w:r w:rsidRPr="0072600F">
        <w:rPr>
          <w:sz w:val="26"/>
          <w:szCs w:val="26"/>
        </w:rPr>
        <w:t xml:space="preserve"> new requirements will require the transmission provider to keep track of multiple penalty streams tied to each withdrawing developer, of which there will likely be a substantial number, across multiple studies while also requiring the performance of extensive analysis concerning the impact of the withdrawal of each of these projects on the remaining projects.  NYISO asserts that the Commission should select one approach that can be reasonably implemented without requiring the commitment of significant additional resources or, alternatively, should permit each transmission provider to determine how such collected penalty costs can be best put to use in its region.</w:t>
      </w:r>
      <w:r>
        <w:rPr>
          <w:rStyle w:val="FootnoteReference"/>
        </w:rPr>
        <w:footnoteReference w:id="345"/>
      </w:r>
    </w:p>
    <w:p w:rsidR="00760048" w:rsidRPr="0072600F" w14:paraId="0EC016BE"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states that, if the Commission elects to retain its withdrawal penalty approach, NYISO requests rehearing and/or clarification of certain elements of these requirements.</w:t>
      </w:r>
      <w:r>
        <w:rPr>
          <w:rStyle w:val="FootnoteReference"/>
        </w:rPr>
        <w:footnoteReference w:id="346"/>
      </w:r>
      <w:r w:rsidRPr="0072600F">
        <w:rPr>
          <w:sz w:val="26"/>
          <w:szCs w:val="26"/>
        </w:rPr>
        <w:t xml:space="preserve">  First, NYISO states that the Commission should clearly establish that withdrawal penalties cannot exceed the dollar amount secured by transmission providers. NYISO asserts that transmission providers cannot be responsible for and should not have to incur the administrative resource and expense of having to hunt down or to enter into litigation with withdrawn interconnection customers to obtain any withdrawal penalties that they fail to pay, and should not be required to pass on any gaps in uncollected penalty amounts to their market participants.  NYISO therefore argues that the Commission should modify the withdrawal penalty rules:  (1) to permit the transmission provider to require increases in deposits from interconnection customers when it becomes evident that the secured amount is not sufficient to offset penalty amounts</w:t>
      </w:r>
      <w:r w:rsidR="00507FF2">
        <w:rPr>
          <w:sz w:val="26"/>
          <w:szCs w:val="26"/>
        </w:rPr>
        <w:t>;</w:t>
      </w:r>
      <w:r w:rsidRPr="0072600F">
        <w:rPr>
          <w:sz w:val="26"/>
          <w:szCs w:val="26"/>
        </w:rPr>
        <w:t xml:space="preserve"> and/or (2) to establish that, in the event of a gap between the secured amount and withdrawal penalties, the transmission provider is not required to pay out any uncollected amount under the penalty distribution rules or to recover such difference from its market participants.</w:t>
      </w:r>
    </w:p>
    <w:p w:rsidR="00760048" w:rsidRPr="0072600F" w14:paraId="7A35276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request rehearing and state that, while they support the inclusion of the penalty-free withdrawal provisions as a necessary protection for interconnection customers, the thresholds set by the Commission are unjust and unreasonable and will result in significant uncertainty </w:t>
      </w:r>
      <w:r w:rsidR="00C97C3F">
        <w:rPr>
          <w:sz w:val="26"/>
          <w:szCs w:val="26"/>
        </w:rPr>
        <w:t>for</w:t>
      </w:r>
      <w:r w:rsidRPr="0072600F" w:rsidR="00C97C3F">
        <w:rPr>
          <w:sz w:val="26"/>
          <w:szCs w:val="26"/>
        </w:rPr>
        <w:t xml:space="preserve"> </w:t>
      </w:r>
      <w:r w:rsidRPr="0072600F">
        <w:rPr>
          <w:sz w:val="26"/>
          <w:szCs w:val="26"/>
        </w:rPr>
        <w:t>interconnection customers and inefficient queue processing.</w:t>
      </w:r>
      <w:r>
        <w:rPr>
          <w:rStyle w:val="FootnoteReference"/>
        </w:rPr>
        <w:footnoteReference w:id="347"/>
      </w:r>
      <w:r w:rsidRPr="0072600F">
        <w:rPr>
          <w:sz w:val="26"/>
          <w:szCs w:val="26"/>
        </w:rPr>
        <w:t xml:space="preserve">  Clean Energy Associations first argue that the 100% increase in network upgrade costs threshold for penalty-free withdrawal from the interconnection queue at the facilities study stage (compared to costs identified in a previous cluster study report) requires interconnection customers to withstand an unjust and unreasonable cost increase at such a late stage.  Clean Energy Associations state that requiring a 100% increase after the facilities study for a penalty-free withdrawal is arbitrary and capricious, as well as unjust and unreasonable because it would serve to effectively penalize interconnection customers for determinations beyond their control, at a late phase when costs should become more certain—not subject to potential doubling.  Clean Energy Associations assert that </w:t>
      </w:r>
      <w:r w:rsidR="00507FF2">
        <w:rPr>
          <w:sz w:val="26"/>
          <w:szCs w:val="26"/>
        </w:rPr>
        <w:t xml:space="preserve">this </w:t>
      </w:r>
      <w:r w:rsidRPr="0072600F">
        <w:rPr>
          <w:sz w:val="26"/>
          <w:szCs w:val="26"/>
        </w:rPr>
        <w:t>is inconsistent with Order No. 2023’s goal and justification for subjecting interconnection customers to increasing cost and risk in the form of higher milestone payments and withdrawal penalties as they move through the stages of the interconnection process, which is intended to incentivize interconnection customers to drop out as soon as they learn that their projects are commercially non-viable.</w:t>
      </w:r>
      <w:r>
        <w:rPr>
          <w:rStyle w:val="FootnoteReference"/>
        </w:rPr>
        <w:footnoteReference w:id="348"/>
      </w:r>
      <w:r w:rsidRPr="0072600F">
        <w:rPr>
          <w:sz w:val="26"/>
          <w:szCs w:val="26"/>
        </w:rPr>
        <w:t xml:space="preserve">  Clean Energy Associations submit that the Commission should lower this threshold to a 50% cost increase post-study for a penalty-free withdrawal, consistent with the penalty-free withdrawal provisions approved in SPP, MISO, and PJM.</w:t>
      </w:r>
      <w:r>
        <w:rPr>
          <w:rStyle w:val="FootnoteReference"/>
        </w:rPr>
        <w:footnoteReference w:id="349"/>
      </w:r>
    </w:p>
    <w:p w:rsidR="00760048" w:rsidRPr="0072600F" w14:paraId="64366779"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explains that the Order No. 2023 withdrawal penalty requirements establish certain exceptions to an interconnection customer’s responsibility for withdrawal penalties, including in cases in which the transmission provider determines that “the withdrawal does not have a material impact on the cost or timing of any Interconnection Request with an equal or lower Queue Position.”</w:t>
      </w:r>
      <w:r>
        <w:rPr>
          <w:rStyle w:val="FootnoteReference"/>
        </w:rPr>
        <w:footnoteReference w:id="350"/>
      </w:r>
      <w:r w:rsidRPr="0072600F">
        <w:rPr>
          <w:sz w:val="26"/>
          <w:szCs w:val="26"/>
        </w:rPr>
        <w:t xml:space="preserve">  NYISO argues that the Commission should eliminate this material impact threshold exception, which it argues is inconsistent with the Commission’s rationale for the withdrawal penalties, is not well defined, and will create an additional administrative, time-intensive burden on transmission providers.  NYISO states that an interconnection customer’s withdrawal at the conclusion of a study phase made use of the transmission provider’s limited time and resources to the detriment of other interconnection customers that are ready to proceed and the overall time for completing the study phase, and that this harm occurs regardless of whether or not the actual study results indicate that the withdrawal of its project has a material impact on the cost or timing of other interconnection requests. </w:t>
      </w:r>
    </w:p>
    <w:p w:rsidR="00760048" w:rsidRPr="0072600F" w14:paraId="162C75EF"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further states that the Commission neither defined nor provided guidance concerning what constitutes a material impact, leaving it instead to the transmission provider to determine.</w:t>
      </w:r>
      <w:r>
        <w:rPr>
          <w:rStyle w:val="FootnoteReference"/>
        </w:rPr>
        <w:footnoteReference w:id="351"/>
      </w:r>
      <w:r w:rsidRPr="0072600F">
        <w:rPr>
          <w:sz w:val="26"/>
          <w:szCs w:val="26"/>
        </w:rPr>
        <w:t xml:space="preserve">  NYISO argues that this creates significant inefficiencies and administrative burdens to require transmission providers to assess each withdrawing project—which could potentially be dozens—at each study phase and determine on a case-by-case basis what individual impact that project has on the cost and timing of any interconnection request with an equal or lower queue position.  NYISO states that this would require reviewing such impacts for not only all other projects participating in the cluster, but also all other lower queued large and small generating facilities in a transmission provider’s interconnection queue.  NYISO argues that this time intensive analysis required upon each withdrawal is counter to one of the primary goals of Order No. 2023:  to increase efficiencies in the interconnection process.</w:t>
      </w:r>
    </w:p>
    <w:p w:rsidR="00760048" w:rsidRPr="0072600F" w14:paraId="42B517A8"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also seek clarification to provide consistency and objectivity regarding what constitutes a material impact resulting from a withdrawal.</w:t>
      </w:r>
      <w:r>
        <w:rPr>
          <w:rStyle w:val="FootnoteReference"/>
        </w:rPr>
        <w:footnoteReference w:id="352"/>
      </w:r>
      <w:r w:rsidRPr="0072600F">
        <w:rPr>
          <w:sz w:val="26"/>
          <w:szCs w:val="26"/>
        </w:rPr>
        <w:t xml:space="preserve">  Clean Energy Associations urge the Commission to clarify that transmission providers must develop criteria to use in assessing materiality and include such criteria in their compliance filings and tariffs, and suggest modifications to </w:t>
      </w:r>
      <w:r w:rsidRPr="0072600F">
        <w:rPr>
          <w:i/>
          <w:iCs/>
          <w:sz w:val="26"/>
          <w:szCs w:val="26"/>
        </w:rPr>
        <w:t>pro forma</w:t>
      </w:r>
      <w:r w:rsidRPr="0072600F">
        <w:rPr>
          <w:sz w:val="26"/>
          <w:szCs w:val="26"/>
        </w:rPr>
        <w:t xml:space="preserve"> LGIP section 3.7.1.</w:t>
      </w:r>
      <w:r>
        <w:rPr>
          <w:rStyle w:val="FootnoteReference"/>
        </w:rPr>
        <w:footnoteReference w:id="353"/>
      </w:r>
      <w:r w:rsidRPr="0072600F">
        <w:rPr>
          <w:sz w:val="26"/>
          <w:szCs w:val="26"/>
        </w:rPr>
        <w:t xml:space="preserve">  Clean Energy Associations assert that such clarification would still allow transmission providers the deference to make materiality determinations, but would also provide interconnection customers with a clear understanding of how materiality will be determined by each provider, while also ensuring consistent treatment of interconnection customers by transmission providers and consistent application of the required withdrawal penalty approach.  Clean Energy Associations also ask the Commission to clarify that, when a transmission provider makes a materiality determination after a withdrawal, that such determination or other information associated therewith be made available along with and at the same time as the penalty revenue posting required by revised </w:t>
      </w:r>
      <w:r w:rsidRPr="0072600F">
        <w:rPr>
          <w:i/>
          <w:iCs/>
          <w:sz w:val="26"/>
          <w:szCs w:val="26"/>
        </w:rPr>
        <w:t>pro forma</w:t>
      </w:r>
      <w:r w:rsidRPr="0072600F">
        <w:rPr>
          <w:sz w:val="26"/>
          <w:szCs w:val="26"/>
        </w:rPr>
        <w:t xml:space="preserve"> LGIP section 3.7.1.2.  Clean Energy Associations argue that</w:t>
      </w:r>
      <w:r w:rsidR="00E25866">
        <w:rPr>
          <w:sz w:val="26"/>
          <w:szCs w:val="26"/>
        </w:rPr>
        <w:t>,</w:t>
      </w:r>
      <w:r w:rsidRPr="0072600F">
        <w:rPr>
          <w:sz w:val="26"/>
          <w:szCs w:val="26"/>
        </w:rPr>
        <w:t xml:space="preserve"> absent the mechanisms requested in this clarification, the Commission and interconnection customers would have little or no visibility into transmission providers’ implementation of the immateriality exemption, the inconsistent application of which could have significant impacts on competition and could result in undue discrimination and preferential treatment amongst similarly situated interconnection customers. </w:t>
      </w:r>
    </w:p>
    <w:p w:rsidR="00760048" w:rsidRPr="0072600F" w14:paraId="38596CF6" w14:textId="77777777">
      <w:pPr>
        <w:pStyle w:val="FERCparanumber"/>
        <w:widowControl/>
        <w:numPr>
          <w:ilvl w:val="0"/>
          <w:numId w:val="25"/>
        </w:numPr>
        <w:autoSpaceDE/>
        <w:autoSpaceDN/>
        <w:adjustRightInd/>
        <w:spacing w:line="480" w:lineRule="auto"/>
        <w:rPr>
          <w:sz w:val="26"/>
          <w:szCs w:val="26"/>
        </w:rPr>
      </w:pPr>
      <w:r w:rsidRPr="0072600F">
        <w:rPr>
          <w:sz w:val="26"/>
          <w:szCs w:val="26"/>
        </w:rPr>
        <w:t>WIRES states that Order No. 2023 provides that any withdrawal penalty funds collected by the transmission provider are to be distributed among the remaining interconnection customers in the relevant cluster.</w:t>
      </w:r>
      <w:r>
        <w:rPr>
          <w:rStyle w:val="FootnoteReference"/>
        </w:rPr>
        <w:footnoteReference w:id="354"/>
      </w:r>
      <w:r w:rsidRPr="0072600F">
        <w:rPr>
          <w:sz w:val="26"/>
          <w:szCs w:val="26"/>
        </w:rPr>
        <w:t xml:space="preserve">  Specifically, WIRES explains that Order No. 2023 indicates that such withdrawal penalties are to be used to reduce any net increases to the existing network upgrade cost assignments to remaining customers that saw increased costs as a result of the withdrawing customer.  WIRES states that, read together with new section 3.7.1.2.2 of the </w:t>
      </w:r>
      <w:r w:rsidRPr="0072600F">
        <w:rPr>
          <w:i/>
          <w:iCs/>
          <w:sz w:val="26"/>
          <w:szCs w:val="26"/>
        </w:rPr>
        <w:t>pro forma</w:t>
      </w:r>
      <w:r w:rsidRPr="0072600F">
        <w:rPr>
          <w:sz w:val="26"/>
          <w:szCs w:val="26"/>
        </w:rPr>
        <w:t xml:space="preserve">, the new rule provides that penalty revenues are not directly returned to non-withdrawing customers; rather, the transmission provider is to use those funds to reduce the costs of network upgrades that are ultimately assigned to non-withdrawing interconnection customers.  WIRES states that, because penalty revenues do not appear to be directly returned to non-withdrawing customers, it is unclear </w:t>
      </w:r>
      <w:r w:rsidRPr="0072600F">
        <w:rPr>
          <w:i/>
          <w:iCs/>
          <w:sz w:val="26"/>
          <w:szCs w:val="26"/>
        </w:rPr>
        <w:t xml:space="preserve">how </w:t>
      </w:r>
      <w:r w:rsidRPr="0072600F">
        <w:rPr>
          <w:sz w:val="26"/>
          <w:szCs w:val="26"/>
        </w:rPr>
        <w:t xml:space="preserve">the rule requires the transmission provider to use those funds to reduce the interconnection customers’ network upgrade cost assignment.  As a consequence, WIRES asserts that Order No. 2023 could be read to require the transmission provider to reduce its construction costs included in rates associated with the network upgrade and preclude it from earning a return on the full cost of the network upgrades that transmission owners develop to serve the needs of the cluster.  WIRES claims that, in effect, the withdrawal penalty crediting mechanism could infringe upon a transmission provider’s right to self-fund network upgrades and earn a return of and on their investment.  WIRES argues that the Commission’s proposed rule never specified, much less suggested, that withdrawal penalties would be used to offset network upgrade costs, and the Commission should clarify that the Order No. 2023 withdrawal penalty distribution may be used to offset payment amounts by the remaining interconnection customers to the transmission owner but does not affect the overall revenue requirement for the network upgrades.  </w:t>
      </w:r>
    </w:p>
    <w:p w:rsidR="00760048" w:rsidRPr="0072600F" w14:paraId="59B5E68B" w14:textId="77777777">
      <w:pPr>
        <w:pStyle w:val="FERCparanumber"/>
        <w:widowControl/>
        <w:numPr>
          <w:ilvl w:val="0"/>
          <w:numId w:val="25"/>
        </w:numPr>
        <w:autoSpaceDE/>
        <w:autoSpaceDN/>
        <w:adjustRightInd/>
        <w:spacing w:line="480" w:lineRule="auto"/>
        <w:rPr>
          <w:sz w:val="26"/>
          <w:szCs w:val="26"/>
        </w:rPr>
      </w:pPr>
      <w:r w:rsidRPr="0072600F">
        <w:rPr>
          <w:sz w:val="26"/>
          <w:szCs w:val="26"/>
        </w:rPr>
        <w:t>WIRES states that the Commission could also clarify that the withdrawal penalty funds are to be distributed directly to remaining interconnection customers as cash payments, which it claims would achieve the Commission’s apparent objectives without impermissibly interfering with a transmission owner’s right to fund network upgrades.</w:t>
      </w:r>
      <w:r>
        <w:rPr>
          <w:rStyle w:val="FootnoteReference"/>
        </w:rPr>
        <w:footnoteReference w:id="355"/>
      </w:r>
      <w:r w:rsidRPr="0072600F">
        <w:rPr>
          <w:sz w:val="26"/>
          <w:szCs w:val="26"/>
        </w:rPr>
        <w:t xml:space="preserve">  WIRES states that, absent the Commission granting the above clarification, WIRES seeks rehearing on the basis that the Commission failed to provide adequate notice and opportunity for public comment on the consequences, impacts, and legality of, and possible alternatives to, this new withdrawal penalty distribution scheme prior to issuing Order No. 2023 as required by the Administrative Procedure Act, and failed to consider the effects of its withdrawal distribution penalty.  </w:t>
      </w:r>
    </w:p>
    <w:p w:rsidR="00760048" w:rsidRPr="0072600F" w14:paraId="325A3FC8"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requests that the Commission confirm or otherwise clarify the timeframes for the specific withdrawal penalty application process steps from the date on which all interconnection customers in the cluster have either withdrawn or been deemed withdrawn, executed an LGIA, or requested the LGIA be filed unexecuted.</w:t>
      </w:r>
      <w:r>
        <w:rPr>
          <w:rStyle w:val="FootnoteReference"/>
        </w:rPr>
        <w:footnoteReference w:id="356"/>
      </w:r>
      <w:r w:rsidRPr="0072600F">
        <w:rPr>
          <w:sz w:val="26"/>
          <w:szCs w:val="26"/>
        </w:rPr>
        <w:t xml:space="preserve">  NYISO states that it understands the transmission provider to have the following responsibilities within either 30 or 60 calendar days of this start date.  NYISO understands </w:t>
      </w:r>
      <w:r w:rsidR="008A1294">
        <w:rPr>
          <w:sz w:val="26"/>
          <w:szCs w:val="26"/>
        </w:rPr>
        <w:t>that</w:t>
      </w:r>
      <w:r w:rsidRPr="0072600F">
        <w:rPr>
          <w:sz w:val="26"/>
          <w:szCs w:val="26"/>
        </w:rPr>
        <w:t xml:space="preserve"> the transmission provider must within 30 days:  (1) determine the use of the collected withdrawal penalty funds for study costs; (2) refund study costs; (3) determine the use of any remaining collected withdrawal penalty funds for net increases to network upgrade costs; and (4) provide an amended LGIA in the case of any offset of increases to network upgrade costs.  NYISO states that it further understands that the transmission provider must return any remaining security to interconnection customer within 60 calendar days.  NYISO requests that the Commission confirm these are the intended deadlines or clarify the actual deadlines for these responsibilities.</w:t>
      </w:r>
    </w:p>
    <w:p w:rsidR="00760048" w:rsidRPr="0072600F" w14:paraId="4B4DBAF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NYISO next states that </w:t>
      </w:r>
      <w:r w:rsidRPr="0072600F">
        <w:rPr>
          <w:i/>
          <w:iCs/>
          <w:sz w:val="26"/>
          <w:szCs w:val="26"/>
        </w:rPr>
        <w:t>pro forma</w:t>
      </w:r>
      <w:r w:rsidRPr="0072600F">
        <w:rPr>
          <w:sz w:val="26"/>
          <w:szCs w:val="26"/>
        </w:rPr>
        <w:t xml:space="preserve"> LGIP section 3.7.1.2.1 indicates that the transmission provider must use the collected withdrawal penalties first “to fund studies conducted under the cluster study process,” and that the cluster study process is defined to include all of the interconnection studies and re-studies.</w:t>
      </w:r>
      <w:r>
        <w:rPr>
          <w:rStyle w:val="FootnoteReference"/>
        </w:rPr>
        <w:footnoteReference w:id="357"/>
      </w:r>
      <w:r w:rsidRPr="0072600F">
        <w:rPr>
          <w:sz w:val="26"/>
          <w:szCs w:val="26"/>
        </w:rPr>
        <w:t xml:space="preserve">  However, NYISO states that section 3.7.1.2.1 elsewhere describes distributing withdrawal penalties only in the context of the cluster study.  NYISO </w:t>
      </w:r>
      <w:r w:rsidR="00695D7C">
        <w:rPr>
          <w:sz w:val="26"/>
          <w:szCs w:val="26"/>
        </w:rPr>
        <w:t>asks</w:t>
      </w:r>
      <w:r w:rsidRPr="0072600F" w:rsidR="00695D7C">
        <w:rPr>
          <w:sz w:val="26"/>
          <w:szCs w:val="26"/>
        </w:rPr>
        <w:t xml:space="preserve"> </w:t>
      </w:r>
      <w:r w:rsidRPr="0072600F">
        <w:rPr>
          <w:sz w:val="26"/>
          <w:szCs w:val="26"/>
        </w:rPr>
        <w:t xml:space="preserve">the Commission </w:t>
      </w:r>
      <w:r w:rsidR="00695D7C">
        <w:rPr>
          <w:sz w:val="26"/>
          <w:szCs w:val="26"/>
        </w:rPr>
        <w:t>to</w:t>
      </w:r>
      <w:r w:rsidRPr="0072600F">
        <w:rPr>
          <w:sz w:val="26"/>
          <w:szCs w:val="26"/>
        </w:rPr>
        <w:t xml:space="preserve"> clarify whether this tariff language was intended to apply solely to distribution of penalty funds for cluster study costs or for all the interconnection studies—e.g., cluster re-studies and the interconnection facilities study. </w:t>
      </w:r>
    </w:p>
    <w:p w:rsidR="00760048" w:rsidRPr="0072600F" w14:paraId="000A715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NYISO also asks the Commission to clarify whether the requirements in </w:t>
      </w:r>
      <w:r w:rsidRPr="0072600F">
        <w:rPr>
          <w:i/>
          <w:iCs/>
          <w:sz w:val="26"/>
          <w:szCs w:val="26"/>
        </w:rPr>
        <w:t>pro forma</w:t>
      </w:r>
      <w:r w:rsidRPr="0072600F">
        <w:rPr>
          <w:sz w:val="26"/>
          <w:szCs w:val="26"/>
        </w:rPr>
        <w:t xml:space="preserve"> LGIP section 3.7.1.2.2 for refunding any penalty amounts not used to offset study costs and net increases in upgrade costs are intended to be the same or different from the requirements for distributing such remaining penalty funds under section 3.7.1.2.5.</w:t>
      </w:r>
      <w:r>
        <w:rPr>
          <w:rStyle w:val="FootnoteReference"/>
        </w:rPr>
        <w:footnoteReference w:id="358"/>
      </w:r>
      <w:r w:rsidRPr="0072600F">
        <w:rPr>
          <w:sz w:val="26"/>
          <w:szCs w:val="26"/>
        </w:rPr>
        <w:t xml:space="preserve">  NYISO requests that the Commission provide an expanded version of the helpful example it provided in Paragraph 808 of Order No. 2023 that walks through the different potential variations of this process. </w:t>
      </w:r>
    </w:p>
    <w:p w:rsidR="00760048" w:rsidRPr="0072600F" w:rsidP="008F3C60" w14:paraId="2BAC029C" w14:textId="77777777">
      <w:pPr>
        <w:pStyle w:val="FERCparanumber"/>
        <w:widowControl/>
        <w:numPr>
          <w:ilvl w:val="0"/>
          <w:numId w:val="25"/>
        </w:numPr>
        <w:autoSpaceDE/>
        <w:autoSpaceDN/>
        <w:adjustRightInd/>
        <w:spacing w:line="480" w:lineRule="auto"/>
        <w:ind w:right="-90"/>
        <w:rPr>
          <w:sz w:val="26"/>
          <w:szCs w:val="26"/>
        </w:rPr>
      </w:pPr>
      <w:r w:rsidRPr="0072600F">
        <w:rPr>
          <w:sz w:val="26"/>
          <w:szCs w:val="26"/>
        </w:rPr>
        <w:t>Clean Energy Associations and Shell ask the Commission to clarify the scope of the withdrawal penalty contained in revised</w:t>
      </w:r>
      <w:r w:rsidRPr="0072600F">
        <w:rPr>
          <w:i/>
          <w:iCs/>
          <w:sz w:val="26"/>
          <w:szCs w:val="26"/>
        </w:rPr>
        <w:t xml:space="preserve"> pro forma</w:t>
      </w:r>
      <w:r w:rsidRPr="0072600F">
        <w:rPr>
          <w:sz w:val="26"/>
          <w:szCs w:val="26"/>
        </w:rPr>
        <w:t xml:space="preserve"> LGIP sections 5.1.1.1 and 5.1.1.2.</w:t>
      </w:r>
      <w:r>
        <w:rPr>
          <w:rStyle w:val="FootnoteReference"/>
        </w:rPr>
        <w:footnoteReference w:id="359"/>
      </w:r>
      <w:r w:rsidRPr="0072600F">
        <w:rPr>
          <w:sz w:val="26"/>
          <w:szCs w:val="26"/>
        </w:rPr>
        <w:t xml:space="preserve">  Clean Energy Associations state that the withdrawal penalty definition’s reference to revised</w:t>
      </w:r>
      <w:r w:rsidRPr="0072600F">
        <w:rPr>
          <w:i/>
          <w:iCs/>
          <w:sz w:val="26"/>
          <w:szCs w:val="26"/>
        </w:rPr>
        <w:t xml:space="preserve"> pro forma</w:t>
      </w:r>
      <w:r w:rsidRPr="0072600F">
        <w:rPr>
          <w:sz w:val="26"/>
          <w:szCs w:val="26"/>
        </w:rPr>
        <w:t xml:space="preserve"> LGIP section 3.7.1, and its subsection 3.7.1.1, leads to a conclusion that every withdrawal penalty is to be calculated consistent with revised</w:t>
      </w:r>
      <w:r w:rsidRPr="0072600F">
        <w:rPr>
          <w:i/>
          <w:iCs/>
          <w:sz w:val="26"/>
          <w:szCs w:val="26"/>
        </w:rPr>
        <w:t xml:space="preserve"> </w:t>
      </w:r>
      <w:r w:rsidR="008F3C60">
        <w:rPr>
          <w:i/>
          <w:iCs/>
          <w:sz w:val="26"/>
          <w:szCs w:val="26"/>
        </w:rPr>
        <w:t xml:space="preserve">      </w:t>
      </w:r>
      <w:r w:rsidRPr="0072600F">
        <w:rPr>
          <w:i/>
          <w:iCs/>
          <w:sz w:val="26"/>
          <w:szCs w:val="26"/>
        </w:rPr>
        <w:t>pro forma</w:t>
      </w:r>
      <w:r w:rsidRPr="0072600F">
        <w:rPr>
          <w:sz w:val="26"/>
          <w:szCs w:val="26"/>
        </w:rPr>
        <w:t xml:space="preserve"> LGIP section 3.7.1.</w:t>
      </w:r>
      <w:r>
        <w:rPr>
          <w:rStyle w:val="FootnoteReference"/>
        </w:rPr>
        <w:footnoteReference w:id="360"/>
      </w:r>
      <w:r w:rsidRPr="0072600F">
        <w:rPr>
          <w:sz w:val="26"/>
          <w:szCs w:val="26"/>
        </w:rPr>
        <w:t xml:space="preserve">  Clean Energy Associations and Shell state that section 5 of the revised</w:t>
      </w:r>
      <w:r w:rsidRPr="0072600F">
        <w:rPr>
          <w:i/>
          <w:iCs/>
          <w:sz w:val="26"/>
          <w:szCs w:val="26"/>
        </w:rPr>
        <w:t xml:space="preserve"> pro forma</w:t>
      </w:r>
      <w:r w:rsidRPr="0072600F">
        <w:rPr>
          <w:sz w:val="26"/>
          <w:szCs w:val="26"/>
        </w:rPr>
        <w:t xml:space="preserve"> LGIP procedures for the transitional cluster study process refers to the withdrawal penalty provisions of section 3.7, but that certain cross references are unclear.</w:t>
      </w:r>
      <w:r>
        <w:rPr>
          <w:rStyle w:val="FootnoteReference"/>
        </w:rPr>
        <w:footnoteReference w:id="361"/>
      </w:r>
      <w:r w:rsidRPr="0072600F">
        <w:rPr>
          <w:sz w:val="26"/>
          <w:szCs w:val="26"/>
        </w:rPr>
        <w:t xml:space="preserve">  Clean Energy Associations argue that the Commission should clarify whether the term “Withdrawal Penalty” in revised </w:t>
      </w:r>
      <w:r w:rsidRPr="0072600F">
        <w:rPr>
          <w:i/>
          <w:iCs/>
          <w:sz w:val="26"/>
          <w:szCs w:val="26"/>
        </w:rPr>
        <w:t>pro forma</w:t>
      </w:r>
      <w:r w:rsidRPr="0072600F">
        <w:rPr>
          <w:sz w:val="26"/>
          <w:szCs w:val="26"/>
        </w:rPr>
        <w:t xml:space="preserve"> LGIP sections 5.1.1.1 and 5.1.1.2 either:  (1) should not be capitalized so that the revised </w:t>
      </w:r>
      <w:r w:rsidRPr="0072600F">
        <w:rPr>
          <w:i/>
          <w:iCs/>
          <w:sz w:val="26"/>
          <w:szCs w:val="26"/>
        </w:rPr>
        <w:t>pro forma</w:t>
      </w:r>
      <w:r w:rsidRPr="0072600F">
        <w:rPr>
          <w:sz w:val="26"/>
          <w:szCs w:val="26"/>
        </w:rPr>
        <w:t xml:space="preserve"> LGIP section 1 defined term “Withdrawal Penalty,” and its corresponding reference to the calculation in </w:t>
      </w:r>
      <w:r w:rsidRPr="0072600F">
        <w:rPr>
          <w:i/>
          <w:iCs/>
          <w:sz w:val="26"/>
          <w:szCs w:val="26"/>
        </w:rPr>
        <w:t>pro forma</w:t>
      </w:r>
      <w:r w:rsidRPr="0072600F">
        <w:rPr>
          <w:sz w:val="26"/>
          <w:szCs w:val="26"/>
        </w:rPr>
        <w:t xml:space="preserve"> LGIP section 3.7.1, do not apply to withdrawals during the transition process; or (2) a new term “Transitional Withdrawal Penalty” should be defined as a specific withdrawal penalty that applies only during the transition process and is calculated pursuant to Revised </w:t>
      </w:r>
      <w:r w:rsidRPr="0072600F">
        <w:rPr>
          <w:i/>
          <w:iCs/>
          <w:sz w:val="26"/>
          <w:szCs w:val="26"/>
        </w:rPr>
        <w:t>pro forma</w:t>
      </w:r>
      <w:r w:rsidRPr="0072600F">
        <w:rPr>
          <w:sz w:val="26"/>
          <w:szCs w:val="26"/>
        </w:rPr>
        <w:t xml:space="preserve"> LGIP sections 5.1.1.1 and 5.1.1.2.</w:t>
      </w:r>
      <w:r>
        <w:rPr>
          <w:rStyle w:val="FootnoteReference"/>
        </w:rPr>
        <w:footnoteReference w:id="362"/>
      </w:r>
      <w:r w:rsidRPr="0072600F">
        <w:rPr>
          <w:sz w:val="26"/>
          <w:szCs w:val="26"/>
        </w:rPr>
        <w:t xml:space="preserve">  Clean Energy Associations and Shell further argue that the Commission also should clarify whether the term “study cost,” as used in the calculation of the transitional withdrawal penalty, includes the cost of the entire cluster study or the study cost that has been assigned to the withdrawing interconnection customer up to the point of its withdrawal. </w:t>
      </w:r>
    </w:p>
    <w:p w:rsidR="00760048" w:rsidRPr="0072600F" w14:paraId="00ECDDE3"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ask the Commission to clarify that the new penalty-free withdrawal thresholds will apply to transitional projects.</w:t>
      </w:r>
      <w:r>
        <w:rPr>
          <w:rStyle w:val="FootnoteReference"/>
        </w:rPr>
        <w:footnoteReference w:id="363"/>
      </w:r>
      <w:r w:rsidRPr="0072600F">
        <w:rPr>
          <w:sz w:val="26"/>
          <w:szCs w:val="26"/>
        </w:rPr>
        <w:t xml:space="preserve">  Clean Energy Associations argue that this clarification will increase project certainty and fairly allow projects that go through the transition to proceed in good faith without the risk that new results that show substantially higher costs will not allow them to withdraw penalty-free. </w:t>
      </w:r>
    </w:p>
    <w:p w:rsidR="00760048" w:rsidRPr="00FE47B2" w14:paraId="1A090BF5"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Determination</w:t>
      </w:r>
    </w:p>
    <w:p w:rsidR="00760048" w:rsidRPr="0072600F" w14:paraId="681C7C36" w14:textId="77777777">
      <w:pPr>
        <w:pStyle w:val="FERCparanumber"/>
        <w:widowControl/>
        <w:numPr>
          <w:ilvl w:val="0"/>
          <w:numId w:val="25"/>
        </w:numPr>
        <w:autoSpaceDE/>
        <w:autoSpaceDN/>
        <w:adjustRightInd/>
        <w:spacing w:line="480" w:lineRule="auto"/>
        <w:rPr>
          <w:sz w:val="26"/>
          <w:szCs w:val="26"/>
        </w:rPr>
      </w:pPr>
      <w:r w:rsidRPr="0072600F">
        <w:rPr>
          <w:sz w:val="26"/>
          <w:szCs w:val="26"/>
        </w:rPr>
        <w:t>We deny NYISO’s rehearing request as it pertains to the withdrawal penalty structure.  Specifically, we disagree with NYISO’s assertion that the withdrawal penalty structure adopted in Order No. 2023 is unnecessarily complicated and burdensome on transmission providers and that it does not reflect reasoned decision-making.  While NYISO asserts that the requirement to distribute withdrawal penalties to remaining interconnection customers facing net increases of costs for shared network upgrades will complicate and slow the interconnection study process, we continue to find that the benefits of reducing the harm of such cost shifts outweighs the potential for added complexity.  We continue to maintain that incorporating such a mechanism will decrease the risk that very large cost shifts due to withdrawals result in cascading withdrawals,</w:t>
      </w:r>
      <w:r>
        <w:rPr>
          <w:rStyle w:val="FootnoteReference"/>
        </w:rPr>
        <w:footnoteReference w:id="364"/>
      </w:r>
      <w:r w:rsidRPr="0072600F">
        <w:rPr>
          <w:sz w:val="26"/>
          <w:szCs w:val="26"/>
        </w:rPr>
        <w:t xml:space="preserve"> which in turn create substantial uncertainty, cost, and inefficiency for the interconnection study process.  Moreover, the tracking of withdrawal penalty funds is necessary to ensure that funds related to individual interconnection customers’ withdrawals are appropriately allocated.  The concern of ensuring transparency to interconnection customers regarding such funds outweighs the perceived burden to transmission providers, especially because transmission providers are likely to</w:t>
      </w:r>
      <w:r w:rsidRPr="0072600F">
        <w:rPr>
          <w:sz w:val="26"/>
          <w:szCs w:val="26"/>
        </w:rPr>
        <w:t xml:space="preserve"> </w:t>
      </w:r>
      <w:r w:rsidRPr="0072600F">
        <w:rPr>
          <w:sz w:val="26"/>
          <w:szCs w:val="26"/>
        </w:rPr>
        <w:t xml:space="preserve">track the impact of an interconnection customer’s withdrawal regardless: this is valuable information to the transmission provider because withdrawals could lead to a study delay and accompanying penalty for the transmission provider and such information could be useful to the transmission provider in an appeal.  </w:t>
      </w:r>
    </w:p>
    <w:p w:rsidR="00760048" w:rsidRPr="0072600F" w14:paraId="27D6108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grant NYISO’s request to clarify that withdrawal penalties cannot exceed the dollar amount collected from interconnection customers that have withdrawn from the interconnection study process secured by transmission providers.  As stated in section 3.7.1.2.1 of the </w:t>
      </w:r>
      <w:r w:rsidRPr="0072600F">
        <w:rPr>
          <w:i/>
          <w:iCs/>
          <w:sz w:val="26"/>
          <w:szCs w:val="26"/>
        </w:rPr>
        <w:t>pro forma</w:t>
      </w:r>
      <w:r w:rsidRPr="0072600F">
        <w:rPr>
          <w:sz w:val="26"/>
          <w:szCs w:val="26"/>
        </w:rPr>
        <w:t xml:space="preserve"> LGIP, withdrawal penalty funds are collected from the cluster for the purposes of (1) funding studies conducted under the cluster study process for interconnection customers in the same cluster that have executed the LGIA or requested the LGIA to be filed unexecuted, and (2) reducing net increases, for interconnection customers in the same cluster, in interconnection customers’ network upgrade cost assignment and associated financial security requirements.  The total amount of funds used for (1) and (2) must not exceed the total amount of withdrawal penalty funds collected from the cluster.  We accordingly modify the language in </w:t>
      </w:r>
      <w:r w:rsidRPr="0072600F">
        <w:rPr>
          <w:i/>
          <w:iCs/>
          <w:sz w:val="26"/>
          <w:szCs w:val="26"/>
        </w:rPr>
        <w:t xml:space="preserve">pro forma </w:t>
      </w:r>
      <w:r w:rsidRPr="0072600F">
        <w:rPr>
          <w:sz w:val="26"/>
          <w:szCs w:val="26"/>
        </w:rPr>
        <w:t>LGIP section 3.7.1.2.1 to reflect this clarification.  Given this clarification, we need not adopt NYISO’s request for additional modifications.</w:t>
      </w:r>
    </w:p>
    <w:p w:rsidR="00760048" w:rsidRPr="0072600F" w14:paraId="5A44D23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unpersuaded by Clean Energy Associations’ request for rehearing as it pertains to the 100% increase in network upgrade costs requirement after the facilities study phase for penalty-free withdrawal.  We disagree that the thresholds for penalty-free withdrawal laid out in Order No. 2023 expose interconnection customers to unjust and unreasonable cost increases.  We continue to find that the trigger thresholds are set at an amount providing sufficient room for estimates to change as the cluster evolves while limiting interconnection customer exposure to withdrawal penalties when such estimates change by a significant amount. </w:t>
      </w:r>
      <w:r w:rsidR="006F466D">
        <w:rPr>
          <w:sz w:val="26"/>
          <w:szCs w:val="26"/>
        </w:rPr>
        <w:t xml:space="preserve"> </w:t>
      </w:r>
      <w:r w:rsidRPr="0072600F">
        <w:rPr>
          <w:sz w:val="26"/>
          <w:szCs w:val="26"/>
        </w:rPr>
        <w:t>We acknowledge that the thresholds for penalty-free withdrawal are higher at later stages of the interconnection study process, but continue to find that this structure is reasonable, given the greater harms of late-stage withdrawals and the importance of incentivizing earlier withdrawal of non-viable interconnection requests.  An interconnection customer will know to factor in both the cost estimates and the potential withdrawal penalty but also the exemption trigger thresholds as it makes the business decision to proceed in the interconnection queue.  Accordingly, we retain</w:t>
      </w:r>
      <w:r w:rsidRPr="0072600F">
        <w:rPr>
          <w:sz w:val="26"/>
          <w:szCs w:val="26"/>
        </w:rPr>
        <w:t xml:space="preserve"> </w:t>
      </w:r>
      <w:r w:rsidRPr="0072600F">
        <w:rPr>
          <w:sz w:val="26"/>
          <w:szCs w:val="26"/>
        </w:rPr>
        <w:t xml:space="preserve">the penalty-free withdrawal threshold exemptions set forth in Order No. 2023.  </w:t>
      </w:r>
    </w:p>
    <w:p w:rsidR="00760048" w:rsidRPr="0072600F" w14:paraId="1D41C3F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NYISO’s and Clean Energy Associations’ requests for the Commission to define materiality in the context of the withdrawal penalty exceptions in </w:t>
      </w:r>
      <w:r w:rsidRPr="0072600F">
        <w:rPr>
          <w:i/>
          <w:iCs/>
          <w:sz w:val="26"/>
          <w:szCs w:val="26"/>
        </w:rPr>
        <w:t xml:space="preserve">pro forma </w:t>
      </w:r>
      <w:r w:rsidRPr="0072600F">
        <w:rPr>
          <w:sz w:val="26"/>
          <w:szCs w:val="26"/>
        </w:rPr>
        <w:t>LGIP section 3.7.1.  Consistent with the Commission’s finding in Order No. 2003,</w:t>
      </w:r>
      <w:r>
        <w:rPr>
          <w:rStyle w:val="FootnoteReference"/>
        </w:rPr>
        <w:footnoteReference w:id="365"/>
      </w:r>
      <w:r w:rsidRPr="0072600F">
        <w:rPr>
          <w:sz w:val="26"/>
          <w:szCs w:val="26"/>
        </w:rPr>
        <w:t xml:space="preserve"> we find it unnecessary to revise </w:t>
      </w:r>
      <w:r w:rsidRPr="0072600F">
        <w:rPr>
          <w:i/>
          <w:sz w:val="26"/>
          <w:szCs w:val="26"/>
        </w:rPr>
        <w:t>pro forma</w:t>
      </w:r>
      <w:r w:rsidRPr="0072600F">
        <w:rPr>
          <w:sz w:val="26"/>
          <w:szCs w:val="26"/>
        </w:rPr>
        <w:t xml:space="preserve"> LGIP section 3.7.1 to specify what constitutes a material impact on the cost or timing of any interconnection request with an equal queue position.  We also note a discrepancy between the </w:t>
      </w:r>
      <w:r w:rsidRPr="0072600F">
        <w:rPr>
          <w:i/>
          <w:iCs/>
          <w:sz w:val="26"/>
          <w:szCs w:val="26"/>
        </w:rPr>
        <w:t xml:space="preserve">pro forma </w:t>
      </w:r>
      <w:r w:rsidRPr="0072600F">
        <w:rPr>
          <w:sz w:val="26"/>
          <w:szCs w:val="26"/>
        </w:rPr>
        <w:t>LGIP language in section 3.7.1 and the withdrawal penalty framework as described in Order No. 2023.  Accordingly, we revise section 3.7.1 such that there will be no withdrawal penalty assessed if the withdrawal does not have a material impact on any interconnection request in the same cluster.  Withdrawal penalty funds are allocated to those interconnection customers in the same cluster as the withdrawing interconnection customer, so we find it necessary for clarity to remove the reference to lower-queued interconnection customers, as adopted in Order No. 2023</w:t>
      </w:r>
      <w:r w:rsidRPr="0072600F">
        <w:rPr>
          <w:sz w:val="26"/>
          <w:szCs w:val="26"/>
        </w:rPr>
        <w:t>.</w:t>
      </w:r>
      <w:r w:rsidRPr="0072600F">
        <w:rPr>
          <w:sz w:val="26"/>
          <w:szCs w:val="26"/>
        </w:rPr>
        <w:t xml:space="preserve">  We note that the materiality of the impact caused by a withdrawal could depend on the factors pertaining to the individual project (size, location, type) and other projects in the cluster (proximity to the withdrawing project, size of remaining projects relative to the withdrawing project), as well as the configuration of the transmission provider’s transmission system.  Therefore, we leave it to the transmission provider to make this determination of materiality.  We are also unpersuaded by Clean Energy Associations’ request for clarification that, when a transmission provider makes a materiality determination after a withdrawal regarding a delay in timing or increase in cost of network upgrades of other proposed generating facilities in the same cluster, such determination or other information associated therewith be made available along with and at the same time as the penalty revenue posting required by revised </w:t>
      </w:r>
      <w:r w:rsidRPr="0072600F">
        <w:rPr>
          <w:i/>
          <w:iCs/>
          <w:sz w:val="26"/>
          <w:szCs w:val="26"/>
        </w:rPr>
        <w:t>pro forma</w:t>
      </w:r>
      <w:r w:rsidRPr="0072600F">
        <w:rPr>
          <w:sz w:val="26"/>
          <w:szCs w:val="26"/>
        </w:rPr>
        <w:t xml:space="preserve"> LGIP section 3.7.1.2.  The benefit to the interconnection customers would not outweigh the substantial burden on transmission providers to detail the materiality determination for each individual withdrawal.  </w:t>
      </w:r>
    </w:p>
    <w:p w:rsidR="00760048" w:rsidRPr="0072600F" w14:paraId="7F081D8A"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WIRES, we clarify</w:t>
      </w:r>
      <w:r w:rsidRPr="0072600F">
        <w:rPr>
          <w:sz w:val="26"/>
          <w:szCs w:val="26"/>
        </w:rPr>
        <w:t xml:space="preserve"> </w:t>
      </w:r>
      <w:r w:rsidRPr="0072600F">
        <w:rPr>
          <w:sz w:val="26"/>
          <w:szCs w:val="26"/>
        </w:rPr>
        <w:t>that using the Order No. 2023 withdrawal penalties to offset financial security payment amounts provided to the transmission provider by the remaining interconnection customers would not reduce the total network upgrade cost that a transmission provider places in rate base.  When the Order No. 2023 withdrawal penalties are used to offset financial security payment amounts, some network upgrade payments will come from the withdrawal penalties and some will come from the remaining interconnection customer, but the fact that a portion of the network upgrade payment comes from withdrawal penalties does not reduce the total network upgrade cost that a transmission provider places in rate base</w:t>
      </w:r>
      <w:r w:rsidRPr="0072600F">
        <w:rPr>
          <w:sz w:val="26"/>
          <w:szCs w:val="26"/>
        </w:rPr>
        <w:t>.</w:t>
      </w:r>
      <w:r w:rsidRPr="0072600F">
        <w:rPr>
          <w:sz w:val="26"/>
          <w:szCs w:val="26"/>
        </w:rPr>
        <w:t xml:space="preserve">  Order No. 2023 provides that an interconnection customer’s reduced network upgrade cost obligation will be effectuated by the transmission provider amending the interconnection customer’s LGIA or reducing the network upgrade cost estimate provided to the interconnection customer if there is not yet an LGIA to provide a reduction in </w:t>
      </w:r>
      <w:r w:rsidRPr="0072600F">
        <w:rPr>
          <w:iCs/>
          <w:sz w:val="26"/>
          <w:szCs w:val="26"/>
        </w:rPr>
        <w:t>network upgrade</w:t>
      </w:r>
      <w:r w:rsidRPr="0072600F">
        <w:rPr>
          <w:sz w:val="26"/>
          <w:szCs w:val="26"/>
        </w:rPr>
        <w:t xml:space="preserve"> cost assignment and an associated reduction in </w:t>
      </w:r>
      <w:r w:rsidRPr="0072600F">
        <w:rPr>
          <w:iCs/>
          <w:sz w:val="26"/>
          <w:szCs w:val="26"/>
        </w:rPr>
        <w:t>the</w:t>
      </w:r>
      <w:r w:rsidRPr="0072600F">
        <w:rPr>
          <w:sz w:val="26"/>
          <w:szCs w:val="26"/>
        </w:rPr>
        <w:t xml:space="preserve"> interconnection customer’s financial security requirement.</w:t>
      </w:r>
      <w:r>
        <w:rPr>
          <w:rStyle w:val="FootnoteReference"/>
        </w:rPr>
        <w:footnoteReference w:id="366"/>
      </w:r>
      <w:r w:rsidRPr="0072600F">
        <w:rPr>
          <w:sz w:val="26"/>
          <w:szCs w:val="26"/>
        </w:rPr>
        <w:t xml:space="preserve">  Given this clarification, we believe it unnecessary to address WIRES’ alternative request for clarification that these withdrawal penalty disbursements must be distributed as cash payments.  For the same reasons, we believe it unnecessary to address WIRES’ alternative request for rehearing regarding notice of the new withdrawal penalty regime.</w:t>
      </w:r>
    </w:p>
    <w:p w:rsidR="00760048" w:rsidRPr="0072600F" w14:paraId="7562418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persuaded by NYISO’s request to clarify the timeframes for the specific withdrawal penalty application process steps.  The transmission provider is required to complete the following steps within 30 calendar days of all interconnection customers in the cluster having either withdrawn or been deemed withdrawn, executed an LGIA, or requested the LGIA be filed unexecuted:  (1) apply a refund to invoiced study costs </w:t>
      </w:r>
      <w:r w:rsidR="008F3C60">
        <w:rPr>
          <w:sz w:val="26"/>
          <w:szCs w:val="26"/>
        </w:rPr>
        <w:t xml:space="preserve">      </w:t>
      </w:r>
      <w:r w:rsidRPr="0072600F">
        <w:rPr>
          <w:sz w:val="26"/>
          <w:szCs w:val="26"/>
        </w:rPr>
        <w:t xml:space="preserve">for interconnection customers that remain in the cluster (per </w:t>
      </w:r>
      <w:r w:rsidRPr="0072600F">
        <w:rPr>
          <w:i/>
          <w:iCs/>
          <w:sz w:val="26"/>
          <w:szCs w:val="26"/>
        </w:rPr>
        <w:t xml:space="preserve">pro forma </w:t>
      </w:r>
      <w:r w:rsidRPr="0072600F">
        <w:rPr>
          <w:sz w:val="26"/>
          <w:szCs w:val="26"/>
        </w:rPr>
        <w:t>LGIP section 3.7.1.2.1);  (2) determine whether withdrawn</w:t>
      </w:r>
      <w:r w:rsidRPr="0072600F">
        <w:rPr>
          <w:i/>
          <w:iCs/>
          <w:sz w:val="26"/>
          <w:szCs w:val="26"/>
        </w:rPr>
        <w:t xml:space="preserve"> </w:t>
      </w:r>
      <w:r w:rsidRPr="0072600F">
        <w:rPr>
          <w:sz w:val="26"/>
          <w:szCs w:val="26"/>
        </w:rPr>
        <w:t>interconnection customers, at any point in the cluster study process, shared</w:t>
      </w:r>
      <w:r w:rsidRPr="0072600F">
        <w:rPr>
          <w:sz w:val="26"/>
          <w:szCs w:val="26"/>
        </w:rPr>
        <w:t xml:space="preserve"> </w:t>
      </w:r>
      <w:r w:rsidRPr="0072600F">
        <w:rPr>
          <w:sz w:val="26"/>
          <w:szCs w:val="26"/>
        </w:rPr>
        <w:t>cost assignment for one or more network upgrades with any remaining interconnection customers in the same cluster</w:t>
      </w:r>
      <w:r w:rsidRPr="0072600F">
        <w:rPr>
          <w:i/>
          <w:iCs/>
          <w:sz w:val="26"/>
          <w:szCs w:val="26"/>
        </w:rPr>
        <w:t xml:space="preserve"> (</w:t>
      </w:r>
      <w:r w:rsidRPr="0072600F">
        <w:rPr>
          <w:sz w:val="26"/>
          <w:szCs w:val="26"/>
        </w:rPr>
        <w:t xml:space="preserve">per </w:t>
      </w:r>
      <w:r w:rsidRPr="0072600F">
        <w:rPr>
          <w:i/>
          <w:iCs/>
          <w:sz w:val="26"/>
          <w:szCs w:val="26"/>
        </w:rPr>
        <w:t xml:space="preserve">pro forma </w:t>
      </w:r>
      <w:r w:rsidRPr="0072600F">
        <w:rPr>
          <w:sz w:val="26"/>
          <w:szCs w:val="26"/>
        </w:rPr>
        <w:t>LGIP section 3.7.1.2.2); (3) where the withdrawn interconnection customers ha</w:t>
      </w:r>
      <w:r w:rsidR="00E91B31">
        <w:rPr>
          <w:sz w:val="26"/>
          <w:szCs w:val="26"/>
        </w:rPr>
        <w:t>ve</w:t>
      </w:r>
      <w:r w:rsidRPr="0072600F">
        <w:rPr>
          <w:sz w:val="26"/>
          <w:szCs w:val="26"/>
        </w:rPr>
        <w:t xml:space="preserve"> shared</w:t>
      </w:r>
      <w:r w:rsidRPr="0072600F">
        <w:rPr>
          <w:sz w:val="26"/>
          <w:szCs w:val="26"/>
        </w:rPr>
        <w:t xml:space="preserve"> </w:t>
      </w:r>
      <w:r w:rsidRPr="0072600F">
        <w:rPr>
          <w:sz w:val="26"/>
          <w:szCs w:val="26"/>
        </w:rPr>
        <w:t xml:space="preserve">a cost assignment for one or more network upgrades with any remaining interconnection customers in the same cluster, transmission provider is to perform the calculations described in </w:t>
      </w:r>
      <w:r w:rsidRPr="0072600F">
        <w:rPr>
          <w:i/>
          <w:iCs/>
          <w:sz w:val="26"/>
          <w:szCs w:val="26"/>
        </w:rPr>
        <w:t xml:space="preserve">pro forma </w:t>
      </w:r>
      <w:r w:rsidRPr="0072600F">
        <w:rPr>
          <w:sz w:val="26"/>
          <w:szCs w:val="26"/>
        </w:rPr>
        <w:t>LGIP subsection 3.7.1.2.3(a) to determine the reduction in the remaining interconnection customers’ net increase in network upgrade costs and associated financial security requirements</w:t>
      </w:r>
      <w:r w:rsidRPr="0072600F">
        <w:rPr>
          <w:i/>
          <w:sz w:val="26"/>
          <w:szCs w:val="26"/>
        </w:rPr>
        <w:t xml:space="preserve"> (</w:t>
      </w:r>
      <w:r w:rsidRPr="0072600F">
        <w:rPr>
          <w:sz w:val="26"/>
          <w:szCs w:val="26"/>
        </w:rPr>
        <w:t xml:space="preserve">per </w:t>
      </w:r>
      <w:r w:rsidRPr="0072600F">
        <w:rPr>
          <w:i/>
          <w:iCs/>
          <w:sz w:val="26"/>
          <w:szCs w:val="26"/>
        </w:rPr>
        <w:t xml:space="preserve">pro forma </w:t>
      </w:r>
      <w:r w:rsidRPr="0072600F">
        <w:rPr>
          <w:sz w:val="26"/>
          <w:szCs w:val="26"/>
        </w:rPr>
        <w:t xml:space="preserve">LGIP section 3.7.1.2.4); and </w:t>
      </w:r>
      <w:r w:rsidR="008F3C60">
        <w:rPr>
          <w:sz w:val="26"/>
          <w:szCs w:val="26"/>
        </w:rPr>
        <w:t xml:space="preserve">  </w:t>
      </w:r>
      <w:r w:rsidRPr="0072600F">
        <w:rPr>
          <w:sz w:val="26"/>
          <w:szCs w:val="26"/>
        </w:rPr>
        <w:t xml:space="preserve">(4) where applicable, </w:t>
      </w:r>
      <w:r w:rsidRPr="0072600F">
        <w:rPr>
          <w:iCs/>
          <w:sz w:val="26"/>
          <w:szCs w:val="26"/>
        </w:rPr>
        <w:t>provide interconnection customers with an amended LGIA that provides the reduction in network upgrade cost assignment and associated reduction to the interconnection customer’s financial security requirements</w:t>
      </w:r>
      <w:r w:rsidRPr="0072600F">
        <w:rPr>
          <w:i/>
          <w:sz w:val="26"/>
          <w:szCs w:val="26"/>
        </w:rPr>
        <w:t xml:space="preserve"> (</w:t>
      </w:r>
      <w:r w:rsidRPr="0072600F">
        <w:rPr>
          <w:sz w:val="26"/>
          <w:szCs w:val="26"/>
        </w:rPr>
        <w:t xml:space="preserve">per </w:t>
      </w:r>
      <w:r w:rsidRPr="0072600F">
        <w:rPr>
          <w:i/>
          <w:iCs/>
          <w:sz w:val="26"/>
          <w:szCs w:val="26"/>
        </w:rPr>
        <w:t xml:space="preserve">pro forma </w:t>
      </w:r>
      <w:r w:rsidRPr="0072600F">
        <w:rPr>
          <w:sz w:val="26"/>
          <w:szCs w:val="26"/>
        </w:rPr>
        <w:t>LGIP section 3.7.1.2.4).</w:t>
      </w:r>
    </w:p>
    <w:p w:rsidR="00760048" w:rsidRPr="0072600F" w14:paraId="55789E6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Where the transmission provider conducts step (2) above and determines that a withdrawn interconnection customer did not </w:t>
      </w:r>
      <w:r w:rsidRPr="0072600F">
        <w:rPr>
          <w:iCs/>
          <w:sz w:val="26"/>
          <w:szCs w:val="26"/>
        </w:rPr>
        <w:t>share cost assignments with remaining interconnection customers or cause a net increase in the cost assignment for any remaining interconnection customers in the same cluster, the transmission provider must return any remaining withdrawal penalty funds to the withdrawn interconnection customer(s</w:t>
      </w:r>
      <w:r w:rsidR="006562C9">
        <w:rPr>
          <w:iCs/>
          <w:sz w:val="26"/>
          <w:szCs w:val="26"/>
        </w:rPr>
        <w:t>)</w:t>
      </w:r>
      <w:r w:rsidRPr="0072600F">
        <w:rPr>
          <w:i/>
          <w:sz w:val="26"/>
          <w:szCs w:val="26"/>
        </w:rPr>
        <w:t xml:space="preserve"> </w:t>
      </w:r>
      <w:r w:rsidRPr="0072600F">
        <w:rPr>
          <w:sz w:val="26"/>
          <w:szCs w:val="26"/>
        </w:rPr>
        <w:t xml:space="preserve">within 60 calendar days of all interconnection customers in the cluster having either withdrawn or been deemed withdrawn, executed an LGIA, or requested the LGIA be filed unexecuted (per </w:t>
      </w:r>
      <w:r w:rsidRPr="0072600F">
        <w:rPr>
          <w:i/>
          <w:iCs/>
          <w:sz w:val="26"/>
          <w:szCs w:val="26"/>
        </w:rPr>
        <w:t>pro forma</w:t>
      </w:r>
      <w:r w:rsidRPr="0072600F">
        <w:rPr>
          <w:sz w:val="26"/>
          <w:szCs w:val="26"/>
        </w:rPr>
        <w:t xml:space="preserve"> LGIP section 3.7.1.2.2).  The 60-day period here allows the transmission provider time to focus on steps 1-4 in the previous paragraph before it must disburse funds to withdrawn interconnection customers.</w:t>
      </w:r>
    </w:p>
    <w:p w:rsidR="00760048" w:rsidRPr="0072600F" w14:paraId="0F619E7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grant NYISO’s request to clarify that </w:t>
      </w:r>
      <w:r w:rsidRPr="0072600F">
        <w:rPr>
          <w:i/>
          <w:iCs/>
          <w:sz w:val="26"/>
          <w:szCs w:val="26"/>
        </w:rPr>
        <w:t>pro forma</w:t>
      </w:r>
      <w:r w:rsidRPr="0072600F">
        <w:rPr>
          <w:sz w:val="26"/>
          <w:szCs w:val="26"/>
        </w:rPr>
        <w:t xml:space="preserve"> LGIP section 3.7.1.2.1 requires the transmission provider to use the collected withdrawal penalties first to fund all the interconnection studies conducted for interconnection customers in the cluster—including cluster restudies and the interconnection facilities study.  We accordingly modify the language in section 3.7.1.2.1 of the </w:t>
      </w:r>
      <w:r w:rsidRPr="0072600F">
        <w:rPr>
          <w:i/>
          <w:iCs/>
          <w:sz w:val="26"/>
          <w:szCs w:val="26"/>
        </w:rPr>
        <w:t xml:space="preserve">pro forma </w:t>
      </w:r>
      <w:r w:rsidRPr="0072600F">
        <w:rPr>
          <w:sz w:val="26"/>
          <w:szCs w:val="26"/>
        </w:rPr>
        <w:t>LGIP to be inclusive of these studies.</w:t>
      </w:r>
    </w:p>
    <w:p w:rsidR="00760048" w:rsidRPr="0072600F" w14:paraId="2F09659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grant NYISO’s request to clarify the difference between the requirements to return withdrawal penalty funds to withdrawn interconnection customers in </w:t>
      </w:r>
      <w:r w:rsidRPr="0072600F">
        <w:rPr>
          <w:i/>
          <w:iCs/>
          <w:sz w:val="26"/>
          <w:szCs w:val="26"/>
        </w:rPr>
        <w:t>pro forma</w:t>
      </w:r>
      <w:r w:rsidRPr="0072600F">
        <w:rPr>
          <w:sz w:val="26"/>
          <w:szCs w:val="26"/>
        </w:rPr>
        <w:t xml:space="preserve"> LGIP sections 3.7.1.2.2 and 3.7.1.2.5.  </w:t>
      </w:r>
      <w:r w:rsidRPr="0072600F">
        <w:rPr>
          <w:i/>
          <w:iCs/>
          <w:sz w:val="26"/>
          <w:szCs w:val="26"/>
        </w:rPr>
        <w:t xml:space="preserve">Pro forma </w:t>
      </w:r>
      <w:r w:rsidRPr="0072600F">
        <w:rPr>
          <w:sz w:val="26"/>
          <w:szCs w:val="26"/>
        </w:rPr>
        <w:t xml:space="preserve">LGIP section 3.7.1.2.2 establishes that, where the interconnection customer’s withdrawal </w:t>
      </w:r>
      <w:r w:rsidRPr="0072600F">
        <w:rPr>
          <w:i/>
          <w:iCs/>
          <w:sz w:val="26"/>
          <w:szCs w:val="26"/>
        </w:rPr>
        <w:t>does not cause</w:t>
      </w:r>
      <w:r w:rsidRPr="0072600F">
        <w:rPr>
          <w:sz w:val="26"/>
          <w:szCs w:val="26"/>
        </w:rPr>
        <w:t xml:space="preserve"> a net increase in the shared cost assignment for any remaining interconnection customers’ network upgrades in the same cluster, the withdrawal penalty funds returned to the withdrawn interconnection customers will be net of the amount used to pay the study costs for interconnection customers in the same cluster that did not withdraw.  </w:t>
      </w:r>
      <w:r w:rsidRPr="0072600F">
        <w:rPr>
          <w:i/>
          <w:iCs/>
          <w:sz w:val="26"/>
          <w:szCs w:val="26"/>
        </w:rPr>
        <w:t xml:space="preserve">Pro forma </w:t>
      </w:r>
      <w:r w:rsidRPr="0072600F">
        <w:rPr>
          <w:sz w:val="26"/>
          <w:szCs w:val="26"/>
        </w:rPr>
        <w:t xml:space="preserve">LGIP section 3.7.1.2.5 addresses the case where </w:t>
      </w:r>
      <w:r w:rsidR="00B44DC8">
        <w:rPr>
          <w:sz w:val="26"/>
          <w:szCs w:val="26"/>
        </w:rPr>
        <w:t>an</w:t>
      </w:r>
      <w:r w:rsidR="00B5483D">
        <w:rPr>
          <w:sz w:val="26"/>
          <w:szCs w:val="26"/>
        </w:rPr>
        <w:t>y</w:t>
      </w:r>
      <w:r w:rsidRPr="0072600F">
        <w:rPr>
          <w:sz w:val="26"/>
          <w:szCs w:val="26"/>
        </w:rPr>
        <w:t xml:space="preserve"> interconnection customer’s withdrawal </w:t>
      </w:r>
      <w:r w:rsidRPr="0072600F">
        <w:rPr>
          <w:i/>
          <w:iCs/>
          <w:sz w:val="26"/>
          <w:szCs w:val="26"/>
        </w:rPr>
        <w:t>does cause</w:t>
      </w:r>
      <w:r w:rsidRPr="0072600F">
        <w:rPr>
          <w:sz w:val="26"/>
          <w:szCs w:val="26"/>
        </w:rPr>
        <w:t xml:space="preserve"> a net increase in the shared cost assignment for any remaining interconnection customers’ network upgrades.  In this case, the withdrawal penalty funds returned to the withdrawn interconnection customers will be net of both the study costs and the amount paid to offset net increases in shared cost assignments for network upgrades.</w:t>
      </w:r>
    </w:p>
    <w:p w:rsidR="00760048" w:rsidRPr="0072600F" w14:paraId="168C3A30"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NYISO’s request for an expanded version of the withdrawal penalty example included in Order No. 2023 because another purely illustrative example is unnecessary.</w:t>
      </w:r>
    </w:p>
    <w:p w:rsidR="00760048" w:rsidRPr="0072600F" w14:paraId="1CA10A79" w14:textId="77777777">
      <w:pPr>
        <w:pStyle w:val="FERCparanumber"/>
        <w:widowControl/>
        <w:numPr>
          <w:ilvl w:val="0"/>
          <w:numId w:val="25"/>
        </w:numPr>
        <w:autoSpaceDE/>
        <w:autoSpaceDN/>
        <w:adjustRightInd/>
        <w:spacing w:line="480" w:lineRule="auto"/>
        <w:rPr>
          <w:sz w:val="26"/>
          <w:szCs w:val="26"/>
        </w:rPr>
      </w:pPr>
      <w:r w:rsidRPr="0072600F">
        <w:rPr>
          <w:sz w:val="26"/>
          <w:szCs w:val="26"/>
        </w:rPr>
        <w:t>We agree with Clean Energy Associations and Shell regarding the withdrawal penalty contained in</w:t>
      </w:r>
      <w:r w:rsidRPr="0072600F">
        <w:rPr>
          <w:i/>
          <w:iCs/>
          <w:sz w:val="26"/>
          <w:szCs w:val="26"/>
        </w:rPr>
        <w:t xml:space="preserve"> pro forma</w:t>
      </w:r>
      <w:r w:rsidRPr="0072600F">
        <w:rPr>
          <w:sz w:val="26"/>
          <w:szCs w:val="26"/>
        </w:rPr>
        <w:t xml:space="preserve"> LGIP sections 5.1.1.1 and 5.1.1.2.  We agree that it is necessary to distinguish the transition process withdrawal penalty of nine times study costs from the withdrawal penalty assessed under the normal cluster study process which is calculated based on </w:t>
      </w:r>
      <w:r w:rsidRPr="0072600F">
        <w:rPr>
          <w:i/>
          <w:iCs/>
          <w:sz w:val="26"/>
          <w:szCs w:val="26"/>
        </w:rPr>
        <w:t>pro forma</w:t>
      </w:r>
      <w:r w:rsidRPr="0072600F">
        <w:rPr>
          <w:sz w:val="26"/>
          <w:szCs w:val="26"/>
        </w:rPr>
        <w:t xml:space="preserve"> LGIP section 3.7.1.  Accordingly, we modify section 1 to define “transitional withdrawal penalty,”</w:t>
      </w:r>
      <w:r>
        <w:rPr>
          <w:rStyle w:val="FootnoteReference"/>
        </w:rPr>
        <w:footnoteReference w:id="367"/>
      </w:r>
      <w:r w:rsidRPr="0072600F">
        <w:rPr>
          <w:sz w:val="26"/>
          <w:szCs w:val="26"/>
        </w:rPr>
        <w:t xml:space="preserve"> and modify </w:t>
      </w:r>
      <w:r w:rsidRPr="0072600F">
        <w:rPr>
          <w:i/>
          <w:iCs/>
          <w:sz w:val="26"/>
          <w:szCs w:val="26"/>
        </w:rPr>
        <w:t>pro forma</w:t>
      </w:r>
      <w:r w:rsidRPr="0072600F">
        <w:rPr>
          <w:sz w:val="26"/>
          <w:szCs w:val="26"/>
        </w:rPr>
        <w:t xml:space="preserve"> LGIP sections 5.1.1, 5.1.1.1, and 5.1.1.2 to reference the transitional withdrawal penalty.</w:t>
      </w:r>
    </w:p>
    <w:p w:rsidR="00760048" w:rsidRPr="0072600F" w14:paraId="691B7EEC" w14:textId="77777777">
      <w:pPr>
        <w:pStyle w:val="FERCparanumber"/>
        <w:widowControl/>
        <w:numPr>
          <w:ilvl w:val="0"/>
          <w:numId w:val="25"/>
        </w:numPr>
        <w:autoSpaceDE/>
        <w:autoSpaceDN/>
        <w:adjustRightInd/>
        <w:spacing w:line="480" w:lineRule="auto"/>
        <w:rPr>
          <w:sz w:val="26"/>
          <w:szCs w:val="26"/>
        </w:rPr>
      </w:pPr>
      <w:r w:rsidRPr="0072600F">
        <w:rPr>
          <w:sz w:val="26"/>
          <w:szCs w:val="26"/>
        </w:rPr>
        <w:t>We grant Clean Energy Associations’ and Shell’s request</w:t>
      </w:r>
      <w:r w:rsidR="00376F30">
        <w:rPr>
          <w:sz w:val="26"/>
          <w:szCs w:val="26"/>
        </w:rPr>
        <w:t>s</w:t>
      </w:r>
      <w:r w:rsidRPr="0072600F">
        <w:rPr>
          <w:sz w:val="26"/>
          <w:szCs w:val="26"/>
        </w:rPr>
        <w:t xml:space="preserve"> for clarification of whether the term “study cost,” as used in the calculation of the transitional withdrawal penalty, includes the cost of the entire cluster study or the study cost that has been assigned to the withdrawing interconnection customer up to the point of withdrawal, inclusive of any costs incurred in the transition process under the transitional serial facilities study or transitional cluster study.  We clarify that study costs include all costs incurred by the interconnection customer in the transmission provider’s existing interconnection study process prior to the Commission-approved effective date of the transmission provider’s Order No. 2023 compliance filing.  For example, where a transmission provider was operating under the previous </w:t>
      </w:r>
      <w:r w:rsidRPr="0072600F">
        <w:rPr>
          <w:i/>
          <w:iCs/>
          <w:sz w:val="26"/>
          <w:szCs w:val="26"/>
        </w:rPr>
        <w:t xml:space="preserve">pro forma </w:t>
      </w:r>
      <w:r w:rsidRPr="0072600F">
        <w:rPr>
          <w:sz w:val="26"/>
          <w:szCs w:val="26"/>
        </w:rPr>
        <w:t xml:space="preserve">LGIP, the study costs would include the amount incurred by the interconnection customer for the completion of its interconnection feasibility study, interconnection system impact study, and the interconnection facilities study.  As explained in Order No. 2023 and </w:t>
      </w:r>
      <w:r w:rsidRPr="0072600F">
        <w:rPr>
          <w:i/>
          <w:sz w:val="26"/>
          <w:szCs w:val="26"/>
        </w:rPr>
        <w:t>pro forma</w:t>
      </w:r>
      <w:r w:rsidRPr="0072600F">
        <w:rPr>
          <w:sz w:val="26"/>
          <w:szCs w:val="26"/>
        </w:rPr>
        <w:t xml:space="preserve"> LGIP sections 5.1.1.1 and 5.1.1.2, study costs for purposes of calculating this withdrawal penalty will also include any costs incurred in the transition process under the transitional serial facilities study or transitional cluster study</w:t>
      </w:r>
      <w:r w:rsidRPr="0072600F">
        <w:rPr>
          <w:rStyle w:val="CommentReference"/>
          <w:sz w:val="26"/>
          <w:szCs w:val="26"/>
        </w:rPr>
        <w:t>.</w:t>
      </w:r>
      <w:r w:rsidRPr="0072600F">
        <w:rPr>
          <w:sz w:val="26"/>
          <w:szCs w:val="26"/>
        </w:rPr>
        <w:t xml:space="preserve"> </w:t>
      </w:r>
    </w:p>
    <w:p w:rsidR="00760048" w:rsidRPr="0072600F" w14:paraId="5EE12210"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Clean Energy Associations, we decline to clarify that the penalty-free withdrawal thresholds will apply to transitional projects.  We find it important to the goal of reducing speculative behavior that any interconnection customer that enters the transition process is required to pay a penalty if it does not reach commercial operation.  We note that interconnection customers can elect not to enter the transition process and instead enter the transmission provider’s first annual cluster study where the withdrawal penalty exemptions will be applied.  We also note that the penalty-free exemption provisions are more appropriate for the normal cluster study process where the withdrawal penalty could be much higher than the nine times study costs amount assessed as the transitional withdrawal penalty.</w:t>
      </w:r>
    </w:p>
    <w:p w:rsidR="00760048" w:rsidRPr="0072600F" w14:paraId="7DE4A31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add minor, clarifying edits to </w:t>
      </w:r>
      <w:r w:rsidRPr="0072600F">
        <w:rPr>
          <w:i/>
          <w:iCs/>
          <w:sz w:val="26"/>
          <w:szCs w:val="26"/>
        </w:rPr>
        <w:t xml:space="preserve">pro forma </w:t>
      </w:r>
      <w:r w:rsidRPr="0072600F">
        <w:rPr>
          <w:sz w:val="26"/>
          <w:szCs w:val="26"/>
        </w:rPr>
        <w:t xml:space="preserve">LGIP section 3.7.1 and 3.7.1.1(a) to reference cluster restudies, where appropriate. </w:t>
      </w:r>
    </w:p>
    <w:p w:rsidR="00760048" w:rsidRPr="00FE47B2" w14:paraId="47519D0B"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43" w:name="_bmk17"/>
      <w:r w:rsidRPr="00FE47B2">
        <w:rPr>
          <w:b/>
          <w:bCs/>
          <w:sz w:val="26"/>
          <w:u w:val="single"/>
        </w:rPr>
        <w:t>T</w:t>
      </w:r>
      <w:bookmarkEnd w:id="43"/>
      <w:r w:rsidRPr="00FE47B2">
        <w:rPr>
          <w:b/>
          <w:bCs/>
          <w:sz w:val="26"/>
          <w:u w:val="single"/>
        </w:rPr>
        <w:t>ransition Process</w:t>
      </w:r>
    </w:p>
    <w:p w:rsidR="00760048" w:rsidRPr="00FE47B2" w14:paraId="21029A38"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Order No. 2023 Requirements</w:t>
      </w:r>
    </w:p>
    <w:p w:rsidR="00760048" w:rsidRPr="0072600F" w14:paraId="7BE32D68" w14:textId="77777777">
      <w:pPr>
        <w:pStyle w:val="FERCparanumber"/>
        <w:widowControl/>
        <w:numPr>
          <w:ilvl w:val="0"/>
          <w:numId w:val="25"/>
        </w:numPr>
        <w:autoSpaceDE/>
        <w:autoSpaceDN/>
        <w:adjustRightInd/>
        <w:spacing w:line="480" w:lineRule="auto"/>
        <w:rPr>
          <w:sz w:val="26"/>
          <w:szCs w:val="26"/>
        </w:rPr>
      </w:pPr>
      <w:r w:rsidRPr="0072600F">
        <w:rPr>
          <w:sz w:val="26"/>
          <w:szCs w:val="26"/>
        </w:rPr>
        <w:t>In Order No. 2023, the Commission established a transition process for moving to the first-ready, first-served cluster study process.</w:t>
      </w:r>
      <w:r>
        <w:rPr>
          <w:rStyle w:val="FootnoteReference"/>
        </w:rPr>
        <w:footnoteReference w:id="368"/>
      </w:r>
      <w:r w:rsidRPr="0072600F">
        <w:rPr>
          <w:sz w:val="26"/>
          <w:szCs w:val="26"/>
        </w:rPr>
        <w:t xml:space="preserve">  The Commission required transmission providers to offer existing interconnection customers up to three transition options, depending on which phase of the serial study process their interconnection requests are in:  (1) a transitional serial study, (2) a transitional cluster study, and (3) withdrawal from the interconnection queue without penalty.</w:t>
      </w:r>
    </w:p>
    <w:p w:rsidR="00760048" w:rsidRPr="0072600F" w14:paraId="5551F188"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agreed with commenters that, given current interconnection queue backlogs in multiple regions, it is essential that the Commission craft a transition process to give interconnection customers, along with other market participants time to adjust to new processes and requirements.</w:t>
      </w:r>
      <w:r>
        <w:rPr>
          <w:rStyle w:val="FootnoteReference"/>
        </w:rPr>
        <w:footnoteReference w:id="369"/>
      </w:r>
      <w:r w:rsidRPr="0072600F">
        <w:rPr>
          <w:sz w:val="26"/>
          <w:szCs w:val="26"/>
        </w:rPr>
        <w:t xml:space="preserve">  The Commission explained that the transition process will create an efficient way to prioritize and process interconnection requests based on how far they have advanced through the interconnection process and their level of commercial readiness. </w:t>
      </w:r>
    </w:p>
    <w:p w:rsidR="00760048" w:rsidRPr="0072600F" w14:paraId="43ABC6E6"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required transmission providers to offer the transitional serial study option to interconnection customers that have been tendered a facilities study agreement, even if they have not yet executed the agreement, as of 30 calendar days after the filing date of the transmission provider’s initial filing to comply with Order No. 2023.</w:t>
      </w:r>
      <w:r>
        <w:rPr>
          <w:rStyle w:val="FootnoteReference"/>
        </w:rPr>
        <w:footnoteReference w:id="370"/>
      </w:r>
      <w:r w:rsidRPr="0072600F">
        <w:rPr>
          <w:sz w:val="26"/>
          <w:szCs w:val="26"/>
        </w:rPr>
        <w:t xml:space="preserve">  Similarly, the Commission required transmission providers to offer the transitional cluster study option to interconnection customers with an assigned queue position as of 30 calendar days after the filing date of the transmission provider’s initial filing to comply with Order No. 2023.  The Commission found that the adopted transition process appropriately balances the need to move expeditiously to the new cluster study process with the need to respect the investments and expectations of interconnection customers at an advanced stage in the existing interconnection process.</w:t>
      </w:r>
      <w:r>
        <w:rPr>
          <w:rStyle w:val="FootnoteReference"/>
        </w:rPr>
        <w:footnoteReference w:id="371"/>
      </w:r>
      <w:r w:rsidRPr="0072600F">
        <w:rPr>
          <w:sz w:val="26"/>
          <w:szCs w:val="26"/>
        </w:rPr>
        <w:t xml:space="preserve"> </w:t>
      </w:r>
    </w:p>
    <w:p w:rsidR="00760048" w:rsidRPr="0072600F" w14:paraId="2FFA2CE3"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stated that interconnection customers will have 120 calendar days after the publication of Order No. 2023 to achieve eligibility for the transition process (90 calendar days for transmission providers to submit compliance filings, plus the 30-calendar day eligibility cut-off).</w:t>
      </w:r>
      <w:r>
        <w:rPr>
          <w:rStyle w:val="FootnoteReference"/>
        </w:rPr>
        <w:footnoteReference w:id="372"/>
      </w:r>
      <w:r w:rsidRPr="0072600F">
        <w:rPr>
          <w:sz w:val="26"/>
          <w:szCs w:val="26"/>
        </w:rPr>
        <w:t xml:space="preserve">  The Commission also required the transmission provider to tender the appropriate transitional study agreements to eligible interconnection customers no later than the Commission-approved effective date of the transmission provider’s compliance filing with Order No. 2023.</w:t>
      </w:r>
      <w:r>
        <w:rPr>
          <w:rStyle w:val="FootnoteReference"/>
        </w:rPr>
        <w:footnoteReference w:id="373"/>
      </w:r>
      <w:r w:rsidRPr="0072600F">
        <w:rPr>
          <w:sz w:val="26"/>
          <w:szCs w:val="26"/>
        </w:rPr>
        <w:t xml:space="preserve">  The Commission stated that this will help ensure that interconnection customers are informed about their eligibility for the transitional studies (including the associated requirements and deadlines) in a timely manner. </w:t>
      </w:r>
    </w:p>
    <w:p w:rsidR="00760048" w:rsidRPr="0072600F" w14:paraId="2B98D74F"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also adopted transition process deposits, withdrawal penalties, and deadlines.</w:t>
      </w:r>
      <w:r>
        <w:rPr>
          <w:rStyle w:val="FootnoteReference"/>
        </w:rPr>
        <w:footnoteReference w:id="374"/>
      </w:r>
      <w:r w:rsidRPr="0072600F">
        <w:rPr>
          <w:sz w:val="26"/>
          <w:szCs w:val="26"/>
        </w:rPr>
        <w:t xml:space="preserve">  The Commission required that:  (1) interconnection customers electing the transitional serial study must provide a deposit equal to 100% of the interconnection facility and network upgrade costs allocated to the interconnection customer in the system impact study; and (2) interconnection customers electing the transitional cluster study must provide a deposit equal to $5 million.</w:t>
      </w:r>
      <w:r>
        <w:rPr>
          <w:rStyle w:val="FootnoteReference"/>
        </w:rPr>
        <w:footnoteReference w:id="375"/>
      </w:r>
      <w:r w:rsidRPr="0072600F">
        <w:rPr>
          <w:sz w:val="26"/>
          <w:szCs w:val="26"/>
        </w:rPr>
        <w:t xml:space="preserve">  The Commission explained that the transition process is anticipated to involve more interconnection customers than standard annual clusters (due to existing interconnection queue backlogs), which greatly increases the risk of late-stage withdrawals.  The Commission found that adopting deposit requirements for the transitional studies higher than those adopted for the cluster study process will help to ensure that the transitional process is used by interconnection customers that intend to proceed with their proposed generating facilities.  In response to arguments that the proposed deposit amounts are arbitrary and/or excessive, the Commission explained that the deposit amounts are “based on expected costs to the extent practicable and that only a portion of these deposits are ultimately at-risk.”</w:t>
      </w:r>
      <w:r>
        <w:rPr>
          <w:rStyle w:val="FootnoteReference"/>
        </w:rPr>
        <w:footnoteReference w:id="376"/>
      </w:r>
      <w:r w:rsidRPr="0072600F">
        <w:rPr>
          <w:sz w:val="26"/>
          <w:szCs w:val="26"/>
        </w:rPr>
        <w:t xml:space="preserve">  The Commission noted that the withdrawal penalty is set at nine times the study cost with the remainder of deposits to be refunded.</w:t>
      </w:r>
      <w:r w:rsidRPr="0072600F">
        <w:rPr>
          <w:b/>
          <w:bCs/>
          <w:sz w:val="26"/>
          <w:szCs w:val="26"/>
        </w:rPr>
        <w:t xml:space="preserve"> </w:t>
      </w:r>
      <w:r w:rsidRPr="0072600F">
        <w:rPr>
          <w:sz w:val="26"/>
          <w:szCs w:val="26"/>
        </w:rPr>
        <w:t xml:space="preserve"> The Commission also noted that existing interconnection customers that are currently in an interconnection queue can opt to withdraw their interconnection requests without penalty and wait for the first standard cluster study with associated lower deposit requirements.  </w:t>
      </w:r>
    </w:p>
    <w:p w:rsidR="00760048" w:rsidRPr="0072600F" w14:paraId="2188B92F"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EDF Renewable’s claim that the transitional serial study deposit conflicts with the Commission’s intentions in Order No. 2003,</w:t>
      </w:r>
      <w:r>
        <w:rPr>
          <w:rStyle w:val="FootnoteReference"/>
        </w:rPr>
        <w:footnoteReference w:id="377"/>
      </w:r>
      <w:r w:rsidRPr="0072600F">
        <w:rPr>
          <w:sz w:val="26"/>
          <w:szCs w:val="26"/>
        </w:rPr>
        <w:t xml:space="preserve"> the Commission found that the heightened need to avoid late-stage withdrawals during the transition process—a need that the Commission could not have anticipated in Order No. 2003—warrants the use of this requirement for the transitional serial study.</w:t>
      </w:r>
      <w:r>
        <w:rPr>
          <w:rStyle w:val="FootnoteReference"/>
        </w:rPr>
        <w:footnoteReference w:id="378"/>
      </w:r>
    </w:p>
    <w:p w:rsidR="00760048" w:rsidRPr="0072600F" w14:paraId="1534FE7E" w14:textId="77777777">
      <w:pPr>
        <w:pStyle w:val="FERCparanumber"/>
        <w:widowControl/>
        <w:numPr>
          <w:ilvl w:val="0"/>
          <w:numId w:val="25"/>
        </w:numPr>
        <w:autoSpaceDE/>
        <w:autoSpaceDN/>
        <w:adjustRightInd/>
        <w:spacing w:line="480" w:lineRule="auto"/>
        <w:rPr>
          <w:sz w:val="26"/>
          <w:szCs w:val="26"/>
        </w:rPr>
      </w:pPr>
      <w:r w:rsidRPr="0072600F">
        <w:rPr>
          <w:sz w:val="26"/>
          <w:szCs w:val="26"/>
        </w:rPr>
        <w:t>As noted earlier, the Commission established a transitional study withdrawal penalty equaling nine times the study cost.</w:t>
      </w:r>
      <w:r>
        <w:rPr>
          <w:rStyle w:val="FootnoteReference"/>
        </w:rPr>
        <w:footnoteReference w:id="379"/>
      </w:r>
      <w:r w:rsidRPr="0072600F">
        <w:rPr>
          <w:sz w:val="26"/>
          <w:szCs w:val="26"/>
        </w:rPr>
        <w:t xml:space="preserve">  The Commission explained that the withdrawal penalty plays an important role in deterring speculative interconnection requests in both the standard cluster study and the transition process.  The Commission disagreed with commenters that call for a lower penalty to apply during the transition process, given that the risk of withdrawals is heightened during the transition process.  The Commission noted that, regardless of the cause, a withdrawal may cause harm to other interconnection customers in the transition process and therefore found it appropriate to impose penalties on those that choose to withdraw, notwithstanding that withdrawal may at times be due to circumstances beyond the interconnection customer’s control.  The Commission explained that interconnection customers will bear the risk of withdrawal penalties and should consider that risk in deciding whether to elect to join a transition process.  </w:t>
      </w:r>
    </w:p>
    <w:p w:rsidR="00760048" w:rsidRPr="00FE47B2" w14:paraId="2D13E704"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Requests for Rehearing and Clarification</w:t>
      </w:r>
    </w:p>
    <w:p w:rsidR="00760048" w:rsidRPr="0072600F" w14:paraId="6F92439D"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ask that the Commission grant rehearing to revise the deposit amounts required for customers entering the transitional serial or transitional cluster process, and revise the withdrawal penalty amounts for customers that proceed through the transitional process.</w:t>
      </w:r>
      <w:r>
        <w:rPr>
          <w:rStyle w:val="FootnoteReference"/>
        </w:rPr>
        <w:footnoteReference w:id="380"/>
      </w:r>
      <w:r w:rsidRPr="0072600F">
        <w:rPr>
          <w:sz w:val="26"/>
          <w:szCs w:val="26"/>
        </w:rPr>
        <w:t xml:space="preserve">  Clean Energy Associations argue that the Commission acted arbitrarily and capriciously by imposing excessive and arbitrary deposit requirements and withdrawal penalties on interconnection customers electing to proceed through transitional studies.  Clean Energy Associations assert that the Commission ignored substantial record evidence, failed to “articulate a rational connection between the facts found and the choice made,” and failed to respond meaningfully to the arguments of commenters.</w:t>
      </w:r>
      <w:r>
        <w:rPr>
          <w:rStyle w:val="FootnoteReference"/>
        </w:rPr>
        <w:footnoteReference w:id="381"/>
      </w:r>
      <w:r w:rsidRPr="0072600F">
        <w:rPr>
          <w:sz w:val="26"/>
          <w:szCs w:val="26"/>
        </w:rPr>
        <w:t xml:space="preserve">  </w:t>
      </w:r>
    </w:p>
    <w:p w:rsidR="00760048" w:rsidRPr="0072600F" w14:paraId="5938E2F5"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argue that the Commission failed to provide any record evidence to support the $5 million deposit amount required for an interconnection customer to proceed to a transitional cluster study, nor did it meaningfully respond to contrary evidence that the transitional serial study deposit would be unduly burdensome or have unintended consequences that frustrate the purpose of Order No. 2023.</w:t>
      </w:r>
      <w:r>
        <w:rPr>
          <w:rStyle w:val="FootnoteReference"/>
        </w:rPr>
        <w:footnoteReference w:id="382"/>
      </w:r>
      <w:r w:rsidRPr="0072600F">
        <w:rPr>
          <w:sz w:val="26"/>
          <w:szCs w:val="26"/>
        </w:rPr>
        <w:t xml:space="preserve">  Clean Energy Associations argue that there is no discussion in the record of how Order No. 2023’s calculus relates to expected costs, nor practical limitations to more accurately estimating those costs.</w:t>
      </w:r>
      <w:r>
        <w:rPr>
          <w:rStyle w:val="FootnoteReference"/>
        </w:rPr>
        <w:footnoteReference w:id="383"/>
      </w:r>
      <w:r w:rsidRPr="0072600F">
        <w:rPr>
          <w:sz w:val="26"/>
          <w:szCs w:val="26"/>
        </w:rPr>
        <w:t xml:space="preserve">  Clean Energy Associations assert that the $5 million amount originates from a single utility’s claim that $5 million is consistent with interconnection costs on its system, and not from Commission reasoning or evidence that this figure is appropriate on a</w:t>
      </w:r>
      <w:r w:rsidRPr="0072600F">
        <w:rPr>
          <w:i/>
          <w:iCs/>
          <w:sz w:val="26"/>
          <w:szCs w:val="26"/>
        </w:rPr>
        <w:t xml:space="preserve"> pro forma</w:t>
      </w:r>
      <w:r w:rsidRPr="0072600F">
        <w:rPr>
          <w:sz w:val="26"/>
          <w:szCs w:val="26"/>
        </w:rPr>
        <w:t xml:space="preserve"> basis.  Clean Energy Associations argue that establishment of a flat deposit amount is inconsistent with the Commission’s own determination elsewhere in Order No. 2023, where the Commission found that study deposits under the new cluster study process should differ based on project size and estimated network upgrade costs, depending on the stage of the process.</w:t>
      </w:r>
      <w:r>
        <w:rPr>
          <w:rStyle w:val="FootnoteReference"/>
        </w:rPr>
        <w:footnoteReference w:id="384"/>
      </w:r>
      <w:r w:rsidRPr="0072600F">
        <w:rPr>
          <w:sz w:val="26"/>
          <w:szCs w:val="26"/>
        </w:rPr>
        <w:t xml:space="preserve">  Clean Energy Associations also contend that this deposit requirement could become a barrier to entry for smaller projects that do not have the ability to put up a $5 million deposit, and for which a $5 million deposit would have little linkage to actual upgrade costs or project economics, which the Commission acknowledged was the appropriate driver for deposit amounts. </w:t>
      </w:r>
    </w:p>
    <w:p w:rsidR="00760048" w:rsidRPr="0072600F" w14:paraId="7667B3D5"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also argue that the Commission inappropriately disregarded EDF Renewable’s concern that Order No. 2023 conflicts with Order No. 2003, which specifically rejected a proposal to require customers to post security up front for the total cost of such facilities.</w:t>
      </w:r>
      <w:r>
        <w:rPr>
          <w:rStyle w:val="FootnoteReference"/>
        </w:rPr>
        <w:footnoteReference w:id="385"/>
      </w:r>
      <w:r w:rsidRPr="0072600F">
        <w:rPr>
          <w:sz w:val="26"/>
          <w:szCs w:val="26"/>
        </w:rPr>
        <w:t xml:space="preserve">  Clean Energy Associations note that the Commission justifies its alternative approach due to the heightened need to avoid late-stage withdrawals during the transition process, but argues that the Commission failed to provide substantial evidence to further explain or support this heightened need. </w:t>
      </w:r>
    </w:p>
    <w:p w:rsidR="00760048" w:rsidRPr="0072600F" w14:paraId="036AE2A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request rehearing of the transition process set forth in revised </w:t>
      </w:r>
      <w:r w:rsidRPr="0072600F">
        <w:rPr>
          <w:i/>
          <w:iCs/>
          <w:sz w:val="26"/>
          <w:szCs w:val="26"/>
        </w:rPr>
        <w:t>pro forma</w:t>
      </w:r>
      <w:r w:rsidRPr="0072600F">
        <w:rPr>
          <w:sz w:val="26"/>
          <w:szCs w:val="26"/>
        </w:rPr>
        <w:t xml:space="preserve"> LGIP section 5.1.1.2 because </w:t>
      </w:r>
      <w:r w:rsidR="00502CEE">
        <w:rPr>
          <w:sz w:val="26"/>
          <w:szCs w:val="26"/>
        </w:rPr>
        <w:t xml:space="preserve">they argue that </w:t>
      </w:r>
      <w:r w:rsidRPr="0072600F">
        <w:rPr>
          <w:sz w:val="26"/>
          <w:szCs w:val="26"/>
        </w:rPr>
        <w:t>the scope of the transition cluster group established by the Commission is too broad.</w:t>
      </w:r>
      <w:r>
        <w:rPr>
          <w:rStyle w:val="FootnoteReference"/>
        </w:rPr>
        <w:footnoteReference w:id="386"/>
      </w:r>
      <w:r w:rsidRPr="0072600F">
        <w:rPr>
          <w:sz w:val="26"/>
          <w:szCs w:val="26"/>
        </w:rPr>
        <w:t xml:space="preserve">  Clean Energy Associations assert that the Commission unjustly and unreasonably groups customers that submitted interconnection requests on the eve of the transmission providers’ Order No. 2023 compliance filing with customers that have been pending in the queue for substantially longer periods of time.</w:t>
      </w:r>
      <w:r>
        <w:rPr>
          <w:rStyle w:val="FootnoteReference"/>
        </w:rPr>
        <w:footnoteReference w:id="387"/>
      </w:r>
      <w:r w:rsidRPr="0072600F">
        <w:rPr>
          <w:sz w:val="26"/>
          <w:szCs w:val="26"/>
        </w:rPr>
        <w:t xml:space="preserve">  Clean Energy Associations state that recently-accepted queue reform transmission procedures have commonly implemented a “cut-off” date for transitional study entry that coincides with notice of the relevant reforms.</w:t>
      </w:r>
      <w:r>
        <w:rPr>
          <w:rStyle w:val="FootnoteReference"/>
        </w:rPr>
        <w:footnoteReference w:id="388"/>
      </w:r>
      <w:r w:rsidRPr="0072600F">
        <w:rPr>
          <w:sz w:val="26"/>
          <w:szCs w:val="26"/>
        </w:rPr>
        <w:t xml:space="preserve">  Clean Energy Associations argue that this prevents “mixing” future interconnection customers’ applications with existing interconnection customers relative to transitional studies.  Clean Energy Associations argue that treating new and future interconnection customers the same as customers that have been waiting for an extended period of time to begin their studies is unjust and unreasonable. </w:t>
      </w:r>
    </w:p>
    <w:p w:rsidR="00760048" w:rsidRPr="0072600F" w14:paraId="3684CB7F"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Shell request that the Commission revise the transitional cluster study process and sections 5.1.1.2 to set the July 28, 2023 issuance date of Order No. 2023 as the date of eligibility for transitional cluster study participation.</w:t>
      </w:r>
      <w:r>
        <w:rPr>
          <w:rStyle w:val="FootnoteReference"/>
        </w:rPr>
        <w:footnoteReference w:id="389"/>
      </w:r>
      <w:r w:rsidRPr="0072600F">
        <w:rPr>
          <w:sz w:val="26"/>
          <w:szCs w:val="26"/>
        </w:rPr>
        <w:t xml:space="preserve">  Shell</w:t>
      </w:r>
      <w:r w:rsidRPr="0072600F">
        <w:rPr>
          <w:sz w:val="26"/>
          <w:szCs w:val="26"/>
        </w:rPr>
        <w:t xml:space="preserve"> </w:t>
      </w:r>
      <w:r w:rsidRPr="0072600F">
        <w:rPr>
          <w:sz w:val="26"/>
          <w:szCs w:val="26"/>
        </w:rPr>
        <w:t xml:space="preserve">asserts that </w:t>
      </w:r>
      <w:r w:rsidRPr="0072600F">
        <w:rPr>
          <w:i/>
          <w:iCs/>
          <w:sz w:val="26"/>
          <w:szCs w:val="26"/>
        </w:rPr>
        <w:t>pro forma</w:t>
      </w:r>
      <w:r w:rsidRPr="0072600F">
        <w:rPr>
          <w:sz w:val="26"/>
          <w:szCs w:val="26"/>
        </w:rPr>
        <w:t xml:space="preserve"> LGIP section 5.1.1.2 is too broad because it treats new and future generator interconnection customers the same as interconnection customers that may have been waiting in the queue for years.</w:t>
      </w:r>
      <w:r>
        <w:rPr>
          <w:rStyle w:val="FootnoteReference"/>
        </w:rPr>
        <w:footnoteReference w:id="390"/>
      </w:r>
      <w:r w:rsidRPr="0072600F">
        <w:rPr>
          <w:b/>
          <w:bCs/>
          <w:sz w:val="26"/>
          <w:szCs w:val="26"/>
        </w:rPr>
        <w:t xml:space="preserve"> </w:t>
      </w:r>
      <w:r w:rsidRPr="0072600F">
        <w:rPr>
          <w:sz w:val="26"/>
          <w:szCs w:val="26"/>
        </w:rPr>
        <w:t xml:space="preserve"> Shell contends that the regulatory expectations of existing and new customers subject to queue reform are fundamentally different because existing customers submitted their requests under one queue structure and new customers will submit their requests with reasonable notice of the new structure.  Shell</w:t>
      </w:r>
      <w:r w:rsidRPr="0072600F">
        <w:rPr>
          <w:sz w:val="26"/>
          <w:szCs w:val="26"/>
        </w:rPr>
        <w:t xml:space="preserve"> </w:t>
      </w:r>
      <w:r w:rsidRPr="0072600F">
        <w:rPr>
          <w:sz w:val="26"/>
          <w:szCs w:val="26"/>
        </w:rPr>
        <w:t>argues that allowing the transitional cluster study to remain open for several months beyond the Order No. 2023 issuance date may provide an opportunity for interconnection customers to develop strategies that will overwhelm specific transitional cluster studies with unnecessarily high volumes of new interconnection requests, which may enable them to alter the progress of the transitional cluster study by strategically withdrawing a specific subset of these generator interconnection requests at each decision point.</w:t>
      </w:r>
      <w:r>
        <w:rPr>
          <w:rStyle w:val="FootnoteReference"/>
        </w:rPr>
        <w:footnoteReference w:id="391"/>
      </w:r>
      <w:r w:rsidRPr="0072600F">
        <w:rPr>
          <w:sz w:val="26"/>
          <w:szCs w:val="26"/>
        </w:rPr>
        <w:t xml:space="preserve">  Shell asserts that this is akin to the queue speculation the Commission is trying to discourage pursuant to Order No. 2023.</w:t>
      </w:r>
      <w:r w:rsidRPr="0072600F">
        <w:rPr>
          <w:b/>
          <w:bCs/>
          <w:sz w:val="26"/>
          <w:szCs w:val="26"/>
        </w:rPr>
        <w:t xml:space="preserve"> </w:t>
      </w:r>
      <w:r w:rsidRPr="0072600F">
        <w:rPr>
          <w:sz w:val="26"/>
          <w:szCs w:val="26"/>
        </w:rPr>
        <w:t xml:space="preserve"> Shell</w:t>
      </w:r>
      <w:r w:rsidRPr="0072600F">
        <w:rPr>
          <w:sz w:val="26"/>
          <w:szCs w:val="26"/>
        </w:rPr>
        <w:t xml:space="preserve"> </w:t>
      </w:r>
      <w:r w:rsidRPr="0072600F">
        <w:rPr>
          <w:sz w:val="26"/>
          <w:szCs w:val="26"/>
        </w:rPr>
        <w:t xml:space="preserve">states that this may allow new interconnection requests to manipulate the transitional cluster study process, thereby triggering multiple restudies until they achieve a result that favors their projects.  </w:t>
      </w:r>
    </w:p>
    <w:p w:rsidR="00760048" w:rsidRPr="0072600F" w14:paraId="1F7FA9E5"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also ask the Commission to clarify that any interconnection requests submitted after the Order No. 2023 issuance date will be placed in the first cluster study that follows the transitional cluster study.</w:t>
      </w:r>
      <w:r>
        <w:rPr>
          <w:rStyle w:val="FootnoteReference"/>
        </w:rPr>
        <w:footnoteReference w:id="392"/>
      </w:r>
      <w:r w:rsidRPr="0072600F">
        <w:rPr>
          <w:sz w:val="26"/>
          <w:szCs w:val="26"/>
        </w:rPr>
        <w:t xml:space="preserve">  Shell</w:t>
      </w:r>
      <w:r w:rsidRPr="0072600F">
        <w:rPr>
          <w:sz w:val="26"/>
          <w:szCs w:val="26"/>
        </w:rPr>
        <w:t xml:space="preserve"> </w:t>
      </w:r>
      <w:r w:rsidRPr="0072600F">
        <w:rPr>
          <w:sz w:val="26"/>
          <w:szCs w:val="26"/>
        </w:rPr>
        <w:t>states that compliance filings that include interconnection requests in a transitional cluster study queued after the deadline should explain why their proposed cut-off date for the transitional cluster study will advance the goals of facilitating the reduction of queue backlogs in a more efficient and cost-effective manner.</w:t>
      </w:r>
      <w:r>
        <w:rPr>
          <w:rStyle w:val="FootnoteReference"/>
        </w:rPr>
        <w:footnoteReference w:id="393"/>
      </w:r>
      <w:r w:rsidRPr="0072600F">
        <w:rPr>
          <w:sz w:val="26"/>
          <w:szCs w:val="26"/>
        </w:rPr>
        <w:t xml:space="preserve">   </w:t>
      </w:r>
    </w:p>
    <w:p w:rsidR="00760048" w:rsidRPr="00FE47B2" w14:paraId="7FA57919"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Determination</w:t>
      </w:r>
    </w:p>
    <w:p w:rsidR="00760048" w:rsidRPr="0072600F" w14:paraId="0A23BC28"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Clean Energy Associations’ request to revise the deposit amounts required for customers entering the transitional serial or transitional cluster process, and to revise the withdrawal penalty amounts for customers that proceed through the transitional process.  As the Commission explained in Order No. 2023, the transition process is anticipated to involve more interconnection customers than standard annual clusters due to existing interconnection queue backlogs.</w:t>
      </w:r>
      <w:r>
        <w:rPr>
          <w:rStyle w:val="FootnoteReference"/>
        </w:rPr>
        <w:footnoteReference w:id="394"/>
      </w:r>
      <w:r w:rsidRPr="0072600F">
        <w:rPr>
          <w:b/>
          <w:bCs/>
          <w:sz w:val="26"/>
          <w:szCs w:val="26"/>
        </w:rPr>
        <w:t xml:space="preserve"> </w:t>
      </w:r>
      <w:r w:rsidRPr="0072600F">
        <w:rPr>
          <w:sz w:val="26"/>
          <w:szCs w:val="26"/>
        </w:rPr>
        <w:t xml:space="preserve"> With more interconnection customers than normal, there is an increased risk of late-stage withdrawals leading to restudies and delays that would further frustrate the goals of Order No. 2023.  We continue to find that adopting deposit requirements for the transition studies that are higher than those adopted for the cluster study process will help to lower the risk of restudies and delays resulting from late-stage withdrawals from the transition studies.  This requirement is necessary to ensure that the transition process is used by interconnection customers that accept the heightened financial risks and nevertheless remain confident in the commercial viability of their proposed generating facilities.</w:t>
      </w:r>
      <w:r w:rsidRPr="0072600F">
        <w:rPr>
          <w:sz w:val="26"/>
          <w:szCs w:val="26"/>
          <w:vertAlign w:val="superscript"/>
        </w:rPr>
        <w:t xml:space="preserve"> </w:t>
      </w:r>
      <w:r w:rsidRPr="0072600F">
        <w:rPr>
          <w:sz w:val="26"/>
          <w:szCs w:val="26"/>
        </w:rPr>
        <w:t xml:space="preserve"> </w:t>
      </w:r>
    </w:p>
    <w:p w:rsidR="00760048" w:rsidRPr="0072600F" w14:paraId="17F5F89D" w14:textId="77777777">
      <w:pPr>
        <w:pStyle w:val="FERCparanumber"/>
        <w:widowControl/>
        <w:numPr>
          <w:ilvl w:val="0"/>
          <w:numId w:val="25"/>
        </w:numPr>
        <w:autoSpaceDE/>
        <w:autoSpaceDN/>
        <w:adjustRightInd/>
        <w:spacing w:line="480" w:lineRule="auto"/>
        <w:rPr>
          <w:sz w:val="26"/>
          <w:szCs w:val="26"/>
        </w:rPr>
      </w:pPr>
      <w:r w:rsidRPr="0072600F">
        <w:rPr>
          <w:sz w:val="26"/>
          <w:szCs w:val="26"/>
        </w:rPr>
        <w:t>We further note that the Commission explained in Order No. 2023 that the transitional deposit amounts are based on expected costs “to the extent practicable.”</w:t>
      </w:r>
      <w:r>
        <w:rPr>
          <w:rStyle w:val="FootnoteReference"/>
        </w:rPr>
        <w:footnoteReference w:id="395"/>
      </w:r>
      <w:r w:rsidRPr="0072600F">
        <w:rPr>
          <w:sz w:val="26"/>
          <w:szCs w:val="26"/>
        </w:rPr>
        <w:t xml:space="preserve">  In the case of the transitional cluster study, it is not practical to create deposits based on individualized estimates of network upgrade costs because, unlike the transitional serial study, projects entering the transitional cluster study are not required to have any previous study results on which such estimates could be based.  Therefore, the Commission reasonably relied upon available evidence as to general network upgrade cost estimates.</w:t>
      </w:r>
      <w:r>
        <w:rPr>
          <w:rStyle w:val="FootnoteReference"/>
        </w:rPr>
        <w:footnoteReference w:id="396"/>
      </w:r>
      <w:r w:rsidRPr="0072600F">
        <w:rPr>
          <w:sz w:val="26"/>
          <w:szCs w:val="26"/>
        </w:rPr>
        <w:t xml:space="preserve">  We further note that no comments in the record provided a more persuasive estimate.  </w:t>
      </w:r>
    </w:p>
    <w:p w:rsidR="00760048" w:rsidRPr="0072600F" w14:paraId="524F6DB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Additionally, we disagree with Clean Energy Associations’ argument that a flat deposit is inconsistent with other Order No. 2023 requirements because </w:t>
      </w:r>
      <w:r w:rsidR="00C74A3A">
        <w:rPr>
          <w:sz w:val="26"/>
          <w:szCs w:val="26"/>
        </w:rPr>
        <w:t>we find that</w:t>
      </w:r>
      <w:r w:rsidRPr="0072600F">
        <w:rPr>
          <w:sz w:val="26"/>
          <w:szCs w:val="26"/>
        </w:rPr>
        <w:t xml:space="preserve"> the need for strict transition requirements warrants the use of a flat deposit.  Furthermore, as the Commission explained, only a portion of these deposits are ultimately at risk, and there is no withdrawal penalty if existing interconnection customers currently in the queue opt to withdraw and wait for the first standard cluster study with associated lower deposit requirements rather than proceed in the transitional cluster.</w:t>
      </w:r>
      <w:r>
        <w:rPr>
          <w:rStyle w:val="FootnoteReference"/>
        </w:rPr>
        <w:footnoteReference w:id="397"/>
      </w:r>
      <w:r w:rsidRPr="0072600F">
        <w:rPr>
          <w:b/>
          <w:bCs/>
          <w:sz w:val="26"/>
          <w:szCs w:val="26"/>
        </w:rPr>
        <w:t xml:space="preserve"> </w:t>
      </w:r>
      <w:r w:rsidRPr="0072600F">
        <w:rPr>
          <w:sz w:val="26"/>
          <w:szCs w:val="26"/>
        </w:rPr>
        <w:t xml:space="preserve"> For similar reasons, we also decline to modify the withdrawal penalty amount.  In light of the heightened risk of withdrawals leading to restudies and delays during the transition process, we disagree with Clean Energy Associations’ argument that the withdrawal penalty is excessive and arbitrary.</w:t>
      </w:r>
    </w:p>
    <w:p w:rsidR="00760048" w:rsidRPr="0072600F" w14:paraId="4C30AE51"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Clean Energy Associations’ and Shell’s calls to set an earlier cut-off date, the issuance date of Order No. 2023, as the date for eligibility for transitional cluster study participation.  Clean Energy Associations and Shell argue that an earlier cut-off date would be fair to those generators who have been waiting in interconnection queues for years and submitted their interconnection request under a different queue structure.  However, the fact that more recent interconnection requests may be included in the transitional cluster does not in and of itself render the eligibility cut-off date unjust and unreasonable.  As the Commission has stated in multiple queue reform proceedings, “any cut-off date inevitably will [exclude certain interconnection customers].”</w:t>
      </w:r>
      <w:r>
        <w:rPr>
          <w:rStyle w:val="FootnoteReference"/>
        </w:rPr>
        <w:footnoteReference w:id="398"/>
      </w:r>
      <w:r w:rsidRPr="0072600F">
        <w:rPr>
          <w:sz w:val="26"/>
          <w:szCs w:val="26"/>
        </w:rPr>
        <w:t xml:space="preserve">  Likewise, the inverse of this statement holds true: any cut-off date inevitably will include certain interconnection customers.  The Commission’s decision to set the eligibility cut-off date as 30 calendar days after the filing date of the transmission provider’s initial compliance filing was reasonable.    </w:t>
      </w:r>
    </w:p>
    <w:p w:rsidR="00760048" w:rsidRPr="0072600F" w14:paraId="029C330B" w14:textId="77777777">
      <w:pPr>
        <w:pStyle w:val="FERCparanumber"/>
        <w:widowControl/>
        <w:numPr>
          <w:ilvl w:val="0"/>
          <w:numId w:val="25"/>
        </w:numPr>
        <w:autoSpaceDE/>
        <w:autoSpaceDN/>
        <w:adjustRightInd/>
        <w:spacing w:line="480" w:lineRule="auto"/>
        <w:rPr>
          <w:sz w:val="26"/>
          <w:szCs w:val="26"/>
        </w:rPr>
      </w:pPr>
      <w:r w:rsidRPr="0072600F">
        <w:rPr>
          <w:sz w:val="26"/>
          <w:szCs w:val="26"/>
        </w:rPr>
        <w:t>Additionally, Commission precedent does not require a certain cluster size</w:t>
      </w:r>
      <w:r w:rsidR="008D2977">
        <w:rPr>
          <w:sz w:val="26"/>
          <w:szCs w:val="26"/>
        </w:rPr>
        <w:t>,</w:t>
      </w:r>
      <w:r w:rsidRPr="0072600F">
        <w:rPr>
          <w:sz w:val="26"/>
          <w:szCs w:val="26"/>
        </w:rPr>
        <w:t xml:space="preserve"> nor do Clean Energy Associations and Shell provide evidence to suggest that the size of the transitional cluster would be unworkable.  Rather, because there are stricter requirements to join the transitional cluster than those adopted for the cluster study process,</w:t>
      </w:r>
      <w:r>
        <w:rPr>
          <w:rStyle w:val="FootnoteReference"/>
        </w:rPr>
        <w:footnoteReference w:id="399"/>
      </w:r>
      <w:r w:rsidRPr="0072600F">
        <w:rPr>
          <w:sz w:val="26"/>
          <w:szCs w:val="26"/>
        </w:rPr>
        <w:t xml:space="preserve"> it is unlikely that non-ready projects would be able to join the transitional cluster.  Furthermore, due to existing interconnection queue backlogs, the Commission anticipated that the transition process will involve more interconnection customers than standard annual clusters and established the transition date along with the accompanying requirements to enter the transition with this knowledge in mind.  The alternative, moving the eligibility date earlier, would simply shift interconnection customers into the first cluster following the transitional cluster.  We lack a basis in the record to conclude, as Clean Energy Associations and Shell appear to argue, that a somewhat larger transitional cluster is not just and reasonable, but a somewhat larger post-transition cluster would be just and reasonable.        </w:t>
      </w:r>
    </w:p>
    <w:p w:rsidR="00760048" w:rsidRPr="0072600F" w14:paraId="3D5EE9C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also unpersuaded by Shell’s assertion that the current eligibility cut-off date could lead to a queue rush.  Such a concern is speculative.  We reiterate that the higher deposit requirements for the transitional cluster study process than those adopted for the non-transitional cluster study process helps ensure that the transitional process is used by interconnection customers that intend to proceed with their proposed generating facilities.    </w:t>
      </w:r>
    </w:p>
    <w:p w:rsidR="00760048" w:rsidRPr="0072600F" w14:paraId="7D3AC397" w14:textId="77777777">
      <w:pPr>
        <w:pStyle w:val="FERCparanumber"/>
        <w:widowControl/>
        <w:numPr>
          <w:ilvl w:val="0"/>
          <w:numId w:val="25"/>
        </w:numPr>
        <w:tabs>
          <w:tab w:val="num" w:pos="720"/>
        </w:tabs>
        <w:autoSpaceDE/>
        <w:autoSpaceDN/>
        <w:adjustRightInd/>
        <w:spacing w:line="480" w:lineRule="auto"/>
        <w:rPr>
          <w:sz w:val="26"/>
          <w:szCs w:val="26"/>
        </w:rPr>
      </w:pPr>
      <w:r w:rsidRPr="0072600F">
        <w:rPr>
          <w:sz w:val="26"/>
          <w:szCs w:val="26"/>
        </w:rPr>
        <w:t xml:space="preserve">Lastly, we add definitions to the </w:t>
      </w:r>
      <w:r w:rsidRPr="0072600F">
        <w:rPr>
          <w:i/>
          <w:iCs/>
          <w:sz w:val="26"/>
          <w:szCs w:val="26"/>
        </w:rPr>
        <w:t xml:space="preserve">pro forma </w:t>
      </w:r>
      <w:r w:rsidRPr="0072600F">
        <w:rPr>
          <w:sz w:val="26"/>
          <w:szCs w:val="26"/>
        </w:rPr>
        <w:t>LGIP for the terms “Transitional Cluster Study Agreement” and “Transitional Serial Interconnection Facilities Study Agreement.”</w:t>
      </w:r>
    </w:p>
    <w:p w:rsidR="00760048" w:rsidRPr="00FE47B2" w14:paraId="526E8252"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u w:val="single"/>
        </w:rPr>
      </w:pPr>
      <w:bookmarkStart w:id="44" w:name="_bmk18"/>
      <w:bookmarkStart w:id="45" w:name="_Toc138973268"/>
      <w:bookmarkStart w:id="46" w:name="_Toc138973607"/>
      <w:r w:rsidRPr="00FE47B2">
        <w:rPr>
          <w:b/>
          <w:bCs/>
          <w:sz w:val="26"/>
          <w:szCs w:val="26"/>
          <w:u w:val="single"/>
        </w:rPr>
        <w:t>R</w:t>
      </w:r>
      <w:bookmarkEnd w:id="44"/>
      <w:r w:rsidRPr="00FE47B2">
        <w:rPr>
          <w:b/>
          <w:bCs/>
          <w:sz w:val="26"/>
          <w:szCs w:val="26"/>
          <w:u w:val="single"/>
        </w:rPr>
        <w:t>eforms to Increase the Speed of Interconnection Queue Processing</w:t>
      </w:r>
      <w:bookmarkEnd w:id="45"/>
      <w:bookmarkEnd w:id="46"/>
    </w:p>
    <w:p w:rsidR="00760048" w:rsidRPr="00FE47B2" w14:paraId="748A7767"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47" w:name="_bmk19"/>
      <w:r w:rsidRPr="00FE47B2">
        <w:rPr>
          <w:b/>
          <w:bCs/>
          <w:sz w:val="26"/>
          <w:u w:val="single"/>
        </w:rPr>
        <w:t>E</w:t>
      </w:r>
      <w:bookmarkEnd w:id="47"/>
      <w:r w:rsidRPr="00FE47B2">
        <w:rPr>
          <w:b/>
          <w:bCs/>
          <w:sz w:val="26"/>
          <w:u w:val="single"/>
        </w:rPr>
        <w:t>limination of Reasonable Efforts Standard and Implementation of a Replacement Rate</w:t>
      </w:r>
    </w:p>
    <w:p w:rsidR="00760048" w:rsidRPr="00FE47B2" w14:paraId="7F138EAB"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Order No. 2023 Requirements</w:t>
      </w:r>
    </w:p>
    <w:p w:rsidR="00760048" w:rsidRPr="0072600F" w14:paraId="2C5537D3" w14:textId="77777777">
      <w:pPr>
        <w:pStyle w:val="FERCparanumber"/>
        <w:widowControl/>
        <w:numPr>
          <w:ilvl w:val="0"/>
          <w:numId w:val="25"/>
        </w:numPr>
        <w:autoSpaceDE/>
        <w:autoSpaceDN/>
        <w:adjustRightInd/>
        <w:spacing w:line="480" w:lineRule="auto"/>
        <w:rPr>
          <w:sz w:val="26"/>
          <w:szCs w:val="26"/>
        </w:rPr>
      </w:pPr>
      <w:r w:rsidRPr="0072600F">
        <w:rPr>
          <w:sz w:val="26"/>
          <w:szCs w:val="26"/>
        </w:rPr>
        <w:t>In Order No. 2023, the Commission revised sections 2.2, 3.5.4(</w:t>
      </w:r>
      <w:r w:rsidRPr="0072600F">
        <w:rPr>
          <w:sz w:val="26"/>
          <w:szCs w:val="26"/>
        </w:rPr>
        <w:t>i</w:t>
      </w:r>
      <w:r w:rsidRPr="0072600F">
        <w:rPr>
          <w:sz w:val="26"/>
          <w:szCs w:val="26"/>
        </w:rPr>
        <w:t xml:space="preserve">), 7.4, 8.3, and Attachment A to Appendix 3 (formerly Appendix 4) of the </w:t>
      </w:r>
      <w:r w:rsidRPr="0072600F">
        <w:rPr>
          <w:i/>
          <w:iCs/>
          <w:sz w:val="26"/>
          <w:szCs w:val="26"/>
        </w:rPr>
        <w:t xml:space="preserve">pro forma </w:t>
      </w:r>
      <w:r w:rsidRPr="0072600F">
        <w:rPr>
          <w:sz w:val="26"/>
          <w:szCs w:val="26"/>
        </w:rPr>
        <w:t>LGIP to eliminate the reasonable efforts standard for conducting cluster studies, cluster restudies, facilities studies, and affected system studies by the tariff-specified deadlines.</w:t>
      </w:r>
      <w:r>
        <w:rPr>
          <w:rStyle w:val="FootnoteReference"/>
        </w:rPr>
        <w:footnoteReference w:id="400"/>
      </w:r>
      <w:r w:rsidRPr="0072600F">
        <w:rPr>
          <w:sz w:val="26"/>
          <w:szCs w:val="26"/>
        </w:rPr>
        <w:t xml:space="preserve">  The Commission added new section 3.9 to the </w:t>
      </w:r>
      <w:r w:rsidRPr="0072600F">
        <w:rPr>
          <w:i/>
          <w:iCs/>
          <w:sz w:val="26"/>
          <w:szCs w:val="26"/>
        </w:rPr>
        <w:t xml:space="preserve">pro forma </w:t>
      </w:r>
      <w:r w:rsidRPr="0072600F">
        <w:rPr>
          <w:sz w:val="26"/>
          <w:szCs w:val="26"/>
        </w:rPr>
        <w:t>LGIP to implement a study delay penalty structure.  Specifically, delays of cluster studies beyond the tariff-specified deadline will incur a penalty of $1,000 per business day; delays of cluster restudies beyond the tariff-specified deadline will incur a penalty of $2,000 per business day; delays of affected system studies beyond the tariff-specified deadline will incur a penalty of $2,000 per business day; and delays of facilities studies beyond the tariff-specified deadline will incur a penalty of $2,500 per business day.  The Commission explained that, among other things, these penalty amounts are intended to incentivize transmission providers to meet study deadlines and that the structure of increasing penalties reflects the progressively greater harm caused by delayed studies at later interconnection stages.</w:t>
      </w:r>
      <w:r>
        <w:rPr>
          <w:rStyle w:val="FootnoteReference"/>
        </w:rPr>
        <w:footnoteReference w:id="401"/>
      </w:r>
    </w:p>
    <w:p w:rsidR="00760048" w:rsidRPr="0072600F" w14:paraId="5C4B5D50" w14:textId="77777777">
      <w:pPr>
        <w:pStyle w:val="FERCparanumber"/>
        <w:widowControl/>
        <w:numPr>
          <w:ilvl w:val="0"/>
          <w:numId w:val="25"/>
        </w:numPr>
        <w:autoSpaceDE/>
        <w:autoSpaceDN/>
        <w:adjustRightInd/>
        <w:spacing w:line="480" w:lineRule="auto"/>
        <w:rPr>
          <w:sz w:val="26"/>
          <w:szCs w:val="26"/>
        </w:rPr>
      </w:pPr>
      <w:bookmarkStart w:id="48" w:name="_Ref160107542"/>
      <w:r w:rsidRPr="0072600F">
        <w:rPr>
          <w:sz w:val="26"/>
          <w:szCs w:val="26"/>
        </w:rPr>
        <w:t xml:space="preserve">The Commission also specified that the study delay penalty regime contains the following safeguards for transmission providers:  (1) no study delay penalties will be assessed until the third cluster study cycle </w:t>
      </w:r>
      <w:r w:rsidRPr="0072600F">
        <w:rPr>
          <w:iCs/>
          <w:sz w:val="26"/>
          <w:szCs w:val="26"/>
        </w:rPr>
        <w:t>(including any transitional cluster study cycle, but not transitional serial studies)</w:t>
      </w:r>
      <w:r w:rsidRPr="0072600F">
        <w:rPr>
          <w:i/>
          <w:sz w:val="26"/>
          <w:szCs w:val="26"/>
        </w:rPr>
        <w:t xml:space="preserve"> </w:t>
      </w:r>
      <w:r w:rsidRPr="0072600F">
        <w:rPr>
          <w:sz w:val="26"/>
          <w:szCs w:val="26"/>
        </w:rPr>
        <w:t>after the Commission-approved effective date of the transmission provider’s filing in compliance with Order No. 2023; (2) there will be a 10-business day grace period, such that no study delay penalties will be assessed for a study that is delayed by 10 business days or fewer; (3) deadlines may be extended for a particular study by 30 business days by mutual agreement of the transmission provider and all interconnection customers with interconnection requests in the relevant study; (4) study delay penalties will be capped at 100% of the initial study deposits received for all of the interconnection requests in the relevant study; and (5) transmission providers will have the ability to appeal any study delay penalties to the Commission, with the Commission determining whether good cause exists to grant the relief requested on appeal.</w:t>
      </w:r>
      <w:r>
        <w:rPr>
          <w:rStyle w:val="FootnoteReference"/>
        </w:rPr>
        <w:footnoteReference w:id="402"/>
      </w:r>
      <w:bookmarkEnd w:id="48"/>
      <w:r w:rsidRPr="0072600F">
        <w:rPr>
          <w:sz w:val="26"/>
          <w:szCs w:val="26"/>
        </w:rPr>
        <w:t xml:space="preserve">  </w:t>
      </w:r>
    </w:p>
    <w:p w:rsidR="00760048" w:rsidRPr="0072600F" w14:paraId="5247A0BA"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further included the following features in the study delay penalty structure:  (1) transmission providers must distribute study delay penalties to interconnection customers in the relevant study that did not withdraw, or were not deemed withdrawn, from the interconnection queue before the missed study deadline on a pro rata per interconnection request basis to offset their study costs; (2) non-RTO/ISO transmission providers and transmission-owning members of RTOs/ISOs may not recover study delay penalties through transmission rates; (3) RTOs/ISOs may submit an FPA section 205 filing to propose a default structure for recovering study delay penalties and/or to recover the costs of any specific study delay penalties;</w:t>
      </w:r>
      <w:r>
        <w:rPr>
          <w:rStyle w:val="FootnoteReference"/>
        </w:rPr>
        <w:footnoteReference w:id="403"/>
      </w:r>
      <w:r w:rsidRPr="0072600F">
        <w:rPr>
          <w:i/>
          <w:sz w:val="26"/>
          <w:szCs w:val="26"/>
        </w:rPr>
        <w:t xml:space="preserve"> </w:t>
      </w:r>
      <w:r w:rsidRPr="0072600F">
        <w:rPr>
          <w:sz w:val="26"/>
          <w:szCs w:val="26"/>
        </w:rPr>
        <w:t>and (4) transmission providers must post quarterly on their OASIS or other publicly accessible website (a) the total amount of study delay penalties from the previous reporting quarter and (b) the highest study delay penalty paid to a single interconnection customer in the previous reporting quarter.</w:t>
      </w:r>
      <w:r>
        <w:rPr>
          <w:rStyle w:val="FootnoteReference"/>
        </w:rPr>
        <w:footnoteReference w:id="404"/>
      </w:r>
      <w:r w:rsidRPr="0072600F">
        <w:rPr>
          <w:sz w:val="26"/>
          <w:szCs w:val="26"/>
        </w:rPr>
        <w:t xml:space="preserve">  The Commission also added new section (f)(1)(ii) to 18 CFR </w:t>
      </w:r>
      <w:r w:rsidRPr="00E64D3C" w:rsidR="00E64D3C">
        <w:rPr>
          <w:sz w:val="26"/>
          <w:szCs w:val="26"/>
        </w:rPr>
        <w:t>§</w:t>
      </w:r>
      <w:r w:rsidR="00E64D3C">
        <w:rPr>
          <w:sz w:val="26"/>
          <w:szCs w:val="26"/>
        </w:rPr>
        <w:t xml:space="preserve"> </w:t>
      </w:r>
      <w:r w:rsidRPr="0072600F">
        <w:rPr>
          <w:sz w:val="26"/>
          <w:szCs w:val="26"/>
        </w:rPr>
        <w:t>35.28(f)(1) to specify that any public utility that conducts interconnection studies shall be subject to and eligible to appeal penalties following that public utility’s failure to complete an interconnection study by the appropriate deadline.</w:t>
      </w:r>
      <w:r>
        <w:rPr>
          <w:rStyle w:val="FootnoteReference"/>
        </w:rPr>
        <w:footnoteReference w:id="405"/>
      </w:r>
      <w:r w:rsidRPr="0072600F">
        <w:rPr>
          <w:sz w:val="26"/>
          <w:szCs w:val="26"/>
        </w:rPr>
        <w:t xml:space="preserve">  </w:t>
      </w:r>
    </w:p>
    <w:p w:rsidR="00760048" w:rsidRPr="0072600F" w14:paraId="20EDD12B"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explained that the lengthy interconnection study delays and interconnection queue backlogs throughout the country support a conclusion</w:t>
      </w:r>
      <w:r w:rsidRPr="0072600F">
        <w:rPr>
          <w:sz w:val="26"/>
          <w:szCs w:val="26"/>
        </w:rPr>
        <w:t xml:space="preserve"> </w:t>
      </w:r>
      <w:r w:rsidRPr="0072600F">
        <w:rPr>
          <w:sz w:val="26"/>
          <w:szCs w:val="26"/>
        </w:rPr>
        <w:t>that the reasonable efforts standard does not provide an adequate incentive for transmission providers to complete interconnection studies on time.</w:t>
      </w:r>
      <w:r>
        <w:rPr>
          <w:rStyle w:val="FootnoteReference"/>
        </w:rPr>
        <w:footnoteReference w:id="406"/>
      </w:r>
      <w:r w:rsidRPr="0072600F">
        <w:rPr>
          <w:sz w:val="26"/>
          <w:szCs w:val="26"/>
        </w:rPr>
        <w:t xml:space="preserve">  The Commission stated that there is every reason to believe that many of the factors contributing to significant interconnection queue backlogs and delay—including the rapidly changing resource mix, market forces, and emerging technologies—will persist.  The Commission explained that the reasonable efforts standard worsens</w:t>
      </w:r>
      <w:r w:rsidRPr="0072600F">
        <w:rPr>
          <w:sz w:val="26"/>
          <w:szCs w:val="26"/>
        </w:rPr>
        <w:t xml:space="preserve"> </w:t>
      </w:r>
      <w:r w:rsidRPr="0072600F">
        <w:rPr>
          <w:sz w:val="26"/>
          <w:szCs w:val="26"/>
        </w:rPr>
        <w:t>current-day challenges, as it fails to ensure that transmission providers are keeping pace with the changing and complex dynamics of today’s interconnection queues.</w:t>
      </w:r>
      <w:r>
        <w:rPr>
          <w:rStyle w:val="FootnoteReference"/>
        </w:rPr>
        <w:footnoteReference w:id="407"/>
      </w:r>
      <w:r w:rsidRPr="0072600F">
        <w:rPr>
          <w:sz w:val="26"/>
          <w:szCs w:val="26"/>
        </w:rPr>
        <w:t xml:space="preserve">  Therefore, in response to those ongoing</w:t>
      </w:r>
      <w:r w:rsidRPr="0072600F">
        <w:rPr>
          <w:sz w:val="26"/>
          <w:szCs w:val="26"/>
        </w:rPr>
        <w:t xml:space="preserve"> </w:t>
      </w:r>
      <w:r w:rsidRPr="0072600F">
        <w:rPr>
          <w:sz w:val="26"/>
          <w:szCs w:val="26"/>
        </w:rPr>
        <w:t>challenges and based on the record, the Commission found that the elimination of the reasonable efforts standard and its replacement with firm deadlines and penalties are needed to remedy unjust and unreasonable rates and ensure that interconnection customers are able to interconnect to the transmission system in a reliable, efficient, transparent, and timely manner.</w:t>
      </w:r>
      <w:r>
        <w:rPr>
          <w:rStyle w:val="FootnoteReference"/>
        </w:rPr>
        <w:footnoteReference w:id="408"/>
      </w:r>
      <w:r w:rsidRPr="0072600F">
        <w:rPr>
          <w:sz w:val="26"/>
          <w:szCs w:val="26"/>
        </w:rPr>
        <w:t xml:space="preserve">  </w:t>
      </w:r>
    </w:p>
    <w:p w:rsidR="00760048" w:rsidRPr="0072600F" w14:paraId="5E7E310A"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noted that its conclusions were not based on a finding that transmission providers have necessarily acted in bad faith or that their actions are the sole reason for the queue delays.</w:t>
      </w:r>
      <w:r>
        <w:rPr>
          <w:rStyle w:val="FootnoteReference"/>
        </w:rPr>
        <w:footnoteReference w:id="409"/>
      </w:r>
      <w:r w:rsidRPr="0072600F">
        <w:rPr>
          <w:sz w:val="26"/>
          <w:szCs w:val="26"/>
        </w:rPr>
        <w:t xml:space="preserve">  The Commission explained that it adopted numerous other reforms to appropriately incentivize interconnection customers to help reduce interconnection delays that may result from their conduct.  However, the Commission found that the elimination of the reasonable efforts standard and the adoption of firm deadlines and penalties for late studies are needed to create an incentive for transmission providers, which will help reduce interconnection delays and ensure that Commission-jurisdictional rates are just, reasonable, and not unduly discriminatory or preferential.  The Commission further found that distribution of these penalties to interconnection customers in the relevant studies was appropriate as a means of offsetting these customers’ study costs.  The Commission further explained that the study delay penalty regime balances the harm to interconnection customers of interconnection study delays and the associated need to incentivize transmission providers to timely complete interconnection studies with the burdens on transmission providers of conducting interconnection studies and potentially facing penalties for delays, including those that may be caused or exacerbated by factors beyond their control.</w:t>
      </w:r>
      <w:r>
        <w:rPr>
          <w:rStyle w:val="FootnoteReference"/>
        </w:rPr>
        <w:footnoteReference w:id="410"/>
      </w:r>
      <w:r w:rsidRPr="0072600F">
        <w:rPr>
          <w:sz w:val="26"/>
          <w:szCs w:val="26"/>
        </w:rPr>
        <w:t xml:space="preserve">    </w:t>
      </w:r>
    </w:p>
    <w:p w:rsidR="00760048" w:rsidRPr="0072600F" w14:paraId="2A2C4558" w14:textId="77777777">
      <w:pPr>
        <w:pStyle w:val="FERCparanumber"/>
        <w:widowControl/>
        <w:numPr>
          <w:ilvl w:val="0"/>
          <w:numId w:val="25"/>
        </w:numPr>
        <w:autoSpaceDE/>
        <w:autoSpaceDN/>
        <w:adjustRightInd/>
        <w:spacing w:line="480" w:lineRule="auto"/>
        <w:rPr>
          <w:sz w:val="26"/>
          <w:szCs w:val="26"/>
        </w:rPr>
      </w:pPr>
      <w:bookmarkStart w:id="49" w:name="_Ref160107603"/>
      <w:r w:rsidRPr="0072600F">
        <w:rPr>
          <w:sz w:val="26"/>
          <w:szCs w:val="26"/>
        </w:rPr>
        <w:t>As noted above, the Commission adopted a process for transmission providers to appeal any study delay penalties they incur.</w:t>
      </w:r>
      <w:r>
        <w:rPr>
          <w:rStyle w:val="FootnoteReference"/>
        </w:rPr>
        <w:footnoteReference w:id="411"/>
      </w:r>
      <w:r w:rsidRPr="0072600F">
        <w:rPr>
          <w:sz w:val="26"/>
          <w:szCs w:val="26"/>
        </w:rPr>
        <w:t xml:space="preserve">  The Commission explained that any such appeal must be filed no later than 45 calendar days after the late study has been completed.  The Commission stated that it will evaluate whether good cause exists to grant relief from the study delay penalty and will issue an order granting or denying relief.  The Commission noted that in evaluating whether there is good cause to grant such relief, the Commission may consider, among other factors:  (1) extenuating circumstances outside the transmission provider’s control, such as delays in affected system study results; (2) efforts of the transmission provider to mitigate delays; and (3) the extent to which the transmission provider has proposed process enhancements either in the stakeholder process or at the Commission to prevent future delays.  The Commission further provided that the filing of an appeal will stay the transmission providers’ obligation to distribute the study delay penalty funds to interconnection customers until 45 calendar days after (1) the deadline for filing a rehearing request has ended, if no requests for rehearing of the Commission’s decision on the appeal have been filed, or</w:t>
      </w:r>
      <w:r w:rsidRPr="0072600F">
        <w:rPr>
          <w:i/>
          <w:iCs/>
          <w:sz w:val="26"/>
          <w:szCs w:val="26"/>
        </w:rPr>
        <w:t xml:space="preserve"> </w:t>
      </w:r>
      <w:r w:rsidRPr="0072600F">
        <w:rPr>
          <w:sz w:val="26"/>
          <w:szCs w:val="26"/>
        </w:rPr>
        <w:t>(2)</w:t>
      </w:r>
      <w:r w:rsidRPr="0072600F">
        <w:rPr>
          <w:i/>
          <w:iCs/>
          <w:sz w:val="26"/>
          <w:szCs w:val="26"/>
        </w:rPr>
        <w:t xml:space="preserve"> </w:t>
      </w:r>
      <w:r w:rsidRPr="0072600F">
        <w:rPr>
          <w:sz w:val="26"/>
          <w:szCs w:val="26"/>
        </w:rPr>
        <w:t>the date that any requests for rehearing of the Commission’s decision on the appeal are no longer pending before the Commission.  The Commission explained that the appeals process balances the need to ensure that transmission providers have an incentive</w:t>
      </w:r>
      <w:r w:rsidRPr="0072600F">
        <w:rPr>
          <w:sz w:val="26"/>
          <w:szCs w:val="26"/>
        </w:rPr>
        <w:t xml:space="preserve"> </w:t>
      </w:r>
      <w:r w:rsidRPr="0072600F">
        <w:rPr>
          <w:sz w:val="26"/>
          <w:szCs w:val="26"/>
        </w:rPr>
        <w:t>to meet interconnection study deadlines with protections to ensure that any such penalties are fair and not triggered if good cause justifies the delay.</w:t>
      </w:r>
      <w:r>
        <w:rPr>
          <w:rStyle w:val="FootnoteReference"/>
        </w:rPr>
        <w:footnoteReference w:id="412"/>
      </w:r>
      <w:r w:rsidRPr="0072600F">
        <w:rPr>
          <w:sz w:val="26"/>
          <w:szCs w:val="26"/>
        </w:rPr>
        <w:t xml:space="preserve">  The Commission further explained that the protections embedded in this appeal process address commenters’ concerns that there should be adequate process and/or fact-finding before imposing a study delay penalty on transmission providers.</w:t>
      </w:r>
      <w:bookmarkEnd w:id="49"/>
    </w:p>
    <w:p w:rsidR="00760048" w:rsidRPr="0072600F" w14:paraId="7F6D0C58" w14:textId="77777777">
      <w:pPr>
        <w:pStyle w:val="FERCparanumber"/>
        <w:widowControl/>
        <w:numPr>
          <w:ilvl w:val="0"/>
          <w:numId w:val="25"/>
        </w:numPr>
        <w:autoSpaceDE/>
        <w:autoSpaceDN/>
        <w:adjustRightInd/>
        <w:spacing w:line="480" w:lineRule="auto"/>
        <w:rPr>
          <w:sz w:val="26"/>
          <w:szCs w:val="26"/>
        </w:rPr>
      </w:pPr>
      <w:r w:rsidRPr="0072600F">
        <w:rPr>
          <w:sz w:val="26"/>
          <w:szCs w:val="26"/>
        </w:rPr>
        <w:t>Additionally, the Commission specified that transmission providers must distribute study delay penalties to the interconnection customers and affected system interconnection customers included in the relevant study that did not withdraw, or were not deemed withdrawn, from the interconnection queue before the missed study deadline.</w:t>
      </w:r>
      <w:r>
        <w:rPr>
          <w:rStyle w:val="FootnoteReference"/>
        </w:rPr>
        <w:footnoteReference w:id="413"/>
      </w:r>
      <w:r w:rsidRPr="0072600F">
        <w:rPr>
          <w:sz w:val="26"/>
          <w:szCs w:val="26"/>
        </w:rPr>
        <w:t xml:space="preserve">  The Commission explained that, unless the transmission provider files an appeal to the study penalty, the study delay penalty must be distributed no later than 45 calendar days after the late study has been completed.  The Commission further specified that a study delay penalty for a delayed cluster study or cluster restudy must be distributed on a pro rata basis per interconnection request to all interconnection customers in the cluster, while a study delay penalty for a delayed facilities study must be distributed to the interconnection customer whose facilities were being studied, and a study delay penalty for a delayed affected system study must be distributed to the affected system interconnection customer(s) whose generating facility was being studied by an affected system transmission provider.  The Commission provided that the study delay penalties are on a per business day basis and will be distributed equally to each delayed interconnection customer per the requirements above.  The Commission explained that this distribution defrays the study costs of the interconnection customers affected by that delay.</w:t>
      </w:r>
      <w:r>
        <w:rPr>
          <w:rStyle w:val="FootnoteReference"/>
        </w:rPr>
        <w:footnoteReference w:id="414"/>
      </w:r>
    </w:p>
    <w:p w:rsidR="00760048" w:rsidRPr="0072600F" w14:paraId="157F81D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also declined to adopt the NOPR’s proposed </w:t>
      </w:r>
      <w:r w:rsidRPr="0072600F">
        <w:rPr>
          <w:i/>
          <w:iCs/>
          <w:sz w:val="26"/>
          <w:szCs w:val="26"/>
        </w:rPr>
        <w:t>force majeure</w:t>
      </w:r>
      <w:r w:rsidRPr="0072600F">
        <w:rPr>
          <w:sz w:val="26"/>
          <w:szCs w:val="26"/>
        </w:rPr>
        <w:t xml:space="preserve"> penalty exception.</w:t>
      </w:r>
      <w:r>
        <w:rPr>
          <w:rStyle w:val="FootnoteReference"/>
        </w:rPr>
        <w:footnoteReference w:id="415"/>
      </w:r>
      <w:r w:rsidRPr="0072600F">
        <w:rPr>
          <w:sz w:val="26"/>
          <w:szCs w:val="26"/>
        </w:rPr>
        <w:t xml:space="preserve">  The Commission explained that this exemption is unwarranted given the adoption of an appeal mechanism, which provides transmission providers the opportunity to explain to the Commission any circumstances that caused the delay, including any events that qualify as </w:t>
      </w:r>
      <w:r w:rsidRPr="0072600F">
        <w:rPr>
          <w:i/>
          <w:iCs/>
          <w:sz w:val="26"/>
          <w:szCs w:val="26"/>
        </w:rPr>
        <w:t>force majeure</w:t>
      </w:r>
      <w:r w:rsidRPr="0072600F">
        <w:rPr>
          <w:sz w:val="26"/>
          <w:szCs w:val="26"/>
        </w:rPr>
        <w:t>.</w:t>
      </w:r>
      <w:r>
        <w:rPr>
          <w:rStyle w:val="FootnoteReference"/>
        </w:rPr>
        <w:footnoteReference w:id="416"/>
      </w:r>
      <w:r w:rsidRPr="0072600F">
        <w:rPr>
          <w:sz w:val="26"/>
          <w:szCs w:val="26"/>
        </w:rPr>
        <w:t xml:space="preserve"> </w:t>
      </w:r>
    </w:p>
    <w:p w:rsidR="00760048" w:rsidRPr="00FE47B2" w14:paraId="57A49794"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 xml:space="preserve">Elimination of the Reasonable Efforts Standard </w:t>
      </w:r>
    </w:p>
    <w:p w:rsidR="00760048" w:rsidRPr="00FE47B2" w14:paraId="6057E261"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Requests for Rehearing</w:t>
      </w:r>
    </w:p>
    <w:p w:rsidR="00760048" w:rsidRPr="0072600F" w14:paraId="2694865F" w14:textId="77777777">
      <w:pPr>
        <w:pStyle w:val="FERCparanumber"/>
        <w:widowControl/>
        <w:numPr>
          <w:ilvl w:val="0"/>
          <w:numId w:val="25"/>
        </w:numPr>
        <w:autoSpaceDE/>
        <w:autoSpaceDN/>
        <w:adjustRightInd/>
        <w:spacing w:line="480" w:lineRule="auto"/>
        <w:rPr>
          <w:sz w:val="26"/>
          <w:szCs w:val="26"/>
        </w:rPr>
      </w:pPr>
      <w:bookmarkStart w:id="50" w:name="_Ref160107426"/>
      <w:r w:rsidRPr="0072600F">
        <w:rPr>
          <w:sz w:val="26"/>
          <w:szCs w:val="26"/>
        </w:rPr>
        <w:t>Many rehearing requests argue that the decision to eliminate the reasonable efforts standard is not supported by substantial record evidence.</w:t>
      </w:r>
      <w:r>
        <w:rPr>
          <w:rStyle w:val="FootnoteReference"/>
        </w:rPr>
        <w:footnoteReference w:id="417"/>
      </w:r>
      <w:r w:rsidRPr="0072600F">
        <w:rPr>
          <w:sz w:val="26"/>
          <w:szCs w:val="26"/>
        </w:rPr>
        <w:t xml:space="preserve">  They argue that the Commission failed to meet its FPA section 206 burden because the Commission failed to show that (1) this standard is causing or materially contributing to delays or (2) the elimination of this standard will increase the timely provision of interconnection service, especially given the other factors that may cause study delays.</w:t>
      </w:r>
      <w:r>
        <w:rPr>
          <w:rStyle w:val="FootnoteReference"/>
        </w:rPr>
        <w:footnoteReference w:id="418"/>
      </w:r>
      <w:r w:rsidRPr="0072600F">
        <w:rPr>
          <w:sz w:val="26"/>
          <w:szCs w:val="26"/>
        </w:rPr>
        <w:t xml:space="preserve">  NYTOs argue that Order No. 2023’s observation that, under the reasonable efforts standard, interconnection studies have been delayed “conflates correlation with causation.”</w:t>
      </w:r>
      <w:r>
        <w:rPr>
          <w:rStyle w:val="FootnoteReference"/>
        </w:rPr>
        <w:footnoteReference w:id="419"/>
      </w:r>
      <w:r w:rsidRPr="0072600F">
        <w:rPr>
          <w:sz w:val="26"/>
          <w:szCs w:val="26"/>
        </w:rPr>
        <w:t xml:space="preserve">  Others argue that the Commission failed to address the root cause of study delays—namely, the volume of interconnection requests, which they claim Order No. 2023 will increase.</w:t>
      </w:r>
      <w:r>
        <w:rPr>
          <w:rStyle w:val="FootnoteReference"/>
        </w:rPr>
        <w:footnoteReference w:id="420"/>
      </w:r>
      <w:r w:rsidRPr="0072600F">
        <w:rPr>
          <w:sz w:val="26"/>
          <w:szCs w:val="26"/>
        </w:rPr>
        <w:t xml:space="preserve">  Avangrid disputes Order No. 2023’s conclusion that the other reforms adopted therein are expected to ease the burdens on transmission providers by streamlining and reducing the number of interconnection studies.</w:t>
      </w:r>
      <w:r>
        <w:rPr>
          <w:rStyle w:val="FootnoteReference"/>
        </w:rPr>
        <w:footnoteReference w:id="421"/>
      </w:r>
      <w:bookmarkEnd w:id="50"/>
      <w:r w:rsidRPr="0072600F">
        <w:rPr>
          <w:sz w:val="26"/>
          <w:szCs w:val="26"/>
        </w:rPr>
        <w:t xml:space="preserve">  </w:t>
      </w:r>
    </w:p>
    <w:p w:rsidR="00760048" w:rsidRPr="0072600F" w14:paraId="2AF3A9E7" w14:textId="77777777">
      <w:pPr>
        <w:pStyle w:val="FERCparanumber"/>
        <w:widowControl/>
        <w:numPr>
          <w:ilvl w:val="0"/>
          <w:numId w:val="25"/>
        </w:numPr>
        <w:autoSpaceDE/>
        <w:autoSpaceDN/>
        <w:adjustRightInd/>
        <w:spacing w:line="480" w:lineRule="auto"/>
        <w:rPr>
          <w:sz w:val="26"/>
          <w:szCs w:val="26"/>
        </w:rPr>
      </w:pPr>
      <w:bookmarkStart w:id="51" w:name="_Ref160107428"/>
      <w:r w:rsidRPr="0072600F">
        <w:rPr>
          <w:sz w:val="26"/>
          <w:szCs w:val="26"/>
        </w:rPr>
        <w:t>Several of the rehearing requests assert that the Commission has not demonstrated that interconnection study delays and backlogs are connected to transmission provider actions, such as wrongdoing, incompetence, lack of appropriate incentives, bad faith, or failure to exercise due diligence.</w:t>
      </w:r>
      <w:r>
        <w:rPr>
          <w:rStyle w:val="FootnoteReference"/>
        </w:rPr>
        <w:footnoteReference w:id="422"/>
      </w:r>
      <w:r w:rsidRPr="0072600F">
        <w:rPr>
          <w:sz w:val="26"/>
          <w:szCs w:val="26"/>
        </w:rPr>
        <w:t xml:space="preserve">  SPP and ITC claim that there are already many strong incentives to timely perform interconnection studies and the record does not contain the necessary support to conclude that a lack of incentives, as opposed to various other factors outside of transmission providers’ control, are the cause for interconnection queue backlogs or study delays.</w:t>
      </w:r>
      <w:r>
        <w:rPr>
          <w:rStyle w:val="FootnoteReference"/>
        </w:rPr>
        <w:footnoteReference w:id="423"/>
      </w:r>
      <w:r w:rsidRPr="0072600F">
        <w:rPr>
          <w:sz w:val="26"/>
          <w:szCs w:val="26"/>
        </w:rPr>
        <w:t xml:space="preserve">  Many rehearing requests detail numerous factors contributing to delays and backlogs that they assert are outside of the transmission provider’s control (e.g., the volume of interconnection requests, complexity of studies, staffing shortages, the shortage of qualified engineers, withdrawals triggering the need for restudies, delayed data from interconnection customers, affected system coordination, a rapidly changing resource mix, market forces, and emerging technologies) and argue that these conditions will persist, such that study delay penalties on transmission providers cannot be effective and are unsupported.</w:t>
      </w:r>
      <w:r>
        <w:rPr>
          <w:rStyle w:val="FootnoteReference"/>
        </w:rPr>
        <w:footnoteReference w:id="424"/>
      </w:r>
      <w:bookmarkEnd w:id="51"/>
      <w:r w:rsidRPr="0072600F">
        <w:rPr>
          <w:sz w:val="26"/>
          <w:szCs w:val="26"/>
        </w:rPr>
        <w:t xml:space="preserve">  </w:t>
      </w:r>
    </w:p>
    <w:p w:rsidR="00760048" w:rsidRPr="0072600F" w14:paraId="60C9D00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AEP, </w:t>
      </w:r>
      <w:r w:rsidR="00395BDC">
        <w:rPr>
          <w:sz w:val="26"/>
          <w:szCs w:val="26"/>
        </w:rPr>
        <w:t>EEI</w:t>
      </w:r>
      <w:r w:rsidRPr="0072600F">
        <w:rPr>
          <w:sz w:val="26"/>
          <w:szCs w:val="26"/>
        </w:rPr>
        <w:t>, and MISO TOs contend that the Commission’s elimination of the reasonable efforts standard and its replacement with the deadline and penalty framework is based on notions of fairness or equity between transmission providers and interconnection customers, but they contend that this is an inadequate basis for reform.</w:t>
      </w:r>
      <w:r>
        <w:rPr>
          <w:rStyle w:val="FootnoteReference"/>
        </w:rPr>
        <w:footnoteReference w:id="425"/>
      </w:r>
      <w:r w:rsidRPr="0072600F">
        <w:rPr>
          <w:sz w:val="26"/>
          <w:szCs w:val="26"/>
        </w:rPr>
        <w:t xml:space="preserve">  EEI asserts that penalties assessed against transmission providers therefore cannot be effective in reducing such delays and backlogs.</w:t>
      </w:r>
      <w:r>
        <w:rPr>
          <w:rStyle w:val="FootnoteReference"/>
        </w:rPr>
        <w:footnoteReference w:id="426"/>
      </w:r>
      <w:r w:rsidRPr="0072600F">
        <w:rPr>
          <w:sz w:val="26"/>
          <w:szCs w:val="26"/>
        </w:rPr>
        <w:t xml:space="preserve">  </w:t>
      </w:r>
    </w:p>
    <w:p w:rsidR="00760048" w:rsidRPr="0072600F" w14:paraId="393E2622" w14:textId="77777777">
      <w:pPr>
        <w:pStyle w:val="FERCparanumber"/>
        <w:widowControl/>
        <w:numPr>
          <w:ilvl w:val="0"/>
          <w:numId w:val="25"/>
        </w:numPr>
        <w:autoSpaceDE/>
        <w:autoSpaceDN/>
        <w:adjustRightInd/>
        <w:spacing w:line="480" w:lineRule="auto"/>
        <w:rPr>
          <w:sz w:val="26"/>
          <w:szCs w:val="26"/>
        </w:rPr>
      </w:pPr>
      <w:r w:rsidRPr="0072600F">
        <w:rPr>
          <w:sz w:val="26"/>
          <w:szCs w:val="26"/>
        </w:rPr>
        <w:t>Certain rehearing requests also cite the purported benefits of the reasonable efforts standard, including the consistency of that standard with good utility practice and the flexibility afforded by that standard, urging that the reasonable efforts standard remains just and reasonable.</w:t>
      </w:r>
      <w:r>
        <w:rPr>
          <w:rStyle w:val="FootnoteReference"/>
        </w:rPr>
        <w:footnoteReference w:id="427"/>
      </w:r>
      <w:r w:rsidRPr="0072600F">
        <w:rPr>
          <w:sz w:val="26"/>
          <w:szCs w:val="26"/>
        </w:rPr>
        <w:t xml:space="preserve">  As a result, ITC argues that the “reasonable efforts” standard ensures that transmission providers treat other parties comparably to how they will protect their own interests.</w:t>
      </w:r>
      <w:r>
        <w:rPr>
          <w:rStyle w:val="FootnoteReference"/>
        </w:rPr>
        <w:footnoteReference w:id="428"/>
      </w:r>
      <w:r w:rsidRPr="0072600F">
        <w:rPr>
          <w:sz w:val="26"/>
          <w:szCs w:val="26"/>
        </w:rPr>
        <w:t xml:space="preserve"> </w:t>
      </w:r>
      <w:r w:rsidRPr="0072600F">
        <w:rPr>
          <w:rStyle w:val="CommentReference"/>
          <w:sz w:val="26"/>
          <w:szCs w:val="26"/>
        </w:rPr>
        <w:t xml:space="preserve"> </w:t>
      </w:r>
      <w:r w:rsidRPr="0072600F">
        <w:rPr>
          <w:sz w:val="26"/>
          <w:szCs w:val="26"/>
        </w:rPr>
        <w:t>NYTOs assert that the reasonable efforts standard is just and reasonable because each generator project and interconnection request is unique, such that flexibility is warranted in the face of the challenges posed by the study process, the uniqueness of each study request, mounting volumes of such requests, and because delays in that process may not be the fault of transmission providers.</w:t>
      </w:r>
      <w:r>
        <w:rPr>
          <w:rStyle w:val="FootnoteReference"/>
        </w:rPr>
        <w:footnoteReference w:id="429"/>
      </w:r>
      <w:r w:rsidRPr="0072600F">
        <w:rPr>
          <w:sz w:val="26"/>
          <w:szCs w:val="26"/>
        </w:rPr>
        <w:t xml:space="preserve">  EEI argues that retaining the reasonable efforts standard is particularly appropriate given the other requirements of Order No. 2023, contending that flexibility will be necessary given the complexity of the cluster study process, the new technologies that must be evaluated, and new NERC standards.</w:t>
      </w:r>
      <w:r>
        <w:rPr>
          <w:rStyle w:val="FootnoteReference"/>
        </w:rPr>
        <w:footnoteReference w:id="430"/>
      </w:r>
      <w:r w:rsidRPr="0072600F">
        <w:rPr>
          <w:sz w:val="26"/>
          <w:szCs w:val="26"/>
        </w:rPr>
        <w:t xml:space="preserve">  Indicated PJM TOs assert that the reasonable efforts standard provides the optimal balance of incentives to complete studies in a timely manner and the reasonable flexibility for planners to take the time needed to ensure grid reliability will be maintained in a cost-effective manner.</w:t>
      </w:r>
      <w:r>
        <w:rPr>
          <w:rStyle w:val="FootnoteReference"/>
        </w:rPr>
        <w:footnoteReference w:id="431"/>
      </w:r>
      <w:r w:rsidRPr="0072600F">
        <w:rPr>
          <w:sz w:val="26"/>
          <w:szCs w:val="26"/>
        </w:rPr>
        <w:t xml:space="preserve">  </w:t>
      </w:r>
    </w:p>
    <w:p w:rsidR="00760048" w:rsidRPr="0072600F" w14:paraId="2049C9C9" w14:textId="77777777">
      <w:pPr>
        <w:pStyle w:val="FERCparanumber"/>
        <w:widowControl/>
        <w:numPr>
          <w:ilvl w:val="0"/>
          <w:numId w:val="25"/>
        </w:numPr>
        <w:autoSpaceDE/>
        <w:autoSpaceDN/>
        <w:adjustRightInd/>
        <w:spacing w:line="480" w:lineRule="auto"/>
        <w:rPr>
          <w:sz w:val="26"/>
          <w:szCs w:val="26"/>
        </w:rPr>
      </w:pPr>
      <w:r w:rsidRPr="0072600F">
        <w:rPr>
          <w:sz w:val="26"/>
          <w:szCs w:val="26"/>
        </w:rPr>
        <w:t>Many of the rehearing requests assert that the Commission failed to demonstrate that there are steps that transmission providers can take that will, in fact, improve the timeliness of study processes and challenge the Commission’s determination that transmission providers can feasibly take steps to better ensure timely interconnection request processing, such as deploying resources, exploring administrative efficiencies, and using innovative study approaches.</w:t>
      </w:r>
      <w:r>
        <w:rPr>
          <w:rStyle w:val="FootnoteReference"/>
        </w:rPr>
        <w:footnoteReference w:id="432"/>
      </w:r>
      <w:r w:rsidRPr="0072600F">
        <w:rPr>
          <w:sz w:val="26"/>
          <w:szCs w:val="26"/>
        </w:rPr>
        <w:t xml:space="preserve">  They contend that this determination is vague, poorly supported, and based on “notions that transmission providers are not sufficiently imaginative” or that they will be easily able to find and hire qualified staff and deploy automation and computing solutions in short order.</w:t>
      </w:r>
      <w:r>
        <w:rPr>
          <w:rStyle w:val="FootnoteReference"/>
        </w:rPr>
        <w:footnoteReference w:id="433"/>
      </w:r>
      <w:r w:rsidRPr="0072600F">
        <w:rPr>
          <w:sz w:val="26"/>
          <w:szCs w:val="26"/>
        </w:rPr>
        <w:t xml:space="preserve">  EEI asserts that replacing the reasonable efforts standard with deadlines and penalties cannot alter the number of requests submitted or the number of qualified individuals that can perform these studies.</w:t>
      </w:r>
      <w:r>
        <w:rPr>
          <w:rStyle w:val="FootnoteReference"/>
        </w:rPr>
        <w:footnoteReference w:id="434"/>
      </w:r>
      <w:r w:rsidRPr="0072600F">
        <w:rPr>
          <w:sz w:val="26"/>
          <w:szCs w:val="26"/>
        </w:rPr>
        <w:t xml:space="preserve">  SPP observes that qualified engineers may not want to work for transmission providers if they risk being identified as a cause of study delays that result in penalties or face potential liability.</w:t>
      </w:r>
      <w:r>
        <w:rPr>
          <w:rStyle w:val="FootnoteReference"/>
        </w:rPr>
        <w:footnoteReference w:id="435"/>
      </w:r>
    </w:p>
    <w:p w:rsidR="00760048" w:rsidRPr="0072600F" w14:paraId="49CED8EB"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the rehearing requests also contend that the Commission should have allowed the other reforms in Order No. 2023 to take effect before eliminating the reasonable efforts standard and adopting a structure of study deadlines and penalties.</w:t>
      </w:r>
      <w:r>
        <w:rPr>
          <w:rStyle w:val="FootnoteReference"/>
        </w:rPr>
        <w:footnoteReference w:id="436"/>
      </w:r>
      <w:r w:rsidRPr="0072600F">
        <w:rPr>
          <w:sz w:val="26"/>
          <w:szCs w:val="26"/>
        </w:rPr>
        <w:t xml:space="preserve">  AEP argues that the Commission should require transmission providers to augment the reports required under section 3.5 of the </w:t>
      </w:r>
      <w:r w:rsidRPr="0072600F">
        <w:rPr>
          <w:i/>
          <w:iCs/>
          <w:sz w:val="26"/>
          <w:szCs w:val="26"/>
        </w:rPr>
        <w:t>pro forma</w:t>
      </w:r>
      <w:r w:rsidRPr="0072600F">
        <w:rPr>
          <w:sz w:val="26"/>
          <w:szCs w:val="26"/>
        </w:rPr>
        <w:t xml:space="preserve"> LGIP and Order No. 845 to require information regarding the effects of cluster study reforms, giving the Commission real world data regarding the causes of interconnection study delays.</w:t>
      </w:r>
      <w:r>
        <w:rPr>
          <w:rStyle w:val="FootnoteReference"/>
        </w:rPr>
        <w:footnoteReference w:id="437"/>
      </w:r>
      <w:r w:rsidRPr="0072600F">
        <w:rPr>
          <w:sz w:val="26"/>
          <w:szCs w:val="26"/>
        </w:rPr>
        <w:t xml:space="preserve">  </w:t>
      </w:r>
    </w:p>
    <w:p w:rsidR="00760048" w:rsidRPr="0072600F" w14:paraId="1F64925B" w14:textId="77777777">
      <w:pPr>
        <w:pStyle w:val="FERCparanumber"/>
        <w:widowControl/>
        <w:numPr>
          <w:ilvl w:val="0"/>
          <w:numId w:val="25"/>
        </w:numPr>
        <w:autoSpaceDE/>
        <w:autoSpaceDN/>
        <w:adjustRightInd/>
        <w:spacing w:line="480" w:lineRule="auto"/>
        <w:rPr>
          <w:sz w:val="26"/>
          <w:szCs w:val="26"/>
        </w:rPr>
      </w:pPr>
      <w:r w:rsidRPr="0072600F">
        <w:rPr>
          <w:sz w:val="26"/>
          <w:szCs w:val="26"/>
        </w:rPr>
        <w:t>Some rehearing requests also argue that the Commission relied on stale and inapposite evidence to support the elimination of the reasonable efforts standard and replacement with the deadline and penalty structure.</w:t>
      </w:r>
      <w:r>
        <w:rPr>
          <w:rStyle w:val="FootnoteReference"/>
        </w:rPr>
        <w:footnoteReference w:id="438"/>
      </w:r>
      <w:r w:rsidRPr="0072600F">
        <w:rPr>
          <w:sz w:val="26"/>
          <w:szCs w:val="26"/>
        </w:rPr>
        <w:t xml:space="preserve">  Indicated PJM TOs assert that the vast majority of study delays reflected in the Order No. 845 data for the end of 2022 came from PJM, which had recently transitioned to a first-ready, first-served cluster cycle approach effective in January 2023.</w:t>
      </w:r>
      <w:r>
        <w:rPr>
          <w:rStyle w:val="FootnoteReference"/>
        </w:rPr>
        <w:footnoteReference w:id="439"/>
      </w:r>
      <w:r w:rsidRPr="0072600F">
        <w:rPr>
          <w:sz w:val="26"/>
          <w:szCs w:val="26"/>
        </w:rPr>
        <w:t xml:space="preserve">  Indicated PJM TOs also assert that the Commission relied on a stale record from Order No. 890 as support for imposing penalties on RTOs/ISOs that fail to meet deadlines.</w:t>
      </w:r>
      <w:r>
        <w:rPr>
          <w:rStyle w:val="FootnoteReference"/>
        </w:rPr>
        <w:footnoteReference w:id="440"/>
      </w:r>
      <w:r w:rsidRPr="0072600F">
        <w:rPr>
          <w:sz w:val="26"/>
          <w:szCs w:val="26"/>
        </w:rPr>
        <w:t xml:space="preserve">  PacifiCorp similarly contends that the evidence the Commission relied on relates to delays in the serial study process, rather than the new cluster-based process, and “implementation of penalties, therefore, is attempting to fix a problem that has not been shown to exist.”</w:t>
      </w:r>
      <w:r>
        <w:rPr>
          <w:rStyle w:val="FootnoteReference"/>
        </w:rPr>
        <w:footnoteReference w:id="441"/>
      </w:r>
      <w:r w:rsidRPr="0072600F">
        <w:rPr>
          <w:sz w:val="26"/>
          <w:szCs w:val="26"/>
        </w:rPr>
        <w:t xml:space="preserve">  NYISO argues that the data the Commission relied on concerns missed study deadlines in “RTO/ISO regions that have been contending with unprecedented numbers of new interconnection requests and/or have recently made substantial improvements to their interconnection procedures that are not reflected in earlier metrics.”</w:t>
      </w:r>
      <w:r>
        <w:rPr>
          <w:rStyle w:val="FootnoteReference"/>
        </w:rPr>
        <w:footnoteReference w:id="442"/>
      </w:r>
    </w:p>
    <w:p w:rsidR="00760048" w:rsidRPr="0072600F" w14:paraId="704F5E82"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and NYISO also argue that the Commission failed to justify eliminating the reasonable efforts standard and imposition of deadlines and penalties through a generic rulemaking.</w:t>
      </w:r>
      <w:r>
        <w:rPr>
          <w:rStyle w:val="FootnoteReference"/>
        </w:rPr>
        <w:footnoteReference w:id="443"/>
      </w:r>
      <w:r w:rsidRPr="0072600F">
        <w:rPr>
          <w:sz w:val="26"/>
          <w:szCs w:val="26"/>
        </w:rPr>
        <w:t xml:space="preserve">  Indicated PJM TOs contend that the Commission lacked substantial evidence to make a generic finding that all existing interconnection study regimes—some of which already use the cluster study approach—are unjust and unreasonable to the extent those regimes rely on the reasonable efforts standard rather than imposing deadlines and penalties.</w:t>
      </w:r>
      <w:r>
        <w:rPr>
          <w:rStyle w:val="FootnoteReference"/>
        </w:rPr>
        <w:footnoteReference w:id="444"/>
      </w:r>
      <w:r w:rsidRPr="0072600F">
        <w:rPr>
          <w:sz w:val="26"/>
          <w:szCs w:val="26"/>
        </w:rPr>
        <w:t xml:space="preserve">  </w:t>
      </w:r>
      <w:r w:rsidRPr="0072600F">
        <w:rPr>
          <w:sz w:val="26"/>
          <w:szCs w:val="26"/>
        </w:rPr>
        <w:t>Indicated PJM TOs further assert the Commission cannot use general or generic findings to enact an industry-wide solution for a problem that exists only in isolated pockets and that study delays are not sufficiently widespread to justify the Commission’s generic approach.</w:t>
      </w:r>
      <w:r>
        <w:rPr>
          <w:rStyle w:val="FootnoteReference"/>
        </w:rPr>
        <w:footnoteReference w:id="445"/>
      </w:r>
      <w:r w:rsidRPr="0072600F">
        <w:rPr>
          <w:sz w:val="26"/>
          <w:szCs w:val="26"/>
        </w:rPr>
        <w:t xml:space="preserve">  NYISO argues that it is not reasoned decision-making to assume that all transmission providers need stronger incentives to timely complete studies and asserts that state regulators in New York support retaining some form of the reasonable efforts standard.</w:t>
      </w:r>
      <w:r>
        <w:rPr>
          <w:rStyle w:val="FootnoteReference"/>
        </w:rPr>
        <w:footnoteReference w:id="446"/>
      </w:r>
    </w:p>
    <w:p w:rsidR="00760048" w:rsidRPr="00FE47B2" w14:paraId="2FE99CEF"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FE47B2">
        <w:rPr>
          <w:sz w:val="26"/>
          <w:szCs w:val="26"/>
          <w:u w:val="single"/>
        </w:rPr>
        <w:t>Determination</w:t>
      </w:r>
    </w:p>
    <w:p w:rsidR="00760048" w:rsidRPr="0072600F" w14:paraId="30365278" w14:textId="77777777">
      <w:pPr>
        <w:pStyle w:val="FERCparanumber"/>
        <w:widowControl/>
        <w:numPr>
          <w:ilvl w:val="0"/>
          <w:numId w:val="25"/>
        </w:numPr>
        <w:autoSpaceDE/>
        <w:autoSpaceDN/>
        <w:adjustRightInd/>
        <w:spacing w:line="480" w:lineRule="auto"/>
        <w:rPr>
          <w:sz w:val="26"/>
          <w:szCs w:val="26"/>
        </w:rPr>
      </w:pPr>
      <w:bookmarkStart w:id="52" w:name="_Ref160107947"/>
      <w:r w:rsidRPr="0072600F">
        <w:rPr>
          <w:sz w:val="26"/>
          <w:szCs w:val="26"/>
        </w:rPr>
        <w:t>The gravity of the problem of increased interconnection queue backlogs and delays, leading to unjust and unreasonable rates, prompted the Commission in Order No. 2023 to adopt a comprehensive set of reforms to the interconnection process, including reforms to the reasonable efforts standard for the completion of interconnection studies.</w:t>
      </w:r>
      <w:r>
        <w:rPr>
          <w:rStyle w:val="FootnoteReference"/>
        </w:rPr>
        <w:footnoteReference w:id="447"/>
      </w:r>
      <w:r w:rsidRPr="0072600F">
        <w:rPr>
          <w:sz w:val="26"/>
          <w:szCs w:val="26"/>
        </w:rPr>
        <w:t xml:space="preserve">  As to that standard, the Commission explained that “interconnection queue backlogs and delays, and the accompanying uncertainty, are further compounded because transmission providers have limited incentive to perform interconnection studies in a timely manner.”</w:t>
      </w:r>
      <w:r>
        <w:rPr>
          <w:rStyle w:val="FootnoteReference"/>
        </w:rPr>
        <w:footnoteReference w:id="448"/>
      </w:r>
      <w:r w:rsidRPr="0072600F">
        <w:rPr>
          <w:sz w:val="26"/>
          <w:szCs w:val="26"/>
        </w:rPr>
        <w:t xml:space="preserve">  Under this standard, “[t]here are no explicit consequences in the </w:t>
      </w:r>
      <w:r w:rsidRPr="0072600F">
        <w:rPr>
          <w:i/>
          <w:sz w:val="26"/>
          <w:szCs w:val="26"/>
        </w:rPr>
        <w:t>pro forma</w:t>
      </w:r>
      <w:r w:rsidRPr="0072600F">
        <w:rPr>
          <w:sz w:val="26"/>
          <w:szCs w:val="26"/>
        </w:rPr>
        <w:t xml:space="preserve"> LGIP for transmission providers that fail to meet their study deadlines,”</w:t>
      </w:r>
      <w:r>
        <w:rPr>
          <w:rStyle w:val="FootnoteReference"/>
        </w:rPr>
        <w:footnoteReference w:id="449"/>
      </w:r>
      <w:r w:rsidRPr="0072600F">
        <w:rPr>
          <w:sz w:val="26"/>
          <w:szCs w:val="26"/>
        </w:rPr>
        <w:t xml:space="preserve"> allowing “significant discretion to the transmission providers in extending their own deadlines.”</w:t>
      </w:r>
      <w:r>
        <w:rPr>
          <w:rStyle w:val="FootnoteReference"/>
        </w:rPr>
        <w:footnoteReference w:id="450"/>
      </w:r>
      <w:r w:rsidRPr="0072600F">
        <w:rPr>
          <w:sz w:val="26"/>
          <w:szCs w:val="26"/>
        </w:rPr>
        <w:t xml:space="preserve">  As the Commission found, “[t]his outcome stands in stark contrast to interconnection customers that face financial and commercial consequences due to late interconnection study results and may be considered withdrawn from the interconnection queue for failing to meet their tariff-imposed deadlines.”</w:t>
      </w:r>
      <w:r>
        <w:rPr>
          <w:rStyle w:val="FootnoteReference"/>
        </w:rPr>
        <w:footnoteReference w:id="451"/>
      </w:r>
      <w:bookmarkEnd w:id="52"/>
      <w:r w:rsidRPr="0072600F">
        <w:rPr>
          <w:sz w:val="26"/>
          <w:szCs w:val="26"/>
        </w:rPr>
        <w:t xml:space="preserve"> </w:t>
      </w:r>
    </w:p>
    <w:p w:rsidR="00760048" w:rsidRPr="0072600F" w14:paraId="2F0690AC" w14:textId="77777777">
      <w:pPr>
        <w:pStyle w:val="FERCparanumber"/>
        <w:widowControl/>
        <w:numPr>
          <w:ilvl w:val="0"/>
          <w:numId w:val="25"/>
        </w:numPr>
        <w:autoSpaceDE/>
        <w:autoSpaceDN/>
        <w:adjustRightInd/>
        <w:spacing w:line="480" w:lineRule="auto"/>
        <w:rPr>
          <w:sz w:val="26"/>
          <w:szCs w:val="26"/>
        </w:rPr>
      </w:pPr>
      <w:bookmarkStart w:id="53" w:name="_Ref160109516"/>
      <w:r w:rsidRPr="0072600F">
        <w:rPr>
          <w:sz w:val="26"/>
          <w:szCs w:val="26"/>
        </w:rPr>
        <w:t>The history of the Commission’s action with respect to interconnection queue backlogs, and particularly interconnection study delays as a contributor to such backlogs, reflects that the Commission has taken a gradual approach to addressing these problems.  In Order No. 2003, the Commission first imposed the reasonable efforts standard for the timely completion of interconnection studies, without adopting firm deadlines or a structure of automatic penalties for delays.</w:t>
      </w:r>
      <w:r>
        <w:rPr>
          <w:rStyle w:val="FootnoteReference"/>
        </w:rPr>
        <w:footnoteReference w:id="452"/>
      </w:r>
      <w:r w:rsidRPr="0072600F">
        <w:rPr>
          <w:sz w:val="26"/>
          <w:szCs w:val="26"/>
        </w:rPr>
        <w:t xml:space="preserve">  As the Commission observed in Order No. 2023, the reasonable efforts standard allowed transmission providers significant discretion to extend their own deadlines for the completion of interconnection studies.</w:t>
      </w:r>
      <w:r>
        <w:rPr>
          <w:rStyle w:val="FootnoteReference"/>
        </w:rPr>
        <w:footnoteReference w:id="453"/>
      </w:r>
      <w:r w:rsidRPr="0072600F">
        <w:rPr>
          <w:sz w:val="26"/>
          <w:szCs w:val="26"/>
        </w:rPr>
        <w:t xml:space="preserve">  In 2018, in Order No. 845, the Commission rejected requests to eliminate the reasonable efforts standard in favor of firm interconnection study deadlines,</w:t>
      </w:r>
      <w:r>
        <w:rPr>
          <w:rStyle w:val="FootnoteReference"/>
        </w:rPr>
        <w:footnoteReference w:id="454"/>
      </w:r>
      <w:r w:rsidRPr="0072600F">
        <w:rPr>
          <w:sz w:val="26"/>
          <w:szCs w:val="26"/>
        </w:rPr>
        <w:t xml:space="preserve"> explaining that reliance on increased reporting was a preferable approach because the “current record” did not support elimination of the reasonable efforts standard, such that doing so would be inappropriate “[a]t this time.”</w:t>
      </w:r>
      <w:r>
        <w:rPr>
          <w:rStyle w:val="FootnoteReference"/>
        </w:rPr>
        <w:footnoteReference w:id="455"/>
      </w:r>
      <w:r w:rsidRPr="0072600F">
        <w:rPr>
          <w:sz w:val="26"/>
          <w:szCs w:val="26"/>
        </w:rPr>
        <w:t xml:space="preserve">  The Commission likewise decided not to implement automatic penalties for delayed studies, recognizing the extent to which delays could be caused by factors outside of transmission providers’ control, instead adopting measures to “improve transparency by highlighting where interconnection study delays are most common and the causes of delays in these regions.”</w:t>
      </w:r>
      <w:r>
        <w:rPr>
          <w:rStyle w:val="FootnoteReference"/>
        </w:rPr>
        <w:footnoteReference w:id="456"/>
      </w:r>
      <w:r w:rsidRPr="0072600F">
        <w:rPr>
          <w:sz w:val="26"/>
          <w:szCs w:val="26"/>
        </w:rPr>
        <w:t xml:space="preserve">  It further stated that “[t]his information could also be useful to the Commission in determining if additional action is required to address interconnection study delays.”</w:t>
      </w:r>
      <w:r>
        <w:rPr>
          <w:rStyle w:val="FootnoteReference"/>
        </w:rPr>
        <w:footnoteReference w:id="457"/>
      </w:r>
      <w:bookmarkEnd w:id="53"/>
    </w:p>
    <w:p w:rsidR="00760048" w:rsidRPr="0072600F" w14:paraId="29E8F07A" w14:textId="77777777">
      <w:pPr>
        <w:pStyle w:val="FERCparanumber"/>
        <w:widowControl/>
        <w:numPr>
          <w:ilvl w:val="0"/>
          <w:numId w:val="25"/>
        </w:numPr>
        <w:autoSpaceDE/>
        <w:autoSpaceDN/>
        <w:adjustRightInd/>
        <w:spacing w:line="480" w:lineRule="auto"/>
        <w:rPr>
          <w:sz w:val="26"/>
          <w:szCs w:val="26"/>
        </w:rPr>
      </w:pPr>
      <w:bookmarkStart w:id="54" w:name="_Ref160109518"/>
      <w:r w:rsidRPr="0072600F">
        <w:rPr>
          <w:sz w:val="26"/>
          <w:szCs w:val="26"/>
        </w:rPr>
        <w:t>Order No. 2023 reflects a determination that such additional action is required.  The reforms in Order No. 845 have not eliminated the problems of interconnection queue backlogs and delayed interconnection studies.  These problems have only grown, notwithstanding the Commission’s previous reforms.</w:t>
      </w:r>
      <w:r>
        <w:rPr>
          <w:rStyle w:val="FootnoteReference"/>
        </w:rPr>
        <w:footnoteReference w:id="458"/>
      </w:r>
      <w:bookmarkEnd w:id="54"/>
      <w:r w:rsidRPr="0072600F">
        <w:rPr>
          <w:sz w:val="26"/>
          <w:szCs w:val="26"/>
        </w:rPr>
        <w:t xml:space="preserve">  </w:t>
      </w:r>
    </w:p>
    <w:p w:rsidR="00760048" w:rsidRPr="0072600F" w14:paraId="685E319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Broadly speaking, the Commission’s conclusion that there is a need to reform the Commission’s </w:t>
      </w:r>
      <w:r w:rsidRPr="0072600F">
        <w:rPr>
          <w:i/>
          <w:sz w:val="26"/>
          <w:szCs w:val="26"/>
        </w:rPr>
        <w:t>pro forma</w:t>
      </w:r>
      <w:r w:rsidRPr="0072600F">
        <w:rPr>
          <w:sz w:val="26"/>
          <w:szCs w:val="26"/>
        </w:rPr>
        <w:t xml:space="preserve"> interconnection procedures and agreements received overwhelming support.</w:t>
      </w:r>
      <w:r>
        <w:rPr>
          <w:rStyle w:val="FootnoteReference"/>
        </w:rPr>
        <w:footnoteReference w:id="459"/>
      </w:r>
      <w:r w:rsidRPr="0072600F">
        <w:rPr>
          <w:sz w:val="26"/>
          <w:szCs w:val="26"/>
        </w:rPr>
        <w:t xml:space="preserve">  However, as summarized above, many of the rehearing requests challenge the elimination of the reasonable efforts standard set forth in sections 2.2, 3.5.4(</w:t>
      </w:r>
      <w:r w:rsidRPr="0072600F">
        <w:rPr>
          <w:sz w:val="26"/>
          <w:szCs w:val="26"/>
        </w:rPr>
        <w:t>i</w:t>
      </w:r>
      <w:r w:rsidRPr="0072600F">
        <w:rPr>
          <w:sz w:val="26"/>
          <w:szCs w:val="26"/>
        </w:rPr>
        <w:t xml:space="preserve">), 7.4, 8.3, and Attachment A to Appendix 4 of the </w:t>
      </w:r>
      <w:r w:rsidRPr="0072600F">
        <w:rPr>
          <w:i/>
          <w:sz w:val="26"/>
          <w:szCs w:val="26"/>
        </w:rPr>
        <w:t>pro forma</w:t>
      </w:r>
      <w:r w:rsidRPr="0072600F">
        <w:rPr>
          <w:sz w:val="26"/>
          <w:szCs w:val="26"/>
        </w:rPr>
        <w:t xml:space="preserve"> LGIP,</w:t>
      </w:r>
      <w:r>
        <w:rPr>
          <w:rStyle w:val="FootnoteReference"/>
        </w:rPr>
        <w:footnoteReference w:id="460"/>
      </w:r>
      <w:r w:rsidRPr="0072600F">
        <w:rPr>
          <w:sz w:val="26"/>
          <w:szCs w:val="26"/>
        </w:rPr>
        <w:t xml:space="preserve"> leading to the adoption of firm study deadlines, claiming that the Commission failed to meet its burden to justify this specific reform under FPA section 206.</w:t>
      </w:r>
      <w:r>
        <w:rPr>
          <w:rStyle w:val="FootnoteReference"/>
        </w:rPr>
        <w:footnoteReference w:id="461"/>
      </w:r>
      <w:r w:rsidRPr="0072600F">
        <w:rPr>
          <w:sz w:val="26"/>
          <w:szCs w:val="26"/>
        </w:rPr>
        <w:t xml:space="preserve">  Many of these rehearing requests argue that the Commission recognized that there are many factors outside the control of transmission providers that can contribute to backlogs and delays in the interconnection study process.</w:t>
      </w:r>
      <w:r>
        <w:rPr>
          <w:rStyle w:val="FootnoteReference"/>
        </w:rPr>
        <w:footnoteReference w:id="462"/>
      </w:r>
      <w:r w:rsidRPr="0072600F">
        <w:rPr>
          <w:sz w:val="26"/>
          <w:szCs w:val="26"/>
        </w:rPr>
        <w:t xml:space="preserve">  In pointing to these other factors, the rehearing requests contend that holding transmission providers to standards of performance in terms of ensuring the timely completion of interconnection studies cannot be effective to ensure the timely completion of those studies.  We disagree with this argument and continue to find that the elimination of the reasonable efforts standard, and its replacement with firm study deadlines, is warranted under FPA section 206 in order to address the unjust and unreasonable rates resulting from interconnection queue delays and backlogs.</w:t>
      </w:r>
    </w:p>
    <w:p w:rsidR="00760048" w:rsidRPr="0072600F" w14:paraId="00A058D4" w14:textId="77777777">
      <w:pPr>
        <w:pStyle w:val="FERCparanumber"/>
        <w:widowControl/>
        <w:numPr>
          <w:ilvl w:val="0"/>
          <w:numId w:val="25"/>
        </w:numPr>
        <w:autoSpaceDE/>
        <w:autoSpaceDN/>
        <w:adjustRightInd/>
        <w:spacing w:line="480" w:lineRule="auto"/>
        <w:rPr>
          <w:color w:val="000000" w:themeColor="text1"/>
          <w:sz w:val="26"/>
          <w:szCs w:val="26"/>
        </w:rPr>
      </w:pPr>
      <w:bookmarkStart w:id="55" w:name="_Ref160107840"/>
      <w:r w:rsidRPr="0072600F">
        <w:rPr>
          <w:sz w:val="26"/>
          <w:szCs w:val="26"/>
        </w:rPr>
        <w:t xml:space="preserve">We are not persuaded by attempts to minimize the responsibility transmission providers have for—and the ways in which they can effectuate—the timely completion of interconnection studies.  </w:t>
      </w:r>
      <w:r w:rsidRPr="0072600F">
        <w:rPr>
          <w:color w:val="000000" w:themeColor="text1"/>
          <w:sz w:val="26"/>
          <w:szCs w:val="26"/>
        </w:rPr>
        <w:t>Attempts to do so fail to recognize the key role transmission providers play in timely interconnection study completion: the transmission provider conducting the study is the entity with the most control over whether the study deadline is met.</w:t>
      </w:r>
      <w:r>
        <w:rPr>
          <w:rStyle w:val="FootnoteReference"/>
        </w:rPr>
        <w:footnoteReference w:id="463"/>
      </w:r>
      <w:r w:rsidRPr="0072600F">
        <w:rPr>
          <w:color w:val="000000" w:themeColor="text1"/>
          <w:sz w:val="26"/>
          <w:szCs w:val="26"/>
        </w:rPr>
        <w:t xml:space="preserve">  As the entity that conducts the study, transmission providers have control over (among other things)</w:t>
      </w:r>
      <w:r w:rsidR="003F0D11">
        <w:rPr>
          <w:color w:val="000000" w:themeColor="text1"/>
          <w:sz w:val="26"/>
          <w:szCs w:val="26"/>
        </w:rPr>
        <w:t xml:space="preserve">: </w:t>
      </w:r>
      <w:r w:rsidRPr="0072600F">
        <w:rPr>
          <w:color w:val="000000" w:themeColor="text1"/>
          <w:sz w:val="26"/>
          <w:szCs w:val="26"/>
        </w:rPr>
        <w:t xml:space="preserve"> the resources allocated to the study process; the actual conduct of the study, e.g., the use of advanced computing or other methods to improve efficiency; coordination with interconnection customers and consultants; and providing the conclusions of the study.</w:t>
      </w:r>
      <w:r>
        <w:rPr>
          <w:rStyle w:val="FootnoteReference"/>
        </w:rPr>
        <w:footnoteReference w:id="464"/>
      </w:r>
      <w:r w:rsidRPr="0072600F">
        <w:rPr>
          <w:color w:val="000000" w:themeColor="text1"/>
          <w:sz w:val="26"/>
          <w:szCs w:val="26"/>
        </w:rPr>
        <w:t xml:space="preserve">  They are the entities with the most complete knowledge of the transmission system to which the generator will be interconnecting.</w:t>
      </w:r>
      <w:r>
        <w:rPr>
          <w:rStyle w:val="FootnoteReference"/>
        </w:rPr>
        <w:footnoteReference w:id="465"/>
      </w:r>
      <w:r w:rsidRPr="0072600F">
        <w:rPr>
          <w:color w:val="000000" w:themeColor="text1"/>
          <w:sz w:val="26"/>
          <w:szCs w:val="26"/>
        </w:rPr>
        <w:t xml:space="preserve">  Moreover, transmission providers have significant authority to help ensure that other entities do not unduly delay the results of the interconnection study, including by deeming withdrawn the requests of interconnection customers that fail to adhere to the requirements of the </w:t>
      </w:r>
      <w:r w:rsidRPr="0072600F">
        <w:rPr>
          <w:i/>
          <w:iCs/>
          <w:color w:val="000000" w:themeColor="text1"/>
          <w:sz w:val="26"/>
          <w:szCs w:val="26"/>
        </w:rPr>
        <w:t>pro forma</w:t>
      </w:r>
      <w:r w:rsidRPr="0072600F">
        <w:rPr>
          <w:color w:val="000000" w:themeColor="text1"/>
          <w:sz w:val="26"/>
          <w:szCs w:val="26"/>
        </w:rPr>
        <w:t xml:space="preserve"> LGIP.</w:t>
      </w:r>
      <w:r>
        <w:rPr>
          <w:rStyle w:val="FootnoteReference"/>
        </w:rPr>
        <w:footnoteReference w:id="466"/>
      </w:r>
      <w:bookmarkEnd w:id="55"/>
      <w:r w:rsidRPr="0072600F">
        <w:rPr>
          <w:color w:val="000000" w:themeColor="text1"/>
          <w:sz w:val="26"/>
          <w:szCs w:val="26"/>
        </w:rPr>
        <w:t xml:space="preserve">  </w:t>
      </w:r>
    </w:p>
    <w:p w:rsidR="00760048" w:rsidRPr="0072600F" w14:paraId="227C65A1" w14:textId="77777777">
      <w:pPr>
        <w:pStyle w:val="FERCparanumber"/>
        <w:widowControl/>
        <w:numPr>
          <w:ilvl w:val="0"/>
          <w:numId w:val="25"/>
        </w:numPr>
        <w:autoSpaceDE/>
        <w:autoSpaceDN/>
        <w:adjustRightInd/>
        <w:spacing w:line="480" w:lineRule="auto"/>
        <w:rPr>
          <w:sz w:val="26"/>
          <w:szCs w:val="26"/>
        </w:rPr>
      </w:pPr>
      <w:bookmarkStart w:id="56" w:name="_Ref160107951"/>
      <w:r w:rsidRPr="0072600F">
        <w:rPr>
          <w:sz w:val="26"/>
          <w:szCs w:val="26"/>
        </w:rPr>
        <w:t>That there are other factors that may also</w:t>
      </w:r>
      <w:r w:rsidRPr="0072600F">
        <w:rPr>
          <w:i/>
          <w:sz w:val="26"/>
          <w:szCs w:val="26"/>
        </w:rPr>
        <w:t xml:space="preserve"> </w:t>
      </w:r>
      <w:r w:rsidRPr="0072600F">
        <w:rPr>
          <w:sz w:val="26"/>
          <w:szCs w:val="26"/>
        </w:rPr>
        <w:t>affect the timely completion of interconnection studies—and that these factors may not be within transmission providers’ control, in whole or in part—does not negate the substantial control that transmission providers have over this process.  To the contrary, the existence of multiple factors influencing interconnection study timeliness favors addressing the problem of interconnection queue backlogs from multiple angles, as with the comprehensive approach adopted in Order No. 2023.  Even where multiple factors may cause or contribute to delays of interconnection studies, transmission providers are responsible for conducting the studies and their actions or inaction in doing so can cause or contribute to such delays.</w:t>
      </w:r>
      <w:bookmarkEnd w:id="56"/>
      <w:r w:rsidRPr="0072600F">
        <w:rPr>
          <w:sz w:val="26"/>
          <w:szCs w:val="26"/>
        </w:rPr>
        <w:t xml:space="preserve">  </w:t>
      </w:r>
    </w:p>
    <w:p w:rsidR="00760048" w:rsidRPr="0072600F" w14:paraId="19539634" w14:textId="77777777">
      <w:pPr>
        <w:pStyle w:val="FERCparanumber"/>
        <w:widowControl/>
        <w:numPr>
          <w:ilvl w:val="0"/>
          <w:numId w:val="25"/>
        </w:numPr>
        <w:autoSpaceDE/>
        <w:autoSpaceDN/>
        <w:adjustRightInd/>
        <w:spacing w:line="480" w:lineRule="auto"/>
        <w:rPr>
          <w:sz w:val="26"/>
          <w:szCs w:val="26"/>
        </w:rPr>
      </w:pPr>
      <w:r w:rsidRPr="0072600F">
        <w:rPr>
          <w:sz w:val="26"/>
          <w:szCs w:val="26"/>
        </w:rPr>
        <w:t>Overall, the record reflects a problem of delayed study results contributing to interconnection queue backlogs,</w:t>
      </w:r>
      <w:r>
        <w:rPr>
          <w:rStyle w:val="FootnoteReference"/>
        </w:rPr>
        <w:footnoteReference w:id="467"/>
      </w:r>
      <w:r w:rsidRPr="0072600F">
        <w:rPr>
          <w:sz w:val="26"/>
          <w:szCs w:val="26"/>
        </w:rPr>
        <w:t xml:space="preserve"> numerous comments asserting that the reasonable efforts standard fails to ensure that transmission providers take adequate steps to ensure study timeliness,</w:t>
      </w:r>
      <w:r>
        <w:rPr>
          <w:rStyle w:val="FootnoteReference"/>
        </w:rPr>
        <w:footnoteReference w:id="468"/>
      </w:r>
      <w:r w:rsidRPr="0072600F">
        <w:rPr>
          <w:sz w:val="26"/>
          <w:szCs w:val="26"/>
        </w:rPr>
        <w:t xml:space="preserve"> and evidence of significant, growing backlogs leading to unjust and unreasonable rates.  Based on our statutory obligation to remedy these unjust and unreasonable rates, and also in light of the significant level of control transmission providers exercise over the timeliness of the study process, we continue to find that the elimination of the reasonable efforts standard, and its replacement with firm study deadlines, is warranted as part of a package of comprehensive reforms to address interconnection queue delays and backlogs.</w:t>
      </w:r>
    </w:p>
    <w:p w:rsidR="00760048" w:rsidRPr="0072600F" w14:paraId="36B5F729" w14:textId="77777777">
      <w:pPr>
        <w:pStyle w:val="FERCparanumber"/>
        <w:widowControl/>
        <w:numPr>
          <w:ilvl w:val="0"/>
          <w:numId w:val="25"/>
        </w:numPr>
        <w:autoSpaceDE/>
        <w:autoSpaceDN/>
        <w:adjustRightInd/>
        <w:spacing w:line="480" w:lineRule="auto"/>
        <w:rPr>
          <w:sz w:val="26"/>
          <w:szCs w:val="26"/>
        </w:rPr>
      </w:pPr>
      <w:r w:rsidRPr="0072600F">
        <w:rPr>
          <w:sz w:val="26"/>
          <w:szCs w:val="26"/>
        </w:rPr>
        <w:t>Consistent with this approach, we are not persuaded by arguments that the Commission conflated correlation and causation in concluding that unjust and unreasonable rates resulting from interconnection queue delays and backlogs, and delayed interconnection study completion, supported eliminati</w:t>
      </w:r>
      <w:r w:rsidR="004C11DC">
        <w:rPr>
          <w:sz w:val="26"/>
          <w:szCs w:val="26"/>
        </w:rPr>
        <w:t>on of</w:t>
      </w:r>
      <w:r w:rsidRPr="0072600F">
        <w:rPr>
          <w:sz w:val="26"/>
          <w:szCs w:val="26"/>
        </w:rPr>
        <w:t xml:space="preserve"> the reasonable efforts standard.  In this vein, several of the rehearing requests assert that other factors, principally the volume and complexity of interconnection requests, are the real causes of such backlogs and delays, and that eliminating the reasonable efforts standard will not reduce the volume of such requests.  We note, however, that Order No. 2023 did not claim that the reasonable efforts standard was the only driving force behind missed study deadlines.  Order No. 2023 recognized that study delays are caused by a number of factors,</w:t>
      </w:r>
      <w:r>
        <w:rPr>
          <w:rStyle w:val="FootnoteReference"/>
        </w:rPr>
        <w:footnoteReference w:id="469"/>
      </w:r>
      <w:r w:rsidRPr="0072600F">
        <w:rPr>
          <w:sz w:val="26"/>
          <w:szCs w:val="26"/>
        </w:rPr>
        <w:t xml:space="preserve"> and adopted a comprehensive package of reforms aimed at alleviating many of those factors from various angles.</w:t>
      </w:r>
      <w:r>
        <w:rPr>
          <w:rStyle w:val="FootnoteReference"/>
        </w:rPr>
        <w:footnoteReference w:id="470"/>
      </w:r>
      <w:r w:rsidRPr="0072600F">
        <w:rPr>
          <w:sz w:val="26"/>
          <w:szCs w:val="26"/>
        </w:rPr>
        <w:t xml:space="preserve">  The reasonable efforts standard is but one of these factors.  </w:t>
      </w:r>
    </w:p>
    <w:p w:rsidR="00760048" w:rsidRPr="0072600F" w14:paraId="7DD7ACCE"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in Order No. 2023 took significant other steps to address the volume of interconnection requests including to reduce the number of speculative requests and to improve the efficiency of interconnection studies and interconnection queue processing.</w:t>
      </w:r>
      <w:r>
        <w:rPr>
          <w:rStyle w:val="FootnoteReference"/>
        </w:rPr>
        <w:footnoteReference w:id="471"/>
      </w:r>
      <w:r w:rsidRPr="0072600F">
        <w:rPr>
          <w:sz w:val="26"/>
          <w:szCs w:val="26"/>
        </w:rPr>
        <w:t xml:space="preserve">  But to the extent that factors contributing to study delays, including higher volumes or complexity of interconnection requests, are still expected to persist,</w:t>
      </w:r>
      <w:r>
        <w:rPr>
          <w:rStyle w:val="FootnoteReference"/>
        </w:rPr>
        <w:footnoteReference w:id="472"/>
      </w:r>
      <w:r w:rsidRPr="0072600F">
        <w:rPr>
          <w:sz w:val="26"/>
          <w:szCs w:val="26"/>
        </w:rPr>
        <w:t xml:space="preserve"> this does not warrant failing to pursue other available solutions to reduce such backlogs that are within transmission providers’ control, especially in light of the magnitude and growth of the overall interconnection queue backlog.</w:t>
      </w:r>
      <w:r>
        <w:rPr>
          <w:rStyle w:val="FootnoteReference"/>
        </w:rPr>
        <w:footnoteReference w:id="473"/>
      </w:r>
      <w:r w:rsidRPr="0072600F">
        <w:rPr>
          <w:sz w:val="26"/>
          <w:szCs w:val="26"/>
        </w:rPr>
        <w:t xml:space="preserve"> </w:t>
      </w:r>
    </w:p>
    <w:p w:rsidR="00760048" w:rsidRPr="0072600F" w14:paraId="560D5950" w14:textId="77777777">
      <w:pPr>
        <w:pStyle w:val="FERCparanumber"/>
        <w:widowControl/>
        <w:numPr>
          <w:ilvl w:val="0"/>
          <w:numId w:val="25"/>
        </w:numPr>
        <w:autoSpaceDE/>
        <w:autoSpaceDN/>
        <w:adjustRightInd/>
        <w:spacing w:line="480" w:lineRule="auto"/>
        <w:rPr>
          <w:sz w:val="26"/>
          <w:szCs w:val="26"/>
        </w:rPr>
      </w:pPr>
      <w:r w:rsidRPr="0072600F">
        <w:rPr>
          <w:sz w:val="26"/>
          <w:szCs w:val="26"/>
        </w:rPr>
        <w:t>Eliminating the reasonable efforts standard, which allowed for self-extensions of interconnection study deadlines and lacked appropriate incentives for transmission providers to help ensure study timeliness, is one such further solution.</w:t>
      </w:r>
      <w:r>
        <w:rPr>
          <w:rStyle w:val="FootnoteReference"/>
        </w:rPr>
        <w:footnoteReference w:id="474"/>
      </w:r>
      <w:r w:rsidRPr="0072600F">
        <w:rPr>
          <w:sz w:val="26"/>
          <w:szCs w:val="26"/>
        </w:rPr>
        <w:t xml:space="preserve">  In its place, the Commission has specified standards of performance in the form of deadlines, accompanied by a penalty.  This penalty is a self-implementing performance incentive (subject to appropriate safeguards) that also effectively adjusts what transmission providers can charge for interconnection studies that fail to meet those standards.  This incentive will help ensure that transmission providers exercise the control they have over the interconnection process as to the timely conduct of those studies,</w:t>
      </w:r>
      <w:r>
        <w:rPr>
          <w:rStyle w:val="FootnoteReference"/>
        </w:rPr>
        <w:footnoteReference w:id="475"/>
      </w:r>
      <w:r w:rsidRPr="0072600F">
        <w:rPr>
          <w:sz w:val="26"/>
          <w:szCs w:val="26"/>
        </w:rPr>
        <w:t xml:space="preserve"> and thereby contribute to alleviating the problem of interconnection queue backlogs, including to address increased volumes of interconnection requests.</w:t>
      </w:r>
      <w:r>
        <w:rPr>
          <w:rStyle w:val="FootnoteReference"/>
        </w:rPr>
        <w:footnoteReference w:id="476"/>
      </w:r>
      <w:r w:rsidRPr="0072600F">
        <w:rPr>
          <w:sz w:val="26"/>
          <w:szCs w:val="26"/>
        </w:rPr>
        <w:t xml:space="preserve">  As explained below and in Order No. 2023, these deadlines should be achievable and—where there may be factors outside of a transmission provider’s control that influence whether these deadlines can be met—the Commission has adopted appropriate safeguards to account for this possibility.</w:t>
      </w:r>
    </w:p>
    <w:p w:rsidR="00760048" w:rsidRPr="0072600F" w14:paraId="59284347" w14:textId="77777777">
      <w:pPr>
        <w:pStyle w:val="FERCparanumber"/>
        <w:widowControl/>
        <w:numPr>
          <w:ilvl w:val="0"/>
          <w:numId w:val="25"/>
        </w:numPr>
        <w:autoSpaceDE/>
        <w:autoSpaceDN/>
        <w:adjustRightInd/>
        <w:spacing w:line="480" w:lineRule="auto"/>
        <w:rPr>
          <w:sz w:val="26"/>
          <w:szCs w:val="26"/>
        </w:rPr>
      </w:pPr>
      <w:r w:rsidRPr="0072600F">
        <w:rPr>
          <w:sz w:val="26"/>
          <w:szCs w:val="26"/>
        </w:rPr>
        <w:t>The rehearing requests misunderstand the Commission’s approach in claiming that eliminating the reasonable efforts standard and adopting firm study deadlines cannot be warranted absent findings of intentional delay, bad faith, misconduct, or a “lack of effort” by transmission providers that fails to meet the reasonable efforts standard.  Such findings are not necessary predicates to concluding that the interconnection study process must occur more expeditiously in order to help remedy the problem of unjust and unreasonable rates caused by interconnection queue backlogs.  Nor are they predicates to concluding that the reasonable efforts standard was not accomplishing this goal, and that there are steps within transmission providers’ control that can facilitate the timely completion of interconnection studies on timeframes set forth in Order No. 2023.</w:t>
      </w:r>
      <w:r>
        <w:rPr>
          <w:rStyle w:val="FootnoteReference"/>
        </w:rPr>
        <w:footnoteReference w:id="477"/>
      </w:r>
    </w:p>
    <w:p w:rsidR="00760048" w:rsidRPr="0072600F" w14:paraId="78A9E63D" w14:textId="77777777">
      <w:pPr>
        <w:pStyle w:val="FERCparanumber"/>
        <w:widowControl/>
        <w:numPr>
          <w:ilvl w:val="0"/>
          <w:numId w:val="25"/>
        </w:numPr>
        <w:autoSpaceDE/>
        <w:autoSpaceDN/>
        <w:adjustRightInd/>
        <w:spacing w:line="480" w:lineRule="auto"/>
        <w:rPr>
          <w:sz w:val="26"/>
          <w:szCs w:val="26"/>
        </w:rPr>
      </w:pPr>
      <w:r w:rsidRPr="0072600F">
        <w:rPr>
          <w:color w:val="000000" w:themeColor="text1"/>
          <w:sz w:val="26"/>
          <w:szCs w:val="26"/>
        </w:rPr>
        <w:t xml:space="preserve">Similarly, we are not persuaded by arguments </w:t>
      </w:r>
      <w:r w:rsidRPr="0072600F">
        <w:rPr>
          <w:sz w:val="26"/>
          <w:szCs w:val="26"/>
        </w:rPr>
        <w:t xml:space="preserve">that the structure adopted in Order No. 2023 is disproportionate to the problems identified in that order or that study delays are not sufficiently widespread to justify adoption of penalties for study delays.  As discussed above in section II.A., we find that Order No. 2023’s generic finding that the existing </w:t>
      </w:r>
      <w:r w:rsidRPr="0072600F">
        <w:rPr>
          <w:i/>
          <w:iCs/>
          <w:sz w:val="26"/>
          <w:szCs w:val="26"/>
        </w:rPr>
        <w:t xml:space="preserve">pro forma </w:t>
      </w:r>
      <w:r w:rsidRPr="0072600F">
        <w:rPr>
          <w:sz w:val="26"/>
          <w:szCs w:val="26"/>
        </w:rPr>
        <w:t>interconnection procedures and agreements were unjust, unreasonable, unduly discriminatory or preferential was supported by substantial evidence.  The D.C. Circuit has been clear that the Commission can rely on general findings of systemic conditions to impose an industry-wide remedy, unless the deficiencies identified exist only in isolated pockets:</w:t>
      </w:r>
      <w:r>
        <w:rPr>
          <w:rStyle w:val="FootnoteReference"/>
        </w:rPr>
        <w:footnoteReference w:id="478"/>
      </w:r>
      <w:r w:rsidRPr="0072600F">
        <w:rPr>
          <w:sz w:val="26"/>
          <w:szCs w:val="26"/>
        </w:rPr>
        <w:t xml:space="preserve"> the record here indicates that interconnection study delays are a nationwide problem, not one that exists only in isolated pockets.</w:t>
      </w:r>
      <w:r>
        <w:rPr>
          <w:rStyle w:val="FootnoteReference"/>
        </w:rPr>
        <w:footnoteReference w:id="479"/>
      </w:r>
      <w:r w:rsidRPr="0072600F">
        <w:rPr>
          <w:sz w:val="26"/>
          <w:szCs w:val="26"/>
        </w:rPr>
        <w:t xml:space="preserve">  Therefore, we continue to conclude that industry-wide reform is appropriate.  Furthermore, interconnection study delays and queue backlogs are severe,</w:t>
      </w:r>
      <w:r>
        <w:rPr>
          <w:rStyle w:val="FootnoteReference"/>
        </w:rPr>
        <w:footnoteReference w:id="480"/>
      </w:r>
      <w:r w:rsidRPr="0072600F">
        <w:rPr>
          <w:sz w:val="26"/>
          <w:szCs w:val="26"/>
        </w:rPr>
        <w:t xml:space="preserve"> and we continue to find that the deadline and penalty regime adopted in Order No. 2023 is proportional to the scope of the problem. </w:t>
      </w:r>
    </w:p>
    <w:p w:rsidR="00760048" w:rsidRPr="0072600F" w14:paraId="28F29E22" w14:textId="77777777">
      <w:pPr>
        <w:pStyle w:val="FERCparanumber"/>
        <w:widowControl/>
        <w:numPr>
          <w:ilvl w:val="0"/>
          <w:numId w:val="25"/>
        </w:numPr>
        <w:autoSpaceDE/>
        <w:autoSpaceDN/>
        <w:adjustRightInd/>
        <w:spacing w:line="480" w:lineRule="auto"/>
        <w:rPr>
          <w:sz w:val="26"/>
          <w:szCs w:val="26"/>
        </w:rPr>
      </w:pPr>
      <w:r w:rsidRPr="0072600F">
        <w:rPr>
          <w:sz w:val="26"/>
          <w:szCs w:val="26"/>
        </w:rPr>
        <w:t>It appears that, in arguing that study delays are not sufficiently widespread to justify a generically applicable incentive structure, Indicated PJM TOs misread the Order No. 845 data cited in Order No. 2023:  Indicated PJM TOs state that the Commission acknowledges that at the end of 2022, 14 (of 24) non-RTO/ISO transmission providers experienced no study delays.</w:t>
      </w:r>
      <w:r>
        <w:rPr>
          <w:rStyle w:val="FootnoteReference"/>
        </w:rPr>
        <w:footnoteReference w:id="481"/>
      </w:r>
      <w:r w:rsidRPr="0072600F">
        <w:rPr>
          <w:sz w:val="26"/>
          <w:szCs w:val="26"/>
        </w:rPr>
        <w:t xml:space="preserve">  However, the Commission actually stated, and the data shows, that at the end of 2022, 14 (of 24) non-RTO/ISO transmission providers </w:t>
      </w:r>
      <w:r w:rsidRPr="0072600F">
        <w:rPr>
          <w:i/>
          <w:iCs/>
          <w:sz w:val="26"/>
          <w:szCs w:val="26"/>
        </w:rPr>
        <w:t xml:space="preserve">had delayed studies </w:t>
      </w:r>
      <w:r w:rsidRPr="0072600F">
        <w:rPr>
          <w:sz w:val="26"/>
          <w:szCs w:val="26"/>
        </w:rPr>
        <w:t>still pending at the end of the year.</w:t>
      </w:r>
      <w:r>
        <w:rPr>
          <w:rStyle w:val="FootnoteReference"/>
        </w:rPr>
        <w:footnoteReference w:id="482"/>
      </w:r>
      <w:r w:rsidRPr="0072600F">
        <w:rPr>
          <w:sz w:val="26"/>
          <w:szCs w:val="26"/>
        </w:rPr>
        <w:t xml:space="preserve">  Furthermore, of the studies completed over the course of 2022, the data indicates that 16 non-RTO transmission providers completed one or more interconnection study past the deadline.</w:t>
      </w:r>
      <w:r>
        <w:rPr>
          <w:rStyle w:val="FootnoteReference"/>
        </w:rPr>
        <w:footnoteReference w:id="483"/>
      </w:r>
      <w:r w:rsidRPr="0072600F">
        <w:rPr>
          <w:sz w:val="26"/>
          <w:szCs w:val="26"/>
        </w:rPr>
        <w:t xml:space="preserve">  As stated above in section II.A.2., we recognize that PJM’s data reflects its previous, serial study process.  However, even excluding both PJM and SPP, the data show that three of the four remaining RTOs/ISOs reported delayed studies at the end of 2022.</w:t>
      </w:r>
      <w:r>
        <w:rPr>
          <w:rStyle w:val="FootnoteReference"/>
        </w:rPr>
        <w:footnoteReference w:id="484"/>
      </w:r>
      <w:r w:rsidRPr="0072600F">
        <w:rPr>
          <w:sz w:val="26"/>
          <w:szCs w:val="26"/>
        </w:rPr>
        <w:t xml:space="preserve">  Moreover, although we find the data even excluding PJM and SPP’s backlogs is sufficient to show that study delays are not a problem that exists only in isolated pockets, the existing interconnection study backlogs in SPP and PJM reinforce that it is imperative that these entities, too, conduct their cluster study processes in a timely fashion, as will be facilitated by firm study deadlines.</w:t>
      </w:r>
      <w:r>
        <w:rPr>
          <w:rStyle w:val="FootnoteReference"/>
        </w:rPr>
        <w:footnoteReference w:id="485"/>
      </w:r>
      <w:r w:rsidRPr="0072600F">
        <w:rPr>
          <w:sz w:val="26"/>
          <w:szCs w:val="26"/>
        </w:rPr>
        <w:t xml:space="preserve">  The data indicate that study delays are not a problem that only exists in isolated pockets.  </w:t>
      </w:r>
    </w:p>
    <w:p w:rsidR="00760048" w:rsidRPr="0072600F" w14:paraId="7EA94E72"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arguments that it was disproportionate or inappropriate for the Commission to make a generic finding eliminating the reasonable efforts standard and adopting firm study deadlines, given that some regions have already adopted cluster study processes and are, therefore, generally in accord with a number of other reforms adopted in Order No. 2023.  The data do not indicate that cluster studies alone are sufficient to remedy interconnection queue backlogs.  To the contrary, a number of transmission providers that have already adopted cluster studies still experience substantial study delays.</w:t>
      </w:r>
      <w:r>
        <w:rPr>
          <w:rStyle w:val="FootnoteReference"/>
        </w:rPr>
        <w:footnoteReference w:id="486"/>
      </w:r>
      <w:r w:rsidRPr="0072600F">
        <w:rPr>
          <w:sz w:val="26"/>
          <w:szCs w:val="26"/>
        </w:rPr>
        <w:t xml:space="preserve">  While cluster studies are a key component of the Order </w:t>
      </w:r>
      <w:r w:rsidR="009B2286">
        <w:rPr>
          <w:sz w:val="26"/>
          <w:szCs w:val="26"/>
        </w:rPr>
        <w:t xml:space="preserve">     </w:t>
      </w:r>
      <w:r w:rsidRPr="0072600F">
        <w:rPr>
          <w:sz w:val="26"/>
          <w:szCs w:val="26"/>
        </w:rPr>
        <w:t>No. 2023 reforms, clustering alone has not proved sufficient to solve the problems the Commission identified in Order No. 2023.  We conclude that the elimination of the reasonable efforts standard, which has not yet been adopted by any transmission providers, is an appropriate and important component of the package of reforms in Order No. 2023 to remedy study delays and queue backlogs.</w:t>
      </w:r>
    </w:p>
    <w:p w:rsidR="00760048" w:rsidRPr="0072600F" w14:paraId="40337249"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arguments that the Commission relied on stale data to support the elimination of the reasonable efforts standard and the adoption of deadlines and study delay penalties.  It appears that these rehearing requests are premised on speculation that future data might tell a different story than the data the Commission relied upon in Order No. 2023.  Such speculation about potential future data does not render current data stale.</w:t>
      </w:r>
      <w:r>
        <w:rPr>
          <w:rStyle w:val="FootnoteReference"/>
        </w:rPr>
        <w:footnoteReference w:id="487"/>
      </w:r>
      <w:r w:rsidRPr="0072600F">
        <w:rPr>
          <w:sz w:val="26"/>
          <w:szCs w:val="26"/>
        </w:rPr>
        <w:t xml:space="preserve">  Order No. 2023 relied on the most recent data available, from 2020-2022.</w:t>
      </w:r>
      <w:r>
        <w:rPr>
          <w:rStyle w:val="FootnoteReference"/>
        </w:rPr>
        <w:footnoteReference w:id="488"/>
      </w:r>
      <w:r w:rsidRPr="0072600F">
        <w:rPr>
          <w:sz w:val="26"/>
          <w:szCs w:val="26"/>
        </w:rPr>
        <w:t xml:space="preserve">  Even if this dataset is not perfect, imperfection does not amount to arbitrary decision-making.</w:t>
      </w:r>
      <w:r>
        <w:rPr>
          <w:rStyle w:val="FootnoteReference"/>
        </w:rPr>
        <w:footnoteReference w:id="489"/>
      </w:r>
      <w:r w:rsidRPr="0072600F">
        <w:rPr>
          <w:sz w:val="26"/>
          <w:szCs w:val="26"/>
        </w:rPr>
        <w:t xml:space="preserve">  We also note that, for purposes of judicial review, the record consists of the information that was before the Commission </w:t>
      </w:r>
      <w:r w:rsidRPr="0072600F">
        <w:rPr>
          <w:i/>
          <w:iCs/>
          <w:sz w:val="26"/>
          <w:szCs w:val="26"/>
        </w:rPr>
        <w:t>at the time</w:t>
      </w:r>
      <w:r w:rsidRPr="0072600F">
        <w:rPr>
          <w:sz w:val="26"/>
          <w:szCs w:val="26"/>
        </w:rPr>
        <w:t xml:space="preserve"> Order No. 2023 was issued.</w:t>
      </w:r>
      <w:r>
        <w:rPr>
          <w:rStyle w:val="FootnoteReference"/>
        </w:rPr>
        <w:footnoteReference w:id="490"/>
      </w:r>
      <w:r w:rsidRPr="0072600F">
        <w:rPr>
          <w:sz w:val="26"/>
          <w:szCs w:val="26"/>
        </w:rPr>
        <w:t xml:space="preserve">  Particularly given the trends of worsening queue delays and backlogs, which we have found are likely to persist in the absence of Commission action,</w:t>
      </w:r>
      <w:r>
        <w:rPr>
          <w:rStyle w:val="FootnoteReference"/>
        </w:rPr>
        <w:footnoteReference w:id="491"/>
      </w:r>
      <w:r w:rsidRPr="0072600F">
        <w:rPr>
          <w:sz w:val="26"/>
          <w:szCs w:val="26"/>
        </w:rPr>
        <w:t xml:space="preserve"> and the gravity of the problem of such delays in interconnecting new generation, the Commission was not required to wait for pending developments before issuing Order No. 2023, nor are we required to retract Order No. 2023 in order to supplement the Commission’s decision with new data.</w:t>
      </w:r>
      <w:r>
        <w:rPr>
          <w:rStyle w:val="FootnoteReference"/>
        </w:rPr>
        <w:footnoteReference w:id="492"/>
      </w:r>
      <w:r w:rsidRPr="0072600F">
        <w:rPr>
          <w:sz w:val="26"/>
          <w:szCs w:val="26"/>
        </w:rPr>
        <w:t xml:space="preserve">  </w:t>
      </w:r>
    </w:p>
    <w:p w:rsidR="00760048" w:rsidRPr="0072600F" w14:paraId="10B43290"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Indicated PJM TOs’ claim that Order No. 2023 relied on the stale record from Order No. 890, even though the world has changed substantially since 2007.  Order No. 2023 cited Order No. 890 as precedent reflecting that the Commission has authority to (1) implement a study delay penalty structure for RTOs/ISOs for missed tariff deadlines notwithstanding their non-profit status</w:t>
      </w:r>
      <w:r w:rsidR="00CC2798">
        <w:rPr>
          <w:sz w:val="26"/>
          <w:szCs w:val="26"/>
        </w:rPr>
        <w:t>,</w:t>
      </w:r>
      <w:r>
        <w:rPr>
          <w:rStyle w:val="FootnoteReference"/>
        </w:rPr>
        <w:footnoteReference w:id="493"/>
      </w:r>
      <w:r w:rsidRPr="0072600F">
        <w:rPr>
          <w:sz w:val="26"/>
          <w:szCs w:val="26"/>
        </w:rPr>
        <w:t xml:space="preserve"> and (2) prohibit non-RTO transmission provider and transmission-owning members of RTOs/ISOs from recovering penalty amounts through transmission rates.</w:t>
      </w:r>
      <w:r>
        <w:rPr>
          <w:rStyle w:val="FootnoteReference"/>
        </w:rPr>
        <w:footnoteReference w:id="494"/>
      </w:r>
      <w:r w:rsidRPr="0072600F">
        <w:rPr>
          <w:sz w:val="26"/>
          <w:szCs w:val="26"/>
        </w:rPr>
        <w:t xml:space="preserve">  Order No. 2023 further acknowledged differences between the transmission service studies addressed in Order No. 890 and interconnection studies and accounted for these differences in developing this study delay penalty regime.</w:t>
      </w:r>
      <w:r>
        <w:rPr>
          <w:rStyle w:val="FootnoteReference"/>
        </w:rPr>
        <w:footnoteReference w:id="495"/>
      </w:r>
    </w:p>
    <w:p w:rsidR="00760048" w:rsidRPr="0072600F" w14:paraId="6C04823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disagree with rehearing requests that argue that the elimination of the reasonable efforts standard and the adoption of a structure of performance standards, in the form of deadlines, and performance incentives, in the form of penalties, is premature, and that the Commission should have waited until other reforms took effect before considering whether to implement this reform, or should have instead simply augmented the reporting approach set forth in Order No. 845.  While the Commission could have taken a more gradual approach in addressing interconnection queue backlogs, we find that such an approach would not represent a just and reasonable replacement rate.  Indeed, not only have our prior reforms failed to adequately control interconnection backlogs and delays, </w:t>
      </w:r>
      <w:r w:rsidR="00D065F5">
        <w:rPr>
          <w:sz w:val="26"/>
          <w:szCs w:val="26"/>
        </w:rPr>
        <w:t xml:space="preserve">but </w:t>
      </w:r>
      <w:r w:rsidRPr="0072600F">
        <w:rPr>
          <w:sz w:val="26"/>
          <w:szCs w:val="26"/>
        </w:rPr>
        <w:t>the problem has instead significantly worsened, leading to unjust and unreasonable rates.  Thus, notwithstanding that certain commenters may prefer a different approach—and particularly favor one that preserves for as long as possible the ability of transmission providers to extend their own deadlines to complete interconnection studies—we sustain Order No. 2023’s finding that the reasonable efforts standard is contributing to those unjust and unreasonable rates such that reform of that standard is warranted now.</w:t>
      </w:r>
      <w:r>
        <w:rPr>
          <w:rStyle w:val="FootnoteReference"/>
        </w:rPr>
        <w:footnoteReference w:id="496"/>
      </w:r>
      <w:r w:rsidRPr="0072600F">
        <w:rPr>
          <w:sz w:val="26"/>
          <w:szCs w:val="26"/>
        </w:rPr>
        <w:t xml:space="preserve">  As a result, we also continue to find that Order No. 2023’s approach of addressing the problem of interconnection queue backlogs and delays from multiple angles is both permissible and warranted given the extreme challenges identified in section II.A, above,</w:t>
      </w:r>
      <w:r w:rsidRPr="0072600F">
        <w:rPr>
          <w:sz w:val="26"/>
          <w:szCs w:val="26"/>
        </w:rPr>
        <w:t xml:space="preserve"> </w:t>
      </w:r>
      <w:r w:rsidRPr="0072600F">
        <w:rPr>
          <w:sz w:val="26"/>
          <w:szCs w:val="26"/>
        </w:rPr>
        <w:t>and Order No. 2023.</w:t>
      </w:r>
      <w:r>
        <w:rPr>
          <w:rStyle w:val="FootnoteReference"/>
        </w:rPr>
        <w:footnoteReference w:id="497"/>
      </w:r>
      <w:r w:rsidRPr="0072600F">
        <w:rPr>
          <w:sz w:val="26"/>
          <w:szCs w:val="26"/>
        </w:rPr>
        <w:t xml:space="preserve">  </w:t>
      </w:r>
    </w:p>
    <w:p w:rsidR="00760048" w:rsidRPr="0072600F" w14:paraId="0403A7B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Moreover, under FPA section 206, the Commission need only find that the existing </w:t>
      </w:r>
      <w:r w:rsidRPr="0072600F">
        <w:rPr>
          <w:i/>
          <w:iCs/>
          <w:sz w:val="26"/>
          <w:szCs w:val="26"/>
        </w:rPr>
        <w:t xml:space="preserve">pro forma </w:t>
      </w:r>
      <w:r w:rsidRPr="0072600F">
        <w:rPr>
          <w:sz w:val="26"/>
          <w:szCs w:val="26"/>
        </w:rPr>
        <w:t>is unjust and unreasonable and that the replacement rate is just and reasonable; the Commission need not demonstrate that the replacement rate is the only just and reasonable approach.</w:t>
      </w:r>
      <w:r>
        <w:rPr>
          <w:rStyle w:val="FootnoteReference"/>
        </w:rPr>
        <w:footnoteReference w:id="498"/>
      </w:r>
      <w:r w:rsidRPr="0072600F">
        <w:rPr>
          <w:sz w:val="26"/>
          <w:szCs w:val="26"/>
        </w:rPr>
        <w:t xml:space="preserve">  We continue to find that a comprehensive approach, including the elimination of the reasonable efforts standard and adoption of performance standards and incentives (study deadlines and penalties), is necessary to remedy the unjust and unreasonable rates resulting from interconnection queue backlogs and is just and reasonable.  We also note that arguments that this reform is premature are based on the premise that the other reforms in Order No. 2023 will be sufficient to remedy study delays.  But at the same time, parties argue on rehearing that they cannot meet study deadlines, even with the other reforms in Order No. 2023.  Both cannot be true.  Either the other reforms in Order No. 2023 will be sufficient to ensure transmission providers can meet study deadlines, in which case they will not incur penalties under this regime, or—consistent with the Commission’s conclusions in Order No. 2023 and herein—the other reforms will not be sufficient to ensure transmission providers meet study deadlines.  In contrast, the Commission has here determined that a package of reforms—including both the elimination of the reasonable efforts standard and the other reforms required by the final rule—represents a reasonable and well-supported decision regarding the appropriate replacement rate. </w:t>
      </w:r>
    </w:p>
    <w:p w:rsidR="00760048" w:rsidRPr="0072600F" w14:paraId="1B469C9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 With regard to arguments that the Commission’s adoption of a deadline and penalty structure does not take into account that some transmission providers have engaged in stakeholder processes on queue reform, we note that Order No. 2023 acknowledged these efforts.</w:t>
      </w:r>
      <w:r>
        <w:rPr>
          <w:rStyle w:val="FootnoteReference"/>
        </w:rPr>
        <w:footnoteReference w:id="499"/>
      </w:r>
      <w:r w:rsidRPr="0072600F">
        <w:rPr>
          <w:sz w:val="26"/>
          <w:szCs w:val="26"/>
        </w:rPr>
        <w:t xml:space="preserve">  However, we disagree that these efforts mean that the Commission cannot or should not implement further reforms.  In the regions where stakeholder reforms are ultimately successful in reducing queue backlogs and preventing delayed studies, the penalties adopted in Order No. 2023 may never be relevant.  However, as explained above, many regions of the country are still seeing significant and even growing queue backlogs and study delays.  It is clear that further action is warranted.</w:t>
      </w:r>
    </w:p>
    <w:p w:rsidR="00760048" w:rsidRPr="0072600F" w14:paraId="7EF2C0D2" w14:textId="77777777">
      <w:pPr>
        <w:pStyle w:val="FERCparanumber"/>
        <w:widowControl/>
        <w:numPr>
          <w:ilvl w:val="0"/>
          <w:numId w:val="25"/>
        </w:numPr>
        <w:autoSpaceDE/>
        <w:autoSpaceDN/>
        <w:adjustRightInd/>
        <w:spacing w:line="480" w:lineRule="auto"/>
        <w:rPr>
          <w:sz w:val="26"/>
          <w:szCs w:val="26"/>
        </w:rPr>
      </w:pPr>
      <w:r w:rsidRPr="0072600F">
        <w:rPr>
          <w:sz w:val="26"/>
          <w:szCs w:val="26"/>
        </w:rPr>
        <w:t>The rehearing requests also mischaracterize Order No. 2023 in claiming that the Commission eliminated the reasonable efforts standard based on ensuring parity or fairness, rather than evidence.  Given the magnitude and growth of the interconnection queue backlog, the Commission adopted a comprehensive approach to remedying the unjust and unreasonable rates caused by that backlog.</w:t>
      </w:r>
      <w:r>
        <w:rPr>
          <w:rStyle w:val="FootnoteReference"/>
        </w:rPr>
        <w:footnoteReference w:id="500"/>
      </w:r>
      <w:r w:rsidRPr="0072600F">
        <w:rPr>
          <w:sz w:val="26"/>
          <w:szCs w:val="26"/>
        </w:rPr>
        <w:t xml:space="preserve">  Order No. 2023’s references to ensuring that transmission providers were “doing their part”</w:t>
      </w:r>
      <w:r>
        <w:rPr>
          <w:rStyle w:val="FootnoteReference"/>
        </w:rPr>
        <w:footnoteReference w:id="501"/>
      </w:r>
      <w:r w:rsidRPr="0072600F">
        <w:rPr>
          <w:sz w:val="26"/>
          <w:szCs w:val="26"/>
        </w:rPr>
        <w:t xml:space="preserve"> and “striking a balance”</w:t>
      </w:r>
      <w:r>
        <w:rPr>
          <w:rStyle w:val="FootnoteReference"/>
        </w:rPr>
        <w:footnoteReference w:id="502"/>
      </w:r>
      <w:r w:rsidRPr="0072600F">
        <w:rPr>
          <w:sz w:val="26"/>
          <w:szCs w:val="26"/>
        </w:rPr>
        <w:t xml:space="preserve"> were made in this context, reflecting that transmission providers have a role to play in addressing this backlog.  This comprehensive approach recognizes the importance of addressing each of the principal factors contributing to interconnection queue backlogs, including those—like study timeliness—that are within the control, whether in whole or in part, of transmission providers.  We are, therefore, not persuaded by arguments that the existence of factors beyond the control of transmission providers that may delay interconnection studies means that the elimination of the reasonable efforts standard, and its replacement with firm study deadlines and incentives in the form of penalties, cannot or will not be effective in reducing study delays.</w:t>
      </w:r>
      <w:r w:rsidRPr="0072600F">
        <w:rPr>
          <w:rStyle w:val="FootnoteReference"/>
          <w:color w:val="000000" w:themeColor="text1"/>
        </w:rPr>
        <w:t xml:space="preserve"> </w:t>
      </w:r>
    </w:p>
    <w:p w:rsidR="00760048" w:rsidRPr="0072600F" w14:paraId="41DC225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further conclude that contentions that the reasonable efforts standard carries benefits, including the flexibility to account for the complexities and variability of interconnection requests that may arise in the study process, do not demonstrate that this standard remains just and reasonable.  While there is some benefit to such flexibility, this benefit does not outweigh the need for reform the Commission has discussed and particularly does not change </w:t>
      </w:r>
      <w:r w:rsidR="00F46F46">
        <w:rPr>
          <w:sz w:val="26"/>
          <w:szCs w:val="26"/>
        </w:rPr>
        <w:t xml:space="preserve">the fact </w:t>
      </w:r>
      <w:r w:rsidRPr="0072600F">
        <w:rPr>
          <w:sz w:val="26"/>
          <w:szCs w:val="26"/>
        </w:rPr>
        <w:t xml:space="preserve">that interconnection queue backlogs and study delays are resulting in unjust and unreasonable rates.  Indeed, unwarranted flexibility to the detriment of timely study completion represents a defect in the reasonable efforts standard in light of the record demonstrating such backlogs: it allows transmission providers too much discretion to extend their own study deadlines.  We thus disagree with arguments claiming that the reasonable efforts standard is sufficient to hold transmission providers accountable and appealing to the flexible nature of the reasonable efforts standard as purportedly demonstrating that it remains just and reasonable.  </w:t>
      </w:r>
    </w:p>
    <w:p w:rsidR="00760048" w:rsidRPr="0072600F" w14:paraId="351D31CD" w14:textId="77777777">
      <w:pPr>
        <w:pStyle w:val="FERCparanumber"/>
        <w:widowControl/>
        <w:numPr>
          <w:ilvl w:val="0"/>
          <w:numId w:val="25"/>
        </w:numPr>
        <w:autoSpaceDE/>
        <w:autoSpaceDN/>
        <w:adjustRightInd/>
        <w:spacing w:line="480" w:lineRule="auto"/>
        <w:rPr>
          <w:sz w:val="26"/>
          <w:szCs w:val="26"/>
        </w:rPr>
      </w:pPr>
      <w:r w:rsidRPr="0072600F">
        <w:rPr>
          <w:sz w:val="26"/>
          <w:szCs w:val="26"/>
        </w:rPr>
        <w:t>Furthermore, we do not agree that the deadline and penalty structure set forth in Order No. 2023 is inflexible, as certain rehearing requests attempt to portray that structure in contrasting it with the reasonable efforts standard.  Order No. 2023’s deadline and penalty structure reasonably accounts for the interests of transmission providers, including in maintaining flexibility and accounting for the complexities of the interconnection study process,</w:t>
      </w:r>
      <w:r>
        <w:rPr>
          <w:rStyle w:val="FootnoteReference"/>
        </w:rPr>
        <w:footnoteReference w:id="503"/>
      </w:r>
      <w:r w:rsidRPr="0072600F">
        <w:rPr>
          <w:sz w:val="26"/>
          <w:szCs w:val="26"/>
        </w:rPr>
        <w:t xml:space="preserve"> in light of the need for reform to set clear standards for timeliness and effective measures to ensure those standards are met.</w:t>
      </w:r>
      <w:r>
        <w:rPr>
          <w:rStyle w:val="FootnoteReference"/>
        </w:rPr>
        <w:footnoteReference w:id="504"/>
      </w:r>
      <w:r w:rsidRPr="0072600F">
        <w:rPr>
          <w:sz w:val="26"/>
          <w:szCs w:val="26"/>
        </w:rPr>
        <w:t xml:space="preserve">  How each transmission provider determines to meet interconnection study deadlines is left up to that transmission provider.  We find that this approach is appropriate given the variation in the operations of the transmission providers and how they conduct the study process, and that they have the most complete knowledge as to what actions to better ensure study timeliness will be most effective as to their specific processes.  Rather than imposing a top-down approach that mandates specific actions, the Commission in Order No. 2023 provided flexibility to transmission providers as to how they achieve those standards,</w:t>
      </w:r>
      <w:r>
        <w:rPr>
          <w:rStyle w:val="FootnoteReference"/>
        </w:rPr>
        <w:footnoteReference w:id="505"/>
      </w:r>
      <w:r w:rsidRPr="0072600F">
        <w:rPr>
          <w:sz w:val="26"/>
          <w:szCs w:val="26"/>
        </w:rPr>
        <w:t xml:space="preserve"> along with appropriate safeguards.</w:t>
      </w:r>
    </w:p>
    <w:p w:rsidR="00760048" w:rsidRPr="0072600F" w14:paraId="3C0C5E0A"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arguments that the Commission has not demonstrated that there are steps that transmission providers can take to improve the timeliness of study processing, particularly given the factors that are outside of or not fully within their control, such that implementing a structure of performance standards and penalties to incentivize transmission to providers meet study deadlines is not just and reasonable.  As described above, transmission providers exercise significant control over the study process through which they can influence whether the studies are timely completed.</w:t>
      </w:r>
      <w:r>
        <w:rPr>
          <w:rStyle w:val="FootnoteReference"/>
        </w:rPr>
        <w:footnoteReference w:id="506"/>
      </w:r>
      <w:r w:rsidRPr="0072600F">
        <w:rPr>
          <w:sz w:val="26"/>
          <w:szCs w:val="26"/>
        </w:rPr>
        <w:t xml:space="preserve">  It is not the case that there is no nexus between the speed of the interconnection queue and the incentives imposed on transmission providers to timely complete interconnection studies.  In Order No. 2023, the Commission explained that transmission providers should be able to implement reforms to ensure that their study process is efficient and to help meet the deadlines set forth in that rule, including examples of steps that they may be able to take.</w:t>
      </w:r>
      <w:r>
        <w:rPr>
          <w:rStyle w:val="FootnoteReference"/>
        </w:rPr>
        <w:footnoteReference w:id="507"/>
      </w:r>
      <w:r w:rsidRPr="0072600F">
        <w:rPr>
          <w:sz w:val="26"/>
          <w:szCs w:val="26"/>
        </w:rPr>
        <w:t xml:space="preserve">  To the extent that transmission providers suggest that it is generically infeasible to allocate additional resources to ensure the timely completion of interconnection studies because that will require them to bear increased study costs, we are not persuaded by these concerns. </w:t>
      </w:r>
      <w:r w:rsidR="008456DC">
        <w:rPr>
          <w:sz w:val="26"/>
          <w:szCs w:val="26"/>
        </w:rPr>
        <w:t xml:space="preserve"> </w:t>
      </w:r>
      <w:r w:rsidRPr="0072600F">
        <w:rPr>
          <w:sz w:val="26"/>
          <w:szCs w:val="26"/>
        </w:rPr>
        <w:t>As Order No. 2023 stated</w:t>
      </w:r>
      <w:r w:rsidR="008456DC">
        <w:rPr>
          <w:sz w:val="26"/>
          <w:szCs w:val="26"/>
        </w:rPr>
        <w:t>,</w:t>
      </w:r>
      <w:r w:rsidRPr="0072600F">
        <w:rPr>
          <w:sz w:val="26"/>
          <w:szCs w:val="26"/>
        </w:rPr>
        <w:t xml:space="preserve"> “interconnection customers, rather than transmission providers, ultimately bear the costs of interconnection studies.”</w:t>
      </w:r>
      <w:r>
        <w:rPr>
          <w:rStyle w:val="FootnoteReference"/>
        </w:rPr>
        <w:footnoteReference w:id="508"/>
      </w:r>
      <w:r w:rsidRPr="0072600F">
        <w:rPr>
          <w:sz w:val="26"/>
          <w:szCs w:val="26"/>
        </w:rPr>
        <w:t xml:space="preserve">  The allocation of such additional resources includes the allocation of additional personnel or consultants, as appropriate and available.  Moreover, increased availability of qualified personnel may be driven, over time, by increased demand on the part of transmission providers.  To the extent </w:t>
      </w:r>
      <w:r w:rsidR="00A64832">
        <w:rPr>
          <w:sz w:val="26"/>
          <w:szCs w:val="26"/>
        </w:rPr>
        <w:t>that</w:t>
      </w:r>
      <w:r w:rsidRPr="0072600F">
        <w:rPr>
          <w:sz w:val="26"/>
          <w:szCs w:val="26"/>
        </w:rPr>
        <w:t xml:space="preserve"> transmission providers seek to retain additional personnel but there are extenuating circumstances rendering necessary personnel unavailable, leading to the assessment of penalties, transmission providers can explain the specific facts of their situation in an appeal to the Commission.  </w:t>
      </w:r>
    </w:p>
    <w:p w:rsidR="00760048" w:rsidRPr="0072600F" w14:paraId="418073EF" w14:textId="77777777">
      <w:pPr>
        <w:pStyle w:val="FERCparanumber"/>
        <w:widowControl/>
        <w:numPr>
          <w:ilvl w:val="0"/>
          <w:numId w:val="25"/>
        </w:numPr>
        <w:autoSpaceDE/>
        <w:autoSpaceDN/>
        <w:adjustRightInd/>
        <w:spacing w:line="480" w:lineRule="auto"/>
        <w:rPr>
          <w:sz w:val="26"/>
          <w:szCs w:val="26"/>
        </w:rPr>
      </w:pPr>
      <w:r w:rsidRPr="0072600F">
        <w:rPr>
          <w:sz w:val="26"/>
          <w:szCs w:val="26"/>
        </w:rPr>
        <w:t>In addition, claims that transmission providers cannot take reasonable steps to achieve the deadlines set forth in Order No. 2023 are premised on incorrectly portraying the substantive deadlines set in Order No. 2023 and the circumstances under which penalties will be assessed as unduly burdensome or punitive.  In imposing these deadlines, the Commission was mindful of the burdens on transmission providers in conducting interconnection studies.</w:t>
      </w:r>
      <w:r>
        <w:rPr>
          <w:rStyle w:val="FootnoteReference"/>
        </w:rPr>
        <w:footnoteReference w:id="509"/>
      </w:r>
      <w:r w:rsidRPr="0072600F">
        <w:rPr>
          <w:sz w:val="26"/>
          <w:szCs w:val="26"/>
        </w:rPr>
        <w:t xml:space="preserve">  Moreover, in Order No. 2023 the Commission adopted a reasonable approach to selecting the deadlines in the </w:t>
      </w:r>
      <w:r w:rsidRPr="0072600F">
        <w:rPr>
          <w:i/>
          <w:sz w:val="26"/>
          <w:szCs w:val="26"/>
        </w:rPr>
        <w:t xml:space="preserve">pro forma </w:t>
      </w:r>
      <w:r w:rsidRPr="0072600F">
        <w:rPr>
          <w:sz w:val="26"/>
          <w:szCs w:val="26"/>
        </w:rPr>
        <w:t xml:space="preserve">interconnection procedures and, as further explained in greater detail below, we continue to conclude that the record supports that those deadlines should be achievable for the </w:t>
      </w:r>
      <w:r w:rsidRPr="0072600F">
        <w:rPr>
          <w:i/>
          <w:iCs/>
          <w:sz w:val="26"/>
          <w:szCs w:val="26"/>
        </w:rPr>
        <w:t>pro forma</w:t>
      </w:r>
      <w:r w:rsidRPr="0072600F">
        <w:rPr>
          <w:sz w:val="26"/>
          <w:szCs w:val="26"/>
        </w:rPr>
        <w:t xml:space="preserve"> study process.</w:t>
      </w:r>
      <w:r>
        <w:rPr>
          <w:rStyle w:val="FootnoteReference"/>
        </w:rPr>
        <w:footnoteReference w:id="510"/>
      </w:r>
      <w:r w:rsidRPr="0072600F">
        <w:rPr>
          <w:sz w:val="26"/>
          <w:szCs w:val="26"/>
        </w:rPr>
        <w:t xml:space="preserve">  The safeguards the Commission selected—including, but not limited to, the ability to appeal a penalty—further respond to transmission providers’ objections, including the extent to which study delays may be due to factors outside of their control.</w:t>
      </w:r>
      <w:r>
        <w:rPr>
          <w:rStyle w:val="FootnoteReference"/>
        </w:rPr>
        <w:footnoteReference w:id="511"/>
      </w:r>
      <w:r w:rsidRPr="0072600F">
        <w:rPr>
          <w:sz w:val="26"/>
          <w:szCs w:val="26"/>
        </w:rPr>
        <w:t xml:space="preserve"> </w:t>
      </w:r>
    </w:p>
    <w:p w:rsidR="00760048" w:rsidRPr="00FE47B2" w14:paraId="77EC6A8B"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FE47B2">
        <w:rPr>
          <w:b/>
          <w:bCs/>
          <w:sz w:val="26"/>
          <w:u w:val="single"/>
        </w:rPr>
        <w:t>Adoption of a Study Deadline and Penalty Structure Replacement Rate</w:t>
      </w:r>
    </w:p>
    <w:p w:rsidR="00760048" w:rsidRPr="0072600F" w14:paraId="43C044B7" w14:textId="77777777">
      <w:pPr>
        <w:pStyle w:val="FERCparanumber"/>
        <w:widowControl/>
        <w:numPr>
          <w:ilvl w:val="0"/>
          <w:numId w:val="25"/>
        </w:numPr>
        <w:autoSpaceDE/>
        <w:autoSpaceDN/>
        <w:adjustRightInd/>
        <w:spacing w:line="480" w:lineRule="auto"/>
        <w:rPr>
          <w:b/>
          <w:sz w:val="26"/>
          <w:szCs w:val="26"/>
        </w:rPr>
      </w:pPr>
      <w:r w:rsidRPr="0072600F">
        <w:rPr>
          <w:bCs/>
          <w:sz w:val="26"/>
          <w:szCs w:val="26"/>
        </w:rPr>
        <w:t>Having adopted the NOPR proposal to eliminate the reasonable efforts standard in Order No. 2023, the Commission was then required to adopt a replacement rate.</w:t>
      </w:r>
      <w:r>
        <w:rPr>
          <w:rStyle w:val="FootnoteReference"/>
        </w:rPr>
        <w:footnoteReference w:id="512"/>
      </w:r>
      <w:r w:rsidRPr="0072600F">
        <w:rPr>
          <w:bCs/>
          <w:sz w:val="26"/>
          <w:szCs w:val="26"/>
        </w:rPr>
        <w:t xml:space="preserve">  It found that a structure in which transmission providers are required to meet firm study deadlines (a standard to measure performance) and subject to penalties (an incentive to meet the tariff-prescribed firm study deadlines) with appropriate safeguards, was a just and reasonable approach.</w:t>
      </w:r>
      <w:r>
        <w:rPr>
          <w:rStyle w:val="FootnoteReference"/>
        </w:rPr>
        <w:footnoteReference w:id="513"/>
      </w:r>
      <w:r w:rsidRPr="0072600F">
        <w:rPr>
          <w:bCs/>
          <w:sz w:val="26"/>
          <w:szCs w:val="26"/>
        </w:rPr>
        <w:t xml:space="preserve">  This regulation of the interconnection study process is consistent with the Commission’s long-standing regulation of the interconnection process, including the terms of the relationship between interconnection customers and transmission providers.</w:t>
      </w:r>
      <w:r w:rsidRPr="0072600F">
        <w:rPr>
          <w:b/>
          <w:sz w:val="26"/>
          <w:szCs w:val="26"/>
        </w:rPr>
        <w:t xml:space="preserve">  </w:t>
      </w:r>
    </w:p>
    <w:p w:rsidR="00760048" w:rsidRPr="0072600F" w14:paraId="421901D0" w14:textId="77777777">
      <w:pPr>
        <w:pStyle w:val="FERCparanumber"/>
        <w:widowControl/>
        <w:numPr>
          <w:ilvl w:val="0"/>
          <w:numId w:val="25"/>
        </w:numPr>
        <w:autoSpaceDE/>
        <w:autoSpaceDN/>
        <w:adjustRightInd/>
        <w:spacing w:line="480" w:lineRule="auto"/>
        <w:rPr>
          <w:bCs/>
          <w:sz w:val="26"/>
          <w:szCs w:val="26"/>
        </w:rPr>
      </w:pPr>
      <w:r w:rsidRPr="0072600F">
        <w:rPr>
          <w:bCs/>
          <w:sz w:val="26"/>
          <w:szCs w:val="26"/>
        </w:rPr>
        <w:t>Courts have affirmed that this regulation of the interconnection process, and specifically the interaction between interconnection customers and transmission providers as necessary to avoid a degradation in service leading to unjust and unreasonable rates, falls squarely within the Commission’s ratemaking authority.</w:t>
      </w:r>
      <w:r>
        <w:rPr>
          <w:rStyle w:val="FootnoteReference"/>
        </w:rPr>
        <w:footnoteReference w:id="514"/>
      </w:r>
      <w:r w:rsidRPr="0072600F">
        <w:rPr>
          <w:bCs/>
          <w:sz w:val="26"/>
          <w:szCs w:val="26"/>
        </w:rPr>
        <w:t xml:space="preserve">  For instance, in </w:t>
      </w:r>
      <w:r w:rsidRPr="0072600F">
        <w:rPr>
          <w:bCs/>
          <w:i/>
          <w:sz w:val="26"/>
          <w:szCs w:val="26"/>
        </w:rPr>
        <w:t>NARUC v. FERC</w:t>
      </w:r>
      <w:r w:rsidRPr="0072600F">
        <w:rPr>
          <w:bCs/>
          <w:sz w:val="26"/>
          <w:szCs w:val="26"/>
        </w:rPr>
        <w:t>, the D.C. Circuit affirmed the Commission’s authority to issue Order No. 2003, observing that “Order No. 2003 asserts jurisdiction over the terms of interconnection between generators and transmission providers”</w:t>
      </w:r>
      <w:r>
        <w:rPr>
          <w:rStyle w:val="FootnoteReference"/>
        </w:rPr>
        <w:footnoteReference w:id="515"/>
      </w:r>
      <w:r w:rsidRPr="0072600F">
        <w:rPr>
          <w:bCs/>
          <w:sz w:val="26"/>
          <w:szCs w:val="26"/>
        </w:rPr>
        <w:t xml:space="preserve"> and citing the connection between those terms and the prices for regulated service.  Indeed, the Commission established both the timelines for interconnection studies and the reasonable efforts standard in Order No. 2003,</w:t>
      </w:r>
      <w:r>
        <w:rPr>
          <w:rStyle w:val="FootnoteReference"/>
        </w:rPr>
        <w:footnoteReference w:id="516"/>
      </w:r>
      <w:r w:rsidRPr="0072600F">
        <w:rPr>
          <w:bCs/>
          <w:sz w:val="26"/>
          <w:szCs w:val="26"/>
        </w:rPr>
        <w:t xml:space="preserve"> which reflects the Commission’s long-standing regulation of the timeliness of the interconnection study process.</w:t>
      </w:r>
      <w:r>
        <w:rPr>
          <w:rStyle w:val="FootnoteReference"/>
        </w:rPr>
        <w:footnoteReference w:id="517"/>
      </w:r>
      <w:r w:rsidRPr="0072600F">
        <w:rPr>
          <w:bCs/>
          <w:sz w:val="26"/>
          <w:szCs w:val="26"/>
        </w:rPr>
        <w:t xml:space="preserve">  </w:t>
      </w:r>
    </w:p>
    <w:p w:rsidR="00760048" w:rsidRPr="0072600F" w14:paraId="54676087" w14:textId="77777777">
      <w:pPr>
        <w:pStyle w:val="FERCparanumber"/>
        <w:widowControl/>
        <w:numPr>
          <w:ilvl w:val="0"/>
          <w:numId w:val="25"/>
        </w:numPr>
        <w:autoSpaceDE/>
        <w:autoSpaceDN/>
        <w:adjustRightInd/>
        <w:spacing w:line="480" w:lineRule="auto"/>
        <w:rPr>
          <w:bCs/>
          <w:sz w:val="26"/>
          <w:szCs w:val="26"/>
        </w:rPr>
      </w:pPr>
      <w:r w:rsidRPr="0072600F">
        <w:rPr>
          <w:bCs/>
          <w:sz w:val="26"/>
          <w:szCs w:val="26"/>
        </w:rPr>
        <w:t>The deadline and penalty structure set forth in Order No. 2023 is a replacement of the Commission’s prior study timelines, including the reasonable efforts standard, with another standard directed toward that same end.</w:t>
      </w:r>
      <w:r>
        <w:rPr>
          <w:rStyle w:val="FootnoteReference"/>
        </w:rPr>
        <w:footnoteReference w:id="518"/>
      </w:r>
      <w:r w:rsidRPr="0072600F">
        <w:rPr>
          <w:bCs/>
          <w:sz w:val="26"/>
          <w:szCs w:val="26"/>
        </w:rPr>
        <w:t xml:space="preserve">  Specifically, t</w:t>
      </w:r>
      <w:r w:rsidRPr="0072600F">
        <w:rPr>
          <w:sz w:val="26"/>
          <w:szCs w:val="26"/>
        </w:rPr>
        <w:t>he deadline and penalty structure implemented in Order No. 2023 governs the terms of the relationship between the interconnection customer and transmission provider regarding the costs that transmission providers can recover for interconnection studies that fail to meet certain standards.  Given that interconnection queue backlogs—which are driven, in part, by study delays—result in unjust and unreasonable rates through, e.g., increased costs and decreased competition,</w:t>
      </w:r>
      <w:r>
        <w:rPr>
          <w:rStyle w:val="FootnoteReference"/>
        </w:rPr>
        <w:footnoteReference w:id="519"/>
      </w:r>
      <w:r w:rsidRPr="0072600F">
        <w:rPr>
          <w:sz w:val="26"/>
          <w:szCs w:val="26"/>
        </w:rPr>
        <w:t xml:space="preserve"> the study delay penalty structure is a means of ensuring just and reasonable rates, consistent with the Commission’s authority under FPA section 206.  Moreover, delayed interconnection studies impose costs on interconnection customers,</w:t>
      </w:r>
      <w:r>
        <w:rPr>
          <w:rStyle w:val="FootnoteReference"/>
        </w:rPr>
        <w:footnoteReference w:id="520"/>
      </w:r>
      <w:r w:rsidRPr="0072600F">
        <w:rPr>
          <w:sz w:val="26"/>
          <w:szCs w:val="26"/>
        </w:rPr>
        <w:t xml:space="preserve"> such that the value of the interconnection study to such customers is linked to its timely performance.  The implementation of study delay penalties reflects this fact, and—particularly because the penalties are distributed to interconnection customers in proportion to their study costs</w:t>
      </w:r>
      <w:r>
        <w:rPr>
          <w:rStyle w:val="FootnoteReference"/>
        </w:rPr>
        <w:footnoteReference w:id="521"/>
      </w:r>
      <w:r w:rsidRPr="0072600F">
        <w:rPr>
          <w:sz w:val="26"/>
          <w:szCs w:val="26"/>
        </w:rPr>
        <w:t xml:space="preserve">—regulates what a transmission provider can charge for an interconnection study, accounting for study timeliness, as a matter of ensuring just and reasonable rates.  </w:t>
      </w:r>
    </w:p>
    <w:p w:rsidR="00760048" w:rsidRPr="0072600F" w14:paraId="1CEEFE53" w14:textId="77777777">
      <w:pPr>
        <w:pStyle w:val="FERCparanumber"/>
        <w:widowControl/>
        <w:numPr>
          <w:ilvl w:val="0"/>
          <w:numId w:val="25"/>
        </w:numPr>
        <w:autoSpaceDE/>
        <w:autoSpaceDN/>
        <w:adjustRightInd/>
        <w:spacing w:line="480" w:lineRule="auto"/>
        <w:rPr>
          <w:b/>
          <w:sz w:val="26"/>
          <w:szCs w:val="26"/>
        </w:rPr>
      </w:pPr>
      <w:r w:rsidRPr="0072600F">
        <w:rPr>
          <w:bCs/>
          <w:sz w:val="26"/>
          <w:szCs w:val="26"/>
        </w:rPr>
        <w:t>The approach adopted in Order No. 2023 of employing penalties as an incentive for regulated actors to ensure adequate service, pursuant to the Commission’s statutory mandate to ensure just and reasonable rates under FPA sections 205 and 206, is not novel.</w:t>
      </w:r>
      <w:r w:rsidRPr="0072600F">
        <w:rPr>
          <w:sz w:val="26"/>
          <w:szCs w:val="26"/>
        </w:rPr>
        <w:t xml:space="preserve"> </w:t>
      </w:r>
      <w:r w:rsidRPr="0072600F">
        <w:rPr>
          <w:bCs/>
          <w:sz w:val="26"/>
          <w:szCs w:val="26"/>
        </w:rPr>
        <w:t xml:space="preserve"> The Commission has previously accepted tariff mechanisms incorporating the use of penalties for failure to meet a performance standard as a component of a just and reasonable rate.</w:t>
      </w:r>
      <w:r>
        <w:rPr>
          <w:rStyle w:val="FootnoteReference"/>
        </w:rPr>
        <w:footnoteReference w:id="522"/>
      </w:r>
      <w:r w:rsidRPr="0072600F">
        <w:rPr>
          <w:bCs/>
          <w:sz w:val="26"/>
          <w:szCs w:val="26"/>
        </w:rPr>
        <w:t xml:space="preserve">  Order No. 890’s implementation of operational penalties for routinely delayed transmission studies similarly reflects a structure using such penalties to accomplish the Commission’s ratemaking objectives.</w:t>
      </w:r>
      <w:r>
        <w:rPr>
          <w:rStyle w:val="FootnoteReference"/>
        </w:rPr>
        <w:footnoteReference w:id="523"/>
      </w:r>
      <w:r w:rsidRPr="0072600F">
        <w:rPr>
          <w:bCs/>
          <w:sz w:val="26"/>
          <w:szCs w:val="26"/>
        </w:rPr>
        <w:t xml:space="preserve">  </w:t>
      </w:r>
    </w:p>
    <w:p w:rsidR="00760048" w:rsidRPr="0072600F" w14:paraId="179F837B" w14:textId="77777777">
      <w:pPr>
        <w:pStyle w:val="FERCparanumber"/>
        <w:widowControl/>
        <w:numPr>
          <w:ilvl w:val="0"/>
          <w:numId w:val="25"/>
        </w:numPr>
        <w:autoSpaceDE/>
        <w:autoSpaceDN/>
        <w:adjustRightInd/>
        <w:spacing w:line="480" w:lineRule="auto"/>
        <w:rPr>
          <w:b/>
          <w:sz w:val="26"/>
          <w:szCs w:val="26"/>
        </w:rPr>
      </w:pPr>
      <w:r w:rsidRPr="0072600F">
        <w:rPr>
          <w:bCs/>
          <w:sz w:val="26"/>
          <w:szCs w:val="26"/>
        </w:rPr>
        <w:t>To that end, the Commission adopted the study deadline and penalty structure pursuant to its authority under FPA section 206.</w:t>
      </w:r>
      <w:r>
        <w:rPr>
          <w:rStyle w:val="FootnoteReference"/>
        </w:rPr>
        <w:footnoteReference w:id="524"/>
      </w:r>
      <w:r w:rsidRPr="0072600F">
        <w:rPr>
          <w:bCs/>
          <w:sz w:val="26"/>
          <w:szCs w:val="26"/>
        </w:rPr>
        <w:t xml:space="preserve">  In doing so, it stated that its approach was not based on a finding of bad faith on the part of transmission providers,</w:t>
      </w:r>
      <w:r>
        <w:rPr>
          <w:rStyle w:val="FootnoteReference"/>
        </w:rPr>
        <w:footnoteReference w:id="525"/>
      </w:r>
      <w:r w:rsidRPr="0072600F">
        <w:rPr>
          <w:bCs/>
          <w:sz w:val="26"/>
          <w:szCs w:val="26"/>
        </w:rPr>
        <w:t xml:space="preserve"> or intended to create a punitive structure,</w:t>
      </w:r>
      <w:r>
        <w:rPr>
          <w:rStyle w:val="FootnoteReference"/>
        </w:rPr>
        <w:footnoteReference w:id="526"/>
      </w:r>
      <w:r w:rsidRPr="0072600F">
        <w:rPr>
          <w:bCs/>
          <w:sz w:val="26"/>
          <w:szCs w:val="26"/>
        </w:rPr>
        <w:t xml:space="preserve"> but instead reflected the need for adequate incentives for transmission providers to take the steps within their control to help alleviate unjust and unreasonable rates stemming from interconnection queue delays and backlogs.</w:t>
      </w:r>
      <w:r>
        <w:rPr>
          <w:rStyle w:val="FootnoteReference"/>
        </w:rPr>
        <w:footnoteReference w:id="527"/>
      </w:r>
      <w:r w:rsidRPr="0072600F">
        <w:rPr>
          <w:bCs/>
          <w:sz w:val="26"/>
          <w:szCs w:val="26"/>
        </w:rPr>
        <w:t xml:space="preserve">  In this respect, the implementation of the study deadline and penalty structure in Order No. 2023 reflects that—as a component of a comprehensive package of reforms to remedy the problem of severe interconnection queue delays and backlogs—transmission providers will be held to appropriate standards, with stated consequences for failure to meet those standards, as is also the case with interconnection customers.</w:t>
      </w:r>
      <w:r>
        <w:rPr>
          <w:rStyle w:val="FootnoteReference"/>
        </w:rPr>
        <w:footnoteReference w:id="528"/>
      </w:r>
      <w:r w:rsidRPr="0072600F">
        <w:rPr>
          <w:bCs/>
          <w:sz w:val="26"/>
          <w:szCs w:val="26"/>
        </w:rPr>
        <w:t xml:space="preserve">  As discussed in detail below,</w:t>
      </w:r>
      <w:r>
        <w:rPr>
          <w:rStyle w:val="FootnoteReference"/>
        </w:rPr>
        <w:footnoteReference w:id="529"/>
      </w:r>
      <w:r w:rsidRPr="0072600F">
        <w:rPr>
          <w:bCs/>
          <w:sz w:val="26"/>
          <w:szCs w:val="26"/>
        </w:rPr>
        <w:t xml:space="preserve"> the implementation of this incentive structure pursuant to FPA section 206 is further consistent with Supreme Court precedent differentiating civil penalties that are imposed as punishment to redress a wrong to the public versus those that serve other purposes, such as the regulation of the interaction between parties to serve a compensatory function.</w:t>
      </w:r>
      <w:r>
        <w:rPr>
          <w:rStyle w:val="FootnoteReference"/>
        </w:rPr>
        <w:footnoteReference w:id="530"/>
      </w:r>
      <w:r w:rsidRPr="0072600F">
        <w:rPr>
          <w:bCs/>
          <w:sz w:val="26"/>
          <w:szCs w:val="26"/>
        </w:rPr>
        <w:t xml:space="preserve">  Order No. 2023’s deadline and penalty structure falls within the latter category, supported by the Commission’s well-established FPA authority over the interconnection process to avoid degradation of service, its authority to regulate the relationship of the parties involved in that process, and its authority to ensure just and reasonable rates under FPA section 206.</w:t>
      </w:r>
    </w:p>
    <w:p w:rsidR="00760048" w:rsidRPr="00663161" w14:paraId="5D83CA8B"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Interconnection Study Deadlines</w:t>
      </w:r>
    </w:p>
    <w:p w:rsidR="00760048" w:rsidRPr="0072600F" w14:paraId="23FE0D91" w14:textId="77777777">
      <w:pPr>
        <w:pStyle w:val="Heading6"/>
        <w:numPr>
          <w:ilvl w:val="5"/>
          <w:numId w:val="24"/>
        </w:numPr>
        <w:autoSpaceDE/>
        <w:autoSpaceDN/>
        <w:adjustRightInd/>
        <w:rPr>
          <w:szCs w:val="26"/>
        </w:rPr>
      </w:pPr>
      <w:r w:rsidRPr="0072600F">
        <w:rPr>
          <w:szCs w:val="26"/>
        </w:rPr>
        <w:t>Requests for Rehearing</w:t>
      </w:r>
    </w:p>
    <w:p w:rsidR="00760048" w:rsidRPr="0072600F" w14:paraId="645B29B2" w14:textId="77777777">
      <w:pPr>
        <w:pStyle w:val="FERCparanumber"/>
        <w:widowControl/>
        <w:numPr>
          <w:ilvl w:val="0"/>
          <w:numId w:val="25"/>
        </w:numPr>
        <w:autoSpaceDE/>
        <w:autoSpaceDN/>
        <w:adjustRightInd/>
        <w:spacing w:line="480" w:lineRule="auto"/>
        <w:rPr>
          <w:sz w:val="26"/>
          <w:szCs w:val="26"/>
        </w:rPr>
      </w:pPr>
      <w:r w:rsidRPr="0072600F">
        <w:rPr>
          <w:sz w:val="26"/>
          <w:szCs w:val="26"/>
        </w:rPr>
        <w:t>Several of the rehearing requests contend that the imposition of fixed, uniform study deadlines is arbitrary and capricious because it fails to account for the specific circumstances of the cluster being studied, particularly given the complexity and variability of the study process.</w:t>
      </w:r>
      <w:r>
        <w:rPr>
          <w:rStyle w:val="FootnoteReference"/>
        </w:rPr>
        <w:footnoteReference w:id="531"/>
      </w:r>
      <w:r w:rsidRPr="0072600F">
        <w:rPr>
          <w:sz w:val="26"/>
          <w:szCs w:val="26"/>
        </w:rPr>
        <w:t xml:space="preserve">  For instance, Avangrid and EEI argue that the Commission’s 150-day cluster study deadline is a “one-size-fits-all” approach that disregards that clusters of interconnection studies will vary widely in size and complexity, and there are numerous variables outside of transmission providers’ control that contribute to delays.</w:t>
      </w:r>
      <w:r>
        <w:rPr>
          <w:rStyle w:val="FootnoteReference"/>
        </w:rPr>
        <w:footnoteReference w:id="532"/>
      </w:r>
      <w:r w:rsidRPr="0072600F">
        <w:rPr>
          <w:sz w:val="26"/>
          <w:szCs w:val="26"/>
        </w:rPr>
        <w:t xml:space="preserve">  Indicated PJM TOs argue that the Commission failed to consider the uneven and unpredictable timing of interconnection requests.</w:t>
      </w:r>
      <w:r>
        <w:rPr>
          <w:rStyle w:val="FootnoteReference"/>
        </w:rPr>
        <w:footnoteReference w:id="533"/>
      </w:r>
      <w:r w:rsidRPr="0072600F">
        <w:rPr>
          <w:sz w:val="26"/>
          <w:szCs w:val="26"/>
        </w:rPr>
        <w:t xml:space="preserve">    </w:t>
      </w:r>
    </w:p>
    <w:p w:rsidR="00760048" w:rsidRPr="0072600F" w14:paraId="185B9072" w14:textId="77777777">
      <w:pPr>
        <w:pStyle w:val="FERCparanumber"/>
        <w:widowControl/>
        <w:numPr>
          <w:ilvl w:val="0"/>
          <w:numId w:val="25"/>
        </w:numPr>
        <w:autoSpaceDE/>
        <w:autoSpaceDN/>
        <w:adjustRightInd/>
        <w:spacing w:line="480" w:lineRule="auto"/>
        <w:rPr>
          <w:sz w:val="26"/>
          <w:szCs w:val="26"/>
        </w:rPr>
      </w:pPr>
      <w:r w:rsidRPr="0072600F">
        <w:rPr>
          <w:sz w:val="26"/>
          <w:szCs w:val="26"/>
        </w:rPr>
        <w:t>Relatedly, Indicated PJM TOs also assert that the uniform study deadline and penalty framework is unduly discriminatory against transmission owners in regions with substantial renewable generation in development, because such regions with long queues will experience greater risk of penalties due to factors they cannot control.</w:t>
      </w:r>
      <w:r>
        <w:rPr>
          <w:rStyle w:val="FootnoteReference"/>
        </w:rPr>
        <w:footnoteReference w:id="534"/>
      </w:r>
      <w:r w:rsidRPr="0072600F">
        <w:rPr>
          <w:sz w:val="26"/>
          <w:szCs w:val="26"/>
        </w:rPr>
        <w:t xml:space="preserve">  Dominion asserts that, within RTOs and ISOs, there may be disparate outcomes in different zones because of an uneven distribution of interconnection requests, such that different transmission owners or transmission providers will face very different risks.</w:t>
      </w:r>
      <w:r>
        <w:rPr>
          <w:rStyle w:val="FootnoteReference"/>
        </w:rPr>
        <w:footnoteReference w:id="535"/>
      </w:r>
    </w:p>
    <w:p w:rsidR="00760048" w:rsidRPr="0072600F" w14:paraId="0BC125C8"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the rehearing requests also challenge the specific deadlines the Commission selected—including, in particular, the 150-day cluster study deadline—as insufficiently supported and/or too short, risking a less efficient interconnection process.</w:t>
      </w:r>
      <w:r>
        <w:rPr>
          <w:rStyle w:val="FootnoteReference"/>
        </w:rPr>
        <w:footnoteReference w:id="536"/>
      </w:r>
      <w:r w:rsidRPr="0072600F">
        <w:rPr>
          <w:sz w:val="26"/>
          <w:szCs w:val="26"/>
        </w:rPr>
        <w:t xml:space="preserve">  MISO TOs and NYISO argue that the deadlines imposed in Order No. 2023 have not been shown to be appropriate and achievable or are not supported by evidence.</w:t>
      </w:r>
      <w:r>
        <w:rPr>
          <w:rStyle w:val="FootnoteReference"/>
        </w:rPr>
        <w:footnoteReference w:id="537"/>
      </w:r>
      <w:r w:rsidRPr="0072600F">
        <w:rPr>
          <w:sz w:val="26"/>
          <w:szCs w:val="26"/>
        </w:rPr>
        <w:t xml:space="preserve">  NYISO argues that study deadlines should be tailored to each region.</w:t>
      </w:r>
      <w:r>
        <w:rPr>
          <w:rStyle w:val="FootnoteReference"/>
        </w:rPr>
        <w:footnoteReference w:id="538"/>
      </w:r>
      <w:r w:rsidRPr="0072600F">
        <w:rPr>
          <w:sz w:val="26"/>
          <w:szCs w:val="26"/>
        </w:rPr>
        <w:t xml:space="preserve">  NYISO and PJM argue that a 150-day timeframe for the cluster study is not achievable in their regions in particular.</w:t>
      </w:r>
      <w:r>
        <w:rPr>
          <w:rStyle w:val="FootnoteReference"/>
        </w:rPr>
        <w:footnoteReference w:id="539"/>
      </w:r>
      <w:r w:rsidRPr="0072600F">
        <w:rPr>
          <w:sz w:val="26"/>
          <w:szCs w:val="26"/>
        </w:rPr>
        <w:t xml:space="preserve">  PacifiCorp asserts that the Commission should extend the 150-day cluster study and restudy deadlines by 45 days to provide transmission providers adequate time to address third-party delays.</w:t>
      </w:r>
      <w:r>
        <w:rPr>
          <w:rStyle w:val="FootnoteReference"/>
        </w:rPr>
        <w:footnoteReference w:id="540"/>
      </w:r>
      <w:r w:rsidRPr="0072600F">
        <w:rPr>
          <w:sz w:val="26"/>
          <w:szCs w:val="26"/>
        </w:rPr>
        <w:t xml:space="preserve">  </w:t>
      </w:r>
    </w:p>
    <w:p w:rsidR="00760048" w:rsidRPr="0072600F" w14:paraId="0BD31E42" w14:textId="77777777">
      <w:pPr>
        <w:pStyle w:val="FERCparanumber"/>
        <w:widowControl/>
        <w:numPr>
          <w:ilvl w:val="0"/>
          <w:numId w:val="25"/>
        </w:numPr>
        <w:autoSpaceDE/>
        <w:autoSpaceDN/>
        <w:adjustRightInd/>
        <w:spacing w:line="480" w:lineRule="auto"/>
        <w:rPr>
          <w:sz w:val="26"/>
          <w:szCs w:val="26"/>
        </w:rPr>
      </w:pPr>
      <w:r w:rsidRPr="0072600F">
        <w:rPr>
          <w:sz w:val="26"/>
          <w:szCs w:val="26"/>
        </w:rPr>
        <w:t>Avangrid</w:t>
      </w:r>
      <w:r w:rsidR="00572B86">
        <w:rPr>
          <w:sz w:val="26"/>
          <w:szCs w:val="26"/>
        </w:rPr>
        <w:t>, NYISO, and PJM</w:t>
      </w:r>
      <w:r w:rsidRPr="0072600F">
        <w:rPr>
          <w:sz w:val="26"/>
          <w:szCs w:val="26"/>
        </w:rPr>
        <w:t xml:space="preserve"> contend that the efficiency gains that can be expected from the other reforms set forth in Order No. 2023 will not render the deadlines imposed by that decision more achievable.</w:t>
      </w:r>
      <w:r>
        <w:rPr>
          <w:rStyle w:val="FootnoteReference"/>
        </w:rPr>
        <w:footnoteReference w:id="541"/>
      </w:r>
      <w:r w:rsidRPr="0072600F">
        <w:rPr>
          <w:sz w:val="26"/>
          <w:szCs w:val="26"/>
        </w:rPr>
        <w:t xml:space="preserve">  NYISO and PJM contend that the study entry requirements are not likely to materially deter participation in cluster studies, claiming that certain RTOs/ISOs—including NYISO—have already adopted similar requirements without a noticeable reduction in the number of study participants.</w:t>
      </w:r>
      <w:r>
        <w:rPr>
          <w:rStyle w:val="FootnoteReference"/>
        </w:rPr>
        <w:footnoteReference w:id="542"/>
      </w:r>
      <w:r w:rsidRPr="0072600F">
        <w:rPr>
          <w:sz w:val="26"/>
          <w:szCs w:val="26"/>
        </w:rPr>
        <w:t xml:space="preserve">  </w:t>
      </w:r>
    </w:p>
    <w:p w:rsidR="00760048" w:rsidRPr="0072600F" w14:paraId="3D3C9116"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MISO TOs, and NYISO also challenge the effectiveness of one of the safeguards that the Commission imposed: the ability to extend a study deadline for 30 days, upon agreement of all interconnection customers.</w:t>
      </w:r>
      <w:r>
        <w:rPr>
          <w:rStyle w:val="FootnoteReference"/>
        </w:rPr>
        <w:footnoteReference w:id="543"/>
      </w:r>
      <w:r w:rsidRPr="0072600F">
        <w:rPr>
          <w:sz w:val="26"/>
          <w:szCs w:val="26"/>
        </w:rPr>
        <w:t xml:space="preserve">  Dominion argues that there is no incentive for interconnection customers to agree to such an extension where they would otherwise be entitled to a share of the penalty assessed against a transmission provider.</w:t>
      </w:r>
      <w:r>
        <w:rPr>
          <w:rStyle w:val="FootnoteReference"/>
        </w:rPr>
        <w:footnoteReference w:id="544"/>
      </w:r>
      <w:r w:rsidRPr="0072600F">
        <w:rPr>
          <w:sz w:val="26"/>
          <w:szCs w:val="26"/>
        </w:rPr>
        <w:t xml:space="preserve">  MISO TOs note that obtaining this relief requires unanimity among all interconnection customers.</w:t>
      </w:r>
      <w:r>
        <w:rPr>
          <w:rStyle w:val="FootnoteReference"/>
        </w:rPr>
        <w:footnoteReference w:id="545"/>
      </w:r>
      <w:r w:rsidRPr="0072600F">
        <w:rPr>
          <w:sz w:val="26"/>
          <w:szCs w:val="26"/>
        </w:rPr>
        <w:t xml:space="preserve">  </w:t>
      </w:r>
    </w:p>
    <w:p w:rsidR="00760048" w:rsidRPr="0072600F" w14:paraId="5796BAEE" w14:textId="77777777">
      <w:pPr>
        <w:pStyle w:val="Heading6"/>
        <w:numPr>
          <w:ilvl w:val="5"/>
          <w:numId w:val="24"/>
        </w:numPr>
        <w:autoSpaceDE/>
        <w:autoSpaceDN/>
        <w:adjustRightInd/>
        <w:rPr>
          <w:szCs w:val="26"/>
        </w:rPr>
      </w:pPr>
      <w:r w:rsidRPr="0072600F">
        <w:rPr>
          <w:szCs w:val="26"/>
        </w:rPr>
        <w:t>Determination</w:t>
      </w:r>
    </w:p>
    <w:p w:rsidR="00760048" w:rsidRPr="0072600F" w14:paraId="4C8E104E" w14:textId="77777777">
      <w:pPr>
        <w:pStyle w:val="FERCparanumber"/>
        <w:widowControl/>
        <w:numPr>
          <w:ilvl w:val="0"/>
          <w:numId w:val="25"/>
        </w:numPr>
        <w:autoSpaceDE/>
        <w:autoSpaceDN/>
        <w:adjustRightInd/>
        <w:spacing w:line="480" w:lineRule="auto"/>
        <w:rPr>
          <w:rStyle w:val="FootnoteReference"/>
          <w:color w:val="000000" w:themeColor="text1"/>
        </w:rPr>
      </w:pPr>
      <w:r w:rsidRPr="0072600F">
        <w:rPr>
          <w:sz w:val="26"/>
          <w:szCs w:val="26"/>
        </w:rPr>
        <w:t xml:space="preserve">We are not persuaded by the rehearing requests challenging the study deadlines set forth in Order No. 2023.  The timelines set forth in Order No. 2023 are reforms to the Commission’s </w:t>
      </w:r>
      <w:r w:rsidRPr="0072600F">
        <w:rPr>
          <w:i/>
          <w:sz w:val="26"/>
          <w:szCs w:val="26"/>
        </w:rPr>
        <w:t>pro forma</w:t>
      </w:r>
      <w:r w:rsidRPr="0072600F">
        <w:rPr>
          <w:sz w:val="26"/>
          <w:szCs w:val="26"/>
        </w:rPr>
        <w:t xml:space="preserve"> LGIP, against which individual compliance filings will be assessed.</w:t>
      </w:r>
      <w:r>
        <w:rPr>
          <w:rStyle w:val="FootnoteReference"/>
        </w:rPr>
        <w:footnoteReference w:id="546"/>
      </w:r>
      <w:r w:rsidRPr="0072600F">
        <w:rPr>
          <w:sz w:val="26"/>
          <w:szCs w:val="26"/>
        </w:rPr>
        <w:t xml:space="preserve">  In Order No. 2023, the Commission declined to “adopt suggestions to allow transmission providers flexibility to set their own study deadlines,” instead imposing standard deadlines for the specific study processes set forth in the </w:t>
      </w:r>
      <w:r w:rsidRPr="0072600F">
        <w:rPr>
          <w:i/>
          <w:sz w:val="26"/>
          <w:szCs w:val="26"/>
        </w:rPr>
        <w:t xml:space="preserve">pro forma </w:t>
      </w:r>
      <w:r w:rsidRPr="0072600F">
        <w:rPr>
          <w:sz w:val="26"/>
          <w:szCs w:val="26"/>
        </w:rPr>
        <w:t>LGIP.</w:t>
      </w:r>
      <w:r>
        <w:rPr>
          <w:rStyle w:val="FootnoteReference"/>
        </w:rPr>
        <w:footnoteReference w:id="547"/>
      </w:r>
      <w:r w:rsidRPr="0072600F">
        <w:rPr>
          <w:sz w:val="26"/>
          <w:szCs w:val="26"/>
        </w:rPr>
        <w:t xml:space="preserve">  As explained below, we continue to find that the deadlines set in Order No. 2023 for the </w:t>
      </w:r>
      <w:r w:rsidRPr="0072600F">
        <w:rPr>
          <w:i/>
          <w:iCs/>
          <w:sz w:val="26"/>
          <w:szCs w:val="26"/>
        </w:rPr>
        <w:t>pro forma</w:t>
      </w:r>
      <w:r w:rsidRPr="0072600F">
        <w:rPr>
          <w:sz w:val="26"/>
          <w:szCs w:val="26"/>
        </w:rPr>
        <w:t xml:space="preserve"> study process are just and reasonable and represent a reasonable policy determination that appropriately balances multiple competing considerations.</w:t>
      </w:r>
      <w:r>
        <w:rPr>
          <w:rStyle w:val="FootnoteReference"/>
        </w:rPr>
        <w:footnoteReference w:id="548"/>
      </w:r>
      <w:r w:rsidRPr="0072600F">
        <w:rPr>
          <w:sz w:val="26"/>
          <w:szCs w:val="26"/>
        </w:rPr>
        <w:t xml:space="preserve">  </w:t>
      </w:r>
    </w:p>
    <w:p w:rsidR="00760048" w:rsidRPr="0072600F" w14:paraId="011463FF" w14:textId="77777777">
      <w:pPr>
        <w:pStyle w:val="FERCparanumber"/>
        <w:widowControl/>
        <w:numPr>
          <w:ilvl w:val="0"/>
          <w:numId w:val="25"/>
        </w:numPr>
        <w:autoSpaceDE/>
        <w:autoSpaceDN/>
        <w:adjustRightInd/>
        <w:spacing w:line="480" w:lineRule="auto"/>
        <w:rPr>
          <w:b/>
          <w:sz w:val="26"/>
          <w:szCs w:val="26"/>
        </w:rPr>
      </w:pPr>
      <w:r w:rsidRPr="0072600F">
        <w:rPr>
          <w:sz w:val="26"/>
          <w:szCs w:val="26"/>
        </w:rPr>
        <w:t xml:space="preserve">We continue to conclude that the timeframes in Order No. 2023 for the completion of studies, including the 150-day timeframe for the completion of cluster studies, are just and reasonable for the </w:t>
      </w:r>
      <w:r w:rsidRPr="0072600F">
        <w:rPr>
          <w:i/>
          <w:sz w:val="26"/>
          <w:szCs w:val="26"/>
        </w:rPr>
        <w:t>pro forma</w:t>
      </w:r>
      <w:r w:rsidRPr="0072600F">
        <w:rPr>
          <w:sz w:val="26"/>
          <w:szCs w:val="26"/>
        </w:rPr>
        <w:t xml:space="preserve"> study approach set forth in Order No. 2023.</w:t>
      </w:r>
      <w:r>
        <w:rPr>
          <w:rStyle w:val="FootnoteReference"/>
        </w:rPr>
        <w:footnoteReference w:id="549"/>
      </w:r>
      <w:r w:rsidRPr="0072600F">
        <w:rPr>
          <w:sz w:val="26"/>
          <w:szCs w:val="26"/>
        </w:rPr>
        <w:t xml:space="preserve">  The underlying reason for the reforms in Order No. 2023, including the deadlines imposed on transmission providers to conduct studies, is that interconnection queue backlogs are causing unjust and unreasonable rates and that these backlogs must, therefore, be remedied pursuant to our statutory mandate.</w:t>
      </w:r>
      <w:r>
        <w:rPr>
          <w:rStyle w:val="FootnoteReference"/>
        </w:rPr>
        <w:footnoteReference w:id="550"/>
      </w:r>
      <w:r w:rsidRPr="0072600F">
        <w:rPr>
          <w:sz w:val="26"/>
          <w:szCs w:val="26"/>
        </w:rPr>
        <w:t xml:space="preserve">  We find that the timelines set forth in Order No. 2023 appropriately address transmission providers’ role and control in the interconnection study process and strike a reasonable balance between the transmission provider and other interests, such as those of interconnection customers, in addressing such unjust and unreasonable rates.  As explained in greater detail below, we further find that these timelines are reasonably achievable to accomplish the </w:t>
      </w:r>
      <w:r w:rsidRPr="0072600F">
        <w:rPr>
          <w:i/>
          <w:sz w:val="26"/>
          <w:szCs w:val="26"/>
        </w:rPr>
        <w:t xml:space="preserve">pro forma </w:t>
      </w:r>
      <w:r w:rsidRPr="0072600F">
        <w:rPr>
          <w:sz w:val="26"/>
          <w:szCs w:val="26"/>
        </w:rPr>
        <w:t xml:space="preserve">study processes set forth in Order No. 2023.  We therefore disagree that these timelines are too short or inappropriately uniform.  </w:t>
      </w:r>
    </w:p>
    <w:p w:rsidR="00760048" w:rsidRPr="0072600F" w14:paraId="064CD11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As the Commission explained in Order No. 2023, “[t]he </w:t>
      </w:r>
      <w:r w:rsidRPr="0072600F">
        <w:rPr>
          <w:i/>
          <w:sz w:val="26"/>
          <w:szCs w:val="26"/>
        </w:rPr>
        <w:t>pro forma</w:t>
      </w:r>
      <w:r w:rsidRPr="0072600F">
        <w:rPr>
          <w:sz w:val="26"/>
          <w:szCs w:val="26"/>
        </w:rPr>
        <w:t xml:space="preserve"> LGIP [set forth in Order No. 2003] requires that transmission providers use reasonable efforts to complete:  (1) feasibility studies within 45 calendar days; (2) system impact studies within 90 calendar days; and (3) facilities studies within 90 or 180 calendar days.”</w:t>
      </w:r>
      <w:r>
        <w:rPr>
          <w:rStyle w:val="FootnoteReference"/>
        </w:rPr>
        <w:footnoteReference w:id="551"/>
      </w:r>
      <w:r w:rsidRPr="0072600F">
        <w:rPr>
          <w:sz w:val="26"/>
          <w:szCs w:val="26"/>
        </w:rPr>
        <w:t xml:space="preserve">  Under the Commission’s </w:t>
      </w:r>
      <w:r w:rsidRPr="0072600F">
        <w:rPr>
          <w:i/>
          <w:iCs/>
          <w:sz w:val="26"/>
          <w:szCs w:val="26"/>
        </w:rPr>
        <w:t xml:space="preserve">pro forma </w:t>
      </w:r>
      <w:r w:rsidRPr="0072600F">
        <w:rPr>
          <w:sz w:val="26"/>
          <w:szCs w:val="26"/>
        </w:rPr>
        <w:t>LGIP set forth in Order No. 2003, the interconnection study process for large generating facilities was a “serial first-come, first-served study process by which transmission providers study interconnection requests individually in the order the transmission provider received them.”</w:t>
      </w:r>
      <w:r>
        <w:rPr>
          <w:rStyle w:val="FootnoteReference"/>
        </w:rPr>
        <w:footnoteReference w:id="552"/>
      </w:r>
      <w:r w:rsidRPr="0072600F">
        <w:rPr>
          <w:sz w:val="26"/>
          <w:szCs w:val="26"/>
        </w:rPr>
        <w:t xml:space="preserve">  Under this process, the transmission provider had 135 total days to conduct both the feasibility study and system impact study for each interconnection request, with each study conducted separately.  </w:t>
      </w:r>
    </w:p>
    <w:p w:rsidR="00760048" w:rsidRPr="0072600F" w14:paraId="4BFDC2E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Order No. 2023 eliminated the requirement to conduct a separate feasibility study under section 6 of the </w:t>
      </w:r>
      <w:r w:rsidRPr="0072600F">
        <w:rPr>
          <w:i/>
          <w:iCs/>
          <w:sz w:val="26"/>
          <w:szCs w:val="26"/>
        </w:rPr>
        <w:t xml:space="preserve">pro forma </w:t>
      </w:r>
      <w:r w:rsidRPr="0072600F">
        <w:rPr>
          <w:sz w:val="26"/>
          <w:szCs w:val="26"/>
        </w:rPr>
        <w:t>LGIP,</w:t>
      </w:r>
      <w:r>
        <w:rPr>
          <w:rStyle w:val="FootnoteReference"/>
        </w:rPr>
        <w:footnoteReference w:id="553"/>
      </w:r>
      <w:r w:rsidRPr="0072600F">
        <w:rPr>
          <w:sz w:val="26"/>
          <w:szCs w:val="26"/>
        </w:rPr>
        <w:t xml:space="preserve"> and provides a modestly longer timeframe </w:t>
      </w:r>
      <w:r w:rsidR="00D60835">
        <w:rPr>
          <w:sz w:val="26"/>
          <w:szCs w:val="26"/>
        </w:rPr>
        <w:t xml:space="preserve">  </w:t>
      </w:r>
      <w:r w:rsidRPr="0072600F">
        <w:rPr>
          <w:sz w:val="26"/>
          <w:szCs w:val="26"/>
        </w:rPr>
        <w:t>(150 days) to conduct the cluster study and another 150 days to conduct any necessary restudy.</w:t>
      </w:r>
      <w:r w:rsidR="00D60835">
        <w:rPr>
          <w:color w:val="000000" w:themeColor="text1"/>
        </w:rPr>
        <w:t xml:space="preserve">  </w:t>
      </w:r>
      <w:r w:rsidRPr="0072600F">
        <w:rPr>
          <w:sz w:val="26"/>
          <w:szCs w:val="26"/>
        </w:rPr>
        <w:t xml:space="preserve">The 150-day period to conduct the cluster study runs from the conclusion of a new </w:t>
      </w:r>
      <w:r w:rsidR="00CC2FED">
        <w:rPr>
          <w:sz w:val="26"/>
          <w:szCs w:val="26"/>
        </w:rPr>
        <w:t>60</w:t>
      </w:r>
      <w:r w:rsidRPr="0072600F">
        <w:rPr>
          <w:sz w:val="26"/>
          <w:szCs w:val="26"/>
        </w:rPr>
        <w:t xml:space="preserve">-day </w:t>
      </w:r>
      <w:r w:rsidR="00812248">
        <w:rPr>
          <w:sz w:val="26"/>
          <w:szCs w:val="26"/>
        </w:rPr>
        <w:t>c</w:t>
      </w:r>
      <w:r w:rsidRPr="0072600F">
        <w:rPr>
          <w:sz w:val="26"/>
          <w:szCs w:val="26"/>
        </w:rPr>
        <w:t xml:space="preserve">ustomer </w:t>
      </w:r>
      <w:r w:rsidR="00812248">
        <w:rPr>
          <w:sz w:val="26"/>
          <w:szCs w:val="26"/>
        </w:rPr>
        <w:t>e</w:t>
      </w:r>
      <w:r w:rsidRPr="0072600F">
        <w:rPr>
          <w:sz w:val="26"/>
          <w:szCs w:val="26"/>
        </w:rPr>
        <w:t xml:space="preserve">ngagement </w:t>
      </w:r>
      <w:r w:rsidR="00812248">
        <w:rPr>
          <w:sz w:val="26"/>
          <w:szCs w:val="26"/>
        </w:rPr>
        <w:t>w</w:t>
      </w:r>
      <w:r w:rsidRPr="0072600F">
        <w:rPr>
          <w:sz w:val="26"/>
          <w:szCs w:val="26"/>
        </w:rPr>
        <w:t>indow, during which time the transmission provider can begin to coordinate with customers that have submitted interconnection requests that will be included in a particular study and ensure that the provider is considering only valid interconnection requests.</w:t>
      </w:r>
      <w:r>
        <w:rPr>
          <w:rStyle w:val="FootnoteReference"/>
        </w:rPr>
        <w:footnoteReference w:id="554"/>
      </w:r>
      <w:r w:rsidRPr="0072600F">
        <w:rPr>
          <w:sz w:val="26"/>
          <w:szCs w:val="26"/>
        </w:rPr>
        <w:t xml:space="preserve">  </w:t>
      </w:r>
    </w:p>
    <w:p w:rsidR="00760048" w:rsidRPr="0072600F" w14:paraId="612A3C89" w14:textId="77777777">
      <w:pPr>
        <w:pStyle w:val="FERCparanumber"/>
        <w:widowControl/>
        <w:numPr>
          <w:ilvl w:val="0"/>
          <w:numId w:val="25"/>
        </w:numPr>
        <w:autoSpaceDE/>
        <w:autoSpaceDN/>
        <w:adjustRightInd/>
        <w:spacing w:line="480" w:lineRule="auto"/>
        <w:rPr>
          <w:sz w:val="26"/>
          <w:szCs w:val="26"/>
        </w:rPr>
      </w:pPr>
      <w:bookmarkStart w:id="57" w:name="_Ref160109842"/>
      <w:r w:rsidRPr="0072600F">
        <w:rPr>
          <w:sz w:val="26"/>
          <w:szCs w:val="26"/>
        </w:rPr>
        <w:t>We acknowledge that conducting a cluster study of many interconnection requests may involve increased complexity or require an increased commitment of resources in a given study timeframe as compared to conducting a single, individual study of a particular interconnection request under the serial process.</w:t>
      </w:r>
      <w:r>
        <w:rPr>
          <w:rStyle w:val="FootnoteReference"/>
        </w:rPr>
        <w:footnoteReference w:id="555"/>
      </w:r>
      <w:r w:rsidRPr="0072600F">
        <w:rPr>
          <w:sz w:val="26"/>
          <w:szCs w:val="26"/>
        </w:rPr>
        <w:t xml:space="preserve">  However, arguments to this effect do not take into account the full package of reforms aimed at improving efficiency of the study process, supporting our determination that the 150-day cluster study and cluster restudy deadlines reflect a reasonable balance of competing interests.</w:t>
      </w:r>
      <w:bookmarkEnd w:id="57"/>
      <w:r w:rsidRPr="0072600F">
        <w:rPr>
          <w:sz w:val="26"/>
          <w:szCs w:val="26"/>
        </w:rPr>
        <w:t xml:space="preserve">  </w:t>
      </w:r>
    </w:p>
    <w:p w:rsidR="00760048" w:rsidRPr="0072600F" w14:paraId="2C614BF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Indeed, various reforms in Order No. 2023 are directed toward ensuring that transmission providers can conduct their interconnection studies more efficiently under the cluster study process than the </w:t>
      </w:r>
      <w:r w:rsidRPr="0072600F">
        <w:rPr>
          <w:i/>
          <w:sz w:val="26"/>
          <w:szCs w:val="26"/>
        </w:rPr>
        <w:t>pro forma</w:t>
      </w:r>
      <w:r w:rsidRPr="0072600F">
        <w:rPr>
          <w:sz w:val="26"/>
          <w:szCs w:val="26"/>
        </w:rPr>
        <w:t xml:space="preserve"> study approach previously applicable under Order No. 2003.</w:t>
      </w:r>
      <w:r>
        <w:rPr>
          <w:rStyle w:val="FootnoteReference"/>
        </w:rPr>
        <w:footnoteReference w:id="556"/>
      </w:r>
      <w:r w:rsidRPr="0072600F">
        <w:rPr>
          <w:sz w:val="26"/>
          <w:szCs w:val="26"/>
        </w:rPr>
        <w:t xml:space="preserve">  For instance, the Commission found that the cluster study “process will increase efficiency because transmission providers can perform larger interconnection studies encompassing many proposed generating facilities, rather than separate studies for each individual interconnection customer.”</w:t>
      </w:r>
      <w:r>
        <w:rPr>
          <w:rStyle w:val="FootnoteReference"/>
        </w:rPr>
        <w:footnoteReference w:id="557"/>
      </w:r>
      <w:r w:rsidRPr="0072600F">
        <w:rPr>
          <w:sz w:val="26"/>
          <w:szCs w:val="26"/>
        </w:rPr>
        <w:t xml:space="preserve">  Under this approach, transmission providers will be able to focus their resources on a single study, rather than conducting multiple individual studies.</w:t>
      </w:r>
      <w:r>
        <w:rPr>
          <w:rStyle w:val="FootnoteReference"/>
        </w:rPr>
        <w:footnoteReference w:id="558"/>
      </w:r>
      <w:r w:rsidRPr="0072600F">
        <w:rPr>
          <w:sz w:val="26"/>
          <w:szCs w:val="26"/>
        </w:rPr>
        <w:t xml:space="preserve">  For that reason, even if cluster studies prove more complex, that point does not undercut the Commission’s conclusion that they can be performed in the time allotted in the </w:t>
      </w:r>
      <w:r w:rsidRPr="0072600F">
        <w:rPr>
          <w:i/>
          <w:iCs/>
          <w:sz w:val="26"/>
          <w:szCs w:val="26"/>
        </w:rPr>
        <w:t>pro forma</w:t>
      </w:r>
      <w:r w:rsidRPr="0072600F">
        <w:rPr>
          <w:sz w:val="26"/>
          <w:szCs w:val="26"/>
        </w:rPr>
        <w:t xml:space="preserve"> LGIP.  The Commission also explained that a cluster study process is likely to result in fewer interconnection customer withdrawals—which can result in cascading restudies, delays, and wasted resources which could otherwise be used productively—because “conducting a single cluster study and cluster restudy will minimize delays that arise from proposed generating facility interdependencies under the existing serial study process.”</w:t>
      </w:r>
      <w:r>
        <w:rPr>
          <w:rStyle w:val="FootnoteReference"/>
        </w:rPr>
        <w:footnoteReference w:id="559"/>
      </w:r>
      <w:r w:rsidRPr="0072600F">
        <w:rPr>
          <w:sz w:val="26"/>
          <w:szCs w:val="26"/>
        </w:rPr>
        <w:t xml:space="preserve">  The Commission also adopted further measures to increase efficiency, including to “disincentivize interconnection customers from submitting interconnection requests for speculative generating facilities and ensure that ready, more viable proposed generating facilities can proceed through the study process.”</w:t>
      </w:r>
      <w:r>
        <w:rPr>
          <w:rStyle w:val="FootnoteReference"/>
        </w:rPr>
        <w:footnoteReference w:id="560"/>
      </w:r>
      <w:r w:rsidRPr="0072600F">
        <w:rPr>
          <w:sz w:val="26"/>
          <w:szCs w:val="26"/>
        </w:rPr>
        <w:t xml:space="preserve">  </w:t>
      </w:r>
    </w:p>
    <w:p w:rsidR="00760048" w:rsidRPr="0072600F" w14:paraId="2BABB6F8" w14:textId="77777777">
      <w:pPr>
        <w:pStyle w:val="FERCparanumber"/>
        <w:widowControl/>
        <w:numPr>
          <w:ilvl w:val="0"/>
          <w:numId w:val="25"/>
        </w:numPr>
        <w:autoSpaceDE/>
        <w:autoSpaceDN/>
        <w:adjustRightInd/>
        <w:spacing w:line="480" w:lineRule="auto"/>
        <w:rPr>
          <w:sz w:val="26"/>
          <w:szCs w:val="26"/>
        </w:rPr>
      </w:pPr>
      <w:bookmarkStart w:id="58" w:name="_Ref160109844"/>
      <w:r w:rsidRPr="0072600F">
        <w:rPr>
          <w:sz w:val="26"/>
          <w:szCs w:val="26"/>
        </w:rPr>
        <w:t xml:space="preserve">Thus, for the </w:t>
      </w:r>
      <w:r w:rsidRPr="0072600F">
        <w:rPr>
          <w:i/>
          <w:sz w:val="26"/>
          <w:szCs w:val="26"/>
        </w:rPr>
        <w:t xml:space="preserve">pro forma </w:t>
      </w:r>
      <w:r w:rsidRPr="0072600F">
        <w:rPr>
          <w:iCs/>
          <w:sz w:val="26"/>
          <w:szCs w:val="26"/>
        </w:rPr>
        <w:t xml:space="preserve">LGIP </w:t>
      </w:r>
      <w:r w:rsidRPr="0072600F">
        <w:rPr>
          <w:sz w:val="26"/>
          <w:szCs w:val="26"/>
        </w:rPr>
        <w:t>approach set forth in Order No. 2023, we conclude that conducting cluster studies and restudies should not, in terms of the total transmission provider resources required, be materially more burdensome than conducting serial studies and expect that the process should, in fact, be more efficient.  We acknowledge that conducting a cluster study in 150 days may require a more concerted deployment of transmission provider resources than conducting serial studies, because cluster studies typically involve the evaluation of multiple interconnection requests, rather than allowing a full 135 days to separately evaluate each interconnection request.  However, even absent the efficiency gains the adopted in Order No. 2023, the record here does not reflect that conducting a cluster study will be, in aggregate, more burdensome, let alone significantly more burdensome, than conducting a study of each interconnection request on an individualized basis.  Moreover, balancing this concern regarding the burdens associated with cluster studies against interconnection customers’ need for timely processing of their requests, interconnection queue backlogs, and the unjust and unreasonable rates resulting from such backlogs, we conclude that this is a necessary reform in order to improve the timeliness of interconnection study processing and should be within transmission providers’ capabilities.</w:t>
      </w:r>
      <w:r>
        <w:rPr>
          <w:rStyle w:val="FootnoteReference"/>
        </w:rPr>
        <w:footnoteReference w:id="561"/>
      </w:r>
      <w:bookmarkEnd w:id="58"/>
      <w:r w:rsidRPr="0072600F">
        <w:rPr>
          <w:sz w:val="26"/>
          <w:szCs w:val="26"/>
        </w:rPr>
        <w:t xml:space="preserve">   </w:t>
      </w:r>
    </w:p>
    <w:p w:rsidR="00760048" w:rsidRPr="0072600F" w14:paraId="75970E13" w14:textId="77777777">
      <w:pPr>
        <w:pStyle w:val="FERCparanumber"/>
        <w:widowControl/>
        <w:numPr>
          <w:ilvl w:val="0"/>
          <w:numId w:val="25"/>
        </w:numPr>
        <w:autoSpaceDE/>
        <w:autoSpaceDN/>
        <w:adjustRightInd/>
        <w:spacing w:line="480" w:lineRule="auto"/>
        <w:rPr>
          <w:sz w:val="26"/>
          <w:szCs w:val="26"/>
        </w:rPr>
      </w:pPr>
      <w:r w:rsidRPr="0072600F">
        <w:rPr>
          <w:sz w:val="26"/>
          <w:szCs w:val="26"/>
        </w:rPr>
        <w:t>Data reported as required by Order No. 845 by the non-RTO/ISO transmission providers that conducted cluster studies in 2022 also supports our conclusion that the deadlines for conducting cluster studies, restudies, and facilities studies are just and reasonable.</w:t>
      </w:r>
      <w:r>
        <w:rPr>
          <w:rStyle w:val="FootnoteReference"/>
        </w:rPr>
        <w:footnoteReference w:id="562"/>
      </w:r>
      <w:r w:rsidRPr="0072600F">
        <w:rPr>
          <w:sz w:val="26"/>
          <w:szCs w:val="26"/>
        </w:rPr>
        <w:t xml:space="preserve">  While the approaches of each transmission provider to conducting cluster studies vary and no transmission provider represented in this data employs precisely the </w:t>
      </w:r>
      <w:r w:rsidRPr="0072600F">
        <w:rPr>
          <w:i/>
          <w:sz w:val="26"/>
          <w:szCs w:val="26"/>
        </w:rPr>
        <w:t>pro forma</w:t>
      </w:r>
      <w:r w:rsidRPr="0072600F">
        <w:rPr>
          <w:sz w:val="26"/>
          <w:szCs w:val="26"/>
        </w:rPr>
        <w:t xml:space="preserve"> study approach set forth in Order No. 2023, we find that this data provides a valid basis of comparison to assess the deadlines set in Order No. 2023.  In general, this represents the most recent data set available at the time the record closed and these transmission providers’ approach to cluster studies reflect some of the key substantive reforms required in Order No. 2023.</w:t>
      </w:r>
      <w:r>
        <w:rPr>
          <w:rStyle w:val="FootnoteReference"/>
        </w:rPr>
        <w:footnoteReference w:id="563"/>
      </w:r>
      <w:r w:rsidRPr="0072600F">
        <w:rPr>
          <w:sz w:val="26"/>
          <w:szCs w:val="26"/>
        </w:rPr>
        <w:t xml:space="preserve">  </w:t>
      </w:r>
    </w:p>
    <w:p w:rsidR="00760048" w:rsidRPr="0072600F" w14:paraId="3F03E1C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data reflects that five (of eight) such transmission providers were able, applying a cluster study approach, to complete system impact studies in an average of fewer than 150 days.  In several cases, they did so for clusters containing significant numbers of interconnection requests.  Thus, the experience of these transmission providers supports that it is reasonably feasible to complete cluster studies in the timeframe specified by Order No. 2023.  Particularly given the other reforms provided in Order No. 2023 to increase the efficiency of this process, the ability of transmission providers to increase efficiency and devote more resources to this process, and the need to ensure timely processing of interconnection studies in order to ensure just and reasonable rates, this data supports our conclusion that the deadlines set by Order No. 2023 to complete such studies are just and reasonable. </w:t>
      </w:r>
    </w:p>
    <w:p w:rsidR="00760048" w:rsidRPr="0072600F" w14:paraId="12F90794" w14:textId="77777777">
      <w:pPr>
        <w:pStyle w:val="FERCparanumber"/>
        <w:widowControl/>
        <w:numPr>
          <w:ilvl w:val="0"/>
          <w:numId w:val="25"/>
        </w:numPr>
        <w:autoSpaceDE/>
        <w:autoSpaceDN/>
        <w:adjustRightInd/>
        <w:spacing w:line="480" w:lineRule="auto"/>
        <w:rPr>
          <w:sz w:val="26"/>
          <w:szCs w:val="26"/>
        </w:rPr>
      </w:pPr>
      <w:r w:rsidRPr="0072600F">
        <w:rPr>
          <w:sz w:val="26"/>
          <w:szCs w:val="26"/>
        </w:rPr>
        <w:t>We acknowledge that three of the transmission providers represented in this data exceeded this timeframe, in some cases by a substantial amount.  This, however, does not rebut the evidence from other transmission providers that these deadlines are reasonably achievable.  Moreover, that these transmission providers did not complete their studies in fewer than 150 days, operating under a regime governed by the reasonable efforts standard and the ability to self-extend such deadlines, does not demonstrate that they could not have done so if appropriately incentivized to meet these performance standards, as under the deadline and penalty structure adopted in Order No. 2023.</w:t>
      </w:r>
      <w:r>
        <w:rPr>
          <w:rStyle w:val="FootnoteReference"/>
        </w:rPr>
        <w:footnoteReference w:id="564"/>
      </w:r>
      <w:r w:rsidRPr="0072600F">
        <w:rPr>
          <w:sz w:val="26"/>
          <w:szCs w:val="26"/>
        </w:rPr>
        <w:t xml:space="preserve">  </w:t>
      </w:r>
    </w:p>
    <w:p w:rsidR="00760048" w:rsidRPr="0072600F" w14:paraId="76A4776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find that the safeguards provided in Order No. 2023 help ensure that the balance struck by Order No. 2023 in setting the timeframes for the </w:t>
      </w:r>
      <w:r w:rsidRPr="0072600F">
        <w:rPr>
          <w:i/>
          <w:sz w:val="26"/>
          <w:szCs w:val="26"/>
        </w:rPr>
        <w:t>pro forma</w:t>
      </w:r>
      <w:r w:rsidRPr="0072600F">
        <w:rPr>
          <w:sz w:val="26"/>
          <w:szCs w:val="26"/>
        </w:rPr>
        <w:t xml:space="preserve"> interconnection study process is reasonable because transmission providers will not unduly incur penalties for failing to meet these timeframes.  Two of those safeguards, namely the ten-business day grace period and the potential availability of a 30-day extension upon agreement of the interconnection customers in the cluster study,</w:t>
      </w:r>
      <w:r>
        <w:rPr>
          <w:rStyle w:val="FootnoteReference"/>
        </w:rPr>
        <w:footnoteReference w:id="565"/>
      </w:r>
      <w:r w:rsidRPr="0072600F">
        <w:rPr>
          <w:sz w:val="26"/>
          <w:szCs w:val="26"/>
        </w:rPr>
        <w:t xml:space="preserve"> help accommodate the possible need for extensions to study deadlines.  The significant transition period that the Commission afforded before study delay penalties might be assessed allows transmission providers “time to adapt to the new processes” and “will help ensure that transmission providers’ implementation of this final rule has begun to reduce backlogged interconnection queues.”</w:t>
      </w:r>
      <w:r>
        <w:rPr>
          <w:rStyle w:val="FootnoteReference"/>
        </w:rPr>
        <w:footnoteReference w:id="566"/>
      </w:r>
      <w:r w:rsidRPr="0072600F">
        <w:rPr>
          <w:sz w:val="26"/>
          <w:szCs w:val="26"/>
        </w:rPr>
        <w:t xml:space="preserve">  The appeals process allows transmission providers the opportunity to demonstrate that, under their individualized circumstances, they should receive relief from the application of penalties for failing to meet the deadlines set in Order No. 2023.</w:t>
      </w:r>
      <w:r>
        <w:rPr>
          <w:rStyle w:val="FootnoteReference"/>
        </w:rPr>
        <w:footnoteReference w:id="567"/>
      </w:r>
      <w:r w:rsidRPr="0072600F">
        <w:rPr>
          <w:sz w:val="26"/>
          <w:szCs w:val="26"/>
        </w:rPr>
        <w:t xml:space="preserve">  To the extent that transmission providers assert that factors allegedly outside of their control may render it difficult or infeasible to meet the interconnection study deadlines, this appeals process is the avenue to raise those considerations in particular cases and seek relief.</w:t>
      </w:r>
      <w:r>
        <w:rPr>
          <w:rStyle w:val="FootnoteReference"/>
        </w:rPr>
        <w:footnoteReference w:id="568"/>
      </w:r>
      <w:r w:rsidRPr="0072600F">
        <w:rPr>
          <w:sz w:val="26"/>
          <w:szCs w:val="26"/>
        </w:rPr>
        <w:t xml:space="preserve">  Moreover, as addressed above, where transmission providers conclude that the 150-day deadline for the </w:t>
      </w:r>
      <w:r w:rsidRPr="0072600F">
        <w:rPr>
          <w:i/>
          <w:sz w:val="26"/>
          <w:szCs w:val="26"/>
        </w:rPr>
        <w:t xml:space="preserve">pro forma </w:t>
      </w:r>
      <w:r w:rsidRPr="0072600F">
        <w:rPr>
          <w:iCs/>
          <w:sz w:val="26"/>
          <w:szCs w:val="26"/>
        </w:rPr>
        <w:t xml:space="preserve">study </w:t>
      </w:r>
      <w:r w:rsidRPr="0072600F">
        <w:rPr>
          <w:sz w:val="26"/>
          <w:szCs w:val="26"/>
        </w:rPr>
        <w:t xml:space="preserve">process is not appropriate for their particular study processes, they can raise this issue in their compliance filings, under the appropriate standard.  Thus, we continue to conclude that the deadlines imposed by Order No. 2023 are reasonable as to the </w:t>
      </w:r>
      <w:r w:rsidRPr="0072600F">
        <w:rPr>
          <w:i/>
          <w:sz w:val="26"/>
          <w:szCs w:val="26"/>
        </w:rPr>
        <w:t>pro forma</w:t>
      </w:r>
      <w:r w:rsidRPr="0072600F">
        <w:rPr>
          <w:sz w:val="26"/>
          <w:szCs w:val="26"/>
        </w:rPr>
        <w:t xml:space="preserve"> LGIP approach to interconnection studies set forth therein.</w:t>
      </w:r>
    </w:p>
    <w:p w:rsidR="00760048" w:rsidRPr="0072600F" w14:paraId="1E85A4E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challenges on rehearing arguing that the timeframes set forth to conduct interconnection studies are too short or inappropriately uniform do </w:t>
      </w:r>
      <w:r w:rsidRPr="0072600F">
        <w:rPr>
          <w:sz w:val="26"/>
          <w:szCs w:val="26"/>
        </w:rPr>
        <w:t>not persuade</w:t>
      </w:r>
      <w:r w:rsidRPr="0072600F">
        <w:rPr>
          <w:sz w:val="26"/>
          <w:szCs w:val="26"/>
        </w:rPr>
        <w:t xml:space="preserve"> us that these deadlines are not reasonable for the timely completion of the </w:t>
      </w:r>
      <w:r w:rsidRPr="0072600F">
        <w:rPr>
          <w:i/>
          <w:sz w:val="26"/>
          <w:szCs w:val="26"/>
        </w:rPr>
        <w:t xml:space="preserve">pro forma </w:t>
      </w:r>
      <w:r w:rsidRPr="0072600F">
        <w:rPr>
          <w:sz w:val="26"/>
          <w:szCs w:val="26"/>
        </w:rPr>
        <w:t xml:space="preserve">study process.  We disagree with arguments that the Commission failed to adequately set forth its rationale for adopting these deadlines, and find that our reasons for adopting these deadlines have been adequately explained, including through our discussion herein.  Arguments that the deadlines are too short are largely conclusory, do not support a finding that the deadlines set for the </w:t>
      </w:r>
      <w:r w:rsidRPr="0072600F">
        <w:rPr>
          <w:i/>
          <w:sz w:val="26"/>
          <w:szCs w:val="26"/>
        </w:rPr>
        <w:t>pro forma</w:t>
      </w:r>
      <w:r w:rsidRPr="0072600F">
        <w:rPr>
          <w:sz w:val="26"/>
          <w:szCs w:val="26"/>
        </w:rPr>
        <w:t xml:space="preserve"> LGIP processes are not generally achievable as to those processes, and fail to establish that these deadlines—in light of the overall structure of Order No. 2023, including the relevant safeguards and ability to seek variations—reflect an unreasonable balance of the competing interests.  </w:t>
      </w:r>
    </w:p>
    <w:p w:rsidR="00760048" w:rsidRPr="0072600F" w14:paraId="0814F15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unpersuaded by arguments that uniform study deadlines are inappropriate.  First, these arguments disregard the mechanisms in Order No. 2023 to account for variability, including the safeguards attendant to the potential assessment of penalties and the ability to seek variations from the </w:t>
      </w:r>
      <w:r w:rsidRPr="0072600F">
        <w:rPr>
          <w:i/>
          <w:sz w:val="26"/>
          <w:szCs w:val="26"/>
        </w:rPr>
        <w:t>pro forma</w:t>
      </w:r>
      <w:r w:rsidRPr="0072600F">
        <w:rPr>
          <w:sz w:val="26"/>
          <w:szCs w:val="26"/>
        </w:rPr>
        <w:t xml:space="preserve"> LGIP in the compliance process.  Second, general assertions that some transmission providers may have higher workloads than others do not establish that the relevant deadlines will not, as a general matter, be sufficient to allow most transmission providers to conduct the relevant studies.  Third, to the extent that some transmission providers have higher workloads associated with interconnection requests than other providers, the deadlines in Order No. 2023 incentivize those transmission providers to devote resources commensurate with those workloads to the timely processing of the interconnection requests in their queue.  On that point, it bears repeating that the Commission has determined that the </w:t>
      </w:r>
      <w:r w:rsidRPr="0072600F">
        <w:rPr>
          <w:i/>
          <w:iCs/>
          <w:sz w:val="26"/>
          <w:szCs w:val="26"/>
        </w:rPr>
        <w:t xml:space="preserve">status quo </w:t>
      </w:r>
      <w:r w:rsidRPr="0072600F">
        <w:rPr>
          <w:sz w:val="26"/>
          <w:szCs w:val="26"/>
        </w:rPr>
        <w:t xml:space="preserve">is leading to unjust and unreasonable rates.  As such, while the reforms in Order No. 2023 may require transmission providers to reprioritize their allocation of resources, we find </w:t>
      </w:r>
      <w:r w:rsidR="007D388C">
        <w:rPr>
          <w:sz w:val="26"/>
          <w:szCs w:val="26"/>
        </w:rPr>
        <w:t xml:space="preserve">that </w:t>
      </w:r>
      <w:r w:rsidRPr="0072600F">
        <w:rPr>
          <w:sz w:val="26"/>
          <w:szCs w:val="26"/>
        </w:rPr>
        <w:t xml:space="preserve">such reallocation may be necessary to satisfy the statutory mandate.   </w:t>
      </w:r>
    </w:p>
    <w:p w:rsidR="00760048" w:rsidRPr="0072600F" w14:paraId="267B56E5"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arguments that the Commission ignored the uneven and unpredictable timing of interconnection requests, we conclude that Order No. 2023 adequately accounts for these considerations.  First, interconnection requests will be submitted during an annual cluster request window, which is a 45-calendar day period with the start date to be determined by each transmission provider</w:t>
      </w:r>
      <w:r w:rsidR="007D388C">
        <w:rPr>
          <w:sz w:val="26"/>
          <w:szCs w:val="26"/>
        </w:rPr>
        <w:t>:</w:t>
      </w:r>
      <w:r w:rsidR="00D60835">
        <w:rPr>
          <w:sz w:val="26"/>
          <w:szCs w:val="26"/>
        </w:rPr>
        <w:t xml:space="preserve"> </w:t>
      </w:r>
      <w:r w:rsidRPr="0072600F">
        <w:rPr>
          <w:sz w:val="26"/>
          <w:szCs w:val="26"/>
        </w:rPr>
        <w:t xml:space="preserve"> under this structure, the timing of interconnection requests will not be unpredictable.</w:t>
      </w:r>
      <w:r>
        <w:rPr>
          <w:rStyle w:val="FootnoteReference"/>
        </w:rPr>
        <w:footnoteReference w:id="569"/>
      </w:r>
      <w:r w:rsidRPr="0072600F">
        <w:rPr>
          <w:sz w:val="26"/>
          <w:szCs w:val="26"/>
        </w:rPr>
        <w:t xml:space="preserve">  Second, we acknowledge that the number of interconnection requests submitted in a given cluster request window is unpredictable and impacts the deployment of resources that may be required to complete that cluster of interconnection studies.</w:t>
      </w:r>
      <w:r>
        <w:rPr>
          <w:rStyle w:val="FootnoteReference"/>
        </w:rPr>
        <w:footnoteReference w:id="570"/>
      </w:r>
      <w:r w:rsidRPr="0072600F">
        <w:rPr>
          <w:sz w:val="26"/>
          <w:szCs w:val="26"/>
        </w:rPr>
        <w:t xml:space="preserve">  However, we continue to find that it is necessary for transmission providers to have explicit and firm deadlines prescribed by their tariffs to ensure customers are able to interconnect to the transmission system in a reliable, efficient, transparent, and timely manner.</w:t>
      </w:r>
      <w:r>
        <w:rPr>
          <w:rStyle w:val="FootnoteReference"/>
        </w:rPr>
        <w:footnoteReference w:id="571"/>
      </w:r>
      <w:r w:rsidRPr="0072600F">
        <w:rPr>
          <w:sz w:val="26"/>
          <w:szCs w:val="26"/>
        </w:rPr>
        <w:t xml:space="preserve">  These deadlines, subject to the safeguards articulated in Order No. 2023 (including the appeals process), represent a just and reasonable approach that balances the competing interests of transmission providers and other entities, and should be reasonably achievable for the </w:t>
      </w:r>
      <w:r w:rsidRPr="0072600F">
        <w:rPr>
          <w:i/>
          <w:iCs/>
          <w:sz w:val="26"/>
          <w:szCs w:val="26"/>
        </w:rPr>
        <w:t>pro forma</w:t>
      </w:r>
      <w:r w:rsidRPr="0072600F">
        <w:rPr>
          <w:sz w:val="26"/>
          <w:szCs w:val="26"/>
        </w:rPr>
        <w:t xml:space="preserve"> study approach adopted in Order No. 2023.  And as noted above, Order No. 2023 does not foreclose transmission providers from proposing different deadlines as part of their compliance filings and supporting such proposals using either the consistent with or superior to or independent entity variation standard, as appropriate.</w:t>
      </w:r>
      <w:r w:rsidRPr="0072600F">
        <w:rPr>
          <w:sz w:val="26"/>
          <w:szCs w:val="26"/>
        </w:rPr>
        <w:t xml:space="preserve"> </w:t>
      </w:r>
    </w:p>
    <w:p w:rsidR="00760048" w:rsidRPr="0072600F" w14:paraId="64C1632F"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specifically asserts that the 150-day deadline for completing cluster studies is not adequate to accommodate NYISO’s process.</w:t>
      </w:r>
      <w:r>
        <w:rPr>
          <w:rStyle w:val="FootnoteReference"/>
        </w:rPr>
        <w:footnoteReference w:id="572"/>
      </w:r>
      <w:r w:rsidRPr="0072600F">
        <w:rPr>
          <w:sz w:val="26"/>
          <w:szCs w:val="26"/>
        </w:rPr>
        <w:t xml:space="preserve">  In support, it introduces a new affidavit describing NYISO’s performance of interconnection studies, and the timing associated with the relevant tasks.</w:t>
      </w:r>
      <w:r>
        <w:rPr>
          <w:rStyle w:val="FootnoteReference"/>
        </w:rPr>
        <w:footnoteReference w:id="573"/>
      </w:r>
      <w:r w:rsidRPr="0072600F">
        <w:rPr>
          <w:sz w:val="26"/>
          <w:szCs w:val="26"/>
        </w:rPr>
        <w:t xml:space="preserve">  Acknowledging that the Commission does not typically consider new evidence on rehearing, NYISO asserts that the Nguyen Affidavit is not new evidence because it “provides clarifying details regarding publicly available information about the NYISO’s Commission-approved interconnection procedures that the NYISO has already described in this proceeding.”</w:t>
      </w:r>
      <w:r>
        <w:rPr>
          <w:rStyle w:val="FootnoteReference"/>
        </w:rPr>
        <w:footnoteReference w:id="574"/>
      </w:r>
      <w:r w:rsidRPr="0072600F">
        <w:rPr>
          <w:sz w:val="26"/>
          <w:szCs w:val="26"/>
        </w:rPr>
        <w:t xml:space="preserve">  It further claims that, even if the Nguyen Affidavit constitutes new evidence, the Commission should accept it to because NYISO could not have reasonably anticipated certain alleged factual misunderstandings regarding the interconnection study process, the potential benefits of interconnection studies, and the level of collaboration required to complete studies in New York in Order No. 2023.</w:t>
      </w:r>
      <w:r w:rsidRPr="0072600F">
        <w:rPr>
          <w:rStyle w:val="FootnoteReference"/>
          <w:color w:val="000000" w:themeColor="text1"/>
        </w:rPr>
        <w:t xml:space="preserve"> </w:t>
      </w:r>
    </w:p>
    <w:p w:rsidR="00760048" w:rsidRPr="0072600F" w14:paraId="6A06F3AA"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that the Nguyen Affidavit is properly before us.  To the extent that the Nguyen Affidavit contains material not otherwise present in the record, it is new evidence.  And NYISO has not shown that the evidence in this affidavit could not have been presented previously; this affidavit is not prompted by information that only recently became available or concerns driven by a material change in circumstance.</w:t>
      </w:r>
      <w:r>
        <w:rPr>
          <w:rStyle w:val="FootnoteReference"/>
        </w:rPr>
        <w:footnoteReference w:id="575"/>
      </w:r>
      <w:r w:rsidRPr="0072600F">
        <w:rPr>
          <w:sz w:val="26"/>
          <w:szCs w:val="26"/>
        </w:rPr>
        <w:t xml:space="preserve">  Indeed, NYISO’s argument that the Commission should consider this evidence is, essentially, that it believes the Commission erred</w:t>
      </w:r>
      <w:r>
        <w:rPr>
          <w:rStyle w:val="FootnoteReference"/>
        </w:rPr>
        <w:footnoteReference w:id="576"/>
      </w:r>
      <w:r w:rsidRPr="0072600F">
        <w:rPr>
          <w:sz w:val="26"/>
          <w:szCs w:val="26"/>
        </w:rPr>
        <w:t xml:space="preserve"> but—if so—NYISO’s proper recourse would be to demonstrate that purported error based on the existing record.  </w:t>
      </w:r>
    </w:p>
    <w:p w:rsidR="00760048" w:rsidRPr="0072600F" w14:paraId="27BEA8A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Regardless, we would not be persuaded by NYISO’s arguments even if we were to consider the Nguyen Affidavit in assessing them.  The question before the Commission in establishing the deadlines for the </w:t>
      </w:r>
      <w:r w:rsidRPr="0072600F">
        <w:rPr>
          <w:i/>
          <w:sz w:val="26"/>
          <w:szCs w:val="26"/>
        </w:rPr>
        <w:t>pro forma</w:t>
      </w:r>
      <w:r w:rsidRPr="0072600F">
        <w:rPr>
          <w:sz w:val="26"/>
          <w:szCs w:val="26"/>
        </w:rPr>
        <w:t xml:space="preserve"> study process set forth in Order No. 2023 is whether those deadlines are reasonable as applied to that process.  NYISO’s argument does not address this question.  Rather, NYISO’s position is that the 150-day timeframe is not sufficient for NYISO’s specific interconnection process, which it has adopted under the independent entity variation standard and which differs significantly from the process specified in Order No. 2023.</w:t>
      </w:r>
      <w:r>
        <w:rPr>
          <w:rStyle w:val="FootnoteReference"/>
        </w:rPr>
        <w:footnoteReference w:id="577"/>
      </w:r>
      <w:r w:rsidRPr="0072600F">
        <w:rPr>
          <w:sz w:val="26"/>
          <w:szCs w:val="26"/>
        </w:rPr>
        <w:t xml:space="preserve">  NYISO itself obliquely recognizes this point, asserting that “NYISO anticipates that it will seek an independent entity variation from this study timeframe to better align with the study scope it will propose for the unique interconnection issues in New York.”</w:t>
      </w:r>
      <w:r>
        <w:rPr>
          <w:rStyle w:val="FootnoteReference"/>
        </w:rPr>
        <w:footnoteReference w:id="578"/>
      </w:r>
      <w:r w:rsidRPr="0072600F">
        <w:rPr>
          <w:sz w:val="26"/>
          <w:szCs w:val="26"/>
        </w:rPr>
        <w:t xml:space="preserve">  As noted above, we will consider such arguments in individual transmission provider compliance proceedings.</w:t>
      </w:r>
    </w:p>
    <w:p w:rsidR="00760048" w:rsidRPr="0072600F" w14:paraId="585A18F0" w14:textId="77777777">
      <w:pPr>
        <w:pStyle w:val="FERCparanumber"/>
        <w:widowControl/>
        <w:numPr>
          <w:ilvl w:val="0"/>
          <w:numId w:val="25"/>
        </w:numPr>
        <w:autoSpaceDE/>
        <w:autoSpaceDN/>
        <w:adjustRightInd/>
        <w:spacing w:line="480" w:lineRule="auto"/>
        <w:rPr>
          <w:sz w:val="26"/>
          <w:szCs w:val="26"/>
        </w:rPr>
      </w:pPr>
      <w:r w:rsidRPr="0072600F">
        <w:rPr>
          <w:sz w:val="26"/>
          <w:szCs w:val="26"/>
        </w:rPr>
        <w:t>NYISO</w:t>
      </w:r>
      <w:r w:rsidRPr="0072600F">
        <w:rPr>
          <w:sz w:val="26"/>
          <w:szCs w:val="26"/>
        </w:rPr>
        <w:t xml:space="preserve"> </w:t>
      </w:r>
      <w:r w:rsidRPr="0072600F">
        <w:rPr>
          <w:sz w:val="26"/>
          <w:szCs w:val="26"/>
        </w:rPr>
        <w:t>more generally asserts that the efficiencies associated with a cluster study approach that the Commission identified in Order No. 2023 may be offset by increased volumes of interconnection requests that might participate in each cluster study.</w:t>
      </w:r>
      <w:r>
        <w:rPr>
          <w:rStyle w:val="FootnoteReference"/>
        </w:rPr>
        <w:footnoteReference w:id="579"/>
      </w:r>
      <w:r w:rsidRPr="0072600F">
        <w:rPr>
          <w:sz w:val="26"/>
          <w:szCs w:val="26"/>
        </w:rPr>
        <w:t xml:space="preserve">  NYISO further claims that additional financial requirements to enter the interconnection queue have not, in its experience, materially decreased the number of projects entering the queue.</w:t>
      </w:r>
      <w:r>
        <w:rPr>
          <w:rStyle w:val="FootnoteReference"/>
        </w:rPr>
        <w:footnoteReference w:id="580"/>
      </w:r>
      <w:r w:rsidRPr="0072600F">
        <w:rPr>
          <w:sz w:val="26"/>
          <w:szCs w:val="26"/>
        </w:rPr>
        <w:t xml:space="preserve">  Similarly, Avangrid claims that there is insufficient evidence that the easing of burdens on transmission providers, under Order No. 2023’s reforms, will be adequate to justify the deadlines imposed by Order No. 2023.</w:t>
      </w:r>
      <w:r>
        <w:rPr>
          <w:rStyle w:val="FootnoteReference"/>
        </w:rPr>
        <w:footnoteReference w:id="581"/>
      </w:r>
    </w:p>
    <w:p w:rsidR="00760048" w:rsidRPr="0072600F" w14:paraId="137BA77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These arguments do not persuade us that the </w:t>
      </w:r>
      <w:r w:rsidRPr="0072600F">
        <w:rPr>
          <w:i/>
          <w:sz w:val="26"/>
          <w:szCs w:val="26"/>
        </w:rPr>
        <w:t>pro forma</w:t>
      </w:r>
      <w:r w:rsidRPr="0072600F">
        <w:rPr>
          <w:sz w:val="26"/>
          <w:szCs w:val="26"/>
        </w:rPr>
        <w:t xml:space="preserve"> deadlines selected in Order No. 2023 for the conduct of interconnection studies are not just and reasonable.  Neither NYISO nor Avangrid disputes that there will be efficiency gains from transitioning to cluster studies, which was a reform broadly supported by commenters.  We further expect that the more stringent requirements to enter the interconnection queue set forth in Order No. 2023, including but not limited to financial requirements,</w:t>
      </w:r>
      <w:r>
        <w:rPr>
          <w:rStyle w:val="FootnoteReference"/>
        </w:rPr>
        <w:footnoteReference w:id="582"/>
      </w:r>
      <w:r w:rsidRPr="0072600F">
        <w:rPr>
          <w:sz w:val="26"/>
          <w:szCs w:val="26"/>
        </w:rPr>
        <w:t xml:space="preserve"> will help reduce speculative interconnection requests.  To the extent that volumes of interconnection requests remain high, this counsels in favor of—not against—ensuring that that transmission providers exercise the control they have over the process to help ensure interconnection studies proceed more expeditiously.  As discussed, these reforms are necessary to ensure the timely processing of interconnection requests and thereby remedy the problem of unjust and unreasonable rates resulting from queue delays and backlogs. </w:t>
      </w:r>
    </w:p>
    <w:p w:rsidR="00760048" w:rsidRPr="0072600F" w14:paraId="09D3AEB6"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rely on a non-sequitur in claiming that the existence of widespread study delays in 2022 is evidence that the deadlines set in Order No. 2023 are “inherently unreasonable.”</w:t>
      </w:r>
      <w:r>
        <w:rPr>
          <w:rStyle w:val="FootnoteReference"/>
        </w:rPr>
        <w:footnoteReference w:id="583"/>
      </w:r>
      <w:r w:rsidRPr="0072600F">
        <w:rPr>
          <w:sz w:val="26"/>
          <w:szCs w:val="26"/>
        </w:rPr>
        <w:t xml:space="preserve">  The mere existence of past study delays, under a standard that allowed transmission providers significant discretion to extend those deadlines, does not show that any given set of deadlines to perform studies are unachievable or unreasonable.</w:t>
      </w:r>
      <w:r>
        <w:rPr>
          <w:rStyle w:val="FootnoteReference"/>
        </w:rPr>
        <w:footnoteReference w:id="584"/>
      </w:r>
      <w:r w:rsidRPr="0072600F">
        <w:rPr>
          <w:sz w:val="26"/>
          <w:szCs w:val="26"/>
        </w:rPr>
        <w:t xml:space="preserve">   It particularly does not demonstrate that the deadlines for the specific </w:t>
      </w:r>
      <w:r w:rsidRPr="0072600F">
        <w:rPr>
          <w:i/>
          <w:sz w:val="26"/>
          <w:szCs w:val="26"/>
        </w:rPr>
        <w:t>pro forma</w:t>
      </w:r>
      <w:r w:rsidRPr="0072600F">
        <w:rPr>
          <w:sz w:val="26"/>
          <w:szCs w:val="26"/>
        </w:rPr>
        <w:t xml:space="preserve"> LGIP process set forth in Order No. 2023, with the accompanying reforms to improve efficiency, are not reasonable.</w:t>
      </w:r>
      <w:r>
        <w:rPr>
          <w:rStyle w:val="FootnoteReference"/>
        </w:rPr>
        <w:footnoteReference w:id="585"/>
      </w:r>
    </w:p>
    <w:p w:rsidR="00760048" w:rsidRPr="0072600F" w14:paraId="18E23DFB"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MISO TOs, and NYISO assert that the ability to extend a study deadline for 30 days by mutual agreement of the transmission provider and all interconnection customers with interconnection requests in the relevant study will not be effective in practice.</w:t>
      </w:r>
      <w:r>
        <w:rPr>
          <w:rStyle w:val="FootnoteReference"/>
        </w:rPr>
        <w:footnoteReference w:id="586"/>
      </w:r>
      <w:r w:rsidRPr="0072600F">
        <w:rPr>
          <w:sz w:val="26"/>
          <w:szCs w:val="26"/>
        </w:rPr>
        <w:t xml:space="preserve">  They contend that interconnection customers lack incentives to agree to such an extension, particularly given that they will be the beneficiaries of any assessed penalty, and that it will be particularly infeasible to secure agreement from all interconnection customers to such an extension.  </w:t>
      </w:r>
    </w:p>
    <w:p w:rsidR="00760048" w:rsidRPr="0072600F" w14:paraId="3A709310" w14:textId="77777777">
      <w:pPr>
        <w:pStyle w:val="FERCparanumber"/>
        <w:widowControl/>
        <w:numPr>
          <w:ilvl w:val="0"/>
          <w:numId w:val="25"/>
        </w:numPr>
        <w:autoSpaceDE/>
        <w:autoSpaceDN/>
        <w:adjustRightInd/>
        <w:spacing w:line="480" w:lineRule="auto"/>
        <w:rPr>
          <w:sz w:val="26"/>
          <w:szCs w:val="26"/>
        </w:rPr>
      </w:pPr>
      <w:bookmarkStart w:id="59" w:name="_Ref160108718"/>
      <w:r w:rsidRPr="0072600F">
        <w:rPr>
          <w:sz w:val="26"/>
          <w:szCs w:val="26"/>
        </w:rPr>
        <w:t>We are not persuaded by speculation that interconnection customers will adopt an unreasonably adversarial approach to requests for modest extensions to study deadlines.  The interconnection process is one that, by its nature, tends to require cooperation and collaboration, and all parties have a continuing interest in this process functioning smoothly.</w:t>
      </w:r>
      <w:r>
        <w:rPr>
          <w:rStyle w:val="FootnoteReference"/>
        </w:rPr>
        <w:footnoteReference w:id="587"/>
      </w:r>
      <w:r w:rsidRPr="0072600F">
        <w:rPr>
          <w:sz w:val="26"/>
          <w:szCs w:val="26"/>
        </w:rPr>
        <w:t xml:space="preserve">  Moreover, because interconnection customers have a particular interest in reliable interconnection studies, interconnection customers are not well served by refusing to accede to a transmission provider’s reasonable request for an extension that is necessary, particularly in light of unique circumstances, to ensure accurate study results.</w:t>
      </w:r>
      <w:r>
        <w:rPr>
          <w:rStyle w:val="FootnoteReference"/>
        </w:rPr>
        <w:footnoteReference w:id="588"/>
      </w:r>
      <w:r w:rsidRPr="0072600F">
        <w:rPr>
          <w:sz w:val="26"/>
          <w:szCs w:val="26"/>
        </w:rPr>
        <w:t xml:space="preserve">  Likewise, there may be circumstances in which a modest extension of a cluster study would save time, for all interconnection customers in a study, for example by helping reduce the need for a restudy.</w:t>
      </w:r>
      <w:r>
        <w:rPr>
          <w:rStyle w:val="FootnoteReference"/>
        </w:rPr>
        <w:footnoteReference w:id="589"/>
      </w:r>
      <w:r w:rsidRPr="0072600F">
        <w:rPr>
          <w:sz w:val="26"/>
          <w:szCs w:val="26"/>
        </w:rPr>
        <w:t xml:space="preserve">  The prospect that interconnection customers may receive penalties for late studies is not likely to override this need for collaboration and cooperation, particularly given that any award of penalties to interconnection customers is uncertain (given the availability of an appeal) and any such penalties will be split among all interconnection customers involved in the study.  Moreover, this 30-day extension is just one safeguard among several, to extend deadlines that we generally conclude should be achievable on their own terms, such that we would still reach the same result even if invocation of this safeguard turns out to be uncommon in practice.</w:t>
      </w:r>
      <w:bookmarkEnd w:id="59"/>
    </w:p>
    <w:p w:rsidR="00760048" w:rsidRPr="0072600F" w14:paraId="0BC68E3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NYISO challenges the </w:t>
      </w:r>
      <w:r w:rsidR="00594B76">
        <w:rPr>
          <w:sz w:val="26"/>
          <w:szCs w:val="26"/>
        </w:rPr>
        <w:t xml:space="preserve">10 </w:t>
      </w:r>
      <w:r w:rsidRPr="0072600F">
        <w:rPr>
          <w:sz w:val="26"/>
          <w:szCs w:val="26"/>
        </w:rPr>
        <w:t>day grace period, under which no penalties would be assessed for a study delayed by no more than 10 business days, claiming that this grace period does not provide meaningful relief to transmission providers that will study large numbers of interconnection requests.</w:t>
      </w:r>
      <w:r>
        <w:rPr>
          <w:rStyle w:val="FootnoteReference"/>
        </w:rPr>
        <w:footnoteReference w:id="590"/>
      </w:r>
      <w:r w:rsidRPr="0072600F">
        <w:rPr>
          <w:sz w:val="26"/>
          <w:szCs w:val="26"/>
        </w:rPr>
        <w:t xml:space="preserve">  This challenge is not persuasive.  The grace period is one component of the penalty structure—and, again, one safeguard among several—through which Order No. 2023 strikes an appropriate balance between creating an incentive for transmission providers to help ensure that interconnection studies are completed in a timely fashion, while not being punitive.  Specifically,</w:t>
      </w:r>
      <w:r w:rsidRPr="0072600F">
        <w:rPr>
          <w:sz w:val="26"/>
          <w:szCs w:val="26"/>
        </w:rPr>
        <w:t xml:space="preserve"> </w:t>
      </w:r>
      <w:r w:rsidRPr="0072600F">
        <w:rPr>
          <w:sz w:val="26"/>
          <w:szCs w:val="26"/>
        </w:rPr>
        <w:t>the grace period, in particular, provides a “level of flexibility for transmission providers to address unforeseen circumstances or complexities that arise in the study process,”</w:t>
      </w:r>
      <w:r>
        <w:rPr>
          <w:rStyle w:val="FootnoteReference"/>
        </w:rPr>
        <w:footnoteReference w:id="591"/>
      </w:r>
      <w:r w:rsidRPr="0072600F">
        <w:rPr>
          <w:sz w:val="26"/>
          <w:szCs w:val="26"/>
        </w:rPr>
        <w:t xml:space="preserve"> which may necessitate modest delays.  This grace period was not intended to provide an automatic, lengthy extension to the study deadlines.</w:t>
      </w:r>
    </w:p>
    <w:p w:rsidR="00760048" w:rsidRPr="0072600F" w14:paraId="5B4B1080" w14:textId="77777777">
      <w:pPr>
        <w:pStyle w:val="FERCparanumber"/>
        <w:widowControl/>
        <w:numPr>
          <w:ilvl w:val="0"/>
          <w:numId w:val="25"/>
        </w:numPr>
        <w:autoSpaceDE/>
        <w:autoSpaceDN/>
        <w:adjustRightInd/>
        <w:spacing w:line="480" w:lineRule="auto"/>
        <w:rPr>
          <w:sz w:val="26"/>
          <w:szCs w:val="26"/>
        </w:rPr>
      </w:pPr>
      <w:r w:rsidRPr="0072600F">
        <w:rPr>
          <w:sz w:val="26"/>
          <w:szCs w:val="26"/>
        </w:rPr>
        <w:t>Likewise, the longer transition period the Commission adopted does not, as NYISO claims, simply “postpone[ ] the RTO/ISO penalty cost recovery problem.”</w:t>
      </w:r>
      <w:r>
        <w:rPr>
          <w:rStyle w:val="FootnoteReference"/>
        </w:rPr>
        <w:footnoteReference w:id="592"/>
      </w:r>
      <w:r w:rsidRPr="0072600F">
        <w:rPr>
          <w:sz w:val="26"/>
          <w:szCs w:val="26"/>
        </w:rPr>
        <w:t xml:space="preserve">  Rather, the transition period</w:t>
      </w:r>
      <w:r>
        <w:rPr>
          <w:rStyle w:val="FootnoteReference"/>
        </w:rPr>
        <w:footnoteReference w:id="593"/>
      </w:r>
      <w:r w:rsidRPr="0072600F">
        <w:rPr>
          <w:sz w:val="26"/>
          <w:szCs w:val="26"/>
        </w:rPr>
        <w:t xml:space="preserve"> is another measure to ensure that the structure adopted in Order No. 2023 provides incentives that are appropriate, but fair.  The transition period allows time for transmission providers to address and adapt to the requirements of Order No. 2023, reduce backlogs, and address other issues (which may include, for example, FPA section 205 filings to address RTO/ISO penalty cost recovery).</w:t>
      </w:r>
      <w:r>
        <w:rPr>
          <w:rStyle w:val="FootnoteReference"/>
        </w:rPr>
        <w:footnoteReference w:id="594"/>
      </w:r>
      <w:r w:rsidRPr="0072600F">
        <w:rPr>
          <w:sz w:val="26"/>
          <w:szCs w:val="26"/>
        </w:rPr>
        <w:t xml:space="preserve">  The transition process will thus help ensure that the standards for timeliness set by Order No. 2023 are reasonably achievable before penalties are assessed.  Neither of NYISO’s arguments regarding the ten-day grace period or the transition period demonstrates any defect in Order No. 2023’s deadline and penalty structure.</w:t>
      </w:r>
    </w:p>
    <w:p w:rsidR="00760048" w:rsidRPr="00663161" w14:paraId="69C4D8A3"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Reasonableness of the Study Delay Penalty and Appeal Structure</w:t>
      </w:r>
    </w:p>
    <w:p w:rsidR="00760048" w:rsidRPr="0072600F" w14:paraId="3FB7D2C3" w14:textId="77777777">
      <w:pPr>
        <w:pStyle w:val="Heading6"/>
        <w:numPr>
          <w:ilvl w:val="5"/>
          <w:numId w:val="24"/>
        </w:numPr>
        <w:autoSpaceDE/>
        <w:autoSpaceDN/>
        <w:adjustRightInd/>
        <w:rPr>
          <w:szCs w:val="26"/>
        </w:rPr>
      </w:pPr>
      <w:r w:rsidRPr="0072600F">
        <w:rPr>
          <w:szCs w:val="26"/>
        </w:rPr>
        <w:t>Requests for Rehearing</w:t>
      </w:r>
    </w:p>
    <w:p w:rsidR="00760048" w:rsidRPr="0072600F" w14:paraId="0A1D4BC0" w14:textId="77777777">
      <w:pPr>
        <w:pStyle w:val="FERCparanumber"/>
        <w:widowControl/>
        <w:numPr>
          <w:ilvl w:val="0"/>
          <w:numId w:val="25"/>
        </w:numPr>
        <w:autoSpaceDE/>
        <w:autoSpaceDN/>
        <w:adjustRightInd/>
        <w:spacing w:line="480" w:lineRule="auto"/>
        <w:rPr>
          <w:sz w:val="26"/>
          <w:szCs w:val="26"/>
        </w:rPr>
      </w:pPr>
      <w:r w:rsidRPr="0072600F">
        <w:rPr>
          <w:sz w:val="26"/>
          <w:szCs w:val="26"/>
        </w:rPr>
        <w:t>Many of the rehearing requests state that Order No. 2023 assigns penalties to transmission providers without an assessment of fault, as a “strict liability” matter, until they demonstrate their lack of fault through the appeals process.</w:t>
      </w:r>
      <w:r>
        <w:rPr>
          <w:rStyle w:val="FootnoteReference"/>
        </w:rPr>
        <w:footnoteReference w:id="595"/>
      </w:r>
      <w:r w:rsidRPr="0072600F">
        <w:rPr>
          <w:sz w:val="26"/>
          <w:szCs w:val="26"/>
        </w:rPr>
        <w:t xml:space="preserve">  These rehearing requests variously contend that this is unjust and unreasonable, arbitrary and capricious, unsupported by substantial evidence, inequitable, and/or offends due process.  Many of them object to this framework as placing the burden on the transmission provider or transmission owner to demonstrate an entitlement to relief from the assessed penalty.</w:t>
      </w:r>
    </w:p>
    <w:p w:rsidR="00760048" w:rsidRPr="0072600F" w14:paraId="20EFAE1D" w14:textId="77777777">
      <w:pPr>
        <w:pStyle w:val="FERCparanumber"/>
        <w:widowControl/>
        <w:numPr>
          <w:ilvl w:val="0"/>
          <w:numId w:val="25"/>
        </w:numPr>
        <w:autoSpaceDE/>
        <w:autoSpaceDN/>
        <w:adjustRightInd/>
        <w:spacing w:line="480" w:lineRule="auto"/>
        <w:rPr>
          <w:sz w:val="26"/>
          <w:szCs w:val="26"/>
        </w:rPr>
      </w:pPr>
      <w:r w:rsidRPr="0072600F">
        <w:rPr>
          <w:sz w:val="26"/>
          <w:szCs w:val="26"/>
        </w:rPr>
        <w:t>Avangrid argues that the Commission has deemed transmission providers who fail to meet the deadlines set forth in Order No. 2023 guilty unless they can prove their innocence and thereby denies transmission providers and transmission owners due process.</w:t>
      </w:r>
      <w:r>
        <w:rPr>
          <w:rStyle w:val="FootnoteReference"/>
        </w:rPr>
        <w:footnoteReference w:id="596"/>
      </w:r>
      <w:r w:rsidRPr="0072600F">
        <w:rPr>
          <w:sz w:val="26"/>
          <w:szCs w:val="26"/>
        </w:rPr>
        <w:t xml:space="preserve">  Avangrid argues that the appeals process is inequitable because it does not ensure exoneration where a transmission provider is not at fault, such as in the case of </w:t>
      </w:r>
      <w:r w:rsidRPr="0072600F">
        <w:rPr>
          <w:i/>
          <w:iCs/>
          <w:sz w:val="26"/>
          <w:szCs w:val="26"/>
        </w:rPr>
        <w:t>force majeure</w:t>
      </w:r>
      <w:r w:rsidRPr="0072600F">
        <w:rPr>
          <w:sz w:val="26"/>
          <w:szCs w:val="26"/>
        </w:rPr>
        <w:t>.</w:t>
      </w:r>
      <w:r>
        <w:rPr>
          <w:rStyle w:val="FootnoteReference"/>
        </w:rPr>
        <w:footnoteReference w:id="597"/>
      </w:r>
      <w:r w:rsidRPr="0072600F">
        <w:rPr>
          <w:sz w:val="26"/>
          <w:szCs w:val="26"/>
        </w:rPr>
        <w:t xml:space="preserve">  Avangrid further asserts that the lack of clarity concerning when relief will be granted violates the fair notice doctrine and renders the appeals process unjust and unreasonable.</w:t>
      </w:r>
    </w:p>
    <w:p w:rsidR="00760048" w:rsidRPr="0072600F" w14:paraId="25F74C34"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argue that the imposition of penalties subject to an appeal mechanism applying a good cause standard contravenes due process requirements.</w:t>
      </w:r>
      <w:r>
        <w:rPr>
          <w:rStyle w:val="FootnoteReference"/>
        </w:rPr>
        <w:footnoteReference w:id="598"/>
      </w:r>
      <w:r w:rsidRPr="0072600F">
        <w:rPr>
          <w:sz w:val="26"/>
          <w:szCs w:val="26"/>
        </w:rPr>
        <w:t xml:space="preserve">  They assert that it is not clear how the appeals process would apply to transmission owners seeking relief from a penalty after an RTO or ISO has determined that the transmission owner is responsible for some or all of the penalty.</w:t>
      </w:r>
      <w:r>
        <w:rPr>
          <w:rStyle w:val="FootnoteReference"/>
        </w:rPr>
        <w:footnoteReference w:id="599"/>
      </w:r>
      <w:r w:rsidRPr="0072600F">
        <w:rPr>
          <w:sz w:val="26"/>
          <w:szCs w:val="26"/>
        </w:rPr>
        <w:t xml:space="preserve">  Indicated PJM TOs claim that an RTO/ISO assignment of a penalty cannot receive deference in a proceeding where a transmission owner seeks relief from a penalty.</w:t>
      </w:r>
      <w:r>
        <w:rPr>
          <w:rStyle w:val="FootnoteReference"/>
        </w:rPr>
        <w:footnoteReference w:id="600"/>
      </w:r>
    </w:p>
    <w:p w:rsidR="00760048" w:rsidRPr="0072600F" w14:paraId="1B332D2D" w14:textId="77777777">
      <w:pPr>
        <w:pStyle w:val="FERCparanumber"/>
        <w:widowControl/>
        <w:numPr>
          <w:ilvl w:val="0"/>
          <w:numId w:val="25"/>
        </w:numPr>
        <w:autoSpaceDE/>
        <w:autoSpaceDN/>
        <w:adjustRightInd/>
        <w:spacing w:line="480" w:lineRule="auto"/>
        <w:rPr>
          <w:sz w:val="26"/>
          <w:szCs w:val="26"/>
        </w:rPr>
      </w:pPr>
      <w:r w:rsidRPr="0072600F">
        <w:rPr>
          <w:sz w:val="26"/>
          <w:szCs w:val="26"/>
        </w:rPr>
        <w:t>MISO TOs argue that the Commission erred in creating a “no-fault, strict liability regime” whereas tort law reflects that strict liability is only warranted in circumstances involving very dangerous activities, such as product liability for harm caused.</w:t>
      </w:r>
      <w:r>
        <w:rPr>
          <w:rStyle w:val="FootnoteReference"/>
        </w:rPr>
        <w:footnoteReference w:id="601"/>
      </w:r>
      <w:r w:rsidRPr="0072600F">
        <w:rPr>
          <w:sz w:val="26"/>
          <w:szCs w:val="26"/>
        </w:rPr>
        <w:t xml:space="preserve">  MISO TOs also claim that the penalty and appeals structure conflicts with Commission penalty procedures in enforcement cases by imposing a penalty automatically unless the transmission provider pursues an appeal, resulting in a deprivation of due process.  They further contend that the appeals process is lacking in detail and fails to address these concerns because it puts the onus on the transmission provider to appeal penalties—which the Commission does not review </w:t>
      </w:r>
      <w:r w:rsidRPr="0072600F">
        <w:rPr>
          <w:i/>
          <w:iCs/>
          <w:sz w:val="26"/>
          <w:szCs w:val="26"/>
        </w:rPr>
        <w:t>de novo</w:t>
      </w:r>
      <w:r w:rsidRPr="0072600F">
        <w:rPr>
          <w:sz w:val="26"/>
          <w:szCs w:val="26"/>
        </w:rPr>
        <w:t>—and requires transmission providers to expend resources to seek relief for penalties caused by the actions of others.</w:t>
      </w:r>
      <w:r>
        <w:rPr>
          <w:rStyle w:val="FootnoteReference"/>
        </w:rPr>
        <w:footnoteReference w:id="602"/>
      </w:r>
    </w:p>
    <w:p w:rsidR="00760048" w:rsidRPr="0072600F" w14:paraId="1558D95D" w14:textId="77777777">
      <w:pPr>
        <w:pStyle w:val="FERCparanumber"/>
        <w:widowControl/>
        <w:numPr>
          <w:ilvl w:val="0"/>
          <w:numId w:val="25"/>
        </w:numPr>
        <w:autoSpaceDE/>
        <w:autoSpaceDN/>
        <w:adjustRightInd/>
        <w:spacing w:line="480" w:lineRule="auto"/>
        <w:rPr>
          <w:sz w:val="26"/>
          <w:szCs w:val="26"/>
        </w:rPr>
      </w:pPr>
      <w:r w:rsidRPr="0072600F">
        <w:rPr>
          <w:sz w:val="26"/>
          <w:szCs w:val="26"/>
        </w:rPr>
        <w:t>PacifiCorp claims that “[t]he assessment of a civil penalty before any agency adjudication is made violates the due process clause of the Fifth Amendment to the U.S. Constitution.”</w:t>
      </w:r>
      <w:r>
        <w:rPr>
          <w:rStyle w:val="FootnoteReference"/>
        </w:rPr>
        <w:footnoteReference w:id="603"/>
      </w:r>
      <w:r w:rsidRPr="0072600F">
        <w:rPr>
          <w:sz w:val="26"/>
          <w:szCs w:val="26"/>
        </w:rPr>
        <w:t xml:space="preserve">  PacifiCorp also objects that the transmission provider has the burden to show “good cause” and that the Commission suggested that “</w:t>
      </w:r>
      <w:bookmarkStart w:id="60" w:name="_Hlk145661214"/>
      <w:r w:rsidRPr="0072600F">
        <w:rPr>
          <w:sz w:val="26"/>
          <w:szCs w:val="26"/>
        </w:rPr>
        <w:t>if the transmission provider offers proof that it did not cause the study delay at issue, that is only ‘potentially’ exculpatory.”</w:t>
      </w:r>
      <w:r>
        <w:rPr>
          <w:rStyle w:val="FootnoteReference"/>
        </w:rPr>
        <w:footnoteReference w:id="604"/>
      </w:r>
      <w:r w:rsidRPr="0072600F">
        <w:rPr>
          <w:sz w:val="26"/>
          <w:szCs w:val="26"/>
        </w:rPr>
        <w:t xml:space="preserve">  PacifiCorp further contends that Order No. 2023 lacks a cogent explanation of the showing necessary to avoid a penalty, which offends due process requirements and renders the appeal a moving target.</w:t>
      </w:r>
      <w:r>
        <w:rPr>
          <w:rStyle w:val="FootnoteReference"/>
        </w:rPr>
        <w:footnoteReference w:id="605"/>
      </w:r>
      <w:r w:rsidRPr="0072600F">
        <w:rPr>
          <w:sz w:val="26"/>
          <w:szCs w:val="26"/>
        </w:rPr>
        <w:t xml:space="preserve">  </w:t>
      </w:r>
    </w:p>
    <w:p w:rsidR="00760048" w:rsidRPr="0072600F" w14:paraId="0C97793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  NYISO contends</w:t>
      </w:r>
      <w:r w:rsidRPr="0072600F">
        <w:rPr>
          <w:i/>
          <w:iCs/>
          <w:sz w:val="26"/>
          <w:szCs w:val="26"/>
        </w:rPr>
        <w:t xml:space="preserve"> </w:t>
      </w:r>
      <w:r w:rsidRPr="0072600F">
        <w:rPr>
          <w:sz w:val="26"/>
          <w:szCs w:val="26"/>
        </w:rPr>
        <w:t xml:space="preserve">that the appeals process wrongly places the burden on RTOs/ISOs to demonstrate </w:t>
      </w:r>
      <w:r w:rsidR="00711DCC">
        <w:rPr>
          <w:sz w:val="26"/>
          <w:szCs w:val="26"/>
        </w:rPr>
        <w:t xml:space="preserve">that </w:t>
      </w:r>
      <w:r w:rsidRPr="0072600F">
        <w:rPr>
          <w:sz w:val="26"/>
          <w:szCs w:val="26"/>
        </w:rPr>
        <w:t xml:space="preserve">they are not at fault, when there are good reasons to anticipate </w:t>
      </w:r>
      <w:r w:rsidR="00172B71">
        <w:rPr>
          <w:sz w:val="26"/>
          <w:szCs w:val="26"/>
        </w:rPr>
        <w:t>that</w:t>
      </w:r>
      <w:r w:rsidRPr="0072600F">
        <w:rPr>
          <w:sz w:val="26"/>
          <w:szCs w:val="26"/>
        </w:rPr>
        <w:t xml:space="preserve"> </w:t>
      </w:r>
      <w:r w:rsidR="00172B71">
        <w:rPr>
          <w:sz w:val="26"/>
          <w:szCs w:val="26"/>
        </w:rPr>
        <w:t>RTOs/ISO</w:t>
      </w:r>
      <w:r w:rsidRPr="0072600F">
        <w:rPr>
          <w:sz w:val="26"/>
          <w:szCs w:val="26"/>
        </w:rPr>
        <w:t xml:space="preserve"> </w:t>
      </w:r>
      <w:r w:rsidR="00F26A5C">
        <w:rPr>
          <w:sz w:val="26"/>
          <w:szCs w:val="26"/>
        </w:rPr>
        <w:t>will not actu</w:t>
      </w:r>
      <w:r w:rsidR="00652644">
        <w:rPr>
          <w:sz w:val="26"/>
          <w:szCs w:val="26"/>
        </w:rPr>
        <w:t>a</w:t>
      </w:r>
      <w:r w:rsidR="00F26A5C">
        <w:rPr>
          <w:sz w:val="26"/>
          <w:szCs w:val="26"/>
        </w:rPr>
        <w:t>lly be</w:t>
      </w:r>
      <w:r w:rsidRPr="0072600F">
        <w:rPr>
          <w:sz w:val="26"/>
          <w:szCs w:val="26"/>
        </w:rPr>
        <w:t xml:space="preserve"> responsible for many study delays.</w:t>
      </w:r>
      <w:r>
        <w:rPr>
          <w:rStyle w:val="FootnoteReference"/>
        </w:rPr>
        <w:footnoteReference w:id="606"/>
      </w:r>
      <w:r w:rsidRPr="0072600F">
        <w:rPr>
          <w:sz w:val="26"/>
          <w:szCs w:val="26"/>
        </w:rPr>
        <w:t xml:space="preserve">  Moreover, NYISO asserts that, while the Commission has set forth certain factors it will consider, it does not provide guidance as to what exactly a transmission provider must do to establish good cause for relief.</w:t>
      </w:r>
      <w:r>
        <w:rPr>
          <w:rStyle w:val="FootnoteReference"/>
        </w:rPr>
        <w:footnoteReference w:id="607"/>
      </w:r>
    </w:p>
    <w:p w:rsidR="00760048" w:rsidRPr="0072600F" w14:paraId="2A12D255" w14:textId="77777777">
      <w:pPr>
        <w:pStyle w:val="FERCparanumber"/>
        <w:widowControl/>
        <w:numPr>
          <w:ilvl w:val="0"/>
          <w:numId w:val="25"/>
        </w:numPr>
        <w:autoSpaceDE/>
        <w:autoSpaceDN/>
        <w:adjustRightInd/>
        <w:spacing w:line="480" w:lineRule="auto"/>
        <w:rPr>
          <w:i/>
          <w:iCs/>
          <w:sz w:val="26"/>
          <w:szCs w:val="26"/>
        </w:rPr>
      </w:pPr>
      <w:r w:rsidRPr="0072600F">
        <w:rPr>
          <w:sz w:val="26"/>
          <w:szCs w:val="26"/>
        </w:rPr>
        <w:t>WIRES states that the penalty structure adopted by Order No. 2023 is not just and reasonable because it is a strict liability approach that sanctions transmission providers for missing deadlines for reasons beyond the control of those providers.</w:t>
      </w:r>
      <w:r>
        <w:rPr>
          <w:rStyle w:val="FootnoteReference"/>
        </w:rPr>
        <w:footnoteReference w:id="608"/>
      </w:r>
      <w:r w:rsidRPr="0072600F">
        <w:rPr>
          <w:sz w:val="26"/>
          <w:szCs w:val="26"/>
        </w:rPr>
        <w:t xml:space="preserve">  WIRES asserts that strict liability for penalties can only reasonably be imposed if transmission providers have full control over the interconnection study process, but the Commission has acknowledged that this is not the case.</w:t>
      </w:r>
      <w:r>
        <w:rPr>
          <w:rStyle w:val="FootnoteReference"/>
        </w:rPr>
        <w:footnoteReference w:id="609"/>
      </w:r>
    </w:p>
    <w:p w:rsidR="00760048" w:rsidRPr="0072600F" w14:paraId="2F1BD10F" w14:textId="77777777">
      <w:pPr>
        <w:pStyle w:val="FERCparanumber"/>
        <w:widowControl/>
        <w:numPr>
          <w:ilvl w:val="0"/>
          <w:numId w:val="25"/>
        </w:numPr>
        <w:autoSpaceDE/>
        <w:autoSpaceDN/>
        <w:adjustRightInd/>
        <w:spacing w:line="480" w:lineRule="auto"/>
        <w:rPr>
          <w:sz w:val="26"/>
          <w:szCs w:val="26"/>
        </w:rPr>
      </w:pPr>
      <w:r w:rsidRPr="0072600F">
        <w:rPr>
          <w:iCs/>
          <w:sz w:val="26"/>
          <w:szCs w:val="26"/>
        </w:rPr>
        <w:t xml:space="preserve">NYTOs argue that the deadline and penalty structure, with the right to seek relief through an appeal, is vague and impermissibly presumes fault without conducting a </w:t>
      </w:r>
      <w:r w:rsidR="00D60835">
        <w:rPr>
          <w:iCs/>
          <w:sz w:val="26"/>
          <w:szCs w:val="26"/>
        </w:rPr>
        <w:t xml:space="preserve">      </w:t>
      </w:r>
      <w:r w:rsidRPr="0072600F">
        <w:rPr>
          <w:i/>
          <w:sz w:val="26"/>
          <w:szCs w:val="26"/>
        </w:rPr>
        <w:t>de novo</w:t>
      </w:r>
      <w:r w:rsidRPr="0072600F">
        <w:rPr>
          <w:iCs/>
          <w:sz w:val="26"/>
          <w:szCs w:val="26"/>
        </w:rPr>
        <w:t xml:space="preserve"> review of whether a penalty is warranted.</w:t>
      </w:r>
      <w:r>
        <w:rPr>
          <w:rStyle w:val="FootnoteReference"/>
        </w:rPr>
        <w:footnoteReference w:id="610"/>
      </w:r>
      <w:r w:rsidRPr="0072600F">
        <w:rPr>
          <w:iCs/>
          <w:sz w:val="26"/>
          <w:szCs w:val="26"/>
        </w:rPr>
        <w:t xml:space="preserve">  NYTOs claim that</w:t>
      </w:r>
      <w:r w:rsidR="00A25FAC">
        <w:rPr>
          <w:iCs/>
          <w:sz w:val="26"/>
          <w:szCs w:val="26"/>
        </w:rPr>
        <w:t>,</w:t>
      </w:r>
      <w:r w:rsidRPr="0072600F">
        <w:rPr>
          <w:iCs/>
          <w:sz w:val="26"/>
          <w:szCs w:val="26"/>
        </w:rPr>
        <w:t xml:space="preserve"> in Order No. 2023, the Commission has reserved its discretion to uphold a penalty even in the absence of substantial evidence that a sanctioned transmission provider was at fault, and that the Commission will grant whatever relief it determines is appropriate.</w:t>
      </w:r>
      <w:r>
        <w:rPr>
          <w:rStyle w:val="FootnoteReference"/>
        </w:rPr>
        <w:footnoteReference w:id="611"/>
      </w:r>
    </w:p>
    <w:p w:rsidR="00760048" w:rsidRPr="0072600F" w14:paraId="592FFF8B" w14:textId="77777777">
      <w:pPr>
        <w:pStyle w:val="FERCparanumber"/>
        <w:widowControl/>
        <w:numPr>
          <w:ilvl w:val="0"/>
          <w:numId w:val="25"/>
        </w:numPr>
        <w:autoSpaceDE/>
        <w:autoSpaceDN/>
        <w:adjustRightInd/>
        <w:spacing w:line="480" w:lineRule="auto"/>
        <w:rPr>
          <w:sz w:val="26"/>
          <w:szCs w:val="26"/>
        </w:rPr>
      </w:pPr>
      <w:r w:rsidRPr="0072600F">
        <w:rPr>
          <w:sz w:val="26"/>
          <w:szCs w:val="26"/>
        </w:rPr>
        <w:t>PJM argues that the Commission failed to adequately explain its refusal to adopt a structure in which transmission providers incur penalties only where a study delay is due to a factor that can be conclusively demonstrated to be within a transmission provider’s control, and that it failed to show that this approach was consistent with due process.</w:t>
      </w:r>
      <w:r>
        <w:rPr>
          <w:rStyle w:val="FootnoteReference"/>
        </w:rPr>
        <w:footnoteReference w:id="612"/>
      </w:r>
      <w:r w:rsidRPr="0072600F">
        <w:rPr>
          <w:sz w:val="26"/>
          <w:szCs w:val="26"/>
        </w:rPr>
        <w:t xml:space="preserve">  PJM asserts </w:t>
      </w:r>
      <w:r w:rsidR="00905EDC">
        <w:rPr>
          <w:sz w:val="26"/>
          <w:szCs w:val="26"/>
        </w:rPr>
        <w:t>that</w:t>
      </w:r>
      <w:r w:rsidRPr="0072600F">
        <w:rPr>
          <w:sz w:val="26"/>
          <w:szCs w:val="26"/>
        </w:rPr>
        <w:t xml:space="preserve"> the appeals process is not just and reasonable and violates the constitutional guarantee of due process if it only provides due process “to some extent.”</w:t>
      </w:r>
      <w:r>
        <w:rPr>
          <w:rStyle w:val="FootnoteReference"/>
        </w:rPr>
        <w:footnoteReference w:id="613"/>
      </w:r>
      <w:r w:rsidRPr="0072600F">
        <w:rPr>
          <w:sz w:val="26"/>
          <w:szCs w:val="26"/>
        </w:rPr>
        <w:t xml:space="preserve">  PJM argues that “[</w:t>
      </w:r>
      <w:r w:rsidRPr="0072600F">
        <w:rPr>
          <w:sz w:val="26"/>
          <w:szCs w:val="26"/>
        </w:rPr>
        <w:t>i</w:t>
      </w:r>
      <w:r w:rsidRPr="0072600F">
        <w:rPr>
          <w:sz w:val="26"/>
          <w:szCs w:val="26"/>
        </w:rPr>
        <w:t xml:space="preserve">]f a transmission provider knows it will be penalized for </w:t>
      </w:r>
      <w:r w:rsidRPr="0072600F">
        <w:rPr>
          <w:i/>
          <w:iCs/>
          <w:sz w:val="26"/>
          <w:szCs w:val="26"/>
        </w:rPr>
        <w:t xml:space="preserve">any </w:t>
      </w:r>
      <w:r w:rsidRPr="0072600F">
        <w:rPr>
          <w:sz w:val="26"/>
          <w:szCs w:val="26"/>
        </w:rPr>
        <w:t>delay in interconnection studies regardless of its role in the delays, and will have to appeal that penalty and demonstrate that the penalty imposed on it should not be assessed, i.e., that it is guilty until it can prove its innocence, it might reasonably ask what deterrence or incentive purpose the penalty actually serves.”</w:t>
      </w:r>
      <w:r>
        <w:rPr>
          <w:rStyle w:val="FootnoteReference"/>
        </w:rPr>
        <w:footnoteReference w:id="614"/>
      </w:r>
      <w:r w:rsidRPr="0072600F">
        <w:rPr>
          <w:sz w:val="26"/>
          <w:szCs w:val="26"/>
        </w:rPr>
        <w:t xml:space="preserve">  </w:t>
      </w:r>
    </w:p>
    <w:p w:rsidR="00760048" w:rsidRPr="0072600F" w14:paraId="216B6232" w14:textId="77777777">
      <w:pPr>
        <w:pStyle w:val="FERCparanumber"/>
        <w:widowControl/>
        <w:numPr>
          <w:ilvl w:val="0"/>
          <w:numId w:val="25"/>
        </w:numPr>
        <w:autoSpaceDE/>
        <w:autoSpaceDN/>
        <w:adjustRightInd/>
        <w:spacing w:line="480" w:lineRule="auto"/>
        <w:rPr>
          <w:sz w:val="26"/>
          <w:szCs w:val="26"/>
        </w:rPr>
      </w:pPr>
      <w:r w:rsidRPr="0072600F">
        <w:rPr>
          <w:sz w:val="26"/>
          <w:szCs w:val="26"/>
        </w:rPr>
        <w:t>Certain of the rehearing requests also assert that the appeals process set forth in Order No. 2023 is too vaguely defined.  Avangrid refers to the appeal as a “vaguely-defined waiver process.”</w:t>
      </w:r>
      <w:r>
        <w:rPr>
          <w:rStyle w:val="FootnoteReference"/>
        </w:rPr>
        <w:footnoteReference w:id="615"/>
      </w:r>
      <w:r w:rsidRPr="0072600F">
        <w:rPr>
          <w:sz w:val="26"/>
          <w:szCs w:val="26"/>
        </w:rPr>
        <w:t xml:space="preserve">  MISO TOs assert that “the appeals process is rife with ambiguity, making it unworkable and overly time-consuming” and lacks detail on the process for an appeal, including the form and forum, whether interventions will be permitted, whether discovery will be allowed, and under what statutory provision the appeal is conducted.</w:t>
      </w:r>
      <w:r>
        <w:rPr>
          <w:rStyle w:val="FootnoteReference"/>
        </w:rPr>
        <w:footnoteReference w:id="616"/>
      </w:r>
      <w:r w:rsidRPr="0072600F">
        <w:rPr>
          <w:sz w:val="26"/>
          <w:szCs w:val="26"/>
        </w:rPr>
        <w:t xml:space="preserve">  NYISO asserts that the Commission did not indicate whether it would use fact-finding neutrals, paper hearing procedures, or some other method to conduct appeals of penalties, or how appeals would be further reviewed on rehearing or under the APA.</w:t>
      </w:r>
      <w:r>
        <w:rPr>
          <w:rStyle w:val="FootnoteReference"/>
        </w:rPr>
        <w:footnoteReference w:id="617"/>
      </w:r>
      <w:r w:rsidRPr="0072600F">
        <w:rPr>
          <w:sz w:val="26"/>
          <w:szCs w:val="26"/>
        </w:rPr>
        <w:t xml:space="preserve">  NYTOs state that the Commission failed to explain how the process will work, including whether—in assessing good cause—the Commission will apply the standard applicable to tariff waivers, the burdens of proof, how genuine issues of material fact will be adjudicated, clear standards for granting relief, and the parameters of the appeals process.</w:t>
      </w:r>
      <w:r>
        <w:rPr>
          <w:rStyle w:val="FootnoteReference"/>
        </w:rPr>
        <w:footnoteReference w:id="618"/>
      </w:r>
      <w:r w:rsidRPr="0072600F">
        <w:rPr>
          <w:sz w:val="26"/>
          <w:szCs w:val="26"/>
        </w:rPr>
        <w:t xml:space="preserve"> </w:t>
      </w:r>
      <w:bookmarkEnd w:id="60"/>
    </w:p>
    <w:p w:rsidR="00760048" w:rsidRPr="0072600F" w14:paraId="2FA2E4D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 number of the rehearing requests assert that the Commission should have adopted exceptions to the assessment of penalties for failure to meet the required deadlines.  Several of these rehearing requests challenge the Commission’s decision not to provide an exception to such penalties for circumstances involving </w:t>
      </w:r>
      <w:r w:rsidRPr="0072600F">
        <w:rPr>
          <w:i/>
          <w:iCs/>
          <w:sz w:val="26"/>
          <w:szCs w:val="26"/>
        </w:rPr>
        <w:t>force majeure</w:t>
      </w:r>
      <w:r w:rsidRPr="0072600F">
        <w:rPr>
          <w:sz w:val="26"/>
          <w:szCs w:val="26"/>
        </w:rPr>
        <w:t>.</w:t>
      </w:r>
      <w:r>
        <w:rPr>
          <w:rStyle w:val="FootnoteReference"/>
        </w:rPr>
        <w:footnoteReference w:id="619"/>
      </w:r>
      <w:r w:rsidRPr="0072600F">
        <w:rPr>
          <w:sz w:val="26"/>
          <w:szCs w:val="26"/>
        </w:rPr>
        <w:t xml:space="preserve">  PacifiCorp argues, more broadly, that because study delays are often driven by third parties or factors beyond the control of transmission providers, the Commission should have adopted self-effectuating exemptions for study delays that are outside of a transmission provider’s control.</w:t>
      </w:r>
      <w:r>
        <w:rPr>
          <w:rStyle w:val="FootnoteReference"/>
        </w:rPr>
        <w:footnoteReference w:id="620"/>
      </w:r>
      <w:r w:rsidRPr="0072600F">
        <w:rPr>
          <w:sz w:val="26"/>
          <w:szCs w:val="26"/>
        </w:rPr>
        <w:t xml:space="preserve">  In support, </w:t>
      </w:r>
      <w:r w:rsidR="005822C6">
        <w:rPr>
          <w:sz w:val="26"/>
          <w:szCs w:val="26"/>
        </w:rPr>
        <w:t>PacifiCorp</w:t>
      </w:r>
      <w:r w:rsidRPr="0072600F">
        <w:rPr>
          <w:sz w:val="26"/>
          <w:szCs w:val="26"/>
        </w:rPr>
        <w:t xml:space="preserve"> contends that failing to provide such exemptions “(1) ignores the frequency at which delays are caused by third parties and; (2) mistakenly assumes: (a) transmission providers can take actions to mitigate delays caused by third parties, and (b) it is prudent for transmission providers to increase expenditures in an effort to offset causes for delays that are outside of their control.”</w:t>
      </w:r>
      <w:r>
        <w:rPr>
          <w:rStyle w:val="FootnoteReference"/>
        </w:rPr>
        <w:footnoteReference w:id="621"/>
      </w:r>
    </w:p>
    <w:p w:rsidR="00760048" w:rsidRPr="0072600F" w14:paraId="1730F8CD"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and NYTOs also take issue with the Commission’s statement that appeals of penalties for missing study deadlines “should not be filed under FPA section 206.”</w:t>
      </w:r>
      <w:r>
        <w:rPr>
          <w:rStyle w:val="FootnoteReference"/>
        </w:rPr>
        <w:footnoteReference w:id="622"/>
      </w:r>
      <w:r w:rsidRPr="0072600F">
        <w:rPr>
          <w:sz w:val="26"/>
          <w:szCs w:val="26"/>
        </w:rPr>
        <w:t xml:space="preserve">  Indicated PJM TOs assert that, to the extent that the Commission intends to withhold the right to seek relief under FPA section 206, “[t]he Commission cannot deprive any aggrieved party of the right to file a complaint under FPA section 206”</w:t>
      </w:r>
      <w:r>
        <w:rPr>
          <w:rStyle w:val="FootnoteReference"/>
        </w:rPr>
        <w:footnoteReference w:id="623"/>
      </w:r>
      <w:r w:rsidRPr="0072600F">
        <w:rPr>
          <w:sz w:val="26"/>
          <w:szCs w:val="26"/>
        </w:rPr>
        <w:t xml:space="preserve"> or limit the scope of such challenges.</w:t>
      </w:r>
      <w:r>
        <w:rPr>
          <w:rStyle w:val="FootnoteReference"/>
        </w:rPr>
        <w:footnoteReference w:id="624"/>
      </w:r>
      <w:r w:rsidRPr="0072600F">
        <w:rPr>
          <w:sz w:val="26"/>
          <w:szCs w:val="26"/>
        </w:rPr>
        <w:t xml:space="preserve">  NYTOs state that “the appeals process specified by the Order, which requires appeals to be pursued under the Commission’s procedural rules and not under section 206, effectively imposes a mandatory waiver of transmission providers’ statutory rights, which is contrary to law.”</w:t>
      </w:r>
      <w:r>
        <w:rPr>
          <w:rStyle w:val="FootnoteReference"/>
        </w:rPr>
        <w:footnoteReference w:id="625"/>
      </w:r>
    </w:p>
    <w:p w:rsidR="00760048" w:rsidRPr="0072600F" w14:paraId="4CC57FE7" w14:textId="77777777">
      <w:pPr>
        <w:pStyle w:val="FERCparanumber"/>
        <w:widowControl/>
        <w:numPr>
          <w:ilvl w:val="0"/>
          <w:numId w:val="25"/>
        </w:numPr>
        <w:autoSpaceDE/>
        <w:autoSpaceDN/>
        <w:adjustRightInd/>
        <w:spacing w:line="480" w:lineRule="auto"/>
        <w:rPr>
          <w:sz w:val="26"/>
          <w:szCs w:val="26"/>
        </w:rPr>
      </w:pPr>
      <w:r w:rsidRPr="0072600F">
        <w:rPr>
          <w:sz w:val="26"/>
          <w:szCs w:val="26"/>
        </w:rPr>
        <w:t>Many of the rehearing requests argue that replacing the reasonable efforts standard with the deadline and penalty structure set forth in Order No. 2023 will have negative, unintended consequences.  Avangrid contends that this structure will result in transmission providers focusing on “processing speed and ‘checking the boxes’ specified in Order No. 2023 over providing flexibility and collaboration with interconnecting generators on challenging issues unique to their situations.”</w:t>
      </w:r>
      <w:r>
        <w:rPr>
          <w:rStyle w:val="FootnoteReference"/>
        </w:rPr>
        <w:footnoteReference w:id="626"/>
      </w:r>
      <w:r w:rsidRPr="0072600F">
        <w:rPr>
          <w:sz w:val="26"/>
          <w:szCs w:val="26"/>
        </w:rPr>
        <w:t xml:space="preserve">  Indicated PJM TOs add that this structure will divert attention from optimal system planning.</w:t>
      </w:r>
      <w:r>
        <w:rPr>
          <w:rStyle w:val="FootnoteReference"/>
        </w:rPr>
        <w:footnoteReference w:id="627"/>
      </w:r>
      <w:r w:rsidRPr="0072600F">
        <w:rPr>
          <w:sz w:val="26"/>
          <w:szCs w:val="26"/>
        </w:rPr>
        <w:t xml:space="preserve">  MISO TOs and SPP emphasize that interconnection studies must be conducted with precision to avoid inefficiency or costly mistakes.</w:t>
      </w:r>
      <w:r>
        <w:rPr>
          <w:rStyle w:val="FootnoteReference"/>
        </w:rPr>
        <w:footnoteReference w:id="628"/>
      </w:r>
      <w:r w:rsidRPr="0072600F">
        <w:rPr>
          <w:sz w:val="26"/>
          <w:szCs w:val="26"/>
        </w:rPr>
        <w:t xml:space="preserve">  NYISO argues that this structure will incentivize transmission providers to prioritize meeting deadlines over ensuring the quality and completeness of studies and that inferior studies conducted under time pressure could lead to suboptimal results or negatively impact reliability.</w:t>
      </w:r>
      <w:r>
        <w:rPr>
          <w:rStyle w:val="FootnoteReference"/>
        </w:rPr>
        <w:footnoteReference w:id="629"/>
      </w:r>
      <w:r w:rsidRPr="0072600F">
        <w:rPr>
          <w:sz w:val="26"/>
          <w:szCs w:val="26"/>
        </w:rPr>
        <w:t xml:space="preserve">  WIRES further asserts that this structure will require transmission providers to take a more rigid approach to managing the interconnection queue, reducing flexibility to allow interconnection customers to redesign projects or modify their requests, and inhibit efforts to streamline the interconnection process.</w:t>
      </w:r>
      <w:r>
        <w:rPr>
          <w:rStyle w:val="FootnoteReference"/>
        </w:rPr>
        <w:footnoteReference w:id="630"/>
      </w:r>
    </w:p>
    <w:p w:rsidR="00760048" w:rsidRPr="0072600F" w14:paraId="4FC899EF" w14:textId="77777777">
      <w:pPr>
        <w:pStyle w:val="FERCparanumber"/>
        <w:widowControl/>
        <w:numPr>
          <w:ilvl w:val="0"/>
          <w:numId w:val="25"/>
        </w:numPr>
        <w:autoSpaceDE/>
        <w:autoSpaceDN/>
        <w:adjustRightInd/>
        <w:spacing w:line="480" w:lineRule="auto"/>
        <w:rPr>
          <w:sz w:val="26"/>
          <w:szCs w:val="26"/>
        </w:rPr>
      </w:pPr>
      <w:r w:rsidRPr="0072600F">
        <w:rPr>
          <w:sz w:val="26"/>
          <w:szCs w:val="26"/>
        </w:rPr>
        <w:t>Certain rehearing requests assert that the deadline and penalty structure in Order No. 2023 will foster a combative atmosphere and discord, potentially leading to delays.  Avangrid asserts that this structure incentivizes transmission providers to no longer use reasonable efforts to work with interconnection customers to fulfill the completeness of their application information and improve effectiveness, but instead declare interconnection customers in breach for delays and remove them from the interconnection process.</w:t>
      </w:r>
      <w:r>
        <w:rPr>
          <w:rStyle w:val="FootnoteReference"/>
        </w:rPr>
        <w:footnoteReference w:id="631"/>
      </w:r>
      <w:r w:rsidRPr="0072600F">
        <w:rPr>
          <w:sz w:val="26"/>
          <w:szCs w:val="26"/>
        </w:rPr>
        <w:t xml:space="preserve">  PJM asserts that the Commission failed to address arguments that this structure would undermine collaboration, with RTOs and transmission owners instead focusing on the need to simply protect against legal exposure.</w:t>
      </w:r>
      <w:r>
        <w:rPr>
          <w:rStyle w:val="FootnoteReference"/>
        </w:rPr>
        <w:footnoteReference w:id="632"/>
      </w:r>
      <w:r w:rsidRPr="0072600F">
        <w:rPr>
          <w:sz w:val="26"/>
          <w:szCs w:val="26"/>
        </w:rPr>
        <w:t xml:space="preserve">  Indicated PJM TOs assert that this structure will lead to acrimony—particularly in the regions where the interconnection queues are the longest—that will counter any efficiency gains.</w:t>
      </w:r>
      <w:r>
        <w:rPr>
          <w:rStyle w:val="FootnoteReference"/>
        </w:rPr>
        <w:footnoteReference w:id="633"/>
      </w:r>
      <w:r w:rsidRPr="0072600F">
        <w:rPr>
          <w:sz w:val="26"/>
          <w:szCs w:val="26"/>
        </w:rPr>
        <w:t xml:space="preserve">  SPP similarly argues that Order No. 2023 leaves open the question of how transmission providers would recover study delay penalties assessed to them, and could erode the working relationship of RTOs and the transmission owners in their footprint.</w:t>
      </w:r>
      <w:r>
        <w:rPr>
          <w:rStyle w:val="FootnoteReference"/>
        </w:rPr>
        <w:footnoteReference w:id="634"/>
      </w:r>
    </w:p>
    <w:p w:rsidR="00760048" w:rsidRPr="0072600F" w14:paraId="5DC63792" w14:textId="77777777">
      <w:pPr>
        <w:pStyle w:val="FERCparanumber"/>
        <w:widowControl/>
        <w:numPr>
          <w:ilvl w:val="0"/>
          <w:numId w:val="25"/>
        </w:numPr>
        <w:autoSpaceDE/>
        <w:autoSpaceDN/>
        <w:adjustRightInd/>
        <w:spacing w:line="480" w:lineRule="auto"/>
        <w:rPr>
          <w:sz w:val="26"/>
          <w:szCs w:val="26"/>
        </w:rPr>
      </w:pPr>
      <w:r w:rsidRPr="0072600F">
        <w:rPr>
          <w:sz w:val="26"/>
          <w:szCs w:val="26"/>
        </w:rPr>
        <w:t>Several of the rehearing requests argue that the deadline and penalty structure will create administrative or other burdens on transmission providers, which may be counterproductive because it will consume the same resources that would otherwise be used to perform interconnection studies.  AEP argues that study delay penalties will overcomplicate the interconnection process and increase litigation, administrative burden, and costs.</w:t>
      </w:r>
      <w:r>
        <w:rPr>
          <w:rStyle w:val="FootnoteReference"/>
        </w:rPr>
        <w:footnoteReference w:id="635"/>
      </w:r>
      <w:r w:rsidRPr="0072600F">
        <w:rPr>
          <w:sz w:val="26"/>
          <w:szCs w:val="26"/>
        </w:rPr>
        <w:t xml:space="preserve">  MISO TOs, PacifiCorp, and SPP claim that imposing penalties on transmission providers will make it more difficult to complete studies in a timely fashion because such penalties will deprive them of funds that could be used for qualified engineering personnel, and pursuing an appeal will create administrative burdens.</w:t>
      </w:r>
      <w:r>
        <w:rPr>
          <w:rStyle w:val="FootnoteReference"/>
        </w:rPr>
        <w:footnoteReference w:id="636"/>
      </w:r>
      <w:r w:rsidRPr="0072600F">
        <w:rPr>
          <w:sz w:val="26"/>
          <w:szCs w:val="26"/>
        </w:rPr>
        <w:t xml:space="preserve">    PJM claims that the Commission failed to address difficulties in assigning fault for delays, which will likely lead to litigation.</w:t>
      </w:r>
      <w:r>
        <w:rPr>
          <w:rStyle w:val="FootnoteReference"/>
        </w:rPr>
        <w:footnoteReference w:id="637"/>
      </w:r>
      <w:r w:rsidRPr="0072600F">
        <w:rPr>
          <w:sz w:val="26"/>
          <w:szCs w:val="26"/>
        </w:rPr>
        <w:t xml:space="preserve">  PJM also argues that the penalty structure will add time consuming study and reporting requirements, including administration to track study metrics, pursue penalty appeals, and collect and disburse penalty amounts.  Indicated PJM TOs assert that the burdens imposed by the deadline and penalty structure will further strain already scarce utility resources, given other industry trends that will likely increase transmission providers’ workloads.</w:t>
      </w:r>
      <w:r>
        <w:rPr>
          <w:rStyle w:val="FootnoteReference"/>
        </w:rPr>
        <w:footnoteReference w:id="638"/>
      </w:r>
    </w:p>
    <w:p w:rsidR="00760048" w:rsidRPr="0072600F" w14:paraId="184EBC66"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also note that managing new study deadlines by deploying additional resources will come at a cost to transmission providers.</w:t>
      </w:r>
      <w:r>
        <w:rPr>
          <w:rStyle w:val="FootnoteReference"/>
        </w:rPr>
        <w:footnoteReference w:id="639"/>
      </w:r>
      <w:r w:rsidRPr="0072600F">
        <w:rPr>
          <w:sz w:val="26"/>
          <w:szCs w:val="26"/>
        </w:rPr>
        <w:t xml:space="preserve">  Indicated PJM TOs contend that the Commission failed to consider the extent of such costs and their impacts in Order No. 2023.  Indicated PJM TOs also argue that the Commission failed to respond to the argument that the NOPR misrepresented statements by Utah Public Service Commission Chairman LeVar as providing support for study delay penalties.</w:t>
      </w:r>
      <w:r w:rsidRPr="0072600F">
        <w:rPr>
          <w:b/>
          <w:sz w:val="26"/>
          <w:szCs w:val="26"/>
          <w:vertAlign w:val="superscript"/>
        </w:rPr>
        <w:t xml:space="preserve"> </w:t>
      </w:r>
    </w:p>
    <w:p w:rsidR="00760048" w:rsidRPr="0072600F" w14:paraId="1F9E5F29"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and NYTOs assert that Order No. 2023’s deadline and penalty structure will negatively affect transmission providers’ own efforts at reforming the interconnection process.</w:t>
      </w:r>
      <w:r>
        <w:rPr>
          <w:rStyle w:val="FootnoteReference"/>
        </w:rPr>
        <w:footnoteReference w:id="640"/>
      </w:r>
      <w:r w:rsidRPr="0072600F">
        <w:rPr>
          <w:sz w:val="26"/>
          <w:szCs w:val="26"/>
        </w:rPr>
        <w:t xml:space="preserve">  Indicated PJM TOs claim that imposing this structure on regions that have already adopted cluster-study processes, but chose to retain the reasonable efforts standard, sends the message that their efforts to reach consensus as to appropriate reforms do not matter.</w:t>
      </w:r>
      <w:r>
        <w:rPr>
          <w:rStyle w:val="FootnoteReference"/>
        </w:rPr>
        <w:footnoteReference w:id="641"/>
      </w:r>
      <w:r w:rsidRPr="0072600F">
        <w:rPr>
          <w:sz w:val="26"/>
          <w:szCs w:val="26"/>
        </w:rPr>
        <w:t xml:space="preserve">  NYTOs assert that strictly enforcing deadlines and penalties, without exceptions, will hinder ongoing regional queue reform efforts, perhaps stifling innovation and necessary changes to address circumstances applicable in each region.</w:t>
      </w:r>
      <w:r>
        <w:rPr>
          <w:rStyle w:val="FootnoteReference"/>
        </w:rPr>
        <w:footnoteReference w:id="642"/>
      </w:r>
    </w:p>
    <w:p w:rsidR="00760048" w:rsidRPr="0072600F" w14:paraId="19B57406"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contends that the Commission failed to consider whether the study deposits assessed for interconnection studies would be sufficient to support the increased personnel costs required to complete those studies by the deadlines set forth in Order No. 2023.</w:t>
      </w:r>
      <w:r>
        <w:rPr>
          <w:rStyle w:val="FootnoteReference"/>
        </w:rPr>
        <w:footnoteReference w:id="643"/>
      </w:r>
      <w:r w:rsidRPr="0072600F">
        <w:rPr>
          <w:sz w:val="26"/>
          <w:szCs w:val="26"/>
        </w:rPr>
        <w:t xml:space="preserve">  Dominion further claims that there may be perverse incentives for interconnection customers to delay the completion of studies, given that customers can benefit from the penalty funds awarded to them, and Order No. 2023 does not penalize such customers for delays.</w:t>
      </w:r>
      <w:r w:rsidRPr="0072600F">
        <w:rPr>
          <w:b/>
          <w:sz w:val="26"/>
          <w:szCs w:val="26"/>
          <w:vertAlign w:val="superscript"/>
        </w:rPr>
        <w:t xml:space="preserve"> </w:t>
      </w:r>
    </w:p>
    <w:p w:rsidR="00760048" w:rsidRPr="0072600F" w14:paraId="6130D2A2" w14:textId="77777777">
      <w:pPr>
        <w:pStyle w:val="FERCparanumber"/>
        <w:widowControl/>
        <w:numPr>
          <w:ilvl w:val="0"/>
          <w:numId w:val="25"/>
        </w:numPr>
        <w:autoSpaceDE/>
        <w:autoSpaceDN/>
        <w:adjustRightInd/>
        <w:spacing w:line="480" w:lineRule="auto"/>
        <w:rPr>
          <w:sz w:val="26"/>
          <w:szCs w:val="26"/>
        </w:rPr>
      </w:pPr>
      <w:r w:rsidRPr="0072600F">
        <w:rPr>
          <w:sz w:val="26"/>
          <w:szCs w:val="26"/>
        </w:rPr>
        <w:t>Certain of the rehearing requests also assert that the deadline and penalty structure set forth in Order No. 2023 is one-sided, and therefore unduly discriminatory or unjust and unreasonable, noting that interconnection customers (or other parties) are not subject to potential penalties for the role they may play in delayed interconnection studies.</w:t>
      </w:r>
      <w:r>
        <w:rPr>
          <w:rStyle w:val="FootnoteReference"/>
        </w:rPr>
        <w:footnoteReference w:id="644"/>
      </w:r>
      <w:r w:rsidRPr="0072600F">
        <w:rPr>
          <w:sz w:val="26"/>
          <w:szCs w:val="26"/>
        </w:rPr>
        <w:t xml:space="preserve">  Avangrid also contends that Order 2023’s incentives are one-sided, with interconnecting generators having both “carrot” incentives (in the form of profits from having generation interconnected) and “stick” incentives, but transmission providers and transmission owners, who perform generator interconnection activities (often on a non-profit basis) are limited to avoiding the “stick” of a study delay penalty.</w:t>
      </w:r>
      <w:r>
        <w:rPr>
          <w:rStyle w:val="FootnoteReference"/>
        </w:rPr>
        <w:footnoteReference w:id="645"/>
      </w:r>
      <w:r w:rsidRPr="0072600F">
        <w:rPr>
          <w:sz w:val="26"/>
          <w:szCs w:val="26"/>
        </w:rPr>
        <w:t xml:space="preserve">  Indicated PJM TOs assert that the Commission’s reasoning for declining to assess such penalties against interconnection customers—that transmission providers may deem non-compliant interconnection requests withdrawn—underestimates the difficulty of removing an interconnection customer that fails to meet deadlines from the queue, particularly given that customers may seek redress at the Commission.</w:t>
      </w:r>
      <w:r>
        <w:rPr>
          <w:rStyle w:val="FootnoteReference"/>
        </w:rPr>
        <w:footnoteReference w:id="646"/>
      </w:r>
      <w:r w:rsidRPr="0072600F">
        <w:rPr>
          <w:sz w:val="26"/>
          <w:szCs w:val="26"/>
        </w:rPr>
        <w:t xml:space="preserve">  </w:t>
      </w:r>
    </w:p>
    <w:p w:rsidR="00760048" w:rsidRPr="0072600F" w14:paraId="290D837E" w14:textId="77777777">
      <w:pPr>
        <w:pStyle w:val="FERCparanumber"/>
        <w:widowControl/>
        <w:numPr>
          <w:ilvl w:val="0"/>
          <w:numId w:val="25"/>
        </w:numPr>
        <w:autoSpaceDE/>
        <w:autoSpaceDN/>
        <w:adjustRightInd/>
        <w:spacing w:line="480" w:lineRule="auto"/>
        <w:rPr>
          <w:sz w:val="26"/>
          <w:szCs w:val="26"/>
        </w:rPr>
      </w:pPr>
      <w:r w:rsidRPr="0072600F">
        <w:rPr>
          <w:sz w:val="26"/>
          <w:szCs w:val="26"/>
        </w:rPr>
        <w:t>Avangrid, MISO TOs, and NYTOs assert that the assessment of penalties for failing to meet a study deadline without regard to fault is confiscatory, asserting that this renders the penalties</w:t>
      </w:r>
      <w:r w:rsidRPr="0072600F">
        <w:rPr>
          <w:sz w:val="26"/>
          <w:szCs w:val="26"/>
        </w:rPr>
        <w:t xml:space="preserve"> </w:t>
      </w:r>
      <w:r w:rsidRPr="0072600F">
        <w:rPr>
          <w:sz w:val="26"/>
          <w:szCs w:val="26"/>
        </w:rPr>
        <w:t>regulatory takings in violation of the Takings Clause of the Constitution.</w:t>
      </w:r>
      <w:r>
        <w:rPr>
          <w:rStyle w:val="FootnoteReference"/>
        </w:rPr>
        <w:footnoteReference w:id="647"/>
      </w:r>
      <w:r w:rsidRPr="0072600F">
        <w:rPr>
          <w:sz w:val="26"/>
          <w:szCs w:val="26"/>
        </w:rPr>
        <w:t xml:space="preserve">  Avangrid and NYTOs further contend that the penalty framework may potentially deny recovery of costs incurred for interconnection studies performed using good utility practice.</w:t>
      </w:r>
      <w:r>
        <w:rPr>
          <w:rStyle w:val="FootnoteReference"/>
        </w:rPr>
        <w:footnoteReference w:id="648"/>
      </w:r>
      <w:r w:rsidRPr="0072600F">
        <w:rPr>
          <w:sz w:val="26"/>
          <w:szCs w:val="26"/>
        </w:rPr>
        <w:t xml:space="preserve">  MISO TOs assert that the penalty framework may require transmission providers to perform interconnection studies “</w:t>
      </w:r>
      <w:r w:rsidRPr="0072600F">
        <w:rPr>
          <w:i/>
          <w:iCs/>
          <w:sz w:val="26"/>
          <w:szCs w:val="26"/>
        </w:rPr>
        <w:t>for free</w:t>
      </w:r>
      <w:r w:rsidRPr="0072600F">
        <w:rPr>
          <w:sz w:val="26"/>
          <w:szCs w:val="26"/>
        </w:rPr>
        <w:t>, simply if they miss a deadline.”</w:t>
      </w:r>
      <w:r>
        <w:rPr>
          <w:rStyle w:val="FootnoteReference"/>
        </w:rPr>
        <w:footnoteReference w:id="649"/>
      </w:r>
      <w:r w:rsidRPr="0072600F">
        <w:rPr>
          <w:sz w:val="26"/>
          <w:szCs w:val="26"/>
        </w:rPr>
        <w:t xml:space="preserve">  </w:t>
      </w:r>
    </w:p>
    <w:p w:rsidR="00760048" w:rsidRPr="0072600F" w14:paraId="067A4F2B" w14:textId="77777777">
      <w:pPr>
        <w:pStyle w:val="Heading6"/>
        <w:numPr>
          <w:ilvl w:val="5"/>
          <w:numId w:val="24"/>
        </w:numPr>
        <w:autoSpaceDE/>
        <w:autoSpaceDN/>
        <w:adjustRightInd/>
        <w:rPr>
          <w:szCs w:val="26"/>
        </w:rPr>
      </w:pPr>
      <w:r w:rsidRPr="0072600F">
        <w:rPr>
          <w:szCs w:val="26"/>
        </w:rPr>
        <w:t>Determination</w:t>
      </w:r>
    </w:p>
    <w:p w:rsidR="00760048" w:rsidRPr="0072600F" w14:paraId="1D3BE8A9" w14:textId="77777777">
      <w:pPr>
        <w:pStyle w:val="FERCparanumber"/>
        <w:widowControl/>
        <w:numPr>
          <w:ilvl w:val="0"/>
          <w:numId w:val="25"/>
        </w:numPr>
        <w:autoSpaceDE/>
        <w:autoSpaceDN/>
        <w:adjustRightInd/>
        <w:spacing w:line="480" w:lineRule="auto"/>
        <w:rPr>
          <w:sz w:val="26"/>
          <w:szCs w:val="26"/>
        </w:rPr>
      </w:pPr>
      <w:bookmarkStart w:id="61" w:name="_Ref160108382"/>
      <w:r w:rsidRPr="0072600F">
        <w:rPr>
          <w:sz w:val="26"/>
          <w:szCs w:val="26"/>
        </w:rPr>
        <w:t>We disagree with the rehearing requests that argue that Order No. 2023’s penalty structure is unjust and unreasonable, violates due process, or is otherwise inequitable because it is a “strict liability” structure that assigns penalties to transmission providers regardless of fault.  To begin with, the imposition of standards of performance—</w:t>
      </w:r>
      <w:r w:rsidR="00CD7E6F">
        <w:rPr>
          <w:sz w:val="26"/>
          <w:szCs w:val="26"/>
        </w:rPr>
        <w:t xml:space="preserve">namely, </w:t>
      </w:r>
      <w:r w:rsidRPr="0072600F">
        <w:rPr>
          <w:sz w:val="26"/>
          <w:szCs w:val="26"/>
        </w:rPr>
        <w:t xml:space="preserve">deadlines—on transmission providers to conduct interconnection studies was based on the need for reform to ensure the timely processing of such studies given the control that transmission providers exercise over the study process.  Likewise, the deadlines were selected based on timeframes that, as a general matter, should be reasonably achievable for transmission providers under the </w:t>
      </w:r>
      <w:r w:rsidRPr="0072600F">
        <w:rPr>
          <w:i/>
          <w:iCs/>
          <w:sz w:val="26"/>
          <w:szCs w:val="26"/>
        </w:rPr>
        <w:t>pro forma</w:t>
      </w:r>
      <w:r w:rsidRPr="0072600F">
        <w:rPr>
          <w:sz w:val="26"/>
          <w:szCs w:val="26"/>
        </w:rPr>
        <w:t xml:space="preserve"> LGIP process</w:t>
      </w:r>
      <w:r w:rsidR="005E56F7">
        <w:rPr>
          <w:sz w:val="26"/>
          <w:szCs w:val="26"/>
        </w:rPr>
        <w:t>,</w:t>
      </w:r>
      <w:r w:rsidRPr="0072600F">
        <w:rPr>
          <w:sz w:val="26"/>
          <w:szCs w:val="26"/>
        </w:rPr>
        <w:t xml:space="preserve"> including other reforms adopted in Order No. 2023.  As a result, based on the record and the Commission’s findings in this proceeding, we have concluded that a failure to meet these deadlines presumptively reflects that a transmission provider has failed to respond appropriately to the need for timely interconnection study processing such that a penalty is warranted in order to ensure just and reasonable rates.  That penalty reduces what transmission providers can charge for interconnection studies that fail to meet the performance standards set forth in Order No. 2023.</w:t>
      </w:r>
      <w:bookmarkEnd w:id="61"/>
      <w:r w:rsidRPr="0072600F">
        <w:rPr>
          <w:sz w:val="26"/>
          <w:szCs w:val="26"/>
        </w:rPr>
        <w:t xml:space="preserve"> </w:t>
      </w:r>
    </w:p>
    <w:p w:rsidR="00760048" w:rsidRPr="0072600F" w14:paraId="1E594C2D" w14:textId="77777777">
      <w:pPr>
        <w:pStyle w:val="FERCparanumber"/>
        <w:widowControl/>
        <w:numPr>
          <w:ilvl w:val="0"/>
          <w:numId w:val="25"/>
        </w:numPr>
        <w:autoSpaceDE/>
        <w:autoSpaceDN/>
        <w:adjustRightInd/>
        <w:spacing w:line="480" w:lineRule="auto"/>
        <w:rPr>
          <w:sz w:val="26"/>
          <w:szCs w:val="26"/>
        </w:rPr>
      </w:pPr>
      <w:bookmarkStart w:id="62" w:name="_Ref160108206"/>
      <w:r w:rsidRPr="0072600F">
        <w:rPr>
          <w:sz w:val="26"/>
          <w:szCs w:val="26"/>
        </w:rPr>
        <w:t xml:space="preserve">Moreover, the characterization of this structure as “strict liability” is inaccurate because section 3.9(3) of the </w:t>
      </w:r>
      <w:r w:rsidRPr="0072600F">
        <w:rPr>
          <w:i/>
          <w:sz w:val="26"/>
          <w:szCs w:val="26"/>
        </w:rPr>
        <w:t>pro forma</w:t>
      </w:r>
      <w:r w:rsidRPr="0072600F">
        <w:rPr>
          <w:sz w:val="26"/>
          <w:szCs w:val="26"/>
        </w:rPr>
        <w:t xml:space="preserve"> LGIP provides a robust framework for transmission providers to appeal any study delay penalties to the Commission.  Under that framework, and unlike a “strict liability” regime, transmission providers can raise case-specific facts and circumstances for the Commission’s consideration in determining whether there is good cause to grant relief from a penalty.  The list of factors that the Commission set forth in Order No. 2023 reflect</w:t>
      </w:r>
      <w:r w:rsidR="00DB49EB">
        <w:rPr>
          <w:sz w:val="26"/>
          <w:szCs w:val="26"/>
        </w:rPr>
        <w:t>s</w:t>
      </w:r>
      <w:r w:rsidRPr="0072600F">
        <w:rPr>
          <w:sz w:val="26"/>
          <w:szCs w:val="26"/>
        </w:rPr>
        <w:t xml:space="preserve"> that transmission providers have the opportunity to demonstrate that a penalty for a late study is not warranted, including based on considerations of the transmission provider’s conduct or lack of fault for any delay.</w:t>
      </w:r>
      <w:r>
        <w:rPr>
          <w:rStyle w:val="FootnoteReference"/>
        </w:rPr>
        <w:footnoteReference w:id="650"/>
      </w:r>
      <w:r w:rsidRPr="0072600F">
        <w:rPr>
          <w:sz w:val="26"/>
          <w:szCs w:val="26"/>
        </w:rPr>
        <w:t xml:space="preserve">  In fact, the Commission will consider affording relief based not just on the transmission provider’s conduct in any particular study, but also their efforts to prevent future delays.  This list of factors, while reflecting the considerations that the Commission deems most likely to be pertinent to establishing good cause for relief from a penalty, is also non-exhaustive such that transmission providers may raise, for the Commission’s consideration, any other circumstances that they deem pertinent to a request for relief.</w:t>
      </w:r>
      <w:r>
        <w:rPr>
          <w:rStyle w:val="FootnoteReference"/>
        </w:rPr>
        <w:footnoteReference w:id="651"/>
      </w:r>
      <w:r w:rsidRPr="0072600F">
        <w:rPr>
          <w:sz w:val="26"/>
          <w:szCs w:val="26"/>
        </w:rPr>
        <w:t xml:space="preserve">  Any final Commission order finding that there is not good cause for relief from a penalty is subject to rehearing, as appropriate, and may also be subject to judicial review, pursuant to FPA section 313.</w:t>
      </w:r>
      <w:r>
        <w:rPr>
          <w:rStyle w:val="FootnoteReference"/>
        </w:rPr>
        <w:footnoteReference w:id="652"/>
      </w:r>
      <w:bookmarkEnd w:id="62"/>
    </w:p>
    <w:p w:rsidR="00760048" w:rsidRPr="0072600F" w14:paraId="62CC1756" w14:textId="77777777">
      <w:pPr>
        <w:pStyle w:val="FERCparanumber"/>
        <w:widowControl/>
        <w:numPr>
          <w:ilvl w:val="0"/>
          <w:numId w:val="25"/>
        </w:numPr>
        <w:autoSpaceDE/>
        <w:autoSpaceDN/>
        <w:adjustRightInd/>
        <w:spacing w:line="480" w:lineRule="auto"/>
        <w:rPr>
          <w:sz w:val="26"/>
          <w:szCs w:val="26"/>
        </w:rPr>
      </w:pPr>
      <w:bookmarkStart w:id="63" w:name="_Ref160109163"/>
      <w:r w:rsidRPr="0072600F">
        <w:rPr>
          <w:sz w:val="26"/>
          <w:szCs w:val="26"/>
        </w:rPr>
        <w:t>Arguments in the rehearing requests that the deadline and penalty structure set forth in Order No. 2023 violates due process are not well developed, as they largely fail to address the governing legal standards,</w:t>
      </w:r>
      <w:r>
        <w:rPr>
          <w:rStyle w:val="FootnoteReference"/>
        </w:rPr>
        <w:footnoteReference w:id="653"/>
      </w:r>
      <w:r w:rsidRPr="0072600F">
        <w:rPr>
          <w:sz w:val="26"/>
          <w:szCs w:val="26"/>
        </w:rPr>
        <w:t xml:space="preserve"> or explain how Order No. 2023 is inconsistent with judicial or Commission precedent,</w:t>
      </w:r>
      <w:r>
        <w:rPr>
          <w:rStyle w:val="FootnoteReference"/>
        </w:rPr>
        <w:footnoteReference w:id="654"/>
      </w:r>
      <w:r w:rsidRPr="0072600F">
        <w:rPr>
          <w:sz w:val="26"/>
          <w:szCs w:val="26"/>
        </w:rPr>
        <w:t xml:space="preserve"> in this respect.  Moreover, the Commission’s adoption of the deadline and penalty structure in Order No. 2023 reflects an exercise of its ratemaking authority under FPA section 206, setting performance standards associated with the conduct of interconnection studies and financial consequences for the failure to meet those standards.</w:t>
      </w:r>
      <w:r>
        <w:rPr>
          <w:rStyle w:val="FootnoteReference"/>
        </w:rPr>
        <w:footnoteReference w:id="655"/>
      </w:r>
      <w:r w:rsidRPr="0072600F">
        <w:rPr>
          <w:sz w:val="26"/>
          <w:szCs w:val="26"/>
        </w:rPr>
        <w:t xml:space="preserve">  In this context, the Commission exercised its discretion to adopt an appeals process.  Although commenters have not established what, if any, constitutional due process rights they might possess in this context, we need not reach this question.  Rather, based on the arguments that have been presented and the record before us, we find that the deadline and penalty structure in Order No. 2023 does not violate any transmission providers’ potential rights to due process and is just and reasonable.</w:t>
      </w:r>
      <w:bookmarkEnd w:id="63"/>
    </w:p>
    <w:p w:rsidR="00760048" w:rsidRPr="0072600F" w14:paraId="4AA838E6" w14:textId="77777777">
      <w:pPr>
        <w:pStyle w:val="FERCparanumber"/>
        <w:widowControl/>
        <w:numPr>
          <w:ilvl w:val="0"/>
          <w:numId w:val="25"/>
        </w:numPr>
        <w:autoSpaceDE/>
        <w:autoSpaceDN/>
        <w:adjustRightInd/>
        <w:spacing w:line="480" w:lineRule="auto"/>
        <w:rPr>
          <w:sz w:val="26"/>
          <w:szCs w:val="26"/>
        </w:rPr>
      </w:pPr>
      <w:bookmarkStart w:id="64" w:name="_Ref160108249"/>
      <w:r w:rsidRPr="0072600F">
        <w:rPr>
          <w:sz w:val="26"/>
          <w:szCs w:val="26"/>
        </w:rPr>
        <w:t xml:space="preserve">In particular, even assuming </w:t>
      </w:r>
      <w:r w:rsidRPr="0072600F">
        <w:rPr>
          <w:i/>
          <w:iCs/>
          <w:sz w:val="26"/>
          <w:szCs w:val="26"/>
        </w:rPr>
        <w:t xml:space="preserve">arguendo </w:t>
      </w:r>
      <w:r w:rsidRPr="0072600F">
        <w:rPr>
          <w:sz w:val="26"/>
          <w:szCs w:val="26"/>
        </w:rPr>
        <w:t>that transmission providers have due process rights relating to the appeals process the Commission chose to adopt in Order No. 2023, the hallmarks of due process are fair notice and an opportunity to be heard.</w:t>
      </w:r>
      <w:r>
        <w:rPr>
          <w:rStyle w:val="FootnoteReference"/>
        </w:rPr>
        <w:footnoteReference w:id="656"/>
      </w:r>
      <w:r w:rsidRPr="0072600F">
        <w:rPr>
          <w:sz w:val="26"/>
          <w:szCs w:val="26"/>
        </w:rPr>
        <w:t xml:space="preserve">  Transmission providers have received fair notice and an extensive opportunity to be heard through this notice-and-comment rulemaking proceeding as to, among other things, the conduct that (absent an appeal demonstrating good cause for relief) will result in a penalty,</w:t>
      </w:r>
      <w:r>
        <w:rPr>
          <w:rStyle w:val="FootnoteReference"/>
        </w:rPr>
        <w:footnoteReference w:id="657"/>
      </w:r>
      <w:r w:rsidRPr="0072600F">
        <w:rPr>
          <w:sz w:val="26"/>
          <w:szCs w:val="26"/>
        </w:rPr>
        <w:t xml:space="preserve"> the amount of the potential penalty,</w:t>
      </w:r>
      <w:r>
        <w:rPr>
          <w:rStyle w:val="FootnoteReference"/>
        </w:rPr>
        <w:footnoteReference w:id="658"/>
      </w:r>
      <w:r w:rsidRPr="0072600F">
        <w:rPr>
          <w:sz w:val="26"/>
          <w:szCs w:val="26"/>
        </w:rPr>
        <w:t xml:space="preserve"> and the ability to seek relief from a penalty through the appeals process.</w:t>
      </w:r>
      <w:r>
        <w:rPr>
          <w:rStyle w:val="FootnoteReference"/>
        </w:rPr>
        <w:footnoteReference w:id="659"/>
      </w:r>
      <w:r w:rsidRPr="0072600F">
        <w:rPr>
          <w:sz w:val="26"/>
          <w:szCs w:val="26"/>
        </w:rPr>
        <w:t xml:space="preserve">  The appeals process provides a further opportunity, prior to any obligation to distribute an assessed study penalty,</w:t>
      </w:r>
      <w:r>
        <w:rPr>
          <w:rStyle w:val="FootnoteReference"/>
        </w:rPr>
        <w:footnoteReference w:id="660"/>
      </w:r>
      <w:r w:rsidRPr="0072600F">
        <w:rPr>
          <w:sz w:val="26"/>
          <w:szCs w:val="26"/>
        </w:rPr>
        <w:t xml:space="preserve"> for transmission providers to be heard regarding whether relief from a particular assessment of a penalty, on the facts of a given case, is warranted.</w:t>
      </w:r>
      <w:r>
        <w:rPr>
          <w:rStyle w:val="FootnoteReference"/>
        </w:rPr>
        <w:footnoteReference w:id="661"/>
      </w:r>
      <w:r w:rsidRPr="0072600F">
        <w:rPr>
          <w:sz w:val="26"/>
          <w:szCs w:val="26"/>
        </w:rPr>
        <w:t xml:space="preserve">  A party aggrieved by a Commission order addressing such an appeal—which order will state the Commission’s reasoning for any denial of relief—has yet another opportunity to be heard by seeking rehearing of that order.</w:t>
      </w:r>
      <w:bookmarkEnd w:id="64"/>
    </w:p>
    <w:p w:rsidR="00760048" w:rsidRPr="0072600F" w14:paraId="329BB6A8" w14:textId="77777777">
      <w:pPr>
        <w:pStyle w:val="FERCparanumber"/>
        <w:widowControl/>
        <w:numPr>
          <w:ilvl w:val="0"/>
          <w:numId w:val="25"/>
        </w:numPr>
        <w:autoSpaceDE/>
        <w:autoSpaceDN/>
        <w:adjustRightInd/>
        <w:spacing w:line="480" w:lineRule="auto"/>
        <w:rPr>
          <w:sz w:val="26"/>
          <w:szCs w:val="26"/>
        </w:rPr>
      </w:pPr>
      <w:r w:rsidRPr="0072600F">
        <w:rPr>
          <w:sz w:val="26"/>
          <w:szCs w:val="26"/>
        </w:rPr>
        <w:t>Transmission providers also have fair notice</w:t>
      </w:r>
      <w:r>
        <w:rPr>
          <w:rStyle w:val="FootnoteReference"/>
        </w:rPr>
        <w:footnoteReference w:id="662"/>
      </w:r>
      <w:r w:rsidRPr="0072600F">
        <w:rPr>
          <w:sz w:val="26"/>
          <w:szCs w:val="26"/>
        </w:rPr>
        <w:t xml:space="preserve"> of the factors that the Commission has concluded are most likely to be pertinent to demonstrating good cause for relief.</w:t>
      </w:r>
      <w:r>
        <w:rPr>
          <w:rStyle w:val="FootnoteReference"/>
        </w:rPr>
        <w:footnoteReference w:id="663"/>
      </w:r>
      <w:r w:rsidRPr="0072600F">
        <w:rPr>
          <w:sz w:val="26"/>
          <w:szCs w:val="26"/>
        </w:rPr>
        <w:t xml:space="preserve">  We disagree that the Commission must specify “exactly” what transmission providers must do to demonstrate good cause for relief or that failing to do so renders the appeal impermissibly vague or a “moving target” that offends due process.  The Commission’s decisions addressing appeals will also be subject to the standard requirements of administrative law regarding reasoned decision-making, including that the Commission develop a consistent body of precedent in considering such appeals and explain any deviation from that precedent in a reasoned fashion.</w:t>
      </w:r>
      <w:r>
        <w:rPr>
          <w:rStyle w:val="FootnoteReference"/>
        </w:rPr>
        <w:footnoteReference w:id="664"/>
      </w:r>
      <w:r w:rsidRPr="0072600F">
        <w:rPr>
          <w:sz w:val="26"/>
          <w:szCs w:val="26"/>
        </w:rPr>
        <w:t xml:space="preserve">  </w:t>
      </w:r>
    </w:p>
    <w:p w:rsidR="00760048" w:rsidRPr="0072600F" w14:paraId="1ABB227A" w14:textId="77777777">
      <w:pPr>
        <w:pStyle w:val="FERCparanumber"/>
        <w:widowControl/>
        <w:numPr>
          <w:ilvl w:val="0"/>
          <w:numId w:val="25"/>
        </w:numPr>
        <w:autoSpaceDE/>
        <w:autoSpaceDN/>
        <w:adjustRightInd/>
        <w:spacing w:line="480" w:lineRule="auto"/>
        <w:rPr>
          <w:sz w:val="26"/>
          <w:szCs w:val="26"/>
        </w:rPr>
      </w:pPr>
      <w:bookmarkStart w:id="65" w:name="_Ref160108250"/>
      <w:r w:rsidRPr="0072600F">
        <w:rPr>
          <w:sz w:val="26"/>
          <w:szCs w:val="26"/>
        </w:rPr>
        <w:t>Indeed, arguments speculating that the Commission might, in the appeals process, decline to afford relief where a transmission provider believes the facts warrant relief</w:t>
      </w:r>
      <w:r w:rsidR="00810F73">
        <w:rPr>
          <w:sz w:val="26"/>
          <w:szCs w:val="26"/>
        </w:rPr>
        <w:t>,</w:t>
      </w:r>
      <w:r w:rsidRPr="0072600F">
        <w:rPr>
          <w:sz w:val="26"/>
          <w:szCs w:val="26"/>
        </w:rPr>
        <w:t xml:space="preserve"> are premature.  Arguments that the Commission should or must grant relief from a penalty (such that failure to do so is arbitrary and capricious, violates due process, or is otherwise unlawful) can be raised in the context of the appeals process in a given case, rehearing, and—if appropriate—judicial review, where the particular facts of the case at issue have been developed.</w:t>
      </w:r>
      <w:r>
        <w:rPr>
          <w:rStyle w:val="FootnoteReference"/>
        </w:rPr>
        <w:footnoteReference w:id="665"/>
      </w:r>
      <w:r w:rsidRPr="0072600F">
        <w:rPr>
          <w:sz w:val="26"/>
          <w:szCs w:val="26"/>
        </w:rPr>
        <w:t xml:space="preserve">  The Commission is not at this time presented with determining, and declines to prejudge, whether any particular set of facts will necessarily warrant relief, as such considerations are best left to a case-by-case assessment.</w:t>
      </w:r>
      <w:r>
        <w:rPr>
          <w:rStyle w:val="FootnoteReference"/>
        </w:rPr>
        <w:footnoteReference w:id="666"/>
      </w:r>
      <w:bookmarkEnd w:id="65"/>
    </w:p>
    <w:p w:rsidR="00760048" w:rsidRPr="0072600F" w14:paraId="182654D3"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the rehearing requests assert that the appeals process impermissibly places the burden of seeking relief from a penalty on the transmission provider, rather than requiring that the penalty be determined “de novo” before the Commission.</w:t>
      </w:r>
      <w:r>
        <w:rPr>
          <w:rStyle w:val="FootnoteReference"/>
        </w:rPr>
        <w:footnoteReference w:id="667"/>
      </w:r>
      <w:r w:rsidRPr="0072600F">
        <w:rPr>
          <w:sz w:val="26"/>
          <w:szCs w:val="26"/>
        </w:rPr>
        <w:t xml:space="preserve">  Here, too, the rehearing requests cite no legal authority supporting this argument that the appeals process, for this reason, is unjust and unreasonable, offends due process, or is otherwise unlawful.  In Order No. 2023, the Commission determined, as a rulemaking and based on the record before it, that in the context of what constitutes a just and reasonable rate, failure to meet performance standards for the timely completion of interconnection studies warrants a penalty that effectively reduces what transmission providers can charge for interconnection studies that fail to meet those standards.  The appeals process is a safeguard in which the transmission provider is the proponent of a requested order seeking relief from the penalty.</w:t>
      </w:r>
      <w:r>
        <w:rPr>
          <w:rStyle w:val="FootnoteReference"/>
        </w:rPr>
        <w:footnoteReference w:id="668"/>
      </w:r>
      <w:r w:rsidRPr="0072600F">
        <w:rPr>
          <w:sz w:val="26"/>
          <w:szCs w:val="26"/>
        </w:rPr>
        <w:t xml:space="preserve">  Requiring the transmission provider to demonstrate good cause for relief is also just and reasonable under the circumstances.  The</w:t>
      </w:r>
      <w:r w:rsidRPr="0072600F">
        <w:rPr>
          <w:sz w:val="26"/>
          <w:szCs w:val="26"/>
        </w:rPr>
        <w:t xml:space="preserve"> </w:t>
      </w:r>
      <w:r w:rsidRPr="0072600F">
        <w:rPr>
          <w:sz w:val="26"/>
          <w:szCs w:val="26"/>
        </w:rPr>
        <w:t xml:space="preserve">application of a penalty in defined amounts for failure to meet study deadlines, absent a showing of good cause for relief, helps to ensure that transmission providers are on notice of the instances when penalties apply and in what magnitude, and that they will take seriously the prospect of a penalty.  Transmission providers are also the entities with the most control over, and most knowledge regarding, the conduct of the study process and the reasons that the process may be delayed, such that it is reasonable to put the burden on transmission providers to establish a basis for relief from a penalty. </w:t>
      </w:r>
    </w:p>
    <w:p w:rsidR="00760048" w:rsidRPr="0072600F" w14:paraId="1190E677" w14:textId="77777777">
      <w:pPr>
        <w:pStyle w:val="FERCparanumber"/>
        <w:widowControl/>
        <w:numPr>
          <w:ilvl w:val="0"/>
          <w:numId w:val="25"/>
        </w:numPr>
        <w:autoSpaceDE/>
        <w:autoSpaceDN/>
        <w:adjustRightInd/>
        <w:spacing w:line="480" w:lineRule="auto"/>
        <w:rPr>
          <w:sz w:val="26"/>
          <w:szCs w:val="26"/>
        </w:rPr>
      </w:pPr>
      <w:r w:rsidRPr="0072600F">
        <w:rPr>
          <w:sz w:val="26"/>
          <w:szCs w:val="26"/>
        </w:rPr>
        <w:t>Likewise, we are not persuaded by arguments that, because there are other factors that can contribute to interconnection study delays, the imposition of penalties on transmission providers, under the structure set forth in Order No. 2023, is not just and reasonable.  We disagree that adopting performance standards and incentives, in the form of deadlines and penalties, in Order No. 2023 cannot be just and reasonable unless the Commission first addresses and removes every other variable that may influence the timely completion of interconnection studies.  As discussed above, the existence of multiple factors that may delay interconnection studies is a consideration that favors taking a comprehensive approach to address the unjust and unreasonable rates resulting from interconnection queue backlogs.  Having found that the reasonable efforts standard was failing to ensure adequate incentives for transmission providers for timely study completion, we have also found that imposing deadlines</w:t>
      </w:r>
      <w:r>
        <w:rPr>
          <w:rStyle w:val="FootnoteReference"/>
        </w:rPr>
        <w:footnoteReference w:id="669"/>
      </w:r>
      <w:r w:rsidRPr="0072600F">
        <w:rPr>
          <w:sz w:val="26"/>
          <w:szCs w:val="26"/>
        </w:rPr>
        <w:t xml:space="preserve"> subject to penalties for late interconnection studies—subject to appropriate safeguards</w:t>
      </w:r>
      <w:r>
        <w:rPr>
          <w:rStyle w:val="FootnoteReference"/>
        </w:rPr>
        <w:footnoteReference w:id="670"/>
      </w:r>
      <w:r w:rsidRPr="0072600F">
        <w:rPr>
          <w:sz w:val="26"/>
          <w:szCs w:val="26"/>
        </w:rPr>
        <w:t xml:space="preserve">—will help ensure that transmission providers take the steps that are within their control to ensure study timeliness.  </w:t>
      </w:r>
    </w:p>
    <w:p w:rsidR="00760048" w:rsidRPr="0072600F" w14:paraId="7EE62577" w14:textId="77777777">
      <w:pPr>
        <w:pStyle w:val="FERCparanumber"/>
        <w:widowControl/>
        <w:numPr>
          <w:ilvl w:val="0"/>
          <w:numId w:val="25"/>
        </w:numPr>
        <w:autoSpaceDE/>
        <w:autoSpaceDN/>
        <w:adjustRightInd/>
        <w:spacing w:line="480" w:lineRule="auto"/>
        <w:rPr>
          <w:sz w:val="26"/>
          <w:szCs w:val="26"/>
        </w:rPr>
      </w:pPr>
      <w:bookmarkStart w:id="66" w:name="_Ref160108763"/>
      <w:r w:rsidRPr="0072600F">
        <w:rPr>
          <w:sz w:val="26"/>
          <w:szCs w:val="26"/>
        </w:rPr>
        <w:t>Arguments that the procedures for an appeal are too vaguely defined are not meritorious.  The Commission has broad discretion as to procedural matters,</w:t>
      </w:r>
      <w:r>
        <w:rPr>
          <w:rStyle w:val="FootnoteReference"/>
        </w:rPr>
        <w:footnoteReference w:id="671"/>
      </w:r>
      <w:r w:rsidRPr="0072600F">
        <w:rPr>
          <w:sz w:val="26"/>
          <w:szCs w:val="26"/>
        </w:rPr>
        <w:t xml:space="preserve"> and we conclude that the exercise of that discretion on a case-by-case basis is appropriate, including because doing so will help avoid undue administrative burdens attendant to employing set procedures in appeals that may not require those procedures.  Similarly, as to NYTO’s argument that cases involving genuine disputes of material fact require hearing beyond evaluation of a written record,</w:t>
      </w:r>
      <w:r>
        <w:rPr>
          <w:rStyle w:val="FootnoteReference"/>
        </w:rPr>
        <w:footnoteReference w:id="672"/>
      </w:r>
      <w:r w:rsidRPr="0072600F">
        <w:rPr>
          <w:sz w:val="26"/>
          <w:szCs w:val="26"/>
        </w:rPr>
        <w:t xml:space="preserve"> the Commission can order such hearings in cases that require them.  If parties believe that particular procedures in a given appeal are necessary or would be beneficial, they can so inform the Commission in the context of that case.</w:t>
      </w:r>
      <w:r>
        <w:rPr>
          <w:rStyle w:val="FootnoteReference"/>
        </w:rPr>
        <w:footnoteReference w:id="673"/>
      </w:r>
      <w:bookmarkEnd w:id="66"/>
    </w:p>
    <w:p w:rsidR="00760048" w:rsidRPr="0072600F" w14:paraId="5E3835F2"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arguments that the Commission inappropriately discouraged transmission providers from filing appeals of study delay penalties under FPA section 206.  Order No. 2023 only</w:t>
      </w:r>
      <w:r w:rsidRPr="0072600F">
        <w:rPr>
          <w:sz w:val="26"/>
          <w:szCs w:val="26"/>
        </w:rPr>
        <w:t xml:space="preserve"> </w:t>
      </w:r>
      <w:r w:rsidRPr="0072600F">
        <w:rPr>
          <w:sz w:val="26"/>
          <w:szCs w:val="26"/>
        </w:rPr>
        <w:t xml:space="preserve">clarified that, when a transmission provider that conducts interconnection studies appeals study delay penalties incurred automatically under 18 CFR </w:t>
      </w:r>
      <w:r w:rsidRPr="00E64D3C" w:rsidR="00E64D3C">
        <w:rPr>
          <w:sz w:val="26"/>
          <w:szCs w:val="26"/>
        </w:rPr>
        <w:t>§</w:t>
      </w:r>
      <w:r w:rsidR="00E64D3C">
        <w:rPr>
          <w:sz w:val="26"/>
          <w:szCs w:val="26"/>
        </w:rPr>
        <w:t xml:space="preserve"> </w:t>
      </w:r>
      <w:r w:rsidRPr="0072600F">
        <w:rPr>
          <w:sz w:val="26"/>
          <w:szCs w:val="26"/>
        </w:rPr>
        <w:t xml:space="preserve">35.28(f)(1)(ii) or </w:t>
      </w:r>
      <w:r w:rsidRPr="00E64D3C" w:rsidR="003B7CE7">
        <w:rPr>
          <w:sz w:val="26"/>
          <w:szCs w:val="26"/>
        </w:rPr>
        <w:t>§</w:t>
      </w:r>
      <w:r w:rsidR="003B7CE7">
        <w:rPr>
          <w:sz w:val="26"/>
          <w:szCs w:val="26"/>
        </w:rPr>
        <w:t xml:space="preserve"> </w:t>
      </w:r>
      <w:r w:rsidRPr="0072600F">
        <w:rPr>
          <w:sz w:val="26"/>
          <w:szCs w:val="26"/>
        </w:rPr>
        <w:t xml:space="preserve">3.9 of the </w:t>
      </w:r>
      <w:r w:rsidRPr="0072600F">
        <w:rPr>
          <w:i/>
          <w:iCs/>
          <w:sz w:val="26"/>
          <w:szCs w:val="26"/>
        </w:rPr>
        <w:t>pro forma</w:t>
      </w:r>
      <w:r w:rsidRPr="0072600F">
        <w:rPr>
          <w:sz w:val="26"/>
          <w:szCs w:val="26"/>
        </w:rPr>
        <w:t xml:space="preserve"> LGIP, that appeal should not be filed under FPA section 206.</w:t>
      </w:r>
      <w:r>
        <w:rPr>
          <w:rStyle w:val="FootnoteReference"/>
        </w:rPr>
        <w:footnoteReference w:id="674"/>
      </w:r>
      <w:r w:rsidRPr="0072600F">
        <w:rPr>
          <w:sz w:val="26"/>
          <w:szCs w:val="26"/>
        </w:rPr>
        <w:t xml:space="preserve">  The appeals process supplements, rather than diminishes, the transmission provider’s ability to make a section 206 filing.  To the extent that commenters are concerned about the ability of a transmission owner to challenge a penalty assigned to it by a transmission provider,</w:t>
      </w:r>
      <w:r>
        <w:rPr>
          <w:rStyle w:val="FootnoteReference"/>
        </w:rPr>
        <w:footnoteReference w:id="675"/>
      </w:r>
      <w:r w:rsidRPr="0072600F">
        <w:rPr>
          <w:sz w:val="26"/>
          <w:szCs w:val="26"/>
        </w:rPr>
        <w:t xml:space="preserve"> we note that nothing in Order No. 2023 prevents any entity from protesting a transmission providers’ FPA section 205 filing that seeks to assign penalties or seeks to create a default structure for recovery of penalty costs.  Nor does Order No. 2023 prevent any entity from challenging a transmission provider’s assignment of study delay penalties to that entity under FPA section 206.  Nothing in Order No. 2023 prevents any entity from exercising any statutory filing rights.  </w:t>
      </w:r>
    </w:p>
    <w:p w:rsidR="00760048" w:rsidRPr="0072600F" w14:paraId="2D7A7E86"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disagree with NYTOs’ suggestion that the requirement for transmission providers to pursue appeals under the Commission’s procedural rules and not under FPA section 206 “effectively imposes a mandatory waiver of transmission providers’ statutory rights, which is contrary to law.”</w:t>
      </w:r>
      <w:r>
        <w:rPr>
          <w:rStyle w:val="FootnoteReference"/>
        </w:rPr>
        <w:footnoteReference w:id="676"/>
      </w:r>
      <w:r w:rsidRPr="0072600F">
        <w:rPr>
          <w:sz w:val="26"/>
          <w:szCs w:val="26"/>
        </w:rPr>
        <w:t xml:space="preserve">  The Commission did not foreclose transmission providers’ abilities to exercise their statutory rights, but rather provided the appeals process as the avenue for transmission providers to seek relief under the just and reasonable tariff process established by Order No. 2023, applying the “good cause” standard, which provides more flexibility and is more favorable to transmission providers than requiring them to show that the penalty would be “unjust and unreasonable” under FPA section 206.  Because Order No. 2023 provided a specific tariff-based mechanism for appeals, the filing of such appeals under FPA section 206 is unnecessary.</w:t>
      </w:r>
      <w:r>
        <w:rPr>
          <w:rStyle w:val="FootnoteReference"/>
        </w:rPr>
        <w:footnoteReference w:id="677"/>
      </w:r>
      <w:r w:rsidRPr="0072600F">
        <w:rPr>
          <w:sz w:val="26"/>
          <w:szCs w:val="26"/>
        </w:rPr>
        <w:t xml:space="preserve">  </w:t>
      </w:r>
    </w:p>
    <w:p w:rsidR="00760048" w:rsidRPr="0072600F" w14:paraId="4F54ACF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sustain the decision, in Order No. 2023, not to create generic exceptions for study delay penalties or to exempt transmission providers from such penalties in cases where they assert that </w:t>
      </w:r>
      <w:r w:rsidRPr="0072600F">
        <w:rPr>
          <w:i/>
          <w:sz w:val="26"/>
          <w:szCs w:val="26"/>
        </w:rPr>
        <w:t>force majeure</w:t>
      </w:r>
      <w:r w:rsidRPr="0072600F">
        <w:rPr>
          <w:sz w:val="26"/>
          <w:szCs w:val="26"/>
        </w:rPr>
        <w:t xml:space="preserve"> applies, for the reasons articulated in Order No. 2023.</w:t>
      </w:r>
      <w:r>
        <w:rPr>
          <w:rStyle w:val="FootnoteReference"/>
        </w:rPr>
        <w:footnoteReference w:id="678"/>
      </w:r>
      <w:r w:rsidRPr="0072600F">
        <w:rPr>
          <w:sz w:val="26"/>
          <w:szCs w:val="26"/>
        </w:rPr>
        <w:t xml:space="preserve">  In further support</w:t>
      </w:r>
      <w:r w:rsidR="00CB382B">
        <w:rPr>
          <w:sz w:val="26"/>
          <w:szCs w:val="26"/>
        </w:rPr>
        <w:t>,</w:t>
      </w:r>
      <w:r w:rsidRPr="0072600F">
        <w:rPr>
          <w:sz w:val="26"/>
          <w:szCs w:val="26"/>
        </w:rPr>
        <w:t xml:space="preserve"> we find that creating “self-effectuating” exceptions to penalties where a delay is caused by factors outside of the control of the transmission provider is not a preferable approach to the appeals process, particularly given that there may be disputes as to whether and to what extent a delay was within a transmission provider’s control.  Creating an exemption for circumstances of </w:t>
      </w:r>
      <w:r w:rsidRPr="0072600F">
        <w:rPr>
          <w:i/>
          <w:sz w:val="26"/>
          <w:szCs w:val="26"/>
        </w:rPr>
        <w:t>force majeure</w:t>
      </w:r>
      <w:r w:rsidRPr="0072600F">
        <w:rPr>
          <w:sz w:val="26"/>
          <w:szCs w:val="26"/>
        </w:rPr>
        <w:t xml:space="preserve"> is an example of this problem, as there may be disputes as to whether the declaration of </w:t>
      </w:r>
      <w:r w:rsidRPr="0072600F">
        <w:rPr>
          <w:i/>
          <w:sz w:val="26"/>
          <w:szCs w:val="26"/>
        </w:rPr>
        <w:t>force majeure</w:t>
      </w:r>
      <w:r w:rsidRPr="0072600F">
        <w:rPr>
          <w:sz w:val="26"/>
          <w:szCs w:val="26"/>
        </w:rPr>
        <w:t xml:space="preserve"> was valid or the extent to which a delay is attributable to the alleged </w:t>
      </w:r>
      <w:r w:rsidRPr="0072600F">
        <w:rPr>
          <w:i/>
          <w:sz w:val="26"/>
          <w:szCs w:val="26"/>
        </w:rPr>
        <w:t>force majeure</w:t>
      </w:r>
      <w:r w:rsidRPr="0072600F">
        <w:rPr>
          <w:sz w:val="26"/>
          <w:szCs w:val="26"/>
        </w:rPr>
        <w:t>.  The appeals process is a just and reasonable approach to addressing these issues.</w:t>
      </w:r>
    </w:p>
    <w:p w:rsidR="00760048" w:rsidRPr="0072600F" w14:paraId="7E7BD10C" w14:textId="77777777">
      <w:pPr>
        <w:pStyle w:val="FERCparanumber"/>
        <w:widowControl/>
        <w:numPr>
          <w:ilvl w:val="0"/>
          <w:numId w:val="25"/>
        </w:numPr>
        <w:autoSpaceDE/>
        <w:autoSpaceDN/>
        <w:adjustRightInd/>
        <w:spacing w:line="480" w:lineRule="auto"/>
        <w:rPr>
          <w:sz w:val="26"/>
          <w:szCs w:val="26"/>
        </w:rPr>
      </w:pPr>
      <w:r w:rsidRPr="0072600F">
        <w:rPr>
          <w:sz w:val="26"/>
          <w:szCs w:val="26"/>
        </w:rPr>
        <w:t>MISO TOs’ argument that strict liability under tort law is only imposed in circumstances involving very dangerous activities is not persuasive.  As discussed above,</w:t>
      </w:r>
      <w:r>
        <w:rPr>
          <w:rStyle w:val="FootnoteReference"/>
        </w:rPr>
        <w:footnoteReference w:id="679"/>
      </w:r>
      <w:r w:rsidRPr="0072600F">
        <w:rPr>
          <w:sz w:val="26"/>
          <w:szCs w:val="26"/>
        </w:rPr>
        <w:t xml:space="preserve"> the adoption of a deadline and penalty structure in Order No. 2023 is supported by the record in this case and does not reflect a “strict liability” approach that is analogous to these tort law regimes.  Nor did the Commission rely on tort law governing hazardous activities to support Order No. 2023.</w:t>
      </w:r>
      <w:r>
        <w:rPr>
          <w:rStyle w:val="FootnoteReference"/>
        </w:rPr>
        <w:footnoteReference w:id="680"/>
      </w:r>
      <w:r w:rsidRPr="0072600F">
        <w:rPr>
          <w:sz w:val="26"/>
          <w:szCs w:val="26"/>
        </w:rPr>
        <w:t xml:space="preserve">  </w:t>
      </w:r>
    </w:p>
    <w:p w:rsidR="00760048" w:rsidRPr="0072600F" w14:paraId="6F0FB357"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arguments that Order No. 2023 created a strict liability structure.  The portion of Order No. 2023 quoted by NYISO’s request for rehearing in this respect</w:t>
      </w:r>
      <w:r>
        <w:rPr>
          <w:rStyle w:val="FootnoteReference"/>
        </w:rPr>
        <w:footnoteReference w:id="681"/>
      </w:r>
      <w:r w:rsidRPr="0072600F">
        <w:rPr>
          <w:sz w:val="26"/>
          <w:szCs w:val="26"/>
        </w:rPr>
        <w:t xml:space="preserve"> was addressing the ability to appeal—the mechanism through which transmission providers’ responsibility for delay in individual cases can be assessed.</w:t>
      </w:r>
      <w:r>
        <w:rPr>
          <w:rStyle w:val="FootnoteReference"/>
        </w:rPr>
        <w:footnoteReference w:id="682"/>
      </w:r>
      <w:r w:rsidRPr="0072600F">
        <w:rPr>
          <w:sz w:val="26"/>
          <w:szCs w:val="26"/>
        </w:rPr>
        <w:t xml:space="preserve">  We have already explained, in both Order No. 2023 and herein, why the presumptive imposition of penalties on transmission providers should they fail to meet their study deadlines, with a subsequent evaluation of whether relief is warranted in a particular case, reflects reasoned decision-making and is a just and reasonable approach.</w:t>
      </w:r>
    </w:p>
    <w:p w:rsidR="00760048" w:rsidRPr="0072600F" w14:paraId="486005B8"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disagree with arguments that Order No. 2023’s implementation of a study delay penalty structure is unjust and unreasonable, or unduly discriminatory or preferential, because it limits the assessment of penalties for late studies to transmission providers rather than also extending them to other entities—including interconnection customers—that may contribute to delays of interconnection studies.  We similarly disagree with claims that Order No. 2023’s incentives are impermissibly one-sided.  Interconnection customers and transmission providers are not similarly situated with respect to the conduct of interconnection studies: transmission providers control and are responsible for the conduct of those studies</w:t>
      </w:r>
      <w:r w:rsidR="003743EC">
        <w:rPr>
          <w:sz w:val="26"/>
          <w:szCs w:val="26"/>
        </w:rPr>
        <w:t>, while</w:t>
      </w:r>
      <w:r w:rsidRPr="0072600F">
        <w:rPr>
          <w:sz w:val="26"/>
          <w:szCs w:val="26"/>
        </w:rPr>
        <w:t xml:space="preserve"> other entities, including interconnection customers, generally are not.</w:t>
      </w:r>
      <w:r>
        <w:rPr>
          <w:rStyle w:val="FootnoteReference"/>
        </w:rPr>
        <w:footnoteReference w:id="683"/>
      </w:r>
      <w:r w:rsidRPr="0072600F">
        <w:rPr>
          <w:sz w:val="26"/>
          <w:szCs w:val="26"/>
        </w:rPr>
        <w:t xml:space="preserve">  Moreover, transmission providers are further differently situated from interconnection customers because interconnection customers already are subject to significant incentives to avoid delaying the study process that transmission providers do not face.  These include interconnection customers’ interest in achieving timely commercial operation of their facilities, that failure to meet their obligations in the interconnection process may result in their interconnection requests being deemed withdrawn,</w:t>
      </w:r>
      <w:r>
        <w:rPr>
          <w:rStyle w:val="FootnoteReference"/>
        </w:rPr>
        <w:footnoteReference w:id="684"/>
      </w:r>
      <w:r w:rsidRPr="0072600F">
        <w:rPr>
          <w:sz w:val="26"/>
          <w:szCs w:val="26"/>
        </w:rPr>
        <w:t xml:space="preserve"> and that they may be subject to withdrawal penalties.</w:t>
      </w:r>
      <w:r>
        <w:rPr>
          <w:rStyle w:val="FootnoteReference"/>
        </w:rPr>
        <w:footnoteReference w:id="685"/>
      </w:r>
      <w:r w:rsidRPr="0072600F">
        <w:rPr>
          <w:sz w:val="26"/>
          <w:szCs w:val="26"/>
        </w:rPr>
        <w:t xml:space="preserve">  The adoption of a penalty structure for transmission providers that fail to meet the study timeframes set by Order No. 2023 reflects, in part, that transmission providers lacked adequate incentives to ensure study timeliness and the role they can play in ensuring the timeliness of interconnection study processes.</w:t>
      </w:r>
      <w:r>
        <w:rPr>
          <w:rStyle w:val="FootnoteReference"/>
        </w:rPr>
        <w:footnoteReference w:id="686"/>
      </w:r>
      <w:r w:rsidRPr="0072600F">
        <w:rPr>
          <w:sz w:val="26"/>
          <w:szCs w:val="26"/>
        </w:rPr>
        <w:t xml:space="preserve">  It further reflects that the value of interconnection studies depends in part on their timely completion and, therefore, that it is reasonable that transmission providers may recover less for these studies where they are delayed without good cause.</w:t>
      </w:r>
      <w:r>
        <w:rPr>
          <w:rStyle w:val="FootnoteReference"/>
        </w:rPr>
        <w:footnoteReference w:id="687"/>
      </w:r>
      <w:r w:rsidRPr="0072600F">
        <w:rPr>
          <w:sz w:val="26"/>
          <w:szCs w:val="26"/>
        </w:rPr>
        <w:t xml:space="preserve">  Thus, we disagree that we must apply the study delay penalties set by Order No. 2023 to these other entities.</w:t>
      </w:r>
    </w:p>
    <w:p w:rsidR="00760048" w:rsidRPr="0072600F" w14:paraId="26C83A17"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also not persuaded by arguments that under Order No. 2023’s deadline and penalty structure, interconnection customers are incentivized to affirmatively delay the completion of interconnection studies.  As explained in Order No. 2023, the economic harms to the interconnection customer of delayed study completion significantly outweigh any incentive to delay the interconnection process.</w:t>
      </w:r>
      <w:r>
        <w:rPr>
          <w:rStyle w:val="FootnoteReference"/>
        </w:rPr>
        <w:footnoteReference w:id="688"/>
      </w:r>
      <w:r w:rsidRPr="0072600F">
        <w:rPr>
          <w:sz w:val="26"/>
          <w:szCs w:val="26"/>
        </w:rPr>
        <w:t xml:space="preserve">  Moreover, the appeals process available to transmission providers undermines any incentive for strategic delay on the part of interconnection customers because it provides an opportunity for transmission providers to argue for relief from penalties, including because delays were caused by factors beyond their control, such as the actions of interconnection customers.  And even if a transmission provider is subject to a penalty, those amounts will be distributed among all the interconnection customers included in the relevant study that did not withdraw, which further reduces the purported incentive for any individual interconnection customer to cause delays, as they will not receive the entirety of any penalty assessed to the transmission provider.</w:t>
      </w:r>
    </w:p>
    <w:p w:rsidR="00760048" w:rsidRPr="0072600F" w14:paraId="6A693A74" w14:textId="77777777">
      <w:pPr>
        <w:pStyle w:val="FERCparanumber"/>
        <w:widowControl/>
        <w:numPr>
          <w:ilvl w:val="0"/>
          <w:numId w:val="25"/>
        </w:numPr>
        <w:autoSpaceDE/>
        <w:autoSpaceDN/>
        <w:adjustRightInd/>
        <w:spacing w:line="480" w:lineRule="auto"/>
        <w:rPr>
          <w:sz w:val="26"/>
          <w:szCs w:val="26"/>
        </w:rPr>
      </w:pPr>
      <w:bookmarkStart w:id="67" w:name="_Ref160107722"/>
      <w:r w:rsidRPr="0072600F">
        <w:rPr>
          <w:sz w:val="26"/>
          <w:szCs w:val="26"/>
        </w:rPr>
        <w:t>Many of the rehearing requests contend that the study deadline and penalty structure under Order No. 2023 will have certain negative consequences.  As explained below, we continue to find this structure to be just and reasonable, notwithstanding these arguments.  In many cases we disagree that these purported negative consequences will manifest and, to the extent there may be such consequences, we continue to find that Order No. 2023’s deadline and penalty structure is just and reasonable.</w:t>
      </w:r>
      <w:bookmarkEnd w:id="67"/>
    </w:p>
    <w:p w:rsidR="00760048" w:rsidRPr="0072600F" w:rsidP="009B2286" w14:paraId="61F45386" w14:textId="77777777">
      <w:pPr>
        <w:pStyle w:val="FERCparanumber"/>
        <w:widowControl/>
        <w:numPr>
          <w:ilvl w:val="0"/>
          <w:numId w:val="25"/>
        </w:numPr>
        <w:autoSpaceDE/>
        <w:autoSpaceDN/>
        <w:adjustRightInd/>
        <w:spacing w:line="480" w:lineRule="auto"/>
        <w:ind w:right="-90"/>
        <w:rPr>
          <w:sz w:val="26"/>
          <w:szCs w:val="26"/>
        </w:rPr>
      </w:pPr>
      <w:r w:rsidRPr="0072600F">
        <w:rPr>
          <w:sz w:val="26"/>
          <w:szCs w:val="26"/>
        </w:rPr>
        <w:t>The Commission in Order No. 2023 concluded that there is not an inherent trade-off between firm study deadlines with study delay penalties versus “interconnection study flexibility and accuracy, as well as system reliability.”</w:t>
      </w:r>
      <w:r>
        <w:rPr>
          <w:rStyle w:val="FootnoteReference"/>
        </w:rPr>
        <w:footnoteReference w:id="689"/>
      </w:r>
      <w:r w:rsidRPr="0072600F">
        <w:rPr>
          <w:sz w:val="26"/>
          <w:szCs w:val="26"/>
        </w:rPr>
        <w:t xml:space="preserve">  As explained in Order No. 2023, we are not persuaded by arguments on rehearing that such deadlines and penalties will necessarily incentivize speed and meeting deadlines over accuracy, with deleterious results.  These arguments present a false dichotomy between the accuracy of interconnection studies and their timely completion,</w:t>
      </w:r>
      <w:r>
        <w:rPr>
          <w:rStyle w:val="FootnoteReference"/>
        </w:rPr>
        <w:footnoteReference w:id="690"/>
      </w:r>
      <w:r w:rsidRPr="0072600F">
        <w:rPr>
          <w:sz w:val="26"/>
          <w:szCs w:val="26"/>
        </w:rPr>
        <w:t xml:space="preserve"> fail to give appropriate weight to the reliability and economic risks associated with failure to timely interconnect new generating facilities,</w:t>
      </w:r>
      <w:r>
        <w:rPr>
          <w:rStyle w:val="FootnoteReference"/>
        </w:rPr>
        <w:footnoteReference w:id="691"/>
      </w:r>
      <w:r w:rsidRPr="0072600F">
        <w:rPr>
          <w:sz w:val="26"/>
          <w:szCs w:val="26"/>
        </w:rPr>
        <w:t xml:space="preserve"> and fail to consider the safeguards adopted in the deadline and penalty structure that allow transmission providers avenues of relief from the strict application of study deadlines.</w:t>
      </w:r>
      <w:r>
        <w:rPr>
          <w:rStyle w:val="FootnoteReference"/>
        </w:rPr>
        <w:footnoteReference w:id="692"/>
      </w:r>
    </w:p>
    <w:p w:rsidR="00760048" w:rsidRPr="0072600F" w14:paraId="75351E48"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also not persuaded that Order No. 2023’s deadline and penalty structure will foster a combative atmosphere, potentially increasing delays.  As noted above, the interconnection process is one that has generally been characterized by cooperation.</w:t>
      </w:r>
      <w:r>
        <w:rPr>
          <w:rStyle w:val="FootnoteReference"/>
        </w:rPr>
        <w:footnoteReference w:id="693"/>
      </w:r>
      <w:r w:rsidRPr="0072600F">
        <w:rPr>
          <w:sz w:val="26"/>
          <w:szCs w:val="26"/>
        </w:rPr>
        <w:t xml:space="preserve">  Interconnection customers and transmission providers—who are all generally professional and sophisticated parties—share a reciprocal interest in the smooth functioning of the interconnection process.  While it is possible that, in some cases, the increased accountability on transmission providers for timely interconnection study completion may mean that transmission providers are less inclined to accede to interconnection customer actions that may delay the study process, we find that—given the need to ensure timely interconnection study completion to ensure just and reasonable rates—this possibility is an acceptable consequence of Order No. 2023.</w:t>
      </w:r>
      <w:r>
        <w:rPr>
          <w:rStyle w:val="FootnoteReference"/>
        </w:rPr>
        <w:footnoteReference w:id="694"/>
      </w:r>
      <w:r w:rsidRPr="0072600F">
        <w:rPr>
          <w:rStyle w:val="FootnoteReference"/>
          <w:color w:val="000000" w:themeColor="text1"/>
        </w:rPr>
        <w:t xml:space="preserve"> </w:t>
      </w:r>
      <w:r w:rsidRPr="0072600F">
        <w:rPr>
          <w:sz w:val="26"/>
          <w:szCs w:val="26"/>
        </w:rPr>
        <w:t xml:space="preserve"> Indeed, it reflects that transmission providers can use the knowledge and control they have with respect to the study process to ensure that individual interconnection customers are not allowed to unduly delay the overall study process.</w:t>
      </w:r>
      <w:r>
        <w:rPr>
          <w:rStyle w:val="FootnoteReference"/>
        </w:rPr>
        <w:footnoteReference w:id="695"/>
      </w:r>
      <w:r w:rsidRPr="0072600F">
        <w:rPr>
          <w:sz w:val="26"/>
          <w:szCs w:val="26"/>
        </w:rPr>
        <w:t xml:space="preserve">  As to claims that the deadline and penalty structure may motivate transmission providers, including RTOs/ISOs and transmission owners, to focus on the need to protect against exposure to penalties and undermine constructive collaboration among them, the principal way for these entities to minimize that exposure will be to endeavor to complete interconnection studies in a timely fashion, which is the purpose of the deadline and penalty structure.  In this respect, the interests of RTOs/ISOs and transmission owners will be aligned, and we expect </w:t>
      </w:r>
      <w:r w:rsidR="000B1049">
        <w:rPr>
          <w:sz w:val="26"/>
          <w:szCs w:val="26"/>
        </w:rPr>
        <w:t xml:space="preserve">that </w:t>
      </w:r>
      <w:r w:rsidRPr="0072600F">
        <w:rPr>
          <w:sz w:val="26"/>
          <w:szCs w:val="26"/>
        </w:rPr>
        <w:t>Order No. 2023 will not undermine the incentives for cooperation among RTOs/ISOs and transmission owners.</w:t>
      </w:r>
    </w:p>
    <w:p w:rsidR="00760048" w:rsidRPr="0072600F" w14:paraId="11D7B1DC" w14:textId="77777777">
      <w:pPr>
        <w:pStyle w:val="FERCparanumber"/>
        <w:widowControl/>
        <w:numPr>
          <w:ilvl w:val="0"/>
          <w:numId w:val="25"/>
        </w:numPr>
        <w:autoSpaceDE/>
        <w:autoSpaceDN/>
        <w:adjustRightInd/>
        <w:spacing w:line="480" w:lineRule="auto"/>
        <w:rPr>
          <w:sz w:val="26"/>
          <w:szCs w:val="26"/>
        </w:rPr>
      </w:pPr>
      <w:r w:rsidRPr="0072600F">
        <w:rPr>
          <w:sz w:val="26"/>
          <w:szCs w:val="26"/>
        </w:rPr>
        <w:t>Several of the rehearing requests contend that adoption of interconnection study deadlines and penalties, with an appeals process, will divert resources that would otherwise be used for interconnection studies.  We sustain the Commission’s rejection of these arguments, for the reasons already stated in Order No. 2023.</w:t>
      </w:r>
      <w:r>
        <w:rPr>
          <w:rStyle w:val="FootnoteReference"/>
        </w:rPr>
        <w:footnoteReference w:id="696"/>
      </w:r>
      <w:r w:rsidRPr="0072600F">
        <w:rPr>
          <w:sz w:val="26"/>
          <w:szCs w:val="26"/>
        </w:rPr>
        <w:t xml:space="preserve">  We particularly note that it is not the case that the funds used to pay for penalties (or to appeal such penalties) necessarily must be diverted from those used to perform interconnection studies.</w:t>
      </w:r>
      <w:r>
        <w:rPr>
          <w:rStyle w:val="FootnoteReference"/>
        </w:rPr>
        <w:footnoteReference w:id="697"/>
      </w:r>
      <w:r w:rsidRPr="0072600F">
        <w:rPr>
          <w:sz w:val="26"/>
          <w:szCs w:val="26"/>
        </w:rPr>
        <w:t xml:space="preserve">  Indeed, although we do not prejudge the facts of any particular case, it would not appear to be generally rational or appropriate for a transmission provider to respond to the assessment of a penalty for a late interconnection study by diverting significant resources from future interconnection studies in a way that will increase the likelihood that it will incur additional penalties.</w:t>
      </w:r>
    </w:p>
    <w:p w:rsidR="00760048" w:rsidRPr="0072600F" w14:paraId="1ACF0896" w14:textId="77777777">
      <w:pPr>
        <w:pStyle w:val="FERCparanumber"/>
        <w:widowControl/>
        <w:numPr>
          <w:ilvl w:val="0"/>
          <w:numId w:val="25"/>
        </w:numPr>
        <w:autoSpaceDE/>
        <w:autoSpaceDN/>
        <w:adjustRightInd/>
        <w:spacing w:line="480" w:lineRule="auto"/>
        <w:rPr>
          <w:sz w:val="26"/>
          <w:szCs w:val="26"/>
        </w:rPr>
      </w:pPr>
      <w:r w:rsidRPr="0072600F">
        <w:rPr>
          <w:sz w:val="26"/>
          <w:szCs w:val="26"/>
        </w:rPr>
        <w:t>Similarly, while several rehearing requests contend that managing deadlines and penalties, as well as the appeals process, may create burdens on transmission providers, we conclude that—particularly given the need for replacement of the reasonable efforts standard with a standard that will better ensure the timeliness of interconnection study completion—the deadline and penalty structure is just and reasonable notwithstanding such burdens.  Here, too, we do not believe it would be rational or appropriate for a transmission provider to divert significant resources from the timely completion of interconnection studies to the appeals process.  As stated above, when considering appeals the Commission intends to exercise its discretion as to procedural matters on a case-by-case basis, which will help reduce the burdens attendant to pursuing an appeal.</w:t>
      </w:r>
      <w:r>
        <w:rPr>
          <w:rStyle w:val="FootnoteReference"/>
        </w:rPr>
        <w:footnoteReference w:id="698"/>
      </w:r>
      <w:r w:rsidRPr="0072600F">
        <w:rPr>
          <w:sz w:val="26"/>
          <w:szCs w:val="26"/>
        </w:rPr>
        <w:t xml:space="preserve">  Moreover, many alternative mechanisms directed toward ensuring study timeliness would consume transmission provider resources to explain why they are not responsible for study delays, and likewise invite arguments from other entities addressing such responsibility, but would have lesser utility in responding to the problem of interconnection queue backlogs.</w:t>
      </w:r>
      <w:r>
        <w:rPr>
          <w:rStyle w:val="FootnoteReference"/>
        </w:rPr>
        <w:footnoteReference w:id="699"/>
      </w:r>
      <w:r w:rsidRPr="0072600F">
        <w:rPr>
          <w:sz w:val="26"/>
          <w:szCs w:val="26"/>
        </w:rPr>
        <w:t xml:space="preserve">  In addition, the amounts of the penalties</w:t>
      </w:r>
      <w:r>
        <w:rPr>
          <w:rStyle w:val="FootnoteReference"/>
        </w:rPr>
        <w:footnoteReference w:id="700"/>
      </w:r>
      <w:r w:rsidRPr="0072600F">
        <w:rPr>
          <w:sz w:val="26"/>
          <w:szCs w:val="26"/>
        </w:rPr>
        <w:t xml:space="preserve"> are not so large that we expect that transmission providers will unduly divert large amounts of resources to an appeal of penalties, particularly those assessed for relatively short delays.</w:t>
      </w:r>
      <w:r>
        <w:rPr>
          <w:rStyle w:val="FootnoteReference"/>
        </w:rPr>
        <w:footnoteReference w:id="701"/>
      </w:r>
      <w:r w:rsidRPr="0072600F">
        <w:rPr>
          <w:sz w:val="26"/>
          <w:szCs w:val="26"/>
        </w:rPr>
        <w:t xml:space="preserve">  While the administrative appeals process may draw protests, </w:t>
      </w:r>
      <w:r w:rsidRPr="0072600F">
        <w:rPr>
          <w:i/>
          <w:sz w:val="26"/>
          <w:szCs w:val="26"/>
        </w:rPr>
        <w:t>e.g.</w:t>
      </w:r>
      <w:r w:rsidRPr="0072600F">
        <w:rPr>
          <w:sz w:val="26"/>
          <w:szCs w:val="26"/>
        </w:rPr>
        <w:t>, by interconnection customers, resulting in litigation, filing those protests and engaging in such litigation will also consume resources for the filing parties and any penalty funds assessed to the transmission provider will be allocated among the relevant interconnection customers.  This decreases the incentive to file protests in cases where delays are small and penalty amounts are low or where there is not a genuine, credible dispute as to where responsibility for a delay of an interconnection study properly resides.</w:t>
      </w:r>
      <w:r>
        <w:rPr>
          <w:rStyle w:val="FootnoteReference"/>
        </w:rPr>
        <w:footnoteReference w:id="702"/>
      </w:r>
      <w:r w:rsidRPr="0072600F">
        <w:rPr>
          <w:sz w:val="26"/>
          <w:szCs w:val="26"/>
        </w:rPr>
        <w:t xml:space="preserve">  We conclude that the burdens that Order No. 2023 places on transmission providers do not render the rule unjust and unreasonable.</w:t>
      </w:r>
    </w:p>
    <w:p w:rsidR="00760048" w:rsidRPr="0072600F" w14:paraId="138916CC" w14:textId="77777777">
      <w:pPr>
        <w:pStyle w:val="FERCparanumber"/>
        <w:widowControl/>
        <w:numPr>
          <w:ilvl w:val="0"/>
          <w:numId w:val="25"/>
        </w:numPr>
        <w:autoSpaceDE/>
        <w:autoSpaceDN/>
        <w:adjustRightInd/>
        <w:spacing w:line="480" w:lineRule="auto"/>
        <w:rPr>
          <w:sz w:val="26"/>
          <w:szCs w:val="26"/>
        </w:rPr>
      </w:pPr>
      <w:r w:rsidRPr="0072600F">
        <w:rPr>
          <w:sz w:val="26"/>
          <w:szCs w:val="26"/>
        </w:rPr>
        <w:t>While Dominion argues that higher study deposits may be necessary to address increased personnel costs resulting from the penalty regime, Dominion fails to acknowledge that the Commission has already significantly increased the required study deposits for interconnection customers in Order No. 2023,</w:t>
      </w:r>
      <w:r>
        <w:rPr>
          <w:rStyle w:val="FootnoteReference"/>
        </w:rPr>
        <w:footnoteReference w:id="703"/>
      </w:r>
      <w:r w:rsidRPr="0072600F">
        <w:rPr>
          <w:sz w:val="26"/>
          <w:szCs w:val="26"/>
        </w:rPr>
        <w:t xml:space="preserve"> and that study costs exceeding study deposits can be recovered from interconnection customers.</w:t>
      </w:r>
      <w:r>
        <w:rPr>
          <w:rStyle w:val="FootnoteReference"/>
        </w:rPr>
        <w:footnoteReference w:id="704"/>
      </w:r>
      <w:r w:rsidRPr="0072600F">
        <w:rPr>
          <w:sz w:val="26"/>
          <w:szCs w:val="26"/>
        </w:rPr>
        <w:t xml:space="preserve">  We are therefore not persuaded by this argument.</w:t>
      </w:r>
    </w:p>
    <w:p w:rsidR="00760048" w:rsidRPr="0072600F" w14:paraId="0D3C3B5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do not agree with Indicated PJM TOs’ contention that adopting a structure of deadlines and penalties for regions that have already adopted a cluster study process sends a message that their stakeholder processes do not matter.  That the Commission found, in generic proceedings, that a suite of reforms to its </w:t>
      </w:r>
      <w:r w:rsidRPr="0072600F">
        <w:rPr>
          <w:i/>
          <w:sz w:val="26"/>
          <w:szCs w:val="26"/>
        </w:rPr>
        <w:t xml:space="preserve">pro forma </w:t>
      </w:r>
      <w:r w:rsidRPr="0072600F">
        <w:rPr>
          <w:iCs/>
          <w:sz w:val="26"/>
          <w:szCs w:val="26"/>
        </w:rPr>
        <w:t xml:space="preserve">LGIP and </w:t>
      </w:r>
      <w:r w:rsidRPr="0072600F">
        <w:rPr>
          <w:i/>
          <w:sz w:val="26"/>
          <w:szCs w:val="26"/>
        </w:rPr>
        <w:t>pro forma</w:t>
      </w:r>
      <w:r w:rsidRPr="0072600F">
        <w:rPr>
          <w:iCs/>
          <w:sz w:val="26"/>
          <w:szCs w:val="26"/>
        </w:rPr>
        <w:t xml:space="preserve"> LGIA </w:t>
      </w:r>
      <w:r w:rsidRPr="0072600F">
        <w:rPr>
          <w:sz w:val="26"/>
          <w:szCs w:val="26"/>
        </w:rPr>
        <w:t>approach to interconnection were necessary to ensure just and reasonable rates does not reflect any disparagement of an individual entity’s or region’s efforts at similar reforms, such as the adoption of cluster studies.  The Commission has found that adoption of a cluster study approach is such a just and reasonable reform, but that additional reforms are also necessary.  Adopting Indicated PJM TOs’ contrary view in this case would—in effect—be to conclude that the Commission should have adopted a self-imposed limit on acting through a generic proceeding out of deference to stakeholder processes that have resulted in only a partial solution to the problem at hand, contrary to the Commission’s FPA section 206 authority and obligation to ensure just and reasonable rates.</w:t>
      </w:r>
      <w:r>
        <w:rPr>
          <w:rStyle w:val="FootnoteReference"/>
        </w:rPr>
        <w:footnoteReference w:id="705"/>
      </w:r>
      <w:r w:rsidRPr="0072600F">
        <w:rPr>
          <w:sz w:val="26"/>
          <w:szCs w:val="26"/>
        </w:rPr>
        <w:t xml:space="preserve"> </w:t>
      </w:r>
    </w:p>
    <w:p w:rsidR="00760048" w:rsidRPr="0072600F" w14:paraId="5ABD716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further not convinced by NYTOs’ claim that if Order No. 2023’s deadlines and penalties are strictly enforced without exceptions (such as demonstration of compliance with Good Utility Practice or the presence of </w:t>
      </w:r>
      <w:r w:rsidRPr="0072600F">
        <w:rPr>
          <w:i/>
          <w:sz w:val="26"/>
          <w:szCs w:val="26"/>
        </w:rPr>
        <w:t>force majeure</w:t>
      </w:r>
      <w:r w:rsidRPr="0072600F">
        <w:rPr>
          <w:sz w:val="26"/>
          <w:szCs w:val="26"/>
        </w:rPr>
        <w:t>), it will hinder ongoing regional queue reform initiatives.  This argument is conclusory and unexplained as to why strict application of deadlines and penalties without such exceptions would have this alleged effect.</w:t>
      </w:r>
      <w:r>
        <w:rPr>
          <w:rStyle w:val="FootnoteReference"/>
        </w:rPr>
        <w:footnoteReference w:id="706"/>
      </w:r>
      <w:r w:rsidRPr="0072600F">
        <w:rPr>
          <w:sz w:val="26"/>
          <w:szCs w:val="26"/>
        </w:rPr>
        <w:t xml:space="preserve">  Regardless, Order No. 2023 does not provide for an unduly inflexible approach by allowing for numerous flexibilities including the appeals process, as explained above.</w:t>
      </w:r>
    </w:p>
    <w:p w:rsidR="00760048" w:rsidRPr="0072600F" w14:paraId="30B3DBAD" w14:textId="77777777">
      <w:pPr>
        <w:pStyle w:val="FERCparanumber"/>
        <w:widowControl/>
        <w:numPr>
          <w:ilvl w:val="0"/>
          <w:numId w:val="25"/>
        </w:numPr>
        <w:autoSpaceDE/>
        <w:autoSpaceDN/>
        <w:adjustRightInd/>
        <w:spacing w:line="480" w:lineRule="auto"/>
        <w:rPr>
          <w:sz w:val="26"/>
          <w:szCs w:val="26"/>
        </w:rPr>
      </w:pPr>
      <w:bookmarkStart w:id="68" w:name="_Ref160107734"/>
      <w:r w:rsidRPr="0072600F">
        <w:rPr>
          <w:sz w:val="26"/>
          <w:szCs w:val="26"/>
        </w:rPr>
        <w:t>We are not persuaded by PJM’s claim that under Order No. 2023 transmission providers will incur penalties on a strict liability basis, reducing their deterrence and incentive effects.  As already discussed, Order No. 2023 does not adopt a “strict liability” approach to penalties.</w:t>
      </w:r>
      <w:r>
        <w:rPr>
          <w:rStyle w:val="FootnoteReference"/>
        </w:rPr>
        <w:footnoteReference w:id="707"/>
      </w:r>
      <w:r w:rsidRPr="0072600F">
        <w:rPr>
          <w:sz w:val="26"/>
          <w:szCs w:val="26"/>
        </w:rPr>
        <w:t xml:space="preserve">  More fundamentally, PJM fails to explain why a penalty as a presumptive matter, based on objective conduct, that is then subject to an appeal, would reduce the incentive to avoid triggering the penalty.</w:t>
      </w:r>
      <w:r>
        <w:rPr>
          <w:rStyle w:val="FootnoteReference"/>
        </w:rPr>
        <w:footnoteReference w:id="708"/>
      </w:r>
      <w:r w:rsidRPr="0072600F">
        <w:rPr>
          <w:sz w:val="26"/>
          <w:szCs w:val="26"/>
        </w:rPr>
        <w:t xml:space="preserve">  Indeed, PJM’s argument here appears circular: in support of its claim that the penalty structure in Order No. 2023 will reduce the deterrence and incentive effects of a penalty, PJM offers nothing more than a characterization of that structure and assertion that this structure will cause transmission providers to question the deterrence or incentive purpose of the penalty.</w:t>
      </w:r>
      <w:bookmarkEnd w:id="68"/>
    </w:p>
    <w:p w:rsidR="00760048" w:rsidRPr="0072600F" w14:paraId="7EFF4739"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also claims that the Commission increased penalty levels from the levels proposed by the NOPR without sufficient explanation.  It asserts that the example the Commission provided in support of doing so—explaining that, under the NOPR approach, a full six months of study delay (roughly 126 business days) would result in an estimated penalty of only $63,000</w:t>
      </w:r>
      <w:r>
        <w:rPr>
          <w:rStyle w:val="FootnoteReference"/>
        </w:rPr>
        <w:footnoteReference w:id="709"/>
      </w:r>
      <w:r w:rsidRPr="0072600F">
        <w:rPr>
          <w:sz w:val="26"/>
          <w:szCs w:val="26"/>
        </w:rPr>
        <w:t>—does not support this result or show that the penalties adopted in Order No. 2023 will be non-punitive.</w:t>
      </w:r>
      <w:r>
        <w:rPr>
          <w:rStyle w:val="FootnoteReference"/>
        </w:rPr>
        <w:footnoteReference w:id="710"/>
      </w:r>
      <w:r w:rsidRPr="0072600F">
        <w:rPr>
          <w:sz w:val="26"/>
          <w:szCs w:val="26"/>
        </w:rPr>
        <w:t xml:space="preserve">  We sustain the Commission’s determination to increase the study delay penalties as specified in Order No. 2023.</w:t>
      </w:r>
      <w:r>
        <w:rPr>
          <w:rStyle w:val="FootnoteReference"/>
        </w:rPr>
        <w:footnoteReference w:id="711"/>
      </w:r>
      <w:r w:rsidRPr="0072600F">
        <w:rPr>
          <w:sz w:val="26"/>
          <w:szCs w:val="26"/>
        </w:rPr>
        <w:t xml:space="preserve">  This example reflects that, under the NOPR penalty amount, a transmission provider that takes roughly twice as long as allowed to perform a cluster study would incur a relatively modest penalty,</w:t>
      </w:r>
      <w:r>
        <w:rPr>
          <w:rStyle w:val="FootnoteReference"/>
        </w:rPr>
        <w:footnoteReference w:id="712"/>
      </w:r>
      <w:r w:rsidRPr="0072600F">
        <w:rPr>
          <w:sz w:val="26"/>
          <w:szCs w:val="26"/>
        </w:rPr>
        <w:t xml:space="preserve"> which we find would not provide an appropriate incentive to spur the investments or allocation of resources necessary to facilitate timely study completion, or strike an appropriate balance between transmission provider and interconnection customer interests.</w:t>
      </w:r>
      <w:r>
        <w:rPr>
          <w:rStyle w:val="FootnoteReference"/>
        </w:rPr>
        <w:footnoteReference w:id="713"/>
      </w:r>
      <w:r w:rsidRPr="0072600F">
        <w:rPr>
          <w:sz w:val="26"/>
          <w:szCs w:val="26"/>
        </w:rPr>
        <w:t xml:space="preserve">  One point of comparison supporting this conclusion is to consider that a single proposed 250 MW generating facility is required to tender $755,000 (i.e., a $5,000 application fee, a $250,000 study deposit, and a $500,000 commercial readiness deposit in cash or as an irrevocable a letter of credit) to enter the study process under the Commission’s </w:t>
      </w:r>
      <w:r w:rsidRPr="0072600F">
        <w:rPr>
          <w:i/>
          <w:sz w:val="26"/>
          <w:szCs w:val="26"/>
        </w:rPr>
        <w:t>pro forma</w:t>
      </w:r>
      <w:r w:rsidRPr="0072600F">
        <w:rPr>
          <w:sz w:val="26"/>
          <w:szCs w:val="26"/>
        </w:rPr>
        <w:t xml:space="preserve"> LGIP.</w:t>
      </w:r>
      <w:r>
        <w:rPr>
          <w:rStyle w:val="FootnoteReference"/>
        </w:rPr>
        <w:footnoteReference w:id="714"/>
      </w:r>
      <w:r w:rsidRPr="0072600F">
        <w:rPr>
          <w:sz w:val="26"/>
          <w:szCs w:val="26"/>
        </w:rPr>
        <w:t xml:space="preserve">  That facility must then progressively increase its investment in the process through increasing deposits, study costs, and potential withdrawal penalties, not to mention the dedication of resources to develop the project and shepherd it through the interconnection process.</w:t>
      </w:r>
      <w:r>
        <w:rPr>
          <w:rStyle w:val="FootnoteReference"/>
        </w:rPr>
        <w:footnoteReference w:id="715"/>
      </w:r>
      <w:r w:rsidRPr="0072600F">
        <w:rPr>
          <w:sz w:val="26"/>
          <w:szCs w:val="26"/>
        </w:rPr>
        <w:t xml:space="preserve">  Viewed in this context, we disagree that the revised penalty amounts are punitive on their own, and they are particularly not punitive when considered in light of the safeguards</w:t>
      </w:r>
      <w:r>
        <w:rPr>
          <w:rStyle w:val="FootnoteReference"/>
        </w:rPr>
        <w:footnoteReference w:id="716"/>
      </w:r>
      <w:r w:rsidRPr="0072600F">
        <w:rPr>
          <w:sz w:val="26"/>
          <w:szCs w:val="26"/>
        </w:rPr>
        <w:t xml:space="preserve"> provided and avenues for RTO/ISO penalty cost recovery.</w:t>
      </w:r>
    </w:p>
    <w:p w:rsidR="00760048" w:rsidRPr="0072600F" w14:paraId="225C4B92"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Indicated PJM TOs’ and Dominion’s contention</w:t>
      </w:r>
      <w:r w:rsidR="006D60B8">
        <w:rPr>
          <w:sz w:val="26"/>
          <w:szCs w:val="26"/>
        </w:rPr>
        <w:t>s</w:t>
      </w:r>
      <w:r w:rsidRPr="0072600F">
        <w:rPr>
          <w:sz w:val="26"/>
          <w:szCs w:val="26"/>
        </w:rPr>
        <w:t xml:space="preserve"> that the penalty and deadline framework is unduly discriminatory, citing the uneven distribution of interconnection requests among transmission providers, such that some transmission providers may face a heightened risk of penalties as compared to other transmission providers.  At the outset, given the structure of Order No. 2023—under which we have imposed deadlines that should be reasonably achievable, replaced the serial study process with cluster studies, and afforded several safeguards, including the appeals process</w:t>
      </w:r>
      <w:r>
        <w:rPr>
          <w:rStyle w:val="FootnoteReference"/>
        </w:rPr>
        <w:footnoteReference w:id="717"/>
      </w:r>
      <w:r w:rsidRPr="0072600F">
        <w:rPr>
          <w:sz w:val="26"/>
          <w:szCs w:val="26"/>
        </w:rPr>
        <w:t>—it is not necessarily the case that some transmission providers will be more likely to have to pay penalties than others based on the uneven distribution of interconnection requests.  Moreover, transmission providers may propose variations from the requirements of Order No. 2023, under the applicable standard, which provides a further vehicle to ensure that the late study deadline and penalty structure does not unduly burden certain transmission providers as compared to others.</w:t>
      </w:r>
    </w:p>
    <w:p w:rsidR="00760048" w:rsidRPr="0072600F" w14:paraId="49CBEF3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But even accepting, </w:t>
      </w:r>
      <w:r w:rsidRPr="0072600F">
        <w:rPr>
          <w:i/>
          <w:sz w:val="26"/>
          <w:szCs w:val="26"/>
        </w:rPr>
        <w:t>arguendo</w:t>
      </w:r>
      <w:r w:rsidRPr="0072600F">
        <w:rPr>
          <w:sz w:val="26"/>
          <w:szCs w:val="26"/>
        </w:rPr>
        <w:t>, the premise of this argument that such disparate outcomes might occur, we disagree that this would necessarily render Order No. 2023’s penalty structure unduly discriminatory.  The increased possibility for penalties to be assessed in regions facing higher volumes of interconnection requests necessarily results from the increased likelihood of delayed results in those regions.  That, however, correspondingly reflects in an increased need in these regions to ensure timely processing of those requests.</w:t>
      </w:r>
      <w:r>
        <w:rPr>
          <w:rStyle w:val="FootnoteReference"/>
        </w:rPr>
        <w:footnoteReference w:id="718"/>
      </w:r>
      <w:r w:rsidRPr="0072600F">
        <w:rPr>
          <w:sz w:val="26"/>
          <w:szCs w:val="26"/>
        </w:rPr>
        <w:t xml:space="preserve">  Thus, any increased possibility of penalties in those regions is a just and reasonable and not unduly discriminatory result.</w:t>
      </w:r>
      <w:r>
        <w:rPr>
          <w:rStyle w:val="FootnoteReference"/>
        </w:rPr>
        <w:footnoteReference w:id="719"/>
      </w:r>
      <w:r w:rsidRPr="0072600F">
        <w:rPr>
          <w:sz w:val="26"/>
          <w:szCs w:val="26"/>
        </w:rPr>
        <w:t xml:space="preserve">  </w:t>
      </w:r>
    </w:p>
    <w:p w:rsidR="00760048" w:rsidRPr="0072600F" w14:paraId="2FA5D0C7" w14:textId="77777777">
      <w:pPr>
        <w:pStyle w:val="FERCparanumber"/>
        <w:widowControl/>
        <w:numPr>
          <w:ilvl w:val="0"/>
          <w:numId w:val="25"/>
        </w:numPr>
        <w:autoSpaceDE/>
        <w:autoSpaceDN/>
        <w:adjustRightInd/>
        <w:spacing w:line="480" w:lineRule="auto"/>
        <w:rPr>
          <w:sz w:val="26"/>
          <w:szCs w:val="26"/>
        </w:rPr>
      </w:pPr>
      <w:bookmarkStart w:id="69" w:name="_Ref160109312"/>
      <w:r w:rsidRPr="0072600F">
        <w:rPr>
          <w:sz w:val="26"/>
          <w:szCs w:val="26"/>
        </w:rPr>
        <w:t>We reject arguments from Avangrid, MISO TOs, and NYTOs that incurring a penalty for failure to meet an interconnection study deadline is confiscatory, compelling transmission providers to provide service while not allowing them to recover their costs,</w:t>
      </w:r>
      <w:r>
        <w:rPr>
          <w:rStyle w:val="FootnoteReference"/>
        </w:rPr>
        <w:footnoteReference w:id="720"/>
      </w:r>
      <w:r w:rsidRPr="0072600F">
        <w:rPr>
          <w:sz w:val="26"/>
          <w:szCs w:val="26"/>
        </w:rPr>
        <w:t xml:space="preserve"> because these arguments were not raised in the comments received in response to the NOPR but have instead been raised for the first time on rehearing.  We typically reject arguments raised for the first time on rehearing, unless those arguments could not have been previously presented, e.g., claims based on information that only recently became available or concerns prompted by a change in material circumstances.</w:t>
      </w:r>
      <w:bookmarkStart w:id="70" w:name="_Ref160109331"/>
      <w:r>
        <w:rPr>
          <w:rStyle w:val="FootnoteReference"/>
        </w:rPr>
        <w:footnoteReference w:id="721"/>
      </w:r>
      <w:bookmarkEnd w:id="70"/>
      <w:r w:rsidRPr="0072600F">
        <w:rPr>
          <w:sz w:val="26"/>
          <w:szCs w:val="26"/>
        </w:rPr>
        <w:t xml:space="preserve">  Commenters had the opportunity to argue that the study deadline and penalty structure is confiscatory in response to the NOPR but did not do so.  We find that these arguments are, therefore, not properly before us.</w:t>
      </w:r>
      <w:bookmarkStart w:id="71" w:name="_Ref160109334"/>
      <w:r>
        <w:rPr>
          <w:rStyle w:val="FootnoteReference"/>
        </w:rPr>
        <w:footnoteReference w:id="722"/>
      </w:r>
      <w:bookmarkEnd w:id="69"/>
      <w:bookmarkEnd w:id="71"/>
    </w:p>
    <w:p w:rsidR="00760048" w:rsidRPr="0072600F" w14:paraId="07471F10" w14:textId="77777777">
      <w:pPr>
        <w:pStyle w:val="FERCparanumber"/>
        <w:widowControl/>
        <w:numPr>
          <w:ilvl w:val="0"/>
          <w:numId w:val="25"/>
        </w:numPr>
        <w:autoSpaceDE/>
        <w:autoSpaceDN/>
        <w:adjustRightInd/>
        <w:spacing w:line="480" w:lineRule="auto"/>
        <w:rPr>
          <w:sz w:val="26"/>
          <w:szCs w:val="26"/>
        </w:rPr>
      </w:pPr>
      <w:r w:rsidRPr="0072600F">
        <w:rPr>
          <w:sz w:val="26"/>
          <w:szCs w:val="26"/>
        </w:rPr>
        <w:t>Even had these arguments been properly raised, these arguments would also be premature because they depend on speculative assertions that the result of applying penalties to transmission providers will be confiscatory.</w:t>
      </w:r>
      <w:r>
        <w:rPr>
          <w:rStyle w:val="FootnoteReference"/>
        </w:rPr>
        <w:footnoteReference w:id="723"/>
      </w:r>
      <w:r w:rsidRPr="0072600F">
        <w:rPr>
          <w:sz w:val="26"/>
          <w:szCs w:val="26"/>
        </w:rPr>
        <w:t xml:space="preserve">  For a transmission provider to establish this premise will necessarily depend on the facts of each individual case.  Transmission providers will have the opportunity to argue on appeal that there is good cause to grant relief from the penalty, for example, because delays in completing interconnection studies were due to factors beyond their control</w:t>
      </w:r>
      <w:r w:rsidR="00E97724">
        <w:rPr>
          <w:sz w:val="26"/>
          <w:szCs w:val="26"/>
        </w:rPr>
        <w:t xml:space="preserve"> and</w:t>
      </w:r>
      <w:r w:rsidRPr="0072600F">
        <w:rPr>
          <w:sz w:val="26"/>
          <w:szCs w:val="26"/>
        </w:rPr>
        <w:t xml:space="preserve"> that, as a result, they should be entitled to recovery of their costs of performing such studies; and that failure to allow such recovery would be confiscatory.</w:t>
      </w:r>
    </w:p>
    <w:p w:rsidR="00760048" w:rsidRPr="0072600F" w14:paraId="4E7F6834" w14:textId="77777777">
      <w:pPr>
        <w:pStyle w:val="FERCparanumber"/>
        <w:widowControl/>
        <w:numPr>
          <w:ilvl w:val="0"/>
          <w:numId w:val="25"/>
        </w:numPr>
        <w:autoSpaceDE/>
        <w:autoSpaceDN/>
        <w:adjustRightInd/>
        <w:spacing w:line="480" w:lineRule="auto"/>
        <w:rPr>
          <w:sz w:val="26"/>
          <w:szCs w:val="26"/>
        </w:rPr>
      </w:pPr>
      <w:r w:rsidRPr="0072600F">
        <w:rPr>
          <w:sz w:val="26"/>
          <w:szCs w:val="26"/>
        </w:rPr>
        <w:t>In the alternative, even if we were to consider these arguments as properly raised as a procedural matter and ripe for consideration at this time, we would reject them.  While transmission providers have historically recovered the full costs of interconnection studies from interconnection customers, the structure adopted in Order No. 2023 reflects a different approach under which the amount transmission providers can charge for such studies will be effectively reduced if transmission providers fail to meet the relevant deadlines.</w:t>
      </w:r>
      <w:r>
        <w:rPr>
          <w:rStyle w:val="FootnoteReference"/>
        </w:rPr>
        <w:footnoteReference w:id="724"/>
      </w:r>
      <w:r w:rsidRPr="0072600F">
        <w:rPr>
          <w:sz w:val="26"/>
          <w:szCs w:val="26"/>
        </w:rPr>
        <w:t xml:space="preserve">  As the Supreme Court explained in </w:t>
      </w:r>
      <w:r w:rsidRPr="0072600F">
        <w:rPr>
          <w:i/>
          <w:sz w:val="26"/>
          <w:szCs w:val="26"/>
        </w:rPr>
        <w:t>FPC v. Hope Natural Gas Co.</w:t>
      </w:r>
      <w:r w:rsidRPr="0072600F">
        <w:rPr>
          <w:sz w:val="26"/>
          <w:szCs w:val="26"/>
        </w:rPr>
        <w:t>, ratemaking involves “a balancing of the investor and the consumer interests,”</w:t>
      </w:r>
      <w:r>
        <w:rPr>
          <w:rStyle w:val="FootnoteReference"/>
        </w:rPr>
        <w:footnoteReference w:id="725"/>
      </w:r>
      <w:r w:rsidRPr="0072600F">
        <w:rPr>
          <w:sz w:val="26"/>
          <w:szCs w:val="26"/>
        </w:rPr>
        <w:t xml:space="preserve"> under which regulated utilities are generally entitled to a reasonable opportunity to recover their prudently incurred costs, but are not guaranteed such cost recovery.</w:t>
      </w:r>
      <w:r>
        <w:rPr>
          <w:rStyle w:val="FootnoteReference"/>
        </w:rPr>
        <w:footnoteReference w:id="726"/>
      </w:r>
    </w:p>
    <w:p w:rsidR="00760048" w:rsidRPr="0072600F" w14:paraId="08CD5FFF" w14:textId="77777777">
      <w:pPr>
        <w:pStyle w:val="FERCparanumber"/>
        <w:widowControl/>
        <w:numPr>
          <w:ilvl w:val="0"/>
          <w:numId w:val="25"/>
        </w:numPr>
        <w:autoSpaceDE/>
        <w:autoSpaceDN/>
        <w:adjustRightInd/>
        <w:spacing w:line="480" w:lineRule="auto"/>
        <w:rPr>
          <w:sz w:val="26"/>
          <w:szCs w:val="26"/>
        </w:rPr>
      </w:pPr>
      <w:r w:rsidRPr="0072600F">
        <w:rPr>
          <w:sz w:val="26"/>
          <w:szCs w:val="26"/>
        </w:rPr>
        <w:t>Order No. 2023’s deadline and penalty structure reflects this balancing of interests, providing a reasonable opportunity for cost recovery dependent on the transmission provider’s performance in providing the service at issue.  It allows the opportunity for full cost recovery for the conduct of interconnection studies, should transmission providers meet the relevant standards of performance (deadlines) for the timely conduct of those studies.  Should transmission providers fail to meet those standards, the penalties reduce the compensation available, consistent with interconnection customers’ interests in the timely completion of those studies and the extent to which delays in the completion of those studies contribute to interconnection queue backlogs, resulting in unjust and unreasonable rates to consumers.  Even then, however, transmission providers may still obtain relief from penalties through the appeals process, including by arguing that factors outside of their control rather than their own conduct caused the delay, further confirming their reasonable opportunity to recover their costs.</w:t>
      </w:r>
      <w:r>
        <w:rPr>
          <w:rStyle w:val="FootnoteReference"/>
        </w:rPr>
        <w:footnoteReference w:id="727"/>
      </w:r>
      <w:r w:rsidRPr="0072600F">
        <w:rPr>
          <w:sz w:val="26"/>
          <w:szCs w:val="26"/>
        </w:rPr>
        <w:t xml:space="preserve">  Avangrid, MISO TOs, and NYTOs do not demonstrate that the deadline and penalty structure under Order No. 2023 is confiscatory.</w:t>
      </w:r>
    </w:p>
    <w:p w:rsidR="00760048" w:rsidRPr="00663161" w14:paraId="49E86997"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RTO/ISO Issues</w:t>
      </w:r>
    </w:p>
    <w:p w:rsidR="00760048" w:rsidRPr="0072600F" w14:paraId="7427A948" w14:textId="77777777">
      <w:pPr>
        <w:pStyle w:val="Heading6"/>
        <w:numPr>
          <w:ilvl w:val="5"/>
          <w:numId w:val="24"/>
        </w:numPr>
        <w:autoSpaceDE/>
        <w:autoSpaceDN/>
        <w:adjustRightInd/>
        <w:rPr>
          <w:szCs w:val="26"/>
        </w:rPr>
      </w:pPr>
      <w:r w:rsidRPr="0072600F">
        <w:rPr>
          <w:szCs w:val="26"/>
        </w:rPr>
        <w:t>Requests for Rehearing</w:t>
      </w:r>
    </w:p>
    <w:p w:rsidR="00760048" w:rsidRPr="0072600F" w14:paraId="309630C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Several parties on rehearing raise challenges to the Commission’s treatment of RTOs/ISOs under the deadline and penalty structure.  NYISO asserts that imposing penalties on RTOs/ISOs is inappropriate because such penalties will be disproportionate or ineffective, and may pose an existential risk to RTOs/ISOs given their non-profit nature, lack of shareholders, and the risk </w:t>
      </w:r>
      <w:r w:rsidR="00575557">
        <w:rPr>
          <w:sz w:val="26"/>
          <w:szCs w:val="26"/>
        </w:rPr>
        <w:t>that</w:t>
      </w:r>
      <w:r w:rsidRPr="0072600F">
        <w:rPr>
          <w:sz w:val="26"/>
          <w:szCs w:val="26"/>
        </w:rPr>
        <w:t xml:space="preserve"> they will be denied recovery of their costs.</w:t>
      </w:r>
      <w:r>
        <w:rPr>
          <w:rStyle w:val="FootnoteReference"/>
        </w:rPr>
        <w:footnoteReference w:id="728"/>
      </w:r>
      <w:r w:rsidRPr="0072600F">
        <w:rPr>
          <w:sz w:val="26"/>
          <w:szCs w:val="26"/>
        </w:rPr>
        <w:t xml:space="preserve">  NYISO argues that Commission precedent prevents passing penalty costs to customers, but RTOs/ISOs lack shareholders to absorb the costs such that penalties pose an existential risk—and that the Commission arbitrarily and capriciously dismissed these concerns.</w:t>
      </w:r>
      <w:r>
        <w:rPr>
          <w:rStyle w:val="FootnoteReference"/>
        </w:rPr>
        <w:footnoteReference w:id="729"/>
      </w:r>
      <w:r w:rsidRPr="0072600F">
        <w:rPr>
          <w:sz w:val="26"/>
          <w:szCs w:val="26"/>
        </w:rPr>
        <w:t xml:space="preserve">  </w:t>
      </w:r>
      <w:r w:rsidR="001C3441">
        <w:rPr>
          <w:sz w:val="26"/>
          <w:szCs w:val="26"/>
        </w:rPr>
        <w:t>NYISO</w:t>
      </w:r>
      <w:r w:rsidRPr="0072600F" w:rsidR="001C3441">
        <w:rPr>
          <w:sz w:val="26"/>
          <w:szCs w:val="26"/>
        </w:rPr>
        <w:t xml:space="preserve"> </w:t>
      </w:r>
      <w:r w:rsidRPr="0072600F">
        <w:rPr>
          <w:sz w:val="26"/>
          <w:szCs w:val="26"/>
        </w:rPr>
        <w:t>claims that the ability to make FPA section 205 filings to recover costs associated with penalties (whether through individual filings or a default structure) does not eliminate the risk that penalties pose, because such proposals will likely be contested and may be rejected.</w:t>
      </w:r>
      <w:r>
        <w:rPr>
          <w:rStyle w:val="FootnoteReference"/>
        </w:rPr>
        <w:footnoteReference w:id="730"/>
      </w:r>
      <w:r w:rsidRPr="0072600F">
        <w:rPr>
          <w:sz w:val="26"/>
          <w:szCs w:val="26"/>
        </w:rPr>
        <w:t xml:space="preserve">  NYISO also observes that Order No. 2023 “asserts for the first time that RTOs/ISOs actually are authorized to pay penalty costs, seemingly without first making any kind of section 205 filing, by using funds that are not related to transmission services,” but claims that the Commission ignores that any funds collected by RTOs/ISOs must come from market participants.</w:t>
      </w:r>
      <w:r>
        <w:rPr>
          <w:rStyle w:val="FootnoteReference"/>
        </w:rPr>
        <w:footnoteReference w:id="731"/>
      </w:r>
      <w:r w:rsidRPr="0072600F">
        <w:rPr>
          <w:sz w:val="26"/>
          <w:szCs w:val="26"/>
        </w:rPr>
        <w:t xml:space="preserve">  NYISO asserts that it is not clear why the Commission would allow recovery of penalty costs automatically from non-transmission charges but require FPA section 205 filings to recover costs from transmission customers.</w:t>
      </w:r>
      <w:r>
        <w:rPr>
          <w:rStyle w:val="FootnoteReference"/>
        </w:rPr>
        <w:footnoteReference w:id="732"/>
      </w:r>
      <w:r w:rsidRPr="0072600F">
        <w:rPr>
          <w:sz w:val="26"/>
          <w:szCs w:val="26"/>
        </w:rPr>
        <w:t xml:space="preserve">  NYISO also claims it is unduly discriminatory to subject them to the same penalty regime as traditional transmission providers.</w:t>
      </w:r>
      <w:r>
        <w:rPr>
          <w:rStyle w:val="FootnoteReference"/>
        </w:rPr>
        <w:footnoteReference w:id="733"/>
      </w:r>
      <w:r w:rsidRPr="0072600F">
        <w:rPr>
          <w:sz w:val="26"/>
          <w:szCs w:val="26"/>
        </w:rPr>
        <w:t xml:space="preserve">  </w:t>
      </w:r>
    </w:p>
    <w:p w:rsidR="00760048" w:rsidRPr="0072600F" w14:paraId="0CDA4BCA" w14:textId="77777777">
      <w:pPr>
        <w:pStyle w:val="FERCparanumber"/>
        <w:widowControl/>
        <w:numPr>
          <w:ilvl w:val="0"/>
          <w:numId w:val="25"/>
        </w:numPr>
        <w:autoSpaceDE/>
        <w:autoSpaceDN/>
        <w:adjustRightInd/>
        <w:spacing w:line="480" w:lineRule="auto"/>
        <w:rPr>
          <w:sz w:val="26"/>
          <w:szCs w:val="26"/>
        </w:rPr>
      </w:pPr>
      <w:r w:rsidRPr="0072600F">
        <w:rPr>
          <w:sz w:val="26"/>
          <w:szCs w:val="26"/>
        </w:rPr>
        <w:t>AEP argues that the Commission’s approach to penalties as applied to RTOs/ISOs—providing that the transmission owner responsible for conducting a late study in an RTO/ISO will directly incur the penalty and allowing recovery of penalty costs incurred by RTOs/ISOs through FPA section 205 filings—underestimates the complexity of assigning fault for study delays.</w:t>
      </w:r>
      <w:r>
        <w:rPr>
          <w:rStyle w:val="FootnoteReference"/>
        </w:rPr>
        <w:footnoteReference w:id="734"/>
      </w:r>
      <w:r w:rsidRPr="0072600F">
        <w:rPr>
          <w:sz w:val="26"/>
          <w:szCs w:val="26"/>
        </w:rPr>
        <w:t xml:space="preserve">  AEP argues that assigning fault for study delays is not a straightforward proposition in RTOs/ISOs, noting the collaborative nature of the study process and citing an example from a recent SPP informational report that identified multiple drivers of delays, at least two of which were outside of SPP’s control.  AEP argues that the Commission failed to justify the imposition of administrative and litigative burdens on RTOs and ISOs related to assigning fault for delays to the completion of interconnection studies.</w:t>
      </w:r>
      <w:r>
        <w:rPr>
          <w:rStyle w:val="FootnoteReference"/>
        </w:rPr>
        <w:footnoteReference w:id="735"/>
      </w:r>
      <w:r w:rsidRPr="0072600F">
        <w:rPr>
          <w:sz w:val="26"/>
          <w:szCs w:val="26"/>
        </w:rPr>
        <w:t xml:space="preserve">  AEP also contends that the Commission appears to have restricted the appeal process to the party that conducts the interconnection study, such that other contributors to fault—to whom the RTO/ISO assigns some portion of the penalty—may be unable to appeal.</w:t>
      </w:r>
      <w:r>
        <w:rPr>
          <w:rStyle w:val="FootnoteReference"/>
        </w:rPr>
        <w:footnoteReference w:id="736"/>
      </w:r>
      <w:r w:rsidRPr="0072600F">
        <w:rPr>
          <w:sz w:val="26"/>
          <w:szCs w:val="26"/>
        </w:rPr>
        <w:t xml:space="preserve">  In addition, AEP argues that, at a minimum, the Commission should reconsider who has standing to appeal penalties under the Order No. 2023 procedures and broaden the standard to include parties taking part in the study process that are not tasked with conducting a study. </w:t>
      </w:r>
    </w:p>
    <w:p w:rsidR="00760048" w:rsidRPr="0072600F" w14:paraId="2D9A43C6" w14:textId="77777777">
      <w:pPr>
        <w:pStyle w:val="FERCparanumber"/>
        <w:widowControl/>
        <w:numPr>
          <w:ilvl w:val="0"/>
          <w:numId w:val="25"/>
        </w:numPr>
        <w:autoSpaceDE/>
        <w:autoSpaceDN/>
        <w:adjustRightInd/>
        <w:spacing w:line="480" w:lineRule="auto"/>
        <w:rPr>
          <w:sz w:val="26"/>
          <w:szCs w:val="26"/>
        </w:rPr>
      </w:pPr>
      <w:r w:rsidRPr="0072600F">
        <w:rPr>
          <w:sz w:val="26"/>
          <w:szCs w:val="26"/>
        </w:rPr>
        <w:t>As to the direct assignment of study delay penalties, Indicated PJM TOs contend that penalties cannot be automatically assigned in this fashion and the Commission is incorrect to suggest that such assignment could occur with little to no factfinding.</w:t>
      </w:r>
      <w:r>
        <w:rPr>
          <w:rStyle w:val="FootnoteReference"/>
        </w:rPr>
        <w:footnoteReference w:id="737"/>
      </w:r>
      <w:r w:rsidRPr="0072600F">
        <w:rPr>
          <w:sz w:val="26"/>
          <w:szCs w:val="26"/>
        </w:rPr>
        <w:t xml:space="preserve">  Indicated PJM TOs assert that, to the extent that the Commission intends to assign the penalty only to the singular entity that performed the study, it is not clear how the penalty would be assigned if the study is primarily executed by the RTO/ISO but also depends on a collaborative effort between the RTO/ISO and transmission owners.  On the other hand, they argue that</w:t>
      </w:r>
      <w:r w:rsidR="00933AF7">
        <w:rPr>
          <w:sz w:val="26"/>
          <w:szCs w:val="26"/>
        </w:rPr>
        <w:t>,</w:t>
      </w:r>
      <w:r w:rsidRPr="0072600F">
        <w:rPr>
          <w:sz w:val="26"/>
          <w:szCs w:val="26"/>
        </w:rPr>
        <w:t xml:space="preserve"> to the extent the Commission intends that penalties be directly assigned to the entity with the “most control” over the study (or allocated proportionately based on the level of control or responsibility for the delay), significant factfinding will be required, given the collaborative nature of the process.  Indicated PJM TOs also note that interconnection customers may be responsible for delays, reinforcing the need for a factual analysis to determine which entity had “more control” over a study and caused or contributed to the study delay.</w:t>
      </w:r>
      <w:r>
        <w:rPr>
          <w:rStyle w:val="FootnoteReference"/>
        </w:rPr>
        <w:footnoteReference w:id="738"/>
      </w:r>
      <w:r w:rsidRPr="0072600F">
        <w:rPr>
          <w:sz w:val="26"/>
          <w:szCs w:val="26"/>
        </w:rPr>
        <w:t xml:space="preserve">  In addition, Indicated PJM TOs assert that Order No. 2023 empowers RTOs/ISOs to determine a transmission owner’s</w:t>
      </w:r>
      <w:r w:rsidRPr="0072600F">
        <w:rPr>
          <w:sz w:val="26"/>
          <w:szCs w:val="26"/>
        </w:rPr>
        <w:t xml:space="preserve"> </w:t>
      </w:r>
      <w:r w:rsidRPr="0072600F">
        <w:rPr>
          <w:sz w:val="26"/>
          <w:szCs w:val="26"/>
        </w:rPr>
        <w:t>responsibility for study delay penalties, such that RTOs/ISOs will have incentives to blame transmission owners for delays, rather than assigning fault to themselves or mitigating delays, and forcing transmission owners to appeal penalties.</w:t>
      </w:r>
      <w:r>
        <w:rPr>
          <w:rStyle w:val="FootnoteReference"/>
        </w:rPr>
        <w:footnoteReference w:id="739"/>
      </w:r>
      <w:r w:rsidRPr="0072600F">
        <w:rPr>
          <w:sz w:val="26"/>
          <w:szCs w:val="26"/>
        </w:rPr>
        <w:t xml:space="preserve">  Furthermore, they argue that the Commission cannot delegate to third parties (i.e., RTOs/ISOs) the obligation to ensure the justness and reasonableness of rates.</w:t>
      </w:r>
      <w:r>
        <w:rPr>
          <w:rStyle w:val="FootnoteReference"/>
        </w:rPr>
        <w:footnoteReference w:id="740"/>
      </w:r>
      <w:r w:rsidRPr="0072600F">
        <w:rPr>
          <w:sz w:val="26"/>
          <w:szCs w:val="26"/>
        </w:rPr>
        <w:t xml:space="preserve">  </w:t>
      </w:r>
    </w:p>
    <w:p w:rsidR="00760048" w:rsidRPr="0072600F" w14:paraId="1226D009" w14:textId="77777777">
      <w:pPr>
        <w:pStyle w:val="FERCparanumber"/>
        <w:widowControl/>
        <w:numPr>
          <w:ilvl w:val="0"/>
          <w:numId w:val="25"/>
        </w:numPr>
        <w:autoSpaceDE/>
        <w:autoSpaceDN/>
        <w:adjustRightInd/>
        <w:spacing w:line="480" w:lineRule="auto"/>
        <w:rPr>
          <w:sz w:val="26"/>
          <w:szCs w:val="26"/>
        </w:rPr>
      </w:pPr>
      <w:r w:rsidRPr="0072600F">
        <w:rPr>
          <w:sz w:val="26"/>
          <w:szCs w:val="26"/>
        </w:rPr>
        <w:t>MISO TOs also contend that, in providing for the direct assignment of penalties where the transmission-owning members of an RTO/ISO perform interconnection studies, the Commission failed to consider the complexity of the study process and how fault for delays can rest with more than one entity.</w:t>
      </w:r>
      <w:r>
        <w:rPr>
          <w:rStyle w:val="FootnoteReference"/>
        </w:rPr>
        <w:footnoteReference w:id="741"/>
      </w:r>
      <w:r w:rsidRPr="0072600F">
        <w:rPr>
          <w:sz w:val="26"/>
          <w:szCs w:val="26"/>
        </w:rPr>
        <w:t xml:space="preserve">  They argue that, in the RTO context, both the RTO and transmission owner perform critical tasks for the completion of studies and factors outside of their control may cause delays.</w:t>
      </w:r>
    </w:p>
    <w:p w:rsidR="00760048" w:rsidRPr="0072600F" w14:paraId="76079938"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claims that the automatic assignment of penalties to transmission-owning members of RTOs/ISOs for studies that they conduct is not a reasoned solution to how penalties should apply to RTOs/ISOs, likewise citing the complexities of how the study process works in practice and collaborative nature of that process.</w:t>
      </w:r>
      <w:r>
        <w:rPr>
          <w:rStyle w:val="FootnoteReference"/>
        </w:rPr>
        <w:footnoteReference w:id="742"/>
      </w:r>
      <w:r w:rsidRPr="0072600F">
        <w:rPr>
          <w:sz w:val="26"/>
          <w:szCs w:val="26"/>
        </w:rPr>
        <w:t xml:space="preserve">  NYISO argues that allocating responsibility for delays will be highly subjective and contentious, leading to adversarial postures and undermining necessary cooperation.  NYISO further argues that if “transmission owners bear 100% of the penalty for any study that they have any involvement with then there will foreseeably be transmission owner challenges to every penalty assignment” and that assigning penalties to transmission owners “only to the extent that they contributed to a missed deadline” will require a determination of relative responsibility.</w:t>
      </w:r>
      <w:r>
        <w:rPr>
          <w:rStyle w:val="FootnoteReference"/>
        </w:rPr>
        <w:footnoteReference w:id="743"/>
      </w:r>
    </w:p>
    <w:p w:rsidR="00760048" w:rsidRPr="0072600F" w14:paraId="1C8E0324"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also questions the automatic allocation of the penalty for missing deadlines to the transmission owner versus the RTO/ISO.</w:t>
      </w:r>
      <w:r>
        <w:rPr>
          <w:rStyle w:val="FootnoteReference"/>
        </w:rPr>
        <w:footnoteReference w:id="744"/>
      </w:r>
      <w:r w:rsidRPr="0072600F">
        <w:rPr>
          <w:sz w:val="26"/>
          <w:szCs w:val="26"/>
        </w:rPr>
        <w:t xml:space="preserve">  Pointing to the collaborative nature of the study process in PJM, </w:t>
      </w:r>
      <w:r w:rsidR="000365D6">
        <w:rPr>
          <w:sz w:val="26"/>
          <w:szCs w:val="26"/>
        </w:rPr>
        <w:t>Dominion</w:t>
      </w:r>
      <w:r w:rsidRPr="0072600F" w:rsidR="000365D6">
        <w:rPr>
          <w:sz w:val="26"/>
          <w:szCs w:val="26"/>
        </w:rPr>
        <w:t xml:space="preserve"> </w:t>
      </w:r>
      <w:r w:rsidRPr="0072600F">
        <w:rPr>
          <w:sz w:val="26"/>
          <w:szCs w:val="26"/>
        </w:rPr>
        <w:t xml:space="preserve">challenges the Commission’s blanket assumption that the interconnection transmission owner conducting the study has the most control over the study.  </w:t>
      </w:r>
    </w:p>
    <w:p w:rsidR="00760048" w:rsidRPr="0072600F" w14:paraId="0F1B310E"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the rehearing requests assert that the deadline and penalty structure does not impose proper or effective incentives on RTOs/ISOs.  Avangrid asserts that the Commission failed to establish how this structure would incentivize RTOs/ISOs to meet fixed deadlines, but rather “asks the non-profit transmission provider to propose how it would penalize itself.”</w:t>
      </w:r>
      <w:r>
        <w:rPr>
          <w:rStyle w:val="FootnoteReference"/>
        </w:rPr>
        <w:footnoteReference w:id="745"/>
      </w:r>
      <w:r w:rsidRPr="0072600F">
        <w:rPr>
          <w:sz w:val="26"/>
          <w:szCs w:val="26"/>
        </w:rPr>
        <w:t xml:space="preserve">  NYSPSC argues that the Commission failed to explain how, given the mechanisms it discussed for RTOs/ISOs to recover the costs of penalties, RTOs/ISOs will be subject to an incentive to meet the study deadlines set in Order No. 2023, asserting that if RTOs/ISOs can pass-through penalty costs to market participants they will be indifferent to those penalties.</w:t>
      </w:r>
      <w:r>
        <w:rPr>
          <w:rStyle w:val="FootnoteReference"/>
        </w:rPr>
        <w:footnoteReference w:id="746"/>
      </w:r>
      <w:r w:rsidRPr="0072600F">
        <w:rPr>
          <w:sz w:val="26"/>
          <w:szCs w:val="26"/>
        </w:rPr>
        <w:t xml:space="preserve">  NYTOs argue that allowing RTOs/ISOs to avoid penalty costs “contradicts the intended incentive, making the penalty ineffective and therefore arbitrary and capricious.”</w:t>
      </w:r>
      <w:r>
        <w:rPr>
          <w:rStyle w:val="FootnoteReference"/>
        </w:rPr>
        <w:footnoteReference w:id="747"/>
      </w:r>
      <w:r w:rsidRPr="0072600F">
        <w:rPr>
          <w:sz w:val="26"/>
          <w:szCs w:val="26"/>
        </w:rPr>
        <w:t xml:space="preserve">  Avangrid also notes that allowing RTOs/ISOs to collect penalties from market participants “provides no financial motivation to the ISO to change behavior to meet deadlines, as the ISO would merely be passing along the penalty costs to others.”</w:t>
      </w:r>
      <w:r>
        <w:rPr>
          <w:rStyle w:val="FootnoteReference"/>
        </w:rPr>
        <w:footnoteReference w:id="748"/>
      </w:r>
    </w:p>
    <w:p w:rsidR="00760048" w:rsidRPr="0072600F" w14:paraId="2135A9AC" w14:textId="77777777">
      <w:pPr>
        <w:pStyle w:val="FERCparanumber"/>
        <w:widowControl/>
        <w:numPr>
          <w:ilvl w:val="0"/>
          <w:numId w:val="25"/>
        </w:numPr>
        <w:autoSpaceDE/>
        <w:autoSpaceDN/>
        <w:adjustRightInd/>
        <w:spacing w:line="480" w:lineRule="auto"/>
        <w:rPr>
          <w:sz w:val="26"/>
          <w:szCs w:val="26"/>
        </w:rPr>
      </w:pPr>
      <w:r w:rsidRPr="0072600F">
        <w:rPr>
          <w:sz w:val="26"/>
          <w:szCs w:val="26"/>
        </w:rPr>
        <w:t>Avangrid, NYISO, NYSPC, and NYTOs assert that RTOs/ISOs may attempt to recover the cost of penalties in a manner that is not consistent with principles of cost causation or is otherwise unjust and unreasonable.  Avangrid argues that allowing RTOs/ISOs to collect penalties from market participants violates cost causation principles and expresses concerns that RTOs/ISOs may attempt to allocate 100% of the penalty to a transmission owner that contributes to a delay in only a minor fashion, particularly if the RTO/ISO has no other way to recover the penalty costs.  NYISO argues that RTOs/ISOs must recover costs associated with a penalty regime from their customers, and that penalties would simply punish customers that have nothing to do with missed deadlines.</w:t>
      </w:r>
      <w:r>
        <w:rPr>
          <w:rStyle w:val="FootnoteReference"/>
        </w:rPr>
        <w:footnoteReference w:id="749"/>
      </w:r>
      <w:r w:rsidRPr="0072600F">
        <w:rPr>
          <w:sz w:val="26"/>
          <w:szCs w:val="26"/>
        </w:rPr>
        <w:t xml:space="preserve">  NYSPSC contends that it is unjust and unreasonable to allow RTOs/ISOs to seek to recover the costs associated with penalties from administrative fees charged to market participants, as these are beyond the costs necessary to provide electric service to customers and should not be borne by them.</w:t>
      </w:r>
      <w:r>
        <w:rPr>
          <w:rStyle w:val="FootnoteReference"/>
        </w:rPr>
        <w:footnoteReference w:id="750"/>
      </w:r>
      <w:r w:rsidRPr="0072600F">
        <w:rPr>
          <w:sz w:val="26"/>
          <w:szCs w:val="26"/>
        </w:rPr>
        <w:t xml:space="preserve">  NYTOs claim that “passing penalties to transmission owner members of RTOs/ISOs when those providers are not responsible for a delay violates cost causation and is not just and reasonable.”</w:t>
      </w:r>
      <w:r>
        <w:rPr>
          <w:rStyle w:val="FootnoteReference"/>
        </w:rPr>
        <w:footnoteReference w:id="751"/>
      </w:r>
    </w:p>
    <w:p w:rsidR="00760048" w:rsidRPr="0072600F" w14:paraId="22BAFF2E"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argues that that it was unlawful for the Commission in Order No. 2023 to not further address the question of how RTOs/ISOs will recover the costs of study delay penalties that are not automatically imposed on a transmission-owning member, asserting that this question was raised in comments, acknowledged by the Commission, and is central to Order No. 2023’s penalty regime.</w:t>
      </w:r>
      <w:r>
        <w:rPr>
          <w:rStyle w:val="FootnoteReference"/>
        </w:rPr>
        <w:footnoteReference w:id="752"/>
      </w:r>
      <w:r w:rsidRPr="0072600F">
        <w:rPr>
          <w:sz w:val="26"/>
          <w:szCs w:val="26"/>
        </w:rPr>
        <w:t xml:space="preserve">  Similarly, Dominion asserts that the Commission has not articulated a sensible approach to RTO/ISO penalty costs that is supported by substantial evidence in the first instance, but is instead inappropriately deferring the issue to future RTO/ISO filings to propose a penalty allocation structure.</w:t>
      </w:r>
      <w:r>
        <w:rPr>
          <w:rStyle w:val="FootnoteReference"/>
        </w:rPr>
        <w:footnoteReference w:id="753"/>
      </w:r>
    </w:p>
    <w:p w:rsidR="00760048" w:rsidRPr="0072600F" w14:paraId="7ADC5D6D" w14:textId="77777777">
      <w:pPr>
        <w:pStyle w:val="FERCparanumber"/>
        <w:widowControl/>
        <w:numPr>
          <w:ilvl w:val="0"/>
          <w:numId w:val="25"/>
        </w:numPr>
        <w:autoSpaceDE/>
        <w:autoSpaceDN/>
        <w:adjustRightInd/>
        <w:spacing w:line="480" w:lineRule="auto"/>
        <w:rPr>
          <w:sz w:val="26"/>
          <w:szCs w:val="26"/>
        </w:rPr>
      </w:pPr>
      <w:r w:rsidRPr="0072600F">
        <w:rPr>
          <w:sz w:val="26"/>
          <w:szCs w:val="26"/>
        </w:rPr>
        <w:t>MISO argues that Order No. 2023 should be revised to provide that RTOs are not required to pay any penalties until there is a Commission accepted mechanism to collect such penalties—and that the Commission failed to respond to comments raising this concern in a reasoned fashion.</w:t>
      </w:r>
      <w:r>
        <w:rPr>
          <w:rStyle w:val="FootnoteReference"/>
        </w:rPr>
        <w:footnoteReference w:id="754"/>
      </w:r>
      <w:r w:rsidRPr="0072600F">
        <w:rPr>
          <w:sz w:val="26"/>
          <w:szCs w:val="26"/>
        </w:rPr>
        <w:t xml:space="preserve">  </w:t>
      </w:r>
      <w:r w:rsidR="001E6579">
        <w:rPr>
          <w:sz w:val="26"/>
          <w:szCs w:val="26"/>
        </w:rPr>
        <w:t>MISO</w:t>
      </w:r>
      <w:r w:rsidRPr="0072600F">
        <w:rPr>
          <w:sz w:val="26"/>
          <w:szCs w:val="26"/>
        </w:rPr>
        <w:t xml:space="preserve"> notes that the Commission recognizes that RTOs have no ability to pay study delay penalties without collecting them from another party and asserts that, until there is a mechanism in place to collect the funds to pay study delay penalties in RTOS, the RTOs may lack the authority and funds to collect and pay the penalties.  However, MISO also notes that section 3.9 of the </w:t>
      </w:r>
      <w:r w:rsidRPr="0072600F">
        <w:rPr>
          <w:i/>
          <w:iCs/>
          <w:sz w:val="26"/>
          <w:szCs w:val="26"/>
        </w:rPr>
        <w:t xml:space="preserve">pro forma </w:t>
      </w:r>
      <w:r w:rsidRPr="0072600F">
        <w:rPr>
          <w:sz w:val="26"/>
          <w:szCs w:val="26"/>
        </w:rPr>
        <w:t xml:space="preserve">LGIP provides for distribution of penalties no later than 45 calendar days after the late study has been completed or 45 calendar days after the completion of any appeal and rehearing of the penalty. </w:t>
      </w:r>
    </w:p>
    <w:p w:rsidR="00760048" w:rsidRPr="0072600F" w14:paraId="72F91701" w14:textId="77777777">
      <w:pPr>
        <w:pStyle w:val="Heading6"/>
        <w:numPr>
          <w:ilvl w:val="5"/>
          <w:numId w:val="24"/>
        </w:numPr>
        <w:autoSpaceDE/>
        <w:autoSpaceDN/>
        <w:adjustRightInd/>
        <w:rPr>
          <w:szCs w:val="26"/>
        </w:rPr>
      </w:pPr>
      <w:r w:rsidRPr="0072600F">
        <w:rPr>
          <w:szCs w:val="26"/>
        </w:rPr>
        <w:t>Determination</w:t>
      </w:r>
    </w:p>
    <w:p w:rsidR="00760048" w:rsidRPr="0072600F" w14:paraId="58F47DAB" w14:textId="77777777">
      <w:pPr>
        <w:pStyle w:val="FERCparanumber"/>
        <w:widowControl/>
        <w:numPr>
          <w:ilvl w:val="0"/>
          <w:numId w:val="25"/>
        </w:numPr>
        <w:autoSpaceDE/>
        <w:autoSpaceDN/>
        <w:adjustRightInd/>
        <w:spacing w:line="480" w:lineRule="auto"/>
        <w:rPr>
          <w:sz w:val="26"/>
          <w:szCs w:val="26"/>
        </w:rPr>
      </w:pPr>
      <w:r w:rsidRPr="0072600F">
        <w:rPr>
          <w:sz w:val="26"/>
          <w:szCs w:val="26"/>
        </w:rPr>
        <w:t>As an initial matter, we disagree with arguments that applying the penalty regime to RTOs/ISOs is inappropriate or unduly discriminatory because RTOs/ISOs do not have shareholders or guaranteed means of absorbing penalty costs whereas non-RTO/ISO transmission providers do.  We believe that it would be inappropriate to categorically exempt RTOs/ISOs from the study delay penalties adopted in Order No. 2023.</w:t>
      </w:r>
      <w:r>
        <w:rPr>
          <w:rStyle w:val="FootnoteReference"/>
        </w:rPr>
        <w:footnoteReference w:id="755"/>
      </w:r>
      <w:r w:rsidRPr="0072600F">
        <w:rPr>
          <w:sz w:val="26"/>
          <w:szCs w:val="26"/>
        </w:rPr>
        <w:t xml:space="preserve">  RTOs/ISOs manage interconnection queues and process interconnection studies like non-RTO transmission providers.  The available evidence indicates that study delays are just as significant a problem in RTOs/ISOs as non-RTO/ISO regions.</w:t>
      </w:r>
      <w:r>
        <w:rPr>
          <w:rStyle w:val="FootnoteReference"/>
        </w:rPr>
        <w:footnoteReference w:id="756"/>
      </w:r>
      <w:r w:rsidRPr="0072600F">
        <w:rPr>
          <w:sz w:val="26"/>
          <w:szCs w:val="26"/>
        </w:rPr>
        <w:t xml:space="preserve">  RTOs/ISOs, just like non-RTOs, are facing increases in interconnection queue size, study duration, and length of time interconnection customers are spending in the queue.</w:t>
      </w:r>
      <w:r>
        <w:rPr>
          <w:rStyle w:val="FootnoteReference"/>
        </w:rPr>
        <w:footnoteReference w:id="757"/>
      </w:r>
      <w:r w:rsidRPr="0072600F">
        <w:rPr>
          <w:sz w:val="26"/>
          <w:szCs w:val="26"/>
        </w:rPr>
        <w:t xml:space="preserve">  As noted above, Order No. 2023 explained the gravity of the national problem of interconnection queue backlogs,</w:t>
      </w:r>
      <w:r>
        <w:rPr>
          <w:rStyle w:val="FootnoteReference"/>
        </w:rPr>
        <w:footnoteReference w:id="758"/>
      </w:r>
      <w:r w:rsidRPr="0072600F">
        <w:rPr>
          <w:sz w:val="26"/>
          <w:szCs w:val="26"/>
        </w:rPr>
        <w:t xml:space="preserve"> and we continue to believe that this is a dire problem that requires nationally implemented solutions.  </w:t>
      </w:r>
    </w:p>
    <w:p w:rsidR="00760048" w:rsidRPr="0072600F" w14:paraId="3685F026" w14:textId="77777777">
      <w:pPr>
        <w:pStyle w:val="FERCparanumber"/>
        <w:widowControl/>
        <w:numPr>
          <w:ilvl w:val="0"/>
          <w:numId w:val="25"/>
        </w:numPr>
        <w:autoSpaceDE/>
        <w:autoSpaceDN/>
        <w:adjustRightInd/>
        <w:spacing w:line="480" w:lineRule="auto"/>
        <w:rPr>
          <w:sz w:val="26"/>
          <w:szCs w:val="26"/>
        </w:rPr>
      </w:pPr>
      <w:r w:rsidRPr="0072600F">
        <w:rPr>
          <w:sz w:val="26"/>
          <w:szCs w:val="26"/>
        </w:rPr>
        <w:t>Moreover, while we agree that there are differences between RTOs/ISOs and non-RTO transmission providers, we conclude that the penalty regime adopted in Order No. 2023 sufficiently accounts for the differences.  First, in RTOs/ISOs, where an interconnection study is performed by a transmission-owning member of the RTO/ISO (as is often the case for facilities studies), under Order No. 2023 the penalty for missing a study deadline is incurred by that transmission-owning member, not the RTO/ISO.</w:t>
      </w:r>
      <w:r>
        <w:rPr>
          <w:rStyle w:val="FootnoteReference"/>
        </w:rPr>
        <w:footnoteReference w:id="759"/>
      </w:r>
      <w:r w:rsidRPr="0072600F">
        <w:rPr>
          <w:sz w:val="26"/>
          <w:szCs w:val="26"/>
        </w:rPr>
        <w:t xml:space="preserve">  Second, as to penalties that are incurred directly by the RTO/ISO, the RTO/ISO is permitted to seek cost recovery of penalty costs from their transmission-owning members or other market participants, whereas non-RTO/ISO transmission providers are not.  Additionally, RTOs/ISOs, as well as non-RTOs, can appeal the imposition of penalties in specific instances.  In light of these avenues for an RTO/ISO to avoid or reduce the prospect that it is responsible for payment of a penalty, we find </w:t>
      </w:r>
      <w:r w:rsidR="004005D6">
        <w:rPr>
          <w:sz w:val="26"/>
          <w:szCs w:val="26"/>
        </w:rPr>
        <w:t xml:space="preserve">that </w:t>
      </w:r>
      <w:r w:rsidRPr="0072600F">
        <w:rPr>
          <w:sz w:val="26"/>
          <w:szCs w:val="26"/>
        </w:rPr>
        <w:t>any residual uncertainty as to an RTO/ISO’s ability to recover penalty costs is outweighed by the critical need for all transmission providers, including RTOs/ISOs, to process interconnection studies in a timely manner.  Furthermore, particularly given that the daily amount of the penalties is not punitive and that the penalties will be capped, we do not view the possibility that RTOs/ISOs may face some uncertainty in recovering penalty costs as an existential threat.</w:t>
      </w:r>
    </w:p>
    <w:p w:rsidR="00760048" w:rsidRPr="0072600F" w14:paraId="4B5AB24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not persuaded by the following arguments to eliminate or modify the penalty regime: </w:t>
      </w:r>
      <w:r w:rsidR="00B41BB2">
        <w:rPr>
          <w:sz w:val="26"/>
          <w:szCs w:val="26"/>
        </w:rPr>
        <w:t xml:space="preserve"> </w:t>
      </w:r>
      <w:r w:rsidRPr="0072600F">
        <w:rPr>
          <w:sz w:val="26"/>
          <w:szCs w:val="26"/>
        </w:rPr>
        <w:t>(1) RTOs/ISOs will not be incentivized to meet study deadlines</w:t>
      </w:r>
      <w:r w:rsidR="00B41BB2">
        <w:rPr>
          <w:sz w:val="26"/>
          <w:szCs w:val="26"/>
        </w:rPr>
        <w:t>;</w:t>
      </w:r>
      <w:r w:rsidRPr="0072600F">
        <w:rPr>
          <w:sz w:val="26"/>
          <w:szCs w:val="26"/>
        </w:rPr>
        <w:t xml:space="preserve"> (2) the complexity of studies in RTOs/ISOs may lead to inappropriate assignment of cost responsibility</w:t>
      </w:r>
      <w:r w:rsidR="00B41BB2">
        <w:rPr>
          <w:sz w:val="26"/>
          <w:szCs w:val="26"/>
        </w:rPr>
        <w:t>;</w:t>
      </w:r>
      <w:r w:rsidRPr="0072600F">
        <w:rPr>
          <w:sz w:val="26"/>
          <w:szCs w:val="26"/>
        </w:rPr>
        <w:t xml:space="preserve"> or (3) where RTOs/ISOs have dispute resolution processes, these procedures may delay assignment of fault.  We continue to find that allowing RTOs/ISOs to recover penalty costs is warranted because RTOs/ISOs are differently situated than non-RTO transmission providers in terms of their ability to bear penalty costs, as RTOs/ISOs are non-profit entities and do not have shareholders.  Therefore, it is appropriate for RTOs/ISOs to be permitted to seek to recover the cost of penalties they incur.  We disagree that this structure will not incentivize RTOs/ISOs to mitigate study delays.  Comments on the NOPR explained that RTOs/ISOs have good reason to try to avoid collecting penalty costs from their transmission-owning members, as that could create tension between RTOs/ISOs and their transmission-owning members.</w:t>
      </w:r>
      <w:r>
        <w:rPr>
          <w:rStyle w:val="FootnoteReference"/>
        </w:rPr>
        <w:footnoteReference w:id="760"/>
      </w:r>
      <w:r w:rsidRPr="0072600F">
        <w:rPr>
          <w:sz w:val="26"/>
          <w:szCs w:val="26"/>
        </w:rPr>
        <w:t xml:space="preserve">  RTO/ISOs have an interest in limiting unnecessary charges to their member transmission owners or other market participants because the case for participating in RTO/ISOs, which remains voluntary and subject to state law, is founded on the increased efficiencies and cost-savings of RTO/ISO membership.  If RTO/ISOs ignore opportunities within their control to eliminate or reduce the risk of incurring penalties, they erode these benefits.</w:t>
      </w:r>
    </w:p>
    <w:p w:rsidR="00760048" w:rsidRPr="0072600F" w14:paraId="71762AC7" w14:textId="77777777">
      <w:pPr>
        <w:pStyle w:val="FERCparanumber"/>
        <w:widowControl/>
        <w:numPr>
          <w:ilvl w:val="0"/>
          <w:numId w:val="25"/>
        </w:numPr>
        <w:autoSpaceDE/>
        <w:autoSpaceDN/>
        <w:adjustRightInd/>
        <w:spacing w:line="480" w:lineRule="auto"/>
        <w:rPr>
          <w:sz w:val="26"/>
          <w:szCs w:val="26"/>
        </w:rPr>
      </w:pPr>
      <w:r w:rsidRPr="0072600F">
        <w:rPr>
          <w:sz w:val="26"/>
          <w:szCs w:val="26"/>
        </w:rPr>
        <w:t>As a result, the record indicates that RTOs/ISOs will be incentivized to avoid incurring penalties in the first instance.  And to the extent that an RTO/ISO does incur a penalty cost, it will be incentivized to appeal that penalty, where appropriate, to avoid the need to collect that penalty cost.  For these reasons, we find that the incentive structure created by Order No. 2023 will function as the Commission contemplated, helping to ensure just and reasonable rates.</w:t>
      </w:r>
    </w:p>
    <w:p w:rsidR="00760048" w:rsidRPr="0072600F" w14:paraId="5D53FE1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the argument that assigning penalties directly to the transmission owner that conducted the study is complicated because of the collaboration between the RTO and its transmission-owning members, we note that penalties will only be directly assigned to the applicable transmission owner within an RTO/ISO where there is an identifiable transmission-owning member who is formally responsible for conducting the applicable study.  In other words, even where there is collaboration between entities, it is only if the transmission-owning member is the formally designated “lead” of the process that the transmission-owning member will directly incur the study delay penalty.  To contrast, where there is no identifiable transmission-owning member that is formally responsible for leading the interconnection study, the penalty will be incurred by the RTO/ISO itself.  </w:t>
      </w:r>
    </w:p>
    <w:p w:rsidR="00760048" w:rsidRPr="0072600F" w14:paraId="7A47A479" w14:textId="77777777">
      <w:pPr>
        <w:pStyle w:val="FERCparanumber"/>
        <w:widowControl/>
        <w:numPr>
          <w:ilvl w:val="0"/>
          <w:numId w:val="25"/>
        </w:numPr>
        <w:autoSpaceDE/>
        <w:autoSpaceDN/>
        <w:adjustRightInd/>
        <w:spacing w:line="480" w:lineRule="auto"/>
        <w:rPr>
          <w:sz w:val="26"/>
          <w:szCs w:val="26"/>
        </w:rPr>
      </w:pPr>
      <w:r w:rsidRPr="0072600F">
        <w:rPr>
          <w:sz w:val="26"/>
          <w:szCs w:val="26"/>
        </w:rPr>
        <w:t>We decline to implement MISO’s suggestion that Order No. 2023 be revised to provide that RTOs/ISOs should not be required to pay any penalties until there is a Commission-accepted mechanism to recover such penalties.  Order No. 2023 provides that RTOs/ISOs may—but are not required to—submit section 205 filings to propose cost recovery mechanisms to recover the costs of penalties they incur.</w:t>
      </w:r>
      <w:r>
        <w:rPr>
          <w:rStyle w:val="FootnoteReference"/>
        </w:rPr>
        <w:footnoteReference w:id="761"/>
      </w:r>
      <w:r w:rsidRPr="0072600F">
        <w:rPr>
          <w:sz w:val="26"/>
          <w:szCs w:val="26"/>
        </w:rPr>
        <w:t xml:space="preserve">  Revising the penalty structure as MISO suggests would leave open the possibility that RTOs/ISOs could avoid the penalty regime altogether by simply not proposing any cost recovery mechanism.  Additionally, Order No. 2023 notes that RTOs/ISOs have multiple options for collecting necessary funds, and that one of these options is to submit an FPA section 205 filing after-the-fact to assign the cost of a specific study delay penalty.  MISO’s suggested revision is inconsistent with that potential avenue for cost recovery. </w:t>
      </w:r>
    </w:p>
    <w:p w:rsidR="00760048" w:rsidRPr="0072600F" w14:paraId="297DBA4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find speculative arguments that RTOs/ISOs may attempt to recover penalties in a manner inconsistent with cost causation.  RTOs/ISOs may propose under FPA section 205 either a default structure for recovering penalty costs or file section 205 proceedings to recover the costs of individual penalty costs.  We will not prejudge those filings.  Any arguments that those hypothetical proposals might violate cost causation principles are best addressed in the context of the specific proposal and should be raised in those FPA section 205 proceedings.  </w:t>
      </w:r>
    </w:p>
    <w:p w:rsidR="00760048" w:rsidRPr="0072600F" w14:paraId="57602D9A" w14:textId="77777777">
      <w:pPr>
        <w:pStyle w:val="FERCparanumber"/>
        <w:widowControl/>
        <w:numPr>
          <w:ilvl w:val="0"/>
          <w:numId w:val="25"/>
        </w:numPr>
        <w:autoSpaceDE/>
        <w:autoSpaceDN/>
        <w:adjustRightInd/>
        <w:spacing w:line="480" w:lineRule="auto"/>
        <w:rPr>
          <w:color w:val="000000" w:themeColor="text1"/>
          <w:sz w:val="26"/>
          <w:szCs w:val="26"/>
        </w:rPr>
      </w:pPr>
      <w:r w:rsidRPr="0072600F">
        <w:rPr>
          <w:sz w:val="26"/>
          <w:szCs w:val="26"/>
        </w:rPr>
        <w:t>We disagree with arguments that it is unlawful for the Commission to defer resolution of how RTOs/ISOs can recover penalties to future section 205 filings.  In Order No. 2023, the Commission responded to comments on the penalty regime as it relates to RTOs/ISOs by identifying potential avenues for RTOs/ISOs to recover penalties and modifying the NOPR proposal where appropriate.</w:t>
      </w:r>
      <w:r>
        <w:rPr>
          <w:rStyle w:val="FootnoteReference"/>
        </w:rPr>
        <w:footnoteReference w:id="762"/>
      </w:r>
      <w:r w:rsidRPr="0072600F">
        <w:rPr>
          <w:sz w:val="26"/>
          <w:szCs w:val="26"/>
        </w:rPr>
        <w:t xml:space="preserve">  We do not believe that it is unlawful to allow section 205 filings to implement specific details of this regime.  We further disagree that the particulars of how RTOs/ISOs recover penalty costs are integral to this rulemaking, which is focused on the overarching penalty structure that will apply nationwide.  The specifics of RTO/ISO cost recovery will be highly fact dependent based on regional tariff variations.  We continue to believe that it is appropriate to address cost recovery issues in individual proceedings that can take into account the variations in tariffs in each RTO/ISO region.  </w:t>
      </w:r>
    </w:p>
    <w:p w:rsidR="00760048" w:rsidRPr="00663161" w14:paraId="1FC257CC"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Statutory Authority to Implement a Study Delay Penalty Structure under FPA Section 206</w:t>
      </w:r>
    </w:p>
    <w:p w:rsidR="00760048" w:rsidRPr="0072600F" w14:paraId="7DAEE155" w14:textId="77777777">
      <w:pPr>
        <w:pStyle w:val="Heading6"/>
        <w:numPr>
          <w:ilvl w:val="5"/>
          <w:numId w:val="24"/>
        </w:numPr>
        <w:autoSpaceDE/>
        <w:autoSpaceDN/>
        <w:adjustRightInd/>
        <w:rPr>
          <w:szCs w:val="26"/>
        </w:rPr>
      </w:pPr>
      <w:r w:rsidRPr="0072600F">
        <w:rPr>
          <w:szCs w:val="26"/>
        </w:rPr>
        <w:t>Requests for Rehearing</w:t>
      </w:r>
    </w:p>
    <w:p w:rsidR="00760048" w:rsidRPr="0072600F" w14:paraId="39076AD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Certain of the rehearing requests challenge the Commission’s authority to adopt the deadline and penalty structure set forth in Order No. 2023 and/or contend </w:t>
      </w:r>
      <w:r w:rsidR="004342F1">
        <w:rPr>
          <w:sz w:val="26"/>
          <w:szCs w:val="26"/>
        </w:rPr>
        <w:t xml:space="preserve">that </w:t>
      </w:r>
      <w:r w:rsidRPr="0072600F">
        <w:rPr>
          <w:sz w:val="26"/>
          <w:szCs w:val="26"/>
        </w:rPr>
        <w:t xml:space="preserve">it is contrary to or not supported by Commission precedent.  NYTOs and PacifiCorp claim that the penalty structure is </w:t>
      </w:r>
      <w:r w:rsidRPr="0072600F">
        <w:rPr>
          <w:i/>
          <w:iCs/>
          <w:sz w:val="26"/>
          <w:szCs w:val="26"/>
        </w:rPr>
        <w:t>ultra vires</w:t>
      </w:r>
      <w:r w:rsidRPr="0072600F">
        <w:rPr>
          <w:sz w:val="26"/>
          <w:szCs w:val="26"/>
        </w:rPr>
        <w:t xml:space="preserve"> because the Commission’s civil penalty authority resides in FPA sections 316</w:t>
      </w:r>
      <w:r>
        <w:rPr>
          <w:rStyle w:val="FootnoteReference"/>
        </w:rPr>
        <w:footnoteReference w:id="763"/>
      </w:r>
      <w:r w:rsidRPr="0072600F">
        <w:rPr>
          <w:sz w:val="26"/>
          <w:szCs w:val="26"/>
        </w:rPr>
        <w:t xml:space="preserve"> and 316A,</w:t>
      </w:r>
      <w:r>
        <w:rPr>
          <w:rStyle w:val="FootnoteReference"/>
        </w:rPr>
        <w:footnoteReference w:id="764"/>
      </w:r>
      <w:r w:rsidRPr="0072600F">
        <w:rPr>
          <w:sz w:val="26"/>
          <w:szCs w:val="26"/>
        </w:rPr>
        <w:t xml:space="preserve"> and that the Commission is impermissibly reading such authority into section 206, which contains no civil penalty authority.</w:t>
      </w:r>
      <w:r>
        <w:rPr>
          <w:rStyle w:val="FootnoteReference"/>
        </w:rPr>
        <w:footnoteReference w:id="765"/>
      </w:r>
      <w:r w:rsidRPr="0072600F">
        <w:rPr>
          <w:sz w:val="26"/>
          <w:szCs w:val="26"/>
        </w:rPr>
        <w:t xml:space="preserve">  Pacifi</w:t>
      </w:r>
      <w:r w:rsidR="00D609B3">
        <w:rPr>
          <w:sz w:val="26"/>
          <w:szCs w:val="26"/>
        </w:rPr>
        <w:t>C</w:t>
      </w:r>
      <w:r w:rsidRPr="0072600F">
        <w:rPr>
          <w:sz w:val="26"/>
          <w:szCs w:val="26"/>
        </w:rPr>
        <w:t>orp argues that the Commission is attempting to “get around due process and other limits on its civil penalty authority by claiming it is only engaged in a rate-setting exercise” but “[a] civil penalty is a civil penalty.”</w:t>
      </w:r>
      <w:r>
        <w:rPr>
          <w:rStyle w:val="FootnoteReference"/>
        </w:rPr>
        <w:footnoteReference w:id="766"/>
      </w:r>
      <w:r w:rsidRPr="0072600F">
        <w:rPr>
          <w:sz w:val="26"/>
          <w:szCs w:val="26"/>
        </w:rPr>
        <w:t xml:space="preserve">  NYTOs also assert that, under the Commission’s policy statements on enforcement and compliance, penalties are meted out for wrongdoing or misconduct.</w:t>
      </w:r>
      <w:r>
        <w:rPr>
          <w:rStyle w:val="FootnoteReference"/>
        </w:rPr>
        <w:footnoteReference w:id="767"/>
      </w:r>
      <w:r w:rsidRPr="0072600F">
        <w:rPr>
          <w:sz w:val="26"/>
          <w:szCs w:val="26"/>
        </w:rPr>
        <w:t xml:space="preserve">  Thus, NYTOs claim, the Commission cannot adopt a structure in which transmission providers will incur penalties</w:t>
      </w:r>
      <w:r w:rsidRPr="0072600F">
        <w:rPr>
          <w:sz w:val="26"/>
          <w:szCs w:val="26"/>
        </w:rPr>
        <w:t xml:space="preserve"> </w:t>
      </w:r>
      <w:r w:rsidRPr="0072600F">
        <w:rPr>
          <w:sz w:val="26"/>
          <w:szCs w:val="26"/>
        </w:rPr>
        <w:t xml:space="preserve">where the willful and knowing </w:t>
      </w:r>
      <w:r w:rsidRPr="0072600F">
        <w:rPr>
          <w:i/>
          <w:iCs/>
          <w:sz w:val="26"/>
          <w:szCs w:val="26"/>
        </w:rPr>
        <w:t>mens</w:t>
      </w:r>
      <w:r w:rsidRPr="0072600F">
        <w:rPr>
          <w:i/>
          <w:iCs/>
          <w:sz w:val="26"/>
          <w:szCs w:val="26"/>
        </w:rPr>
        <w:t xml:space="preserve"> rea</w:t>
      </w:r>
      <w:r w:rsidRPr="0072600F">
        <w:rPr>
          <w:sz w:val="26"/>
          <w:szCs w:val="26"/>
        </w:rPr>
        <w:t xml:space="preserve"> requirement is absent, or where the transmission provider is not at fault for a study delay. </w:t>
      </w:r>
    </w:p>
    <w:p w:rsidR="00760048" w:rsidRPr="0072600F" w:rsidP="00116079" w14:paraId="6C9BC38D"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PJM asserts that the study delay penalty structure violates FPA section 315</w:t>
      </w:r>
      <w:r>
        <w:rPr>
          <w:rStyle w:val="FootnoteReference"/>
        </w:rPr>
        <w:footnoteReference w:id="768"/>
      </w:r>
      <w:r w:rsidRPr="0072600F">
        <w:rPr>
          <w:sz w:val="26"/>
          <w:szCs w:val="26"/>
        </w:rPr>
        <w:t xml:space="preserve"> because that section governs forfeitures for willful failures to comply with a Commission order, rule, or regulation or timely file a required report, and requires that such forfeitures be remitted to the United States Treasury.</w:t>
      </w:r>
      <w:r>
        <w:rPr>
          <w:rStyle w:val="FootnoteReference"/>
        </w:rPr>
        <w:footnoteReference w:id="769"/>
      </w:r>
      <w:r w:rsidRPr="0072600F">
        <w:rPr>
          <w:sz w:val="26"/>
          <w:szCs w:val="26"/>
        </w:rPr>
        <w:t xml:space="preserve">  PJM concedes that RTO tariffs, including its own, and other tariffs contain various penalty provisions; however, </w:t>
      </w:r>
      <w:r w:rsidR="00885034">
        <w:rPr>
          <w:sz w:val="26"/>
          <w:szCs w:val="26"/>
        </w:rPr>
        <w:t>PJM</w:t>
      </w:r>
      <w:r w:rsidRPr="0072600F" w:rsidR="00885034">
        <w:rPr>
          <w:sz w:val="26"/>
          <w:szCs w:val="26"/>
        </w:rPr>
        <w:t xml:space="preserve"> </w:t>
      </w:r>
      <w:r w:rsidRPr="0072600F">
        <w:rPr>
          <w:sz w:val="26"/>
          <w:szCs w:val="26"/>
        </w:rPr>
        <w:t xml:space="preserve">attempts to differentiate these provisions by asserting that here, the Commission is imposing a mandate on transmission providers to include such a provision in their tariffs involuntarily, calling it a penalty, and using the compliance process to bypass the penalty provisions that Congress established in section 315 of the FPA. </w:t>
      </w:r>
    </w:p>
    <w:p w:rsidR="00760048" w:rsidRPr="0072600F" w14:paraId="2EA9F08F" w14:textId="77777777">
      <w:pPr>
        <w:pStyle w:val="FERCparanumber"/>
        <w:widowControl/>
        <w:numPr>
          <w:ilvl w:val="0"/>
          <w:numId w:val="25"/>
        </w:numPr>
        <w:autoSpaceDE/>
        <w:autoSpaceDN/>
        <w:adjustRightInd/>
        <w:spacing w:line="480" w:lineRule="auto"/>
        <w:rPr>
          <w:sz w:val="26"/>
          <w:szCs w:val="26"/>
        </w:rPr>
      </w:pPr>
      <w:r w:rsidRPr="0072600F">
        <w:rPr>
          <w:sz w:val="26"/>
          <w:szCs w:val="26"/>
        </w:rPr>
        <w:t>AEP asserts that the penalty structure set forth in Order No. 2023 is unlawful because it constitutes monetary damages—defraying the study costs of the interconnection customers affected by a delay—and the Commission lacks authority to grant such damages.</w:t>
      </w:r>
      <w:r>
        <w:rPr>
          <w:rStyle w:val="FootnoteReference"/>
        </w:rPr>
        <w:footnoteReference w:id="770"/>
      </w:r>
      <w:r w:rsidRPr="0072600F">
        <w:rPr>
          <w:sz w:val="26"/>
          <w:szCs w:val="26"/>
        </w:rPr>
        <w:t xml:space="preserve">  AEP also contends that the Commission’s decision to adopt a penalty structure for late studies is contrary to precedent, including Order No. 2003 and Order No. 845, in which the Commission rejected proposed requirements to impose liquidated damages or automatic penalties if a transmission provider failed to meet deadlines.</w:t>
      </w:r>
      <w:r>
        <w:rPr>
          <w:rStyle w:val="FootnoteReference"/>
        </w:rPr>
        <w:footnoteReference w:id="771"/>
      </w:r>
      <w:r w:rsidRPr="0072600F">
        <w:rPr>
          <w:sz w:val="26"/>
          <w:szCs w:val="26"/>
        </w:rPr>
        <w:t xml:space="preserve"> </w:t>
      </w:r>
    </w:p>
    <w:p w:rsidR="00760048" w:rsidRPr="0072600F" w14:paraId="487E6D00" w14:textId="77777777">
      <w:pPr>
        <w:pStyle w:val="Heading6"/>
        <w:numPr>
          <w:ilvl w:val="5"/>
          <w:numId w:val="24"/>
        </w:numPr>
        <w:autoSpaceDE/>
        <w:autoSpaceDN/>
        <w:adjustRightInd/>
        <w:rPr>
          <w:szCs w:val="26"/>
        </w:rPr>
      </w:pPr>
      <w:r w:rsidRPr="0072600F">
        <w:rPr>
          <w:szCs w:val="26"/>
        </w:rPr>
        <w:t>Determination</w:t>
      </w:r>
    </w:p>
    <w:p w:rsidR="00760048" w:rsidRPr="0072600F" w14:paraId="352864AE"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convinced by PacifiCorp’s, NYTOs’, or PJM’s arguments that the Commission lacked authority to implement Order No. 2023’s performance standard and incentive structure</w:t>
      </w:r>
      <w:r w:rsidR="004869EC">
        <w:rPr>
          <w:sz w:val="26"/>
          <w:szCs w:val="26"/>
        </w:rPr>
        <w:t xml:space="preserve"> by</w:t>
      </w:r>
      <w:r w:rsidRPr="0072600F">
        <w:rPr>
          <w:sz w:val="26"/>
          <w:szCs w:val="26"/>
        </w:rPr>
        <w:t xml:space="preserve"> relying on deadlines and penalties because</w:t>
      </w:r>
      <w:r w:rsidR="004869EC">
        <w:rPr>
          <w:sz w:val="26"/>
          <w:szCs w:val="26"/>
        </w:rPr>
        <w:t>, they argue,</w:t>
      </w:r>
      <w:r w:rsidRPr="0072600F">
        <w:rPr>
          <w:sz w:val="26"/>
          <w:szCs w:val="26"/>
        </w:rPr>
        <w:t xml:space="preserve"> the Commission’s civil penalty authority resides exclusively in certain provisions of the FPA.  To begin with, these arguments were not raised prior to rehearing, as required by the Commission’s Rule of Practice and Procedure 713(c)(3).</w:t>
      </w:r>
      <w:r>
        <w:rPr>
          <w:rStyle w:val="FootnoteReference"/>
        </w:rPr>
        <w:footnoteReference w:id="772"/>
      </w:r>
      <w:r w:rsidRPr="0072600F">
        <w:rPr>
          <w:sz w:val="26"/>
          <w:szCs w:val="26"/>
        </w:rPr>
        <w:t xml:space="preserve">  Here, because the NOPR proposed the elimination of the reasonable efforts standard and its replacement with a materially similar penalty structure to that adopted in Order No. 2023,</w:t>
      </w:r>
      <w:r>
        <w:rPr>
          <w:rStyle w:val="FootnoteReference"/>
        </w:rPr>
        <w:footnoteReference w:id="773"/>
      </w:r>
      <w:r w:rsidRPr="0072600F">
        <w:rPr>
          <w:sz w:val="26"/>
          <w:szCs w:val="26"/>
        </w:rPr>
        <w:t xml:space="preserve"> nothing precluded commenters from raising these arguments prior to the issuance of Order No. 2023—yet they did not do so.  Thus, here too, these arguments are not properly before us. </w:t>
      </w:r>
    </w:p>
    <w:p w:rsidR="00760048" w:rsidRPr="0072600F" w14:paraId="69AB2C38" w14:textId="77777777">
      <w:pPr>
        <w:pStyle w:val="FERCparanumber"/>
        <w:widowControl/>
        <w:numPr>
          <w:ilvl w:val="0"/>
          <w:numId w:val="25"/>
        </w:numPr>
        <w:autoSpaceDE/>
        <w:autoSpaceDN/>
        <w:adjustRightInd/>
        <w:spacing w:line="480" w:lineRule="auto"/>
        <w:rPr>
          <w:sz w:val="26"/>
          <w:szCs w:val="26"/>
        </w:rPr>
      </w:pPr>
      <w:r w:rsidRPr="0072600F">
        <w:rPr>
          <w:sz w:val="26"/>
          <w:szCs w:val="26"/>
        </w:rPr>
        <w:t>Regardless, even considering these arguments on their substance, we find that they are not meritorious.  As discussed above, the deadline and penalty structure adopted in Order No. 2023 reflects an exercise of the Commission’s authority under FPA section 206, consistent with its longstanding regulation of the interconnection process.</w:t>
      </w:r>
      <w:r>
        <w:rPr>
          <w:rStyle w:val="FootnoteReference"/>
        </w:rPr>
        <w:footnoteReference w:id="774"/>
      </w:r>
      <w:r w:rsidRPr="0072600F">
        <w:rPr>
          <w:sz w:val="26"/>
          <w:szCs w:val="26"/>
        </w:rPr>
        <w:t xml:space="preserve">  PJM, NYTOs, and PacifiCorp fail to acknowledge this authority or precedent.  Instead, they view FPA sections 315, 316, and 316A’s grant of authority to assess a particular kind of monetary sanction—a civil penalty pursuant to statutorily-granted enforcement authority—as necessarily reflecting an across-the-board restriction of the Commission’s other authority, including its FPA section 206 ratemaking authority.  For instance, NYTOs cite the Supreme Court’s decision in </w:t>
      </w:r>
      <w:r w:rsidRPr="0072600F">
        <w:rPr>
          <w:i/>
          <w:sz w:val="26"/>
          <w:szCs w:val="26"/>
        </w:rPr>
        <w:t>Kokesh</w:t>
      </w:r>
      <w:r w:rsidRPr="0072600F">
        <w:rPr>
          <w:i/>
          <w:sz w:val="26"/>
          <w:szCs w:val="26"/>
        </w:rPr>
        <w:t xml:space="preserve"> v. SEC</w:t>
      </w:r>
      <w:r w:rsidRPr="0072600F">
        <w:rPr>
          <w:sz w:val="26"/>
          <w:szCs w:val="26"/>
        </w:rPr>
        <w:t xml:space="preserve"> as standing for the proposition that “government-assessed penalties are ‘for the purpose of punishment, and to deter others from offending in like manner,’”</w:t>
      </w:r>
      <w:r>
        <w:rPr>
          <w:rStyle w:val="FootnoteReference"/>
        </w:rPr>
        <w:footnoteReference w:id="775"/>
      </w:r>
      <w:r w:rsidRPr="0072600F">
        <w:rPr>
          <w:sz w:val="26"/>
          <w:szCs w:val="26"/>
        </w:rPr>
        <w:t xml:space="preserve"> while PacifiCorp asserts that “a civil penalty is a civil penalty.”</w:t>
      </w:r>
      <w:r>
        <w:rPr>
          <w:rStyle w:val="FootnoteReference"/>
        </w:rPr>
        <w:footnoteReference w:id="776"/>
      </w:r>
      <w:r w:rsidRPr="0072600F">
        <w:rPr>
          <w:sz w:val="26"/>
          <w:szCs w:val="26"/>
        </w:rPr>
        <w:t xml:space="preserve">  These arguments fail to recognize that not all monetary sanctions, even when labeled as penalties, are civil penalties and that monetary sanctions can serve different purposes, have different structures, and flow from different sources of authority.</w:t>
      </w:r>
    </w:p>
    <w:p w:rsidR="00760048" w:rsidRPr="0072600F" w14:paraId="66CC455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Supreme Court’s decision in </w:t>
      </w:r>
      <w:r w:rsidRPr="0072600F">
        <w:rPr>
          <w:i/>
          <w:sz w:val="26"/>
          <w:szCs w:val="26"/>
        </w:rPr>
        <w:t>Kokesh</w:t>
      </w:r>
      <w:r>
        <w:rPr>
          <w:rStyle w:val="FootnoteReference"/>
        </w:rPr>
        <w:footnoteReference w:id="777"/>
      </w:r>
      <w:r w:rsidRPr="0072600F">
        <w:rPr>
          <w:i/>
          <w:sz w:val="26"/>
          <w:szCs w:val="26"/>
        </w:rPr>
        <w:t xml:space="preserve"> </w:t>
      </w:r>
      <w:r w:rsidRPr="0072600F">
        <w:rPr>
          <w:sz w:val="26"/>
          <w:szCs w:val="26"/>
        </w:rPr>
        <w:t xml:space="preserve">supports our conclusion that the fact that a financial sanction is assessed for conduct—here, failure to complete a study by the required deadline—does not render it a civil penalty of the sort that conflicts with or exceeds Congress’s enactment of statutory civil penalty authorities in the FPA.  In </w:t>
      </w:r>
      <w:r w:rsidRPr="0072600F">
        <w:rPr>
          <w:i/>
          <w:sz w:val="26"/>
          <w:szCs w:val="26"/>
        </w:rPr>
        <w:t>Kokesh</w:t>
      </w:r>
      <w:r w:rsidRPr="0072600F">
        <w:rPr>
          <w:sz w:val="26"/>
          <w:szCs w:val="26"/>
        </w:rPr>
        <w:t>, the Supreme Court differentiated between penalties, even those expressly labeled as “penal,” that are imposed as punishment versus other pecuniary sanctions.  It explained that this inquiry turned on whether (1) the wrong sought to be redressed is a wrong to the public (an offense committed against the State) or a wrong to the individual and (2) whether it was imposed for the purpose of punishment and to deter others from offending in like manner, as opposed to compensating a victim for a loss.</w:t>
      </w:r>
      <w:r>
        <w:rPr>
          <w:rStyle w:val="FootnoteReference"/>
        </w:rPr>
        <w:footnoteReference w:id="778"/>
      </w:r>
      <w:r w:rsidRPr="0072600F">
        <w:rPr>
          <w:sz w:val="26"/>
          <w:szCs w:val="26"/>
        </w:rPr>
        <w:t xml:space="preserve">  Similarly, in </w:t>
      </w:r>
      <w:r w:rsidRPr="0072600F">
        <w:rPr>
          <w:i/>
          <w:iCs/>
          <w:sz w:val="26"/>
          <w:szCs w:val="26"/>
        </w:rPr>
        <w:t>Meeker v. Lehigh Valley Railroad Company</w:t>
      </w:r>
      <w:r w:rsidRPr="0072600F">
        <w:rPr>
          <w:sz w:val="26"/>
          <w:szCs w:val="26"/>
        </w:rPr>
        <w:t>, the Court held that an order by the Interstate Commerce Commission, which directed a railroad company to refund and pay damages to a shipping company for excessive shipping rates, was not imposing a penalty for purposes of the statute of limitations, given that the payment was to redress a private injury, rather than punitive.</w:t>
      </w:r>
      <w:r>
        <w:rPr>
          <w:rStyle w:val="FootnoteReference"/>
        </w:rPr>
        <w:footnoteReference w:id="779"/>
      </w:r>
      <w:r w:rsidRPr="0072600F">
        <w:rPr>
          <w:sz w:val="26"/>
          <w:szCs w:val="26"/>
        </w:rPr>
        <w:t xml:space="preserve">  Here, Order No. 2023 implemented a system of deadlines and penalties for late studies not to redress a wrong to the public, as under FPA sections 315, 316, and 316A, or to punish</w:t>
      </w:r>
      <w:r w:rsidR="00C93195">
        <w:rPr>
          <w:sz w:val="26"/>
          <w:szCs w:val="26"/>
        </w:rPr>
        <w:t>,</w:t>
      </w:r>
      <w:r w:rsidRPr="0072600F">
        <w:rPr>
          <w:sz w:val="26"/>
          <w:szCs w:val="26"/>
        </w:rPr>
        <w:t xml:space="preserve"> but instead </w:t>
      </w:r>
      <w:r w:rsidR="00C93195">
        <w:rPr>
          <w:sz w:val="26"/>
          <w:szCs w:val="26"/>
        </w:rPr>
        <w:t xml:space="preserve">to </w:t>
      </w:r>
      <w:r w:rsidRPr="0072600F">
        <w:rPr>
          <w:sz w:val="26"/>
          <w:szCs w:val="26"/>
        </w:rPr>
        <w:t>effectively adjust what transmission providers can charge based on study timeliness.</w:t>
      </w:r>
    </w:p>
    <w:p w:rsidR="00760048" w:rsidRPr="0072600F" w14:paraId="458D3B7A" w14:textId="77777777">
      <w:pPr>
        <w:pStyle w:val="FERCparanumber"/>
        <w:widowControl/>
        <w:numPr>
          <w:ilvl w:val="0"/>
          <w:numId w:val="25"/>
        </w:numPr>
        <w:autoSpaceDE/>
        <w:autoSpaceDN/>
        <w:adjustRightInd/>
        <w:spacing w:line="480" w:lineRule="auto"/>
        <w:rPr>
          <w:sz w:val="26"/>
          <w:szCs w:val="26"/>
        </w:rPr>
      </w:pPr>
      <w:r w:rsidRPr="0072600F">
        <w:rPr>
          <w:sz w:val="26"/>
          <w:szCs w:val="26"/>
        </w:rPr>
        <w:t>Specifically, Order No. 2023’s deadline and penalty structure was adopted to define substantive terms of the commercial relationship between particular parties—transmission providers and interconnection customers—in the Commission-jurisdictional context of regulating interconnection, ensuring just and reasonable rates, and avoiding degradation of service.</w:t>
      </w:r>
      <w:r>
        <w:rPr>
          <w:rStyle w:val="FootnoteReference"/>
        </w:rPr>
        <w:footnoteReference w:id="780"/>
      </w:r>
      <w:r w:rsidRPr="0072600F">
        <w:rPr>
          <w:sz w:val="26"/>
          <w:szCs w:val="26"/>
        </w:rPr>
        <w:t xml:space="preserve">  The Commission in Order No. 2023 did not invoke a need to punish or to label transmission providers as wrongdoers as a rationale for its action and, in fact, stated that it was “not finding that transmission providers have necessarily acted in bad faith.”</w:t>
      </w:r>
      <w:r>
        <w:rPr>
          <w:rStyle w:val="FootnoteReference"/>
        </w:rPr>
        <w:footnoteReference w:id="781"/>
      </w:r>
      <w:r w:rsidRPr="0072600F">
        <w:rPr>
          <w:sz w:val="26"/>
          <w:szCs w:val="26"/>
        </w:rPr>
        <w:t xml:space="preserve">  The Commission established safeguards to avoid punitive results, including the cap on penalties</w:t>
      </w:r>
      <w:r>
        <w:rPr>
          <w:rStyle w:val="FootnoteReference"/>
        </w:rPr>
        <w:footnoteReference w:id="782"/>
      </w:r>
      <w:r w:rsidRPr="0072600F">
        <w:rPr>
          <w:sz w:val="26"/>
          <w:szCs w:val="26"/>
        </w:rPr>
        <w:t xml:space="preserve"> and the appeals process.</w:t>
      </w:r>
      <w:r>
        <w:rPr>
          <w:rStyle w:val="FootnoteReference"/>
        </w:rPr>
        <w:footnoteReference w:id="783"/>
      </w:r>
      <w:r w:rsidRPr="0072600F">
        <w:rPr>
          <w:sz w:val="26"/>
          <w:szCs w:val="26"/>
        </w:rPr>
        <w:t xml:space="preserve">  The appeals process also takes into account the broader economic effects of regulating this interaction between interconnection customers and transmission providers by ensuring that transmission providers are not held to unduly strict standards that could result in economically inefficient outcomes or unjust and unreasonable rates.</w:t>
      </w:r>
      <w:r>
        <w:rPr>
          <w:rStyle w:val="FootnoteReference"/>
        </w:rPr>
        <w:footnoteReference w:id="784"/>
      </w:r>
      <w:r w:rsidRPr="0072600F">
        <w:rPr>
          <w:sz w:val="26"/>
          <w:szCs w:val="26"/>
        </w:rPr>
        <w:t xml:space="preserve">  Likewise, and contrary to PJM’s claim that the failure to remit the penalties under Order No. 2023 to the Treasury demonstrates that these penalties are beyond the Commission’s authority, </w:t>
      </w:r>
      <w:r w:rsidR="00D95832">
        <w:rPr>
          <w:sz w:val="26"/>
          <w:szCs w:val="26"/>
        </w:rPr>
        <w:t>the fact</w:t>
      </w:r>
      <w:r w:rsidRPr="0072600F">
        <w:rPr>
          <w:sz w:val="26"/>
          <w:szCs w:val="26"/>
        </w:rPr>
        <w:t xml:space="preserve"> that the penalties are disbursed to interconnection customers distinguishes them from the sort of sanctions addressed in </w:t>
      </w:r>
      <w:r w:rsidRPr="0072600F">
        <w:rPr>
          <w:i/>
          <w:sz w:val="26"/>
          <w:szCs w:val="26"/>
        </w:rPr>
        <w:t>Kokesh</w:t>
      </w:r>
      <w:r w:rsidRPr="0072600F">
        <w:rPr>
          <w:sz w:val="26"/>
          <w:szCs w:val="26"/>
        </w:rPr>
        <w:t xml:space="preserve"> and authorized in FPA sections 315, 316, and 316A.</w:t>
      </w:r>
      <w:r>
        <w:rPr>
          <w:rStyle w:val="FootnoteReference"/>
        </w:rPr>
        <w:footnoteReference w:id="785"/>
      </w:r>
      <w:r w:rsidRPr="0072600F">
        <w:rPr>
          <w:sz w:val="26"/>
          <w:szCs w:val="26"/>
        </w:rPr>
        <w:t xml:space="preserve">  And, as the Commission recognized, delayed interconnection studies impose financial harm on interconnection customers,</w:t>
      </w:r>
      <w:r>
        <w:rPr>
          <w:rStyle w:val="FootnoteReference"/>
        </w:rPr>
        <w:footnoteReference w:id="786"/>
      </w:r>
      <w:r w:rsidRPr="0072600F">
        <w:rPr>
          <w:sz w:val="26"/>
          <w:szCs w:val="26"/>
        </w:rPr>
        <w:t xml:space="preserve"> reinforcing that the penalties under Order No. 2023 help to ensure that the transmission provider is compensated for performing interconnection studies based on whether it achieves (or the extent that it fails to achieve) performance standards relating to the timeliness of those studies.</w:t>
      </w:r>
      <w:r>
        <w:rPr>
          <w:rStyle w:val="FootnoteReference"/>
        </w:rPr>
        <w:footnoteReference w:id="787"/>
      </w:r>
      <w:r w:rsidRPr="0072600F">
        <w:rPr>
          <w:sz w:val="26"/>
          <w:szCs w:val="26"/>
        </w:rPr>
        <w:t xml:space="preserve">  </w:t>
      </w:r>
    </w:p>
    <w:p w:rsidR="00760048" w:rsidRPr="0072600F" w14:paraId="562F907C" w14:textId="77777777">
      <w:pPr>
        <w:pStyle w:val="FERCparanumber"/>
        <w:widowControl/>
        <w:numPr>
          <w:ilvl w:val="0"/>
          <w:numId w:val="25"/>
        </w:numPr>
        <w:autoSpaceDE/>
        <w:autoSpaceDN/>
        <w:adjustRightInd/>
        <w:spacing w:line="480" w:lineRule="auto"/>
        <w:rPr>
          <w:sz w:val="26"/>
          <w:szCs w:val="26"/>
        </w:rPr>
      </w:pPr>
      <w:r w:rsidRPr="0072600F">
        <w:rPr>
          <w:sz w:val="26"/>
          <w:szCs w:val="26"/>
        </w:rPr>
        <w:t>Thus, and consistent with our broad discretion in determining how to ensure just and reasonable rates,</w:t>
      </w:r>
      <w:r>
        <w:rPr>
          <w:rStyle w:val="FootnoteReference"/>
        </w:rPr>
        <w:footnoteReference w:id="788"/>
      </w:r>
      <w:r w:rsidRPr="0072600F">
        <w:rPr>
          <w:sz w:val="26"/>
          <w:szCs w:val="26"/>
        </w:rPr>
        <w:t xml:space="preserve"> we continue to find that the study delay penalty structure implemented in Order No. 2023 is an appropriate exercise of our authority under FPA section 206.  Likewise, we also are not persuaded by related arguments asserting that the study delay penalty structure is otherwise in tension with the civil penalty provisions in the FPA or contradicts the Commission’s policies on enforcement.</w:t>
      </w:r>
    </w:p>
    <w:p w:rsidR="00760048" w:rsidRPr="0072600F" w14:paraId="79C6C4BA" w14:textId="77777777">
      <w:pPr>
        <w:pStyle w:val="FERCparanumber"/>
        <w:widowControl/>
        <w:numPr>
          <w:ilvl w:val="0"/>
          <w:numId w:val="25"/>
        </w:numPr>
        <w:autoSpaceDE/>
        <w:autoSpaceDN/>
        <w:adjustRightInd/>
        <w:spacing w:line="480" w:lineRule="auto"/>
        <w:rPr>
          <w:sz w:val="26"/>
          <w:szCs w:val="26"/>
        </w:rPr>
      </w:pPr>
      <w:r w:rsidRPr="0072600F">
        <w:rPr>
          <w:sz w:val="26"/>
          <w:szCs w:val="26"/>
        </w:rPr>
        <w:t>For instance, PJM argues that, in contrast to other tariff penalty provisions adopted pursuant to FPA section 205, the Commission in Order No. 2023 “</w:t>
      </w:r>
      <w:r w:rsidRPr="0072600F">
        <w:rPr>
          <w:sz w:val="26"/>
          <w:szCs w:val="26"/>
        </w:rPr>
        <w:t>impos</w:t>
      </w:r>
      <w:r w:rsidRPr="0072600F">
        <w:rPr>
          <w:sz w:val="26"/>
          <w:szCs w:val="26"/>
        </w:rPr>
        <w:t>[ed] a mandate on transmission providers to include such a provision in their tariffs involuntarily,” thereby bypassing the penalty provision in FPA section 315.</w:t>
      </w:r>
      <w:r>
        <w:rPr>
          <w:rStyle w:val="FootnoteReference"/>
        </w:rPr>
        <w:footnoteReference w:id="789"/>
      </w:r>
      <w:r w:rsidRPr="0072600F">
        <w:rPr>
          <w:sz w:val="26"/>
          <w:szCs w:val="26"/>
        </w:rPr>
        <w:t xml:space="preserve">  As just discussed, the study delay penalty structure does not bypass any penalty provisions of the FPA but, instead, was adopted pursuant to the Commission’s independent ratemaking authority.  Moreover, PJM fails to explain its assertion that the scope of permissible tariff mechanisms to ensure such rates are just and reasonable should substantially differ between FPA sections 205 and 206.</w:t>
      </w:r>
      <w:r>
        <w:rPr>
          <w:rStyle w:val="FootnoteReference"/>
        </w:rPr>
        <w:footnoteReference w:id="790"/>
      </w:r>
      <w:r w:rsidRPr="0072600F">
        <w:rPr>
          <w:sz w:val="26"/>
          <w:szCs w:val="26"/>
        </w:rPr>
        <w:t xml:space="preserve">  We do not find this argument supported by the statute, particularly given that a purpose of section 206 is to allow the Commission to replace, by its own initiative, rates that may have resulted from section 205 filings but have since become unjust and unreasonable .</w:t>
      </w:r>
    </w:p>
    <w:p w:rsidR="00760048" w:rsidRPr="0072600F" w14:paraId="5976120C" w14:textId="77777777">
      <w:pPr>
        <w:pStyle w:val="FERCparanumber"/>
        <w:widowControl/>
        <w:numPr>
          <w:ilvl w:val="0"/>
          <w:numId w:val="25"/>
        </w:numPr>
        <w:autoSpaceDE/>
        <w:autoSpaceDN/>
        <w:adjustRightInd/>
        <w:spacing w:line="480" w:lineRule="auto"/>
        <w:rPr>
          <w:sz w:val="26"/>
          <w:szCs w:val="26"/>
        </w:rPr>
      </w:pPr>
      <w:bookmarkStart w:id="72" w:name="_Ref160110128"/>
      <w:r w:rsidRPr="0072600F">
        <w:rPr>
          <w:sz w:val="26"/>
          <w:szCs w:val="26"/>
        </w:rPr>
        <w:t>We are also not persuaded by NYTO’s reliance on the Commission’s policy statements in the enforcement context.</w:t>
      </w:r>
      <w:r>
        <w:rPr>
          <w:rStyle w:val="FootnoteReference"/>
        </w:rPr>
        <w:footnoteReference w:id="791"/>
      </w:r>
      <w:r w:rsidRPr="0072600F">
        <w:rPr>
          <w:sz w:val="26"/>
          <w:szCs w:val="26"/>
        </w:rPr>
        <w:t xml:space="preserve">  These policy statements are not directed toward the study delay penalty structure set forth in Order No. 2023 as an exercise of the Commission’s authority under FPA section 206, but instead address how the Commission will consider civil penalties and other remedies pursuant to its separate enforcement authorities granted under other sections of the FPA.  As to similar arguments by MISO TOs, PJM, and NYISO asserting that the study delay penalty structure set forth in Order No. 2023 is in tension with Commission policy in enforcement cases,</w:t>
      </w:r>
      <w:r>
        <w:rPr>
          <w:rStyle w:val="FootnoteReference"/>
        </w:rPr>
        <w:footnoteReference w:id="792"/>
      </w:r>
      <w:r w:rsidRPr="0072600F">
        <w:rPr>
          <w:sz w:val="26"/>
          <w:szCs w:val="26"/>
        </w:rPr>
        <w:t xml:space="preserve"> the study delay penalty structure adopted in Order No. 2023 is not an implementation of the Commission’s enforcement authority under FPA sections 315, 316, or 316A.  Moreover, and contrary to these arguments, the Commission has adopted appropriate mechanisms to ensure that the study delay penalty structure is not punitive and can account for the facts of particular cases, as discussed above.</w:t>
      </w:r>
      <w:bookmarkEnd w:id="72"/>
    </w:p>
    <w:p w:rsidR="00760048" w:rsidRPr="0072600F" w14:paraId="219F4794" w14:textId="77777777">
      <w:pPr>
        <w:pStyle w:val="FERCparanumber"/>
        <w:widowControl/>
        <w:numPr>
          <w:ilvl w:val="0"/>
          <w:numId w:val="25"/>
        </w:numPr>
        <w:autoSpaceDE/>
        <w:autoSpaceDN/>
        <w:adjustRightInd/>
        <w:spacing w:line="480" w:lineRule="auto"/>
        <w:rPr>
          <w:sz w:val="26"/>
          <w:szCs w:val="26"/>
        </w:rPr>
      </w:pPr>
      <w:r>
        <w:rPr>
          <w:sz w:val="26"/>
          <w:szCs w:val="26"/>
        </w:rPr>
        <w:t xml:space="preserve">We disagree with </w:t>
      </w:r>
      <w:r w:rsidRPr="0072600F">
        <w:rPr>
          <w:sz w:val="26"/>
          <w:szCs w:val="26"/>
        </w:rPr>
        <w:t>PacifiCorp</w:t>
      </w:r>
      <w:r>
        <w:rPr>
          <w:sz w:val="26"/>
          <w:szCs w:val="26"/>
        </w:rPr>
        <w:t>’s</w:t>
      </w:r>
      <w:r w:rsidRPr="0072600F">
        <w:rPr>
          <w:sz w:val="26"/>
          <w:szCs w:val="26"/>
        </w:rPr>
        <w:t xml:space="preserve"> claim that the Commission erred in Order No. 2023 because it failed to address a comment questioning whether a violation of the study deadlines giving rise to penalties under Order No. 2023 could also be treated as a tariff violation under the FPA.  As an invocation of the Commission’s ratemaking authority under section 206, Order No. 2023 did not address or invoke the Commission’s civil enforcement authority, practices, or policies.  The Commission may consider whether a particular failure to meet a study deadline meets the statutory, regulatory, and policy considerations to constitute a tariff violation warranting enforcement action in an appropriate case, on the facts presented.  Attempting to further resolve this issue at this time is beyond the scope of this proceeding.</w:t>
      </w:r>
    </w:p>
    <w:p w:rsidR="00760048" w:rsidRPr="0072600F" w14:paraId="7689BDD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further disagree with AEP’s claim that the Commission lacks authority to adopt the study delay penalty structure set forth in Order No. 2023 on the theory that Commission precedent forbids it from awarding monetary damages.  None of the cases AEP cites addressed a penalty structure similar to that presented here, supported by the Commission’s authority to ensure just and reasonable rates.  Rather, in </w:t>
      </w:r>
      <w:r w:rsidRPr="0072600F">
        <w:rPr>
          <w:i/>
          <w:sz w:val="26"/>
          <w:szCs w:val="26"/>
        </w:rPr>
        <w:t>Bachofer</w:t>
      </w:r>
      <w:r w:rsidRPr="0072600F">
        <w:rPr>
          <w:i/>
          <w:sz w:val="26"/>
          <w:szCs w:val="26"/>
        </w:rPr>
        <w:t xml:space="preserve"> v. Calpine Corp.</w:t>
      </w:r>
      <w:r w:rsidRPr="0072600F">
        <w:rPr>
          <w:sz w:val="26"/>
          <w:szCs w:val="26"/>
        </w:rPr>
        <w:t>, the Commission found that it lacked jurisdiction to address claims for property damage due to the alleged actions of a generation facility, that such allegations “are more appropriately addressed in some other forum,” and that “monetary damages are also beyond the scope of the Commission’s authority under Part II of the Federal Power Act.”</w:t>
      </w:r>
      <w:r>
        <w:rPr>
          <w:rStyle w:val="FootnoteReference"/>
        </w:rPr>
        <w:footnoteReference w:id="793"/>
      </w:r>
      <w:r w:rsidRPr="0072600F">
        <w:rPr>
          <w:sz w:val="26"/>
          <w:szCs w:val="26"/>
        </w:rPr>
        <w:t xml:space="preserve">  In </w:t>
      </w:r>
      <w:r w:rsidRPr="0072600F">
        <w:rPr>
          <w:i/>
          <w:sz w:val="26"/>
          <w:szCs w:val="26"/>
        </w:rPr>
        <w:t>TranSource</w:t>
      </w:r>
      <w:r w:rsidRPr="0072600F">
        <w:rPr>
          <w:i/>
          <w:sz w:val="26"/>
          <w:szCs w:val="26"/>
        </w:rPr>
        <w:t>, LLC v. PJM Interconnection, L.L.C.</w:t>
      </w:r>
      <w:r w:rsidRPr="0072600F">
        <w:rPr>
          <w:sz w:val="26"/>
          <w:szCs w:val="26"/>
        </w:rPr>
        <w:t xml:space="preserve">, the Commission explained that monetary relief for “lost business opportunities and other litigation-related expense” allegedly suffered by </w:t>
      </w:r>
      <w:r w:rsidRPr="0072600F">
        <w:rPr>
          <w:sz w:val="26"/>
          <w:szCs w:val="26"/>
        </w:rPr>
        <w:t>TranSource</w:t>
      </w:r>
      <w:r w:rsidRPr="0072600F">
        <w:rPr>
          <w:sz w:val="26"/>
          <w:szCs w:val="26"/>
        </w:rPr>
        <w:t xml:space="preserve"> was beyond the scope of relief the Commission could award.</w:t>
      </w:r>
      <w:r>
        <w:rPr>
          <w:rStyle w:val="FootnoteReference"/>
        </w:rPr>
        <w:footnoteReference w:id="794"/>
      </w:r>
      <w:r w:rsidRPr="0072600F">
        <w:rPr>
          <w:sz w:val="26"/>
          <w:szCs w:val="26"/>
        </w:rPr>
        <w:t xml:space="preserve">  </w:t>
      </w:r>
      <w:r w:rsidRPr="0072600F">
        <w:rPr>
          <w:i/>
          <w:sz w:val="26"/>
          <w:szCs w:val="26"/>
        </w:rPr>
        <w:t>New England Power Pool</w:t>
      </w:r>
      <w:r w:rsidRPr="0072600F">
        <w:rPr>
          <w:sz w:val="26"/>
          <w:szCs w:val="26"/>
        </w:rPr>
        <w:t xml:space="preserve"> involved a rehearing request directed toward the effective date of certain tariff changes, where no waiver of the Commission’s prior notice requirements had been sought, and reflected that the Commission cannot engage in retroactive ratemaking.</w:t>
      </w:r>
      <w:r>
        <w:rPr>
          <w:rStyle w:val="FootnoteReference"/>
        </w:rPr>
        <w:footnoteReference w:id="795"/>
      </w:r>
      <w:r w:rsidRPr="0072600F">
        <w:rPr>
          <w:sz w:val="26"/>
          <w:szCs w:val="26"/>
        </w:rPr>
        <w:t xml:space="preserve">  Here, the Commission is not confronted by claims seeking post-hoc, consequential monetary damages to make a specific party whole following alleged wrongdoing.  Rather, it is exercising its FPA section 206 authority to prospectively and generically regulate the commercial relationship between interconnection customers and transmission providers, including as to the appropriate charges for interconnection studies.</w:t>
      </w:r>
    </w:p>
    <w:p w:rsidR="00760048" w:rsidRPr="00663161" w14:paraId="1D4519CE"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Commission Precedent</w:t>
      </w:r>
    </w:p>
    <w:p w:rsidR="00760048" w:rsidRPr="0072600F" w14:paraId="7EFBC3EE" w14:textId="77777777">
      <w:pPr>
        <w:pStyle w:val="Heading6"/>
        <w:numPr>
          <w:ilvl w:val="5"/>
          <w:numId w:val="24"/>
        </w:numPr>
        <w:autoSpaceDE/>
        <w:autoSpaceDN/>
        <w:adjustRightInd/>
        <w:rPr>
          <w:szCs w:val="26"/>
        </w:rPr>
      </w:pPr>
      <w:r w:rsidRPr="0072600F">
        <w:rPr>
          <w:szCs w:val="26"/>
        </w:rPr>
        <w:t>Requests for Rehearing</w:t>
      </w:r>
    </w:p>
    <w:p w:rsidR="00760048" w:rsidRPr="0072600F" w14:paraId="1B988856" w14:textId="77777777">
      <w:pPr>
        <w:pStyle w:val="FERCparanumber"/>
        <w:widowControl/>
        <w:numPr>
          <w:ilvl w:val="0"/>
          <w:numId w:val="25"/>
        </w:numPr>
        <w:autoSpaceDE/>
        <w:autoSpaceDN/>
        <w:adjustRightInd/>
        <w:spacing w:line="480" w:lineRule="auto"/>
        <w:rPr>
          <w:sz w:val="26"/>
          <w:szCs w:val="26"/>
        </w:rPr>
      </w:pPr>
      <w:r w:rsidRPr="0072600F">
        <w:rPr>
          <w:sz w:val="26"/>
          <w:szCs w:val="26"/>
        </w:rPr>
        <w:t>MISO TOs assert that the Commission failed to heed its precedent in Order No. 2003, which rejected liquidated damages for study delays, because that approach might undermine the transmission provider’s ability to economically administer its study process.</w:t>
      </w:r>
      <w:r>
        <w:rPr>
          <w:rStyle w:val="FootnoteReference"/>
        </w:rPr>
        <w:footnoteReference w:id="796"/>
      </w:r>
      <w:r w:rsidRPr="0072600F">
        <w:rPr>
          <w:sz w:val="26"/>
          <w:szCs w:val="26"/>
        </w:rPr>
        <w:t xml:space="preserve">  Likewise, MISO TOs also point to Order No. 845, asserting that the Commission there rejected requests to include penalties for study delays, recognizing that often the transmission provider will not be at fault for such delays.</w:t>
      </w:r>
      <w:r>
        <w:rPr>
          <w:rStyle w:val="FootnoteReference"/>
        </w:rPr>
        <w:footnoteReference w:id="797"/>
      </w:r>
      <w:r w:rsidRPr="0072600F">
        <w:rPr>
          <w:sz w:val="26"/>
          <w:szCs w:val="26"/>
        </w:rPr>
        <w:t xml:space="preserve">  MISO TOs also contend that, as recently as November 29, 2022, the Commission affirmed the reasonable efforts standard and rejected firm study deadlines and does not discuss in Order No. 2023 why it now abandons that result.</w:t>
      </w:r>
      <w:r>
        <w:rPr>
          <w:rStyle w:val="FootnoteReference"/>
        </w:rPr>
        <w:footnoteReference w:id="798"/>
      </w:r>
      <w:r w:rsidRPr="0072600F">
        <w:rPr>
          <w:sz w:val="26"/>
          <w:szCs w:val="26"/>
        </w:rPr>
        <w:t xml:space="preserve">  Additionally, MISO TOs claim that Order Nos. 890 and 890-A reflect that the Commission imposed study delay penalties only when transmission providers routinely failed to meet deadlines, failed to meet deadlines for a certain number of studies, and were imposed only after they had the opportunity to present evidence of extenuating circumstances.</w:t>
      </w:r>
      <w:r>
        <w:rPr>
          <w:rStyle w:val="FootnoteReference"/>
        </w:rPr>
        <w:footnoteReference w:id="799"/>
      </w:r>
      <w:r w:rsidRPr="0072600F">
        <w:rPr>
          <w:sz w:val="26"/>
          <w:szCs w:val="26"/>
        </w:rPr>
        <w:t xml:space="preserve">  MISO TOs contrast Order No. 2023’s penalty structure with that in Order No. 890, arguing that it does not make sense to grant less flexibility to transmission providers for conducting interconnection studies than transmission studies, given that interconnection studies are more complex, more numerous, and involve more requests to be studied.</w:t>
      </w:r>
      <w:r>
        <w:rPr>
          <w:rStyle w:val="FootnoteReference"/>
        </w:rPr>
        <w:footnoteReference w:id="800"/>
      </w:r>
      <w:r w:rsidRPr="0072600F">
        <w:rPr>
          <w:sz w:val="26"/>
          <w:szCs w:val="26"/>
        </w:rPr>
        <w:t xml:space="preserve">  </w:t>
      </w:r>
    </w:p>
    <w:p w:rsidR="00760048" w:rsidRPr="0072600F" w14:paraId="45B2FCEB"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and Indicated PJM TOs assert that the Commission was wrong in Order No. 2023 to compare the penalty structure it adopted to “traffic ticket” penalties, asserting that such penalties are applied solely based on objective criteria that can be applied automatically, whereas study delays raise more complex questions regarding the fault for any delay.</w:t>
      </w:r>
      <w:r>
        <w:rPr>
          <w:rStyle w:val="FootnoteReference"/>
        </w:rPr>
        <w:footnoteReference w:id="801"/>
      </w:r>
      <w:r w:rsidRPr="0072600F">
        <w:rPr>
          <w:sz w:val="26"/>
          <w:szCs w:val="26"/>
        </w:rPr>
        <w:t xml:space="preserve">  NYISO contends that the Commission failed to address, in a reasoned fashion, NYISO’s argument that reliability penalties are distinguishable from the penalty structure adopted under Order No. 2023 because reliability penalties are generally non-financial and, when such penalties apply, there are numerous mechanisms in place to avoid unfairly harsh results.</w:t>
      </w:r>
      <w:r>
        <w:rPr>
          <w:rStyle w:val="FootnoteReference"/>
        </w:rPr>
        <w:footnoteReference w:id="802"/>
      </w:r>
    </w:p>
    <w:p w:rsidR="00760048" w:rsidRPr="0072600F" w14:paraId="7E9DAD9E"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also claim that Order No. 2023’s penalty structure is unlawful because it impermissibly attempts to override RTO/ISO governing documents.</w:t>
      </w:r>
      <w:r>
        <w:rPr>
          <w:rStyle w:val="FootnoteReference"/>
        </w:rPr>
        <w:footnoteReference w:id="803"/>
      </w:r>
      <w:r w:rsidRPr="0072600F">
        <w:rPr>
          <w:sz w:val="26"/>
          <w:szCs w:val="26"/>
        </w:rPr>
        <w:t xml:space="preserve">  In particular, they assert that the PJM Consolidated Transmission Owners Agreement (PJM CTOA) does not authorize PJM to assign penalty amounts to PJM transmission owners.  According to Indicated PJM TOs, under</w:t>
      </w:r>
      <w:r w:rsidR="00964A6B">
        <w:rPr>
          <w:sz w:val="26"/>
          <w:szCs w:val="26"/>
        </w:rPr>
        <w:t xml:space="preserve"> the</w:t>
      </w:r>
      <w:r w:rsidRPr="0072600F">
        <w:rPr>
          <w:sz w:val="26"/>
          <w:szCs w:val="26"/>
        </w:rPr>
        <w:t xml:space="preserve"> </w:t>
      </w:r>
      <w:r w:rsidRPr="0072600F">
        <w:rPr>
          <w:i/>
          <w:iCs/>
          <w:sz w:val="26"/>
          <w:szCs w:val="26"/>
        </w:rPr>
        <w:t xml:space="preserve">Atlantic City </w:t>
      </w:r>
      <w:r w:rsidRPr="00964A6B" w:rsidR="00964A6B">
        <w:rPr>
          <w:sz w:val="26"/>
          <w:szCs w:val="26"/>
        </w:rPr>
        <w:t>precedent</w:t>
      </w:r>
      <w:r w:rsidRPr="0072600F">
        <w:rPr>
          <w:sz w:val="26"/>
          <w:szCs w:val="26"/>
        </w:rPr>
        <w:t>, the Commission cannot prevent transmission providers from deciding how to propose to recover their costs and cannot direct transmission providers to make cost recovery filings in any prescribed manner (here, in alleged contravention of the CTOA).</w:t>
      </w:r>
      <w:r>
        <w:rPr>
          <w:rStyle w:val="FootnoteReference"/>
        </w:rPr>
        <w:footnoteReference w:id="804"/>
      </w:r>
    </w:p>
    <w:p w:rsidR="00760048" w:rsidRPr="0072600F" w14:paraId="021A75F9" w14:textId="77777777">
      <w:pPr>
        <w:pStyle w:val="Heading6"/>
        <w:numPr>
          <w:ilvl w:val="5"/>
          <w:numId w:val="24"/>
        </w:numPr>
        <w:autoSpaceDE/>
        <w:autoSpaceDN/>
        <w:adjustRightInd/>
        <w:rPr>
          <w:szCs w:val="26"/>
        </w:rPr>
      </w:pPr>
      <w:r w:rsidRPr="0072600F">
        <w:rPr>
          <w:szCs w:val="26"/>
        </w:rPr>
        <w:t>Determination</w:t>
      </w:r>
    </w:p>
    <w:p w:rsidR="00760048" w:rsidRPr="0072600F" w14:paraId="4C2C7067"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arguments that the deadline and penalty structure in Order No. 2023 is inconsistent with the Commission’s precedent or that, to the extent it differs from other penalty structures in the Commission’s precedent, that departure is insufficiently explained.  For instance, certain parties argue that in Order No. 845 the Commission acknowledged that study delays may be attributable to factors not within the control of transmission providers and that the Commission in Order No. 845 declined to implement automatic penalties for study delays.</w:t>
      </w:r>
      <w:r>
        <w:rPr>
          <w:rStyle w:val="FootnoteReference"/>
        </w:rPr>
        <w:footnoteReference w:id="805"/>
      </w:r>
      <w:r w:rsidRPr="0072600F">
        <w:rPr>
          <w:sz w:val="26"/>
          <w:szCs w:val="26"/>
        </w:rPr>
        <w:t xml:space="preserve">  The Commission in Order No. 2023, however, explained the reasons for its change in approach: that its determination was based on the evidence in the record, including evidence of worsening queue delays</w:t>
      </w:r>
      <w:r w:rsidRPr="0072600F">
        <w:rPr>
          <w:sz w:val="26"/>
          <w:szCs w:val="26"/>
        </w:rPr>
        <w:t xml:space="preserve"> </w:t>
      </w:r>
      <w:r w:rsidRPr="0072600F">
        <w:rPr>
          <w:sz w:val="26"/>
          <w:szCs w:val="26"/>
        </w:rPr>
        <w:t>based on the reporting data collected under Order No. 845 and that failure on the part of transmission providers to timely complete studies was a significant reason for those delays.</w:t>
      </w:r>
      <w:r>
        <w:rPr>
          <w:rStyle w:val="FootnoteReference"/>
        </w:rPr>
        <w:footnoteReference w:id="806"/>
      </w:r>
      <w:r w:rsidRPr="0072600F">
        <w:rPr>
          <w:sz w:val="26"/>
          <w:szCs w:val="26"/>
        </w:rPr>
        <w:t xml:space="preserve">  Thus, even though it remains the case that there are factors outside of a transmission providers’ control that may contribute to interconnection study delays, on this record the Commission reasonably concluded that elimination of the reasonable efforts standard and adoption of a study delay penalty structure is warranted notwithstanding that it took a different approach in Order No. 845.</w:t>
      </w:r>
      <w:r>
        <w:rPr>
          <w:rStyle w:val="FootnoteReference"/>
        </w:rPr>
        <w:footnoteReference w:id="807"/>
      </w:r>
      <w:r w:rsidRPr="0072600F">
        <w:rPr>
          <w:sz w:val="26"/>
          <w:szCs w:val="26"/>
        </w:rPr>
        <w:t xml:space="preserve">  We sustain that determination.  </w:t>
      </w:r>
    </w:p>
    <w:p w:rsidR="00760048" w:rsidRPr="0072600F" w14:paraId="5FE0F9E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also not convinced that the adoption of penalties for late interconnection studies conflicts with Order No. 2003, in which the Commission declined to include a liquidated damages provision in the </w:t>
      </w:r>
      <w:r w:rsidRPr="0072600F">
        <w:rPr>
          <w:i/>
          <w:iCs/>
          <w:sz w:val="26"/>
          <w:szCs w:val="26"/>
        </w:rPr>
        <w:t>pro forma</w:t>
      </w:r>
      <w:r w:rsidRPr="0072600F">
        <w:rPr>
          <w:sz w:val="26"/>
          <w:szCs w:val="26"/>
        </w:rPr>
        <w:t xml:space="preserve"> LGIP, observing that it “may undermine the Transmission Provider’s ability to economically administer its study process.”</w:t>
      </w:r>
      <w:r>
        <w:rPr>
          <w:rStyle w:val="FootnoteReference"/>
        </w:rPr>
        <w:footnoteReference w:id="808"/>
      </w:r>
      <w:r w:rsidRPr="0072600F">
        <w:rPr>
          <w:sz w:val="26"/>
          <w:szCs w:val="26"/>
        </w:rPr>
        <w:t xml:space="preserve">  At the outset, to the extent that the rehearing requests rely on the Commission’s decision not to include the proposed liquidated damages provision in Article 5.1 of the </w:t>
      </w:r>
      <w:r w:rsidRPr="0072600F">
        <w:rPr>
          <w:i/>
          <w:sz w:val="26"/>
          <w:szCs w:val="26"/>
        </w:rPr>
        <w:t xml:space="preserve">pro forma </w:t>
      </w:r>
      <w:r w:rsidRPr="0072600F">
        <w:rPr>
          <w:sz w:val="26"/>
          <w:szCs w:val="26"/>
        </w:rPr>
        <w:t>LGIA, th</w:t>
      </w:r>
      <w:r w:rsidR="00D609B3">
        <w:rPr>
          <w:sz w:val="26"/>
          <w:szCs w:val="26"/>
        </w:rPr>
        <w:t xml:space="preserve">at </w:t>
      </w:r>
      <w:r w:rsidRPr="0072600F">
        <w:rPr>
          <w:sz w:val="26"/>
          <w:szCs w:val="26"/>
        </w:rPr>
        <w:t xml:space="preserve">proposed liquidated damages provision </w:t>
      </w:r>
      <w:r w:rsidR="00D609B3">
        <w:rPr>
          <w:sz w:val="26"/>
          <w:szCs w:val="26"/>
        </w:rPr>
        <w:t xml:space="preserve">is distinguishable in that it is </w:t>
      </w:r>
      <w:r w:rsidRPr="0072600F">
        <w:rPr>
          <w:sz w:val="26"/>
          <w:szCs w:val="26"/>
        </w:rPr>
        <w:t>related to a transmission provider’s failure to complete construction of interconnection facilities in a timely fashion.</w:t>
      </w:r>
      <w:r>
        <w:rPr>
          <w:rStyle w:val="FootnoteReference"/>
        </w:rPr>
        <w:footnoteReference w:id="809"/>
      </w:r>
      <w:r w:rsidRPr="0072600F">
        <w:rPr>
          <w:sz w:val="26"/>
          <w:szCs w:val="26"/>
        </w:rPr>
        <w:t xml:space="preserve">  </w:t>
      </w:r>
      <w:r w:rsidR="007D3515">
        <w:rPr>
          <w:sz w:val="26"/>
          <w:szCs w:val="26"/>
        </w:rPr>
        <w:t>Furthermore</w:t>
      </w:r>
      <w:r w:rsidRPr="0072600F">
        <w:rPr>
          <w:sz w:val="26"/>
          <w:szCs w:val="26"/>
        </w:rPr>
        <w:t xml:space="preserve">, even in this context, the Commission simply declined to impose a liquidated damages provision in the </w:t>
      </w:r>
      <w:r w:rsidRPr="0072600F">
        <w:rPr>
          <w:i/>
          <w:sz w:val="26"/>
          <w:szCs w:val="26"/>
        </w:rPr>
        <w:t>pro forma</w:t>
      </w:r>
      <w:r w:rsidRPr="0072600F">
        <w:rPr>
          <w:sz w:val="26"/>
          <w:szCs w:val="26"/>
        </w:rPr>
        <w:t xml:space="preserve"> LGIP, but was clear that such provisions were permissible in LGIAs upon agreement of the parties.</w:t>
      </w:r>
      <w:r>
        <w:rPr>
          <w:rStyle w:val="FootnoteReference"/>
        </w:rPr>
        <w:footnoteReference w:id="810"/>
      </w:r>
    </w:p>
    <w:p w:rsidR="00760048" w:rsidRPr="0072600F" w14:paraId="54E1207D" w14:textId="77777777">
      <w:pPr>
        <w:pStyle w:val="FERCparanumber"/>
        <w:widowControl/>
        <w:numPr>
          <w:ilvl w:val="0"/>
          <w:numId w:val="25"/>
        </w:numPr>
        <w:autoSpaceDE/>
        <w:autoSpaceDN/>
        <w:adjustRightInd/>
        <w:spacing w:line="480" w:lineRule="auto"/>
        <w:rPr>
          <w:sz w:val="26"/>
          <w:szCs w:val="26"/>
        </w:rPr>
      </w:pPr>
      <w:r w:rsidRPr="0072600F">
        <w:rPr>
          <w:sz w:val="26"/>
          <w:szCs w:val="26"/>
        </w:rPr>
        <w:t>Moreover, the Commission in Order No. 2023 did not take action based on the record that was available in 2003.  Instead, the Commission has adopted the specific deadline and penalty structure set forth in Order No. 2023, as clarified herein, based on the record before us in this proceeding.  This record is informed by an additional two decades of experience,</w:t>
      </w:r>
      <w:r>
        <w:rPr>
          <w:rStyle w:val="FootnoteReference"/>
        </w:rPr>
        <w:footnoteReference w:id="811"/>
      </w:r>
      <w:r w:rsidRPr="0072600F">
        <w:rPr>
          <w:sz w:val="26"/>
          <w:szCs w:val="26"/>
        </w:rPr>
        <w:t xml:space="preserve"> which justify the need for the reforms adopted in Order No. 2023, including the</w:t>
      </w:r>
      <w:r w:rsidRPr="0072600F">
        <w:rPr>
          <w:sz w:val="26"/>
          <w:szCs w:val="26"/>
        </w:rPr>
        <w:t xml:space="preserve"> </w:t>
      </w:r>
      <w:r w:rsidRPr="0072600F">
        <w:rPr>
          <w:sz w:val="26"/>
          <w:szCs w:val="26"/>
        </w:rPr>
        <w:t>adoption of study delay penalties.</w:t>
      </w:r>
      <w:r>
        <w:rPr>
          <w:rStyle w:val="FootnoteReference"/>
        </w:rPr>
        <w:footnoteReference w:id="812"/>
      </w:r>
      <w:r w:rsidRPr="0072600F">
        <w:rPr>
          <w:sz w:val="26"/>
          <w:szCs w:val="26"/>
        </w:rPr>
        <w:t xml:space="preserve">  The Commission has also taken steps (e.g., site control requirements, commercial readiness deposits, and withdrawal penalties) directed toward reducing the number of speculative interconnection requests and has discussed the costs to interconnection customers of interconnection queue backlogs and late interconnection studies.</w:t>
      </w:r>
      <w:r>
        <w:rPr>
          <w:rStyle w:val="FootnoteReference"/>
        </w:rPr>
        <w:footnoteReference w:id="813"/>
      </w:r>
      <w:r w:rsidRPr="0072600F">
        <w:rPr>
          <w:sz w:val="26"/>
          <w:szCs w:val="26"/>
        </w:rPr>
        <w:t xml:space="preserve">  The penalty structure adopted in Order </w:t>
      </w:r>
      <w:r w:rsidR="001E6AA2">
        <w:rPr>
          <w:sz w:val="26"/>
          <w:szCs w:val="26"/>
        </w:rPr>
        <w:t xml:space="preserve">    </w:t>
      </w:r>
      <w:r w:rsidRPr="0072600F">
        <w:rPr>
          <w:sz w:val="26"/>
          <w:szCs w:val="26"/>
        </w:rPr>
        <w:t>No. 2023 further includes several safeguards</w:t>
      </w:r>
      <w:r w:rsidR="003B7D45">
        <w:rPr>
          <w:sz w:val="26"/>
          <w:szCs w:val="26"/>
        </w:rPr>
        <w:t>,</w:t>
      </w:r>
      <w:r w:rsidRPr="0072600F">
        <w:rPr>
          <w:sz w:val="26"/>
          <w:szCs w:val="26"/>
        </w:rPr>
        <w:t xml:space="preserve"> including the appeal mechanism to seek relief from penalties, and </w:t>
      </w:r>
      <w:r w:rsidR="00341A10">
        <w:rPr>
          <w:sz w:val="26"/>
          <w:szCs w:val="26"/>
        </w:rPr>
        <w:t xml:space="preserve">we do not believe </w:t>
      </w:r>
      <w:r w:rsidRPr="0072600F">
        <w:rPr>
          <w:sz w:val="26"/>
          <w:szCs w:val="26"/>
        </w:rPr>
        <w:t>that the penalty structure will be punitive.</w:t>
      </w:r>
      <w:r>
        <w:rPr>
          <w:rStyle w:val="FootnoteReference"/>
        </w:rPr>
        <w:footnoteReference w:id="814"/>
      </w:r>
      <w:r w:rsidRPr="0072600F">
        <w:rPr>
          <w:sz w:val="26"/>
          <w:szCs w:val="26"/>
        </w:rPr>
        <w:t xml:space="preserve">  On the record before us now, we continue to find that a structure where penalties are incurred for late interconnection studies is warranted notwithstanding that the Commission declined to adopt a proposal for liquidated damages for study delays on a different record twenty years ago.</w:t>
      </w:r>
    </w:p>
    <w:p w:rsidR="00760048" w:rsidRPr="0072600F" w14:paraId="5BA82D01" w14:textId="77777777">
      <w:pPr>
        <w:pStyle w:val="FERCparanumber"/>
        <w:widowControl/>
        <w:numPr>
          <w:ilvl w:val="0"/>
          <w:numId w:val="25"/>
        </w:numPr>
        <w:autoSpaceDE/>
        <w:autoSpaceDN/>
        <w:adjustRightInd/>
        <w:spacing w:line="480" w:lineRule="auto"/>
        <w:rPr>
          <w:sz w:val="26"/>
          <w:szCs w:val="26"/>
        </w:rPr>
      </w:pPr>
      <w:r w:rsidRPr="0072600F">
        <w:rPr>
          <w:sz w:val="26"/>
          <w:szCs w:val="26"/>
        </w:rPr>
        <w:t>MISO TOs also point to a Commission decision from the end of 2022 in which—MISO TOs claim—the Commission “affirmed the reasonable efforts standard and eschewed the adoption of firm study deadlines.”</w:t>
      </w:r>
      <w:r>
        <w:rPr>
          <w:rStyle w:val="FootnoteReference"/>
        </w:rPr>
        <w:footnoteReference w:id="815"/>
      </w:r>
      <w:r w:rsidRPr="0072600F">
        <w:rPr>
          <w:sz w:val="26"/>
          <w:szCs w:val="26"/>
        </w:rPr>
        <w:t xml:space="preserve">  In that decision, however, the Commission approved PJM’s FPA section 205 proposal because, at that time, the reasonable efforts standard was “the currently applicable standard under the Commission’s </w:t>
      </w:r>
      <w:r w:rsidRPr="0072600F">
        <w:rPr>
          <w:i/>
          <w:sz w:val="26"/>
          <w:szCs w:val="26"/>
        </w:rPr>
        <w:t>pro forma</w:t>
      </w:r>
      <w:r w:rsidRPr="0072600F">
        <w:rPr>
          <w:sz w:val="26"/>
          <w:szCs w:val="26"/>
        </w:rPr>
        <w:t xml:space="preserve"> LGIP and LGIA,” noting that in Order No. 845 the Commission had declined to eliminate the reasonable efforts standard.</w:t>
      </w:r>
      <w:r>
        <w:rPr>
          <w:rStyle w:val="FootnoteReference"/>
        </w:rPr>
        <w:footnoteReference w:id="816"/>
      </w:r>
      <w:r w:rsidRPr="0072600F">
        <w:rPr>
          <w:sz w:val="26"/>
          <w:szCs w:val="26"/>
        </w:rPr>
        <w:t xml:space="preserve">  The Commission has now determined, based on the record in this proceeding and under FPA section 206, that the reasonable efforts standard is no longer just and reasonable and specified the replacement standards, and transmission providers (including PJM) are required to submit compliance filings to adopt the requirements of Order No. 2023, as modified herein.</w:t>
      </w:r>
    </w:p>
    <w:p w:rsidR="00760048" w:rsidRPr="0072600F" w14:paraId="5DD37825"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Indicated PJM TOs’ and NYISO’s claims that the Commission erred in comparing the penalty structure under Order No. 2023 to traffic ticket penalties, asserting that such traffic ticket penalties are assessed solely based on objective criteria.  Under Order No. 2023’s penalty structure, penalties are incurred based on objectively identifiable criteria set forth in the tariff (failure to complete the study in the required timeframe) and transmission providers are not subject to sanctions or consequences other than the penalty set forth in the tariff and approved by the Commission.</w:t>
      </w:r>
      <w:r>
        <w:rPr>
          <w:rStyle w:val="FootnoteReference"/>
        </w:rPr>
        <w:footnoteReference w:id="817"/>
      </w:r>
      <w:r w:rsidRPr="0072600F">
        <w:rPr>
          <w:sz w:val="26"/>
          <w:szCs w:val="26"/>
        </w:rPr>
        <w:t xml:space="preserve">  While Indicated PJM TOs and NYISO argue that, in light of the appeal process, the ultimate imposition of the penalty is not based on objectively identifiable behavior, the approach adopted in Order No. 2023 is consistent with the Commission’s traffic ticket penalty precedent which includes an “appeals process” under which the Commission considers “all relevant circumstances.”</w:t>
      </w:r>
      <w:r>
        <w:rPr>
          <w:rStyle w:val="FootnoteReference"/>
        </w:rPr>
        <w:footnoteReference w:id="818"/>
      </w:r>
    </w:p>
    <w:p w:rsidR="00760048" w:rsidRPr="0072600F" w14:paraId="14B51C27" w14:textId="77777777">
      <w:pPr>
        <w:pStyle w:val="FERCparanumber"/>
        <w:widowControl/>
        <w:numPr>
          <w:ilvl w:val="0"/>
          <w:numId w:val="25"/>
        </w:numPr>
        <w:autoSpaceDE/>
        <w:autoSpaceDN/>
        <w:adjustRightInd/>
        <w:spacing w:line="480" w:lineRule="auto"/>
        <w:rPr>
          <w:sz w:val="26"/>
          <w:szCs w:val="26"/>
        </w:rPr>
      </w:pPr>
      <w:r w:rsidRPr="0072600F">
        <w:rPr>
          <w:sz w:val="26"/>
          <w:szCs w:val="26"/>
        </w:rPr>
        <w:t>Nor, contrary to Indicated PJM TOs’ claim, is any aspect of the penalty structure impermissibly “delegate[d] . . . to third parties” such as “jurisdictional utilities.”</w:t>
      </w:r>
      <w:r>
        <w:rPr>
          <w:rStyle w:val="FootnoteReference"/>
        </w:rPr>
        <w:footnoteReference w:id="819"/>
      </w:r>
      <w:r w:rsidRPr="0072600F">
        <w:rPr>
          <w:sz w:val="26"/>
          <w:szCs w:val="26"/>
        </w:rPr>
        <w:t xml:space="preserve">  As just discussed, the trigger for penalties occurs through objective criteria, which were determined by the Commission on the record in this proceeding.  The appeals process is conducted by the Commission.  To the extent that RTOs/ISOs seek to recover the costs of penalties assessed to them through section 205 filings, whether through individual filings or a default structure, the Commission will review those filings to determine whether they are just and reasonable, and not unduly discriminatory or preferential.</w:t>
      </w:r>
      <w:r>
        <w:rPr>
          <w:rStyle w:val="FootnoteReference"/>
        </w:rPr>
        <w:footnoteReference w:id="820"/>
      </w:r>
    </w:p>
    <w:p w:rsidR="00760048" w:rsidRPr="0072600F" w14:paraId="0305CF8D" w14:textId="77777777">
      <w:pPr>
        <w:pStyle w:val="FERCparanumber"/>
        <w:widowControl/>
        <w:numPr>
          <w:ilvl w:val="0"/>
          <w:numId w:val="25"/>
        </w:numPr>
        <w:autoSpaceDE/>
        <w:autoSpaceDN/>
        <w:adjustRightInd/>
        <w:spacing w:line="480" w:lineRule="auto"/>
        <w:rPr>
          <w:sz w:val="26"/>
          <w:szCs w:val="26"/>
        </w:rPr>
      </w:pPr>
      <w:bookmarkStart w:id="73" w:name="_Ref160110288"/>
      <w:r w:rsidRPr="0072600F">
        <w:rPr>
          <w:sz w:val="26"/>
          <w:szCs w:val="26"/>
        </w:rPr>
        <w:t>As to NYISO’s argument that Order No. 890’s transmission study penalties are not relevant to the Commission’s adoption of the penalty structure in Order No. 2023, NYISO does not refute the numerous similarities between these two structures.  These include that</w:t>
      </w:r>
      <w:r w:rsidR="00E109C7">
        <w:rPr>
          <w:sz w:val="26"/>
          <w:szCs w:val="26"/>
        </w:rPr>
        <w:t>,</w:t>
      </w:r>
      <w:r w:rsidRPr="0072600F">
        <w:rPr>
          <w:sz w:val="26"/>
          <w:szCs w:val="26"/>
        </w:rPr>
        <w:t xml:space="preserve"> in Order No. 890</w:t>
      </w:r>
      <w:r w:rsidR="00E109C7">
        <w:rPr>
          <w:sz w:val="26"/>
          <w:szCs w:val="26"/>
        </w:rPr>
        <w:t>,</w:t>
      </w:r>
      <w:r w:rsidRPr="0072600F">
        <w:rPr>
          <w:sz w:val="26"/>
          <w:szCs w:val="26"/>
        </w:rPr>
        <w:t xml:space="preserve"> the Commission</w:t>
      </w:r>
      <w:r w:rsidR="00E109C7">
        <w:rPr>
          <w:sz w:val="26"/>
          <w:szCs w:val="26"/>
        </w:rPr>
        <w:t xml:space="preserve">: </w:t>
      </w:r>
      <w:r w:rsidRPr="0072600F">
        <w:rPr>
          <w:sz w:val="26"/>
          <w:szCs w:val="26"/>
        </w:rPr>
        <w:t xml:space="preserve"> imposed set time frames for the completion of transmission studies and found that transmission providers must have a meaningful stake in meeting those deadlines;</w:t>
      </w:r>
      <w:r>
        <w:rPr>
          <w:rStyle w:val="FootnoteReference"/>
        </w:rPr>
        <w:footnoteReference w:id="821"/>
      </w:r>
      <w:r w:rsidRPr="0072600F">
        <w:rPr>
          <w:sz w:val="26"/>
          <w:szCs w:val="26"/>
        </w:rPr>
        <w:t xml:space="preserve"> included a process to waive penalties in unique circumstances but declined to create broad categories of exemptions from penalties;</w:t>
      </w:r>
      <w:r>
        <w:rPr>
          <w:rStyle w:val="FootnoteReference"/>
        </w:rPr>
        <w:footnoteReference w:id="822"/>
      </w:r>
      <w:r w:rsidRPr="0072600F">
        <w:rPr>
          <w:sz w:val="26"/>
          <w:szCs w:val="26"/>
        </w:rPr>
        <w:t xml:space="preserve"> rejected arguments that imposing deadlines and penalties will necessarily decrease study quality or harm system reliability;</w:t>
      </w:r>
      <w:r>
        <w:rPr>
          <w:rStyle w:val="FootnoteReference"/>
        </w:rPr>
        <w:footnoteReference w:id="823"/>
      </w:r>
      <w:r w:rsidRPr="0072600F">
        <w:rPr>
          <w:sz w:val="26"/>
          <w:szCs w:val="26"/>
        </w:rPr>
        <w:t xml:space="preserve"> discussed other reforms that would help achieve transmission deadlines, but did not take piecemeal action by waiting to observe the effects of those reforms;</w:t>
      </w:r>
      <w:r>
        <w:rPr>
          <w:rStyle w:val="FootnoteReference"/>
        </w:rPr>
        <w:footnoteReference w:id="824"/>
      </w:r>
      <w:r w:rsidRPr="0072600F">
        <w:rPr>
          <w:sz w:val="26"/>
          <w:szCs w:val="26"/>
        </w:rPr>
        <w:t xml:space="preserve"> provided for the distribution of penalties to transmission customers;</w:t>
      </w:r>
      <w:r>
        <w:rPr>
          <w:rStyle w:val="FootnoteReference"/>
        </w:rPr>
        <w:footnoteReference w:id="825"/>
      </w:r>
      <w:r w:rsidRPr="0072600F">
        <w:rPr>
          <w:sz w:val="26"/>
          <w:szCs w:val="26"/>
        </w:rPr>
        <w:t xml:space="preserve"> did not exempt RTOs;</w:t>
      </w:r>
      <w:r>
        <w:rPr>
          <w:rStyle w:val="FootnoteReference"/>
        </w:rPr>
        <w:footnoteReference w:id="826"/>
      </w:r>
      <w:r w:rsidRPr="0072600F">
        <w:rPr>
          <w:sz w:val="26"/>
          <w:szCs w:val="26"/>
        </w:rPr>
        <w:t xml:space="preserve"> and prohibited transmission providers from recovering study delay penalties through their transmission rates.</w:t>
      </w:r>
      <w:r>
        <w:rPr>
          <w:rStyle w:val="FootnoteReference"/>
        </w:rPr>
        <w:footnoteReference w:id="827"/>
      </w:r>
      <w:r w:rsidRPr="0072600F">
        <w:rPr>
          <w:sz w:val="26"/>
          <w:szCs w:val="26"/>
        </w:rPr>
        <w:t xml:space="preserve">  In light of these similarities, we continue to conclude that Order No. 890 is relevant Commission precedent supporting the study delay penalty structure adopted in Order No. 2023.</w:t>
      </w:r>
      <w:r>
        <w:rPr>
          <w:rStyle w:val="FootnoteReference"/>
        </w:rPr>
        <w:footnoteReference w:id="828"/>
      </w:r>
      <w:bookmarkEnd w:id="73"/>
      <w:r w:rsidRPr="0072600F">
        <w:rPr>
          <w:sz w:val="26"/>
          <w:szCs w:val="26"/>
        </w:rPr>
        <w:t xml:space="preserve">  </w:t>
      </w:r>
    </w:p>
    <w:p w:rsidR="00760048" w:rsidRPr="0072600F" w14:paraId="10F7FD5D" w14:textId="77777777">
      <w:pPr>
        <w:pStyle w:val="FERCparanumber"/>
        <w:widowControl/>
        <w:numPr>
          <w:ilvl w:val="0"/>
          <w:numId w:val="25"/>
        </w:numPr>
        <w:autoSpaceDE/>
        <w:autoSpaceDN/>
        <w:adjustRightInd/>
        <w:spacing w:line="480" w:lineRule="auto"/>
        <w:rPr>
          <w:sz w:val="26"/>
          <w:szCs w:val="26"/>
        </w:rPr>
      </w:pPr>
      <w:bookmarkStart w:id="74" w:name="_Ref160110290"/>
      <w:r w:rsidRPr="0072600F">
        <w:rPr>
          <w:sz w:val="26"/>
          <w:szCs w:val="26"/>
        </w:rPr>
        <w:t>The Commission in Order No. 2023 also recognized that there were differences between the penalty structure in Order No. 2023 as compared to Order No. 890, but found that they were “warranted by the significant and growing interconnection queue backlogs.”</w:t>
      </w:r>
      <w:r>
        <w:rPr>
          <w:rStyle w:val="FootnoteReference"/>
        </w:rPr>
        <w:footnoteReference w:id="829"/>
      </w:r>
      <w:r w:rsidRPr="0072600F">
        <w:rPr>
          <w:sz w:val="26"/>
          <w:szCs w:val="26"/>
        </w:rPr>
        <w:t xml:space="preserve">  In other words, far from NYISO’s suggestion that the Commission was unreasonably citing “the fact that interconnection studies are more numerous, complex, and susceptible to delays than transmission studies as a reason for treating the two identically,”</w:t>
      </w:r>
      <w:r>
        <w:rPr>
          <w:rStyle w:val="FootnoteReference"/>
        </w:rPr>
        <w:footnoteReference w:id="830"/>
      </w:r>
      <w:r w:rsidRPr="0072600F">
        <w:rPr>
          <w:sz w:val="26"/>
          <w:szCs w:val="26"/>
        </w:rPr>
        <w:t xml:space="preserve"> the Commission was here explaining why the differences between these two structures were appropriate.</w:t>
      </w:r>
      <w:r>
        <w:rPr>
          <w:rStyle w:val="FootnoteReference"/>
        </w:rPr>
        <w:footnoteReference w:id="831"/>
      </w:r>
      <w:r w:rsidRPr="0072600F">
        <w:rPr>
          <w:sz w:val="26"/>
          <w:szCs w:val="26"/>
        </w:rPr>
        <w:t xml:space="preserve">  We continue to find those differences warranted, based on the same considerations articulated in Order No. 2023,</w:t>
      </w:r>
      <w:r>
        <w:rPr>
          <w:rStyle w:val="FootnoteReference"/>
        </w:rPr>
        <w:footnoteReference w:id="832"/>
      </w:r>
      <w:r w:rsidRPr="0072600F">
        <w:rPr>
          <w:sz w:val="26"/>
          <w:szCs w:val="26"/>
        </w:rPr>
        <w:t xml:space="preserve"> notwithstanding arguments that the approach in Order No. 2023 represents a departure from the approach the Commission took in Order No. 890.  These considerations reflect greater need for direct, clear, and straightforward incentives for transmission providers to achieve interconnection study timeliness than were pertinent in the context of transmission studies in Order No. 890.</w:t>
      </w:r>
      <w:bookmarkEnd w:id="74"/>
    </w:p>
    <w:p w:rsidR="00760048" w:rsidRPr="0072600F" w14:paraId="14BF818D"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find that the Commission adequately responded to NYISO’s argument that “reliability penalties are generally non-financial and that when financial penalties do apply there are numerous mechanisms in place to avoid unfairly harsh results,” particularly a “risk-based evaluation of all the facts and circumstances related to an individual violation.”</w:t>
      </w:r>
      <w:r>
        <w:rPr>
          <w:rStyle w:val="FootnoteReference"/>
        </w:rPr>
        <w:footnoteReference w:id="833"/>
      </w:r>
      <w:r w:rsidRPr="0072600F">
        <w:rPr>
          <w:sz w:val="26"/>
          <w:szCs w:val="26"/>
        </w:rPr>
        <w:t xml:space="preserve">  Under Order No. 2023, transmission providers have “the opportunity to seek relief from a penalty by filing an appeal, which the Commission will closely scrutinize and in response to which the Commission will issue an order.”</w:t>
      </w:r>
      <w:r>
        <w:rPr>
          <w:rStyle w:val="FootnoteReference"/>
        </w:rPr>
        <w:footnoteReference w:id="834"/>
      </w:r>
      <w:r w:rsidRPr="0072600F">
        <w:rPr>
          <w:sz w:val="26"/>
          <w:szCs w:val="26"/>
        </w:rPr>
        <w:t xml:space="preserve">  We have elsewhere rejected arguments that this appeals process is impermissibly “inchoate” and arguments that Order No. 2023 unreasonably presumes that “transmission providers are at fault for study delays and that all study delays warrant penalties.”</w:t>
      </w:r>
      <w:r>
        <w:rPr>
          <w:rStyle w:val="FootnoteReference"/>
        </w:rPr>
        <w:footnoteReference w:id="835"/>
      </w:r>
    </w:p>
    <w:p w:rsidR="00760048" w:rsidRPr="0072600F" w14:paraId="11D9C18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Indicated PJM TOs’ contention that Order No. 2023 is unlawful because the Commission has attempted therein to override RTO/ISO governing documents, in contravention of </w:t>
      </w:r>
      <w:r w:rsidRPr="0072600F">
        <w:rPr>
          <w:i/>
          <w:sz w:val="26"/>
          <w:szCs w:val="26"/>
        </w:rPr>
        <w:t xml:space="preserve">Atlantic City I </w:t>
      </w:r>
      <w:r w:rsidRPr="0072600F">
        <w:rPr>
          <w:sz w:val="26"/>
          <w:szCs w:val="26"/>
        </w:rPr>
        <w:t xml:space="preserve">and </w:t>
      </w:r>
      <w:r w:rsidRPr="0072600F">
        <w:rPr>
          <w:i/>
          <w:sz w:val="26"/>
          <w:szCs w:val="26"/>
        </w:rPr>
        <w:t>Atlantic City II</w:t>
      </w:r>
      <w:r w:rsidRPr="0072600F">
        <w:rPr>
          <w:sz w:val="26"/>
          <w:szCs w:val="26"/>
        </w:rPr>
        <w:t>,</w:t>
      </w:r>
      <w:r>
        <w:rPr>
          <w:rStyle w:val="FootnoteReference"/>
        </w:rPr>
        <w:footnoteReference w:id="836"/>
      </w:r>
      <w:r w:rsidRPr="0072600F">
        <w:rPr>
          <w:sz w:val="26"/>
          <w:szCs w:val="26"/>
        </w:rPr>
        <w:t xml:space="preserve"> is misplaced.</w:t>
      </w:r>
      <w:r>
        <w:rPr>
          <w:rStyle w:val="FootnoteReference"/>
        </w:rPr>
        <w:footnoteReference w:id="837"/>
      </w:r>
      <w:r w:rsidRPr="0072600F">
        <w:rPr>
          <w:sz w:val="26"/>
          <w:szCs w:val="26"/>
        </w:rPr>
        <w:t xml:space="preserve">  Indicated PJM TOs are misreading </w:t>
      </w:r>
      <w:r w:rsidRPr="0072600F">
        <w:rPr>
          <w:i/>
          <w:sz w:val="26"/>
          <w:szCs w:val="26"/>
        </w:rPr>
        <w:t xml:space="preserve">Atlantic City I </w:t>
      </w:r>
      <w:r w:rsidRPr="0072600F">
        <w:rPr>
          <w:sz w:val="26"/>
          <w:szCs w:val="26"/>
        </w:rPr>
        <w:t xml:space="preserve">and </w:t>
      </w:r>
      <w:r w:rsidRPr="0072600F">
        <w:rPr>
          <w:i/>
          <w:sz w:val="26"/>
          <w:szCs w:val="26"/>
        </w:rPr>
        <w:t>Atlantic City II</w:t>
      </w:r>
      <w:r w:rsidRPr="0072600F">
        <w:rPr>
          <w:sz w:val="26"/>
          <w:szCs w:val="26"/>
        </w:rPr>
        <w:t xml:space="preserve">, which do not stand for the proposition that a particular RTO/ISO’s approach to its own governance can override the Commission’s authority under FPA section 206 to set just and reasonable rates.  Rather, in </w:t>
      </w:r>
      <w:r w:rsidRPr="0072600F">
        <w:rPr>
          <w:i/>
          <w:sz w:val="26"/>
          <w:szCs w:val="26"/>
        </w:rPr>
        <w:t>Atlantic City I</w:t>
      </w:r>
      <w:r w:rsidRPr="0072600F">
        <w:rPr>
          <w:sz w:val="26"/>
          <w:szCs w:val="26"/>
        </w:rPr>
        <w:t>, the Commission had required modifications to a proposed ISO structure including “to eliminate a provision allowing utilities ‘to unilaterally file to make changes in rate design, terms or conditions of jurisdictional services,’ except that they could still unilaterally seek a change in the transmission revenue requirements.”</w:t>
      </w:r>
      <w:r>
        <w:rPr>
          <w:rStyle w:val="FootnoteReference"/>
        </w:rPr>
        <w:footnoteReference w:id="838"/>
      </w:r>
      <w:r w:rsidRPr="0072600F">
        <w:rPr>
          <w:sz w:val="26"/>
          <w:szCs w:val="26"/>
        </w:rPr>
        <w:t xml:space="preserve">  As a result of these required modifications, changes in rate design could not be made through unilateral FPA section 205 filings by individual utilities, but instead “only the ISO could propose changes in rate design.”</w:t>
      </w:r>
      <w:r>
        <w:rPr>
          <w:rStyle w:val="FootnoteReference"/>
        </w:rPr>
        <w:footnoteReference w:id="839"/>
      </w:r>
      <w:r w:rsidRPr="0072600F">
        <w:rPr>
          <w:sz w:val="26"/>
          <w:szCs w:val="26"/>
        </w:rPr>
        <w:t xml:space="preserve">  The court held that the Commission erred in doing so, explaining that the Commission lacked statutory authority “to require the utility petitioners to cede rights expressly given to them in section 205 of the Federal Power Act.”</w:t>
      </w:r>
      <w:r>
        <w:rPr>
          <w:rStyle w:val="FootnoteReference"/>
        </w:rPr>
        <w:footnoteReference w:id="840"/>
      </w:r>
      <w:r w:rsidRPr="0072600F">
        <w:rPr>
          <w:sz w:val="26"/>
          <w:szCs w:val="26"/>
        </w:rPr>
        <w:t xml:space="preserve">  </w:t>
      </w:r>
    </w:p>
    <w:p w:rsidR="00760048" w:rsidRPr="0072600F" w14:paraId="69E1766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Thus, the basis for the court’s remands in </w:t>
      </w:r>
      <w:r w:rsidRPr="0072600F">
        <w:rPr>
          <w:i/>
          <w:sz w:val="26"/>
          <w:szCs w:val="26"/>
        </w:rPr>
        <w:t>Atlantic City I</w:t>
      </w:r>
      <w:r w:rsidRPr="0072600F">
        <w:rPr>
          <w:sz w:val="26"/>
          <w:szCs w:val="26"/>
        </w:rPr>
        <w:t xml:space="preserve"> and </w:t>
      </w:r>
      <w:r w:rsidRPr="0072600F">
        <w:rPr>
          <w:i/>
          <w:sz w:val="26"/>
          <w:szCs w:val="26"/>
        </w:rPr>
        <w:t>Atlantic City II</w:t>
      </w:r>
      <w:r w:rsidRPr="0072600F">
        <w:rPr>
          <w:sz w:val="26"/>
          <w:szCs w:val="26"/>
        </w:rPr>
        <w:t xml:space="preserve"> was that the Commission exceeded its jurisdiction in requiring utilities to surrender, to an RTO/ISO, their FPA section 205 right to propose changes to rate designs.  These cases do not establish that the Commission’s power under FPA section 206, following appropriate findings, to “determine the just and reasonable rate, charge, classification, rule, regulation, practice, or contract to be thereafter observed and in force”</w:t>
      </w:r>
      <w:r>
        <w:rPr>
          <w:rStyle w:val="FootnoteReference"/>
        </w:rPr>
        <w:footnoteReference w:id="841"/>
      </w:r>
      <w:r w:rsidRPr="0072600F">
        <w:rPr>
          <w:sz w:val="26"/>
          <w:szCs w:val="26"/>
        </w:rPr>
        <w:t xml:space="preserve"> is subordinate to a particular RTO/ISO’s governing documents.  To the contrary, the court acknowledged the Commission’s authority to require transmission providers to file particular rates upon a finding that existing rates are unlawful, under FPA section 206.</w:t>
      </w:r>
      <w:r>
        <w:rPr>
          <w:rStyle w:val="FootnoteReference"/>
        </w:rPr>
        <w:footnoteReference w:id="842"/>
      </w:r>
      <w:r w:rsidRPr="0072600F">
        <w:rPr>
          <w:sz w:val="26"/>
          <w:szCs w:val="26"/>
        </w:rPr>
        <w:t xml:space="preserve">  </w:t>
      </w:r>
    </w:p>
    <w:p w:rsidR="00760048" w:rsidRPr="00663161" w14:paraId="0988805A"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Alternative Approaches and Miscellaneous Issues</w:t>
      </w:r>
    </w:p>
    <w:p w:rsidR="00760048" w:rsidRPr="0072600F" w14:paraId="54B0A6E1" w14:textId="77777777">
      <w:pPr>
        <w:pStyle w:val="Heading6"/>
        <w:numPr>
          <w:ilvl w:val="5"/>
          <w:numId w:val="24"/>
        </w:numPr>
        <w:autoSpaceDE/>
        <w:autoSpaceDN/>
        <w:adjustRightInd/>
        <w:rPr>
          <w:szCs w:val="26"/>
        </w:rPr>
      </w:pPr>
      <w:r w:rsidRPr="0072600F">
        <w:rPr>
          <w:szCs w:val="26"/>
        </w:rPr>
        <w:t>Requests for Rehearing</w:t>
      </w:r>
    </w:p>
    <w:p w:rsidR="00760048" w:rsidRPr="0072600F" w14:paraId="17FEE9B2"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the rehearing requests assert that the Commission could have taken an alternative approach to eliminating the reasonable efforts standard and adopting the deadline and penalty structure set forth in Order No. 2023.  EEI urges that the Commission could have instead “ensure[d] transmission providers are afforded specified timeframes to complete certain tasks during studies.”</w:t>
      </w:r>
      <w:r>
        <w:rPr>
          <w:rStyle w:val="FootnoteReference"/>
        </w:rPr>
        <w:footnoteReference w:id="843"/>
      </w:r>
      <w:r w:rsidRPr="0072600F">
        <w:rPr>
          <w:sz w:val="26"/>
          <w:szCs w:val="26"/>
        </w:rPr>
        <w:t xml:space="preserve">  MISO TOs assert that the Commission should have taken an approach that parallels the one adopted for transmission studies in Order No. 890 of monitoring for chronic delays, investigating causes, and then imposing a remedy.</w:t>
      </w:r>
      <w:r>
        <w:rPr>
          <w:rStyle w:val="FootnoteReference"/>
        </w:rPr>
        <w:footnoteReference w:id="844"/>
      </w:r>
      <w:r w:rsidRPr="0072600F">
        <w:rPr>
          <w:sz w:val="26"/>
          <w:szCs w:val="26"/>
        </w:rPr>
        <w:t xml:space="preserve">  NYISO argues that the Commission could instead allow “individual RTO/ISO regions to propose alternative rules as independent entity variations” or build on Order No. 845 by updating and enhancing its reporting requirements, which would allow more targeted actions to address problems.</w:t>
      </w:r>
      <w:r>
        <w:rPr>
          <w:rStyle w:val="FootnoteReference"/>
        </w:rPr>
        <w:footnoteReference w:id="845"/>
      </w:r>
    </w:p>
    <w:p w:rsidR="00760048" w:rsidRPr="0072600F" w14:paraId="295810FB"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asserts that Order No. 2023’s adoption of a 10 business-day grace period does not provide meaningful relief to transmission providers, like NYISO, that will be required to study large numbers of interconnection requests, and that affording the same grace period to all transmission providers despite differing workloads is not reasoned decision-making.</w:t>
      </w:r>
      <w:r>
        <w:rPr>
          <w:rStyle w:val="FootnoteReference"/>
        </w:rPr>
        <w:footnoteReference w:id="846"/>
      </w:r>
      <w:r w:rsidRPr="0072600F">
        <w:rPr>
          <w:sz w:val="26"/>
          <w:szCs w:val="26"/>
        </w:rPr>
        <w:t xml:space="preserve">  It further argues that the transition period the Commission adopted in Order No. 2023 simply postpones the problems with RTO/ISO penalty cost recovery, without resolving that problem.</w:t>
      </w:r>
      <w:r>
        <w:rPr>
          <w:rStyle w:val="FootnoteReference"/>
        </w:rPr>
        <w:footnoteReference w:id="847"/>
      </w:r>
      <w:r w:rsidRPr="0072600F">
        <w:rPr>
          <w:sz w:val="26"/>
          <w:szCs w:val="26"/>
        </w:rPr>
        <w:t xml:space="preserve">  And </w:t>
      </w:r>
      <w:r w:rsidR="00514F38">
        <w:rPr>
          <w:sz w:val="26"/>
          <w:szCs w:val="26"/>
        </w:rPr>
        <w:t>NYISO</w:t>
      </w:r>
      <w:r w:rsidRPr="0072600F">
        <w:rPr>
          <w:sz w:val="26"/>
          <w:szCs w:val="26"/>
        </w:rPr>
        <w:t xml:space="preserve"> claims that the Commission significantly increased penalty levels from the levels proposed by the NOPR, without a reasoned basis for doing so.</w:t>
      </w:r>
      <w:r>
        <w:rPr>
          <w:rStyle w:val="FootnoteReference"/>
        </w:rPr>
        <w:footnoteReference w:id="848"/>
      </w:r>
    </w:p>
    <w:p w:rsidR="00760048" w:rsidRPr="0072600F" w14:paraId="3290335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Indicated PJM TOs argue that </w:t>
      </w:r>
      <w:r w:rsidRPr="0072600F">
        <w:rPr>
          <w:i/>
          <w:iCs/>
          <w:sz w:val="26"/>
          <w:szCs w:val="26"/>
        </w:rPr>
        <w:t>pro rata</w:t>
      </w:r>
      <w:r w:rsidRPr="0072600F">
        <w:rPr>
          <w:sz w:val="26"/>
          <w:szCs w:val="26"/>
        </w:rPr>
        <w:t xml:space="preserve"> disbursement of penalties to interconnection customers is unduly discriminatory, given that study deposits increase based on the size of the generating facility making the interconnection request.</w:t>
      </w:r>
      <w:r>
        <w:rPr>
          <w:rStyle w:val="FootnoteReference"/>
        </w:rPr>
        <w:footnoteReference w:id="849"/>
      </w:r>
      <w:r w:rsidRPr="0072600F">
        <w:rPr>
          <w:sz w:val="26"/>
          <w:szCs w:val="26"/>
        </w:rPr>
        <w:t xml:space="preserve">  They assert that Order No. 2023 disregards the different costs associated with larger generating facilities and seeks to treat interconnection customers with substantially fewer costs as equals, which </w:t>
      </w:r>
      <w:r w:rsidR="00DE6B95">
        <w:rPr>
          <w:sz w:val="26"/>
          <w:szCs w:val="26"/>
        </w:rPr>
        <w:t>they</w:t>
      </w:r>
      <w:r w:rsidRPr="0072600F">
        <w:rPr>
          <w:sz w:val="26"/>
          <w:szCs w:val="26"/>
        </w:rPr>
        <w:t xml:space="preserve"> claim is inconsistent with precedent.</w:t>
      </w:r>
      <w:r>
        <w:rPr>
          <w:rStyle w:val="FootnoteReference"/>
        </w:rPr>
        <w:footnoteReference w:id="850"/>
      </w:r>
    </w:p>
    <w:p w:rsidR="00760048" w:rsidRPr="0072600F" w14:paraId="610D84DD" w14:textId="77777777">
      <w:pPr>
        <w:pStyle w:val="FERCparanumber"/>
        <w:widowControl/>
        <w:numPr>
          <w:ilvl w:val="0"/>
          <w:numId w:val="25"/>
        </w:numPr>
        <w:autoSpaceDE/>
        <w:autoSpaceDN/>
        <w:adjustRightInd/>
        <w:spacing w:line="480" w:lineRule="auto"/>
        <w:rPr>
          <w:sz w:val="26"/>
          <w:szCs w:val="26"/>
        </w:rPr>
      </w:pPr>
      <w:r w:rsidRPr="0072600F">
        <w:rPr>
          <w:sz w:val="26"/>
          <w:szCs w:val="26"/>
        </w:rPr>
        <w:t>Invenergy argues that the Commission erred in failing to provide for penalties when an affected system misses a pre-study deadline, such as the 20 business day deadline to indicate whether it will conduct an affected system study, or the 15 business day deadline to provide a cost estimate and schedule for that study.</w:t>
      </w:r>
      <w:r>
        <w:rPr>
          <w:rStyle w:val="FootnoteReference"/>
        </w:rPr>
        <w:footnoteReference w:id="851"/>
      </w:r>
      <w:r w:rsidRPr="0072600F">
        <w:rPr>
          <w:sz w:val="26"/>
          <w:szCs w:val="26"/>
        </w:rPr>
        <w:t xml:space="preserve">  I</w:t>
      </w:r>
      <w:r w:rsidR="000E3FE4">
        <w:rPr>
          <w:sz w:val="26"/>
          <w:szCs w:val="26"/>
        </w:rPr>
        <w:t>nvenergy</w:t>
      </w:r>
      <w:r w:rsidRPr="0072600F">
        <w:rPr>
          <w:sz w:val="26"/>
          <w:szCs w:val="26"/>
        </w:rPr>
        <w:t xml:space="preserve"> notes that, in contrast to the 150-day deadline for cluster studies, which is measured from the end of the </w:t>
      </w:r>
      <w:r w:rsidR="00812248">
        <w:rPr>
          <w:sz w:val="26"/>
          <w:szCs w:val="26"/>
        </w:rPr>
        <w:t>c</w:t>
      </w:r>
      <w:r w:rsidRPr="0072600F">
        <w:rPr>
          <w:sz w:val="26"/>
          <w:szCs w:val="26"/>
        </w:rPr>
        <w:t xml:space="preserve">ustomer </w:t>
      </w:r>
      <w:r w:rsidR="00812248">
        <w:rPr>
          <w:sz w:val="26"/>
          <w:szCs w:val="26"/>
        </w:rPr>
        <w:t>e</w:t>
      </w:r>
      <w:r w:rsidRPr="0072600F">
        <w:rPr>
          <w:sz w:val="26"/>
          <w:szCs w:val="26"/>
        </w:rPr>
        <w:t xml:space="preserve">ngagement </w:t>
      </w:r>
      <w:r w:rsidR="00812248">
        <w:rPr>
          <w:sz w:val="26"/>
          <w:szCs w:val="26"/>
        </w:rPr>
        <w:t>w</w:t>
      </w:r>
      <w:r w:rsidRPr="0072600F">
        <w:rPr>
          <w:sz w:val="26"/>
          <w:szCs w:val="26"/>
        </w:rPr>
        <w:t xml:space="preserve">indow, an affected system will be expected to meet pre-study deadlines only when and if the host transmission provider provides a notice that it has been identified as an </w:t>
      </w:r>
      <w:r w:rsidR="00812248">
        <w:rPr>
          <w:sz w:val="26"/>
          <w:szCs w:val="26"/>
        </w:rPr>
        <w:t>a</w:t>
      </w:r>
      <w:r w:rsidRPr="0072600F">
        <w:rPr>
          <w:sz w:val="26"/>
          <w:szCs w:val="26"/>
        </w:rPr>
        <w:t xml:space="preserve">ffected </w:t>
      </w:r>
      <w:r w:rsidR="00424C8E">
        <w:rPr>
          <w:sz w:val="26"/>
          <w:szCs w:val="26"/>
        </w:rPr>
        <w:t>s</w:t>
      </w:r>
      <w:r w:rsidRPr="0072600F">
        <w:rPr>
          <w:sz w:val="26"/>
          <w:szCs w:val="26"/>
        </w:rPr>
        <w:t>ystem for a particular interconnection customer.</w:t>
      </w:r>
      <w:r>
        <w:rPr>
          <w:rStyle w:val="FootnoteReference"/>
        </w:rPr>
        <w:footnoteReference w:id="852"/>
      </w:r>
      <w:r w:rsidRPr="0072600F">
        <w:rPr>
          <w:sz w:val="26"/>
          <w:szCs w:val="26"/>
        </w:rPr>
        <w:t xml:space="preserve">  Invenergy argues that the Commission should apply a $2,000 per business day penalty on affected systems for failing to meet pre-study deadlines.  Clean Energy Associations present similar arguments in a request for clarification.</w:t>
      </w:r>
      <w:r>
        <w:rPr>
          <w:rStyle w:val="FootnoteReference"/>
        </w:rPr>
        <w:footnoteReference w:id="853"/>
      </w:r>
      <w:r w:rsidRPr="0072600F">
        <w:rPr>
          <w:sz w:val="26"/>
          <w:szCs w:val="26"/>
        </w:rPr>
        <w:t xml:space="preserve">  </w:t>
      </w:r>
    </w:p>
    <w:p w:rsidR="00760048" w:rsidRPr="0072600F" w14:paraId="5EAEF557" w14:textId="77777777">
      <w:pPr>
        <w:pStyle w:val="FERCparanumber"/>
        <w:widowControl/>
        <w:numPr>
          <w:ilvl w:val="0"/>
          <w:numId w:val="25"/>
        </w:numPr>
        <w:autoSpaceDE/>
        <w:autoSpaceDN/>
        <w:adjustRightInd/>
        <w:spacing w:line="480" w:lineRule="auto"/>
        <w:rPr>
          <w:sz w:val="26"/>
          <w:szCs w:val="26"/>
        </w:rPr>
      </w:pPr>
      <w:r w:rsidRPr="0072600F">
        <w:rPr>
          <w:sz w:val="26"/>
          <w:szCs w:val="26"/>
        </w:rPr>
        <w:t>MISO argues that Order No. 2023 should be revised to provide that RTOs that conduct multiple system impact studies may include a combined timeline for cluster studies for penalty purposes.</w:t>
      </w:r>
      <w:r>
        <w:rPr>
          <w:rStyle w:val="FootnoteReference"/>
        </w:rPr>
        <w:footnoteReference w:id="854"/>
      </w:r>
      <w:r w:rsidRPr="0072600F">
        <w:rPr>
          <w:sz w:val="26"/>
          <w:szCs w:val="26"/>
        </w:rPr>
        <w:t xml:space="preserve">  MISO also argues that the Commission should modify the transition period to properly account for delays in clusters that pre-date the effective date of Order No. 2023, because delays in such clusters could cause backlogs that will affect future studies.</w:t>
      </w:r>
      <w:r>
        <w:rPr>
          <w:rStyle w:val="FootnoteReference"/>
        </w:rPr>
        <w:footnoteReference w:id="855"/>
      </w:r>
      <w:r w:rsidRPr="0072600F">
        <w:rPr>
          <w:sz w:val="26"/>
          <w:szCs w:val="26"/>
        </w:rPr>
        <w:t xml:space="preserve">  It claims that doing so is necessary to avoid retroactive effects that penalize RTOs for delays prior to Order No. 2023’s effective date, which would contravene the filed rate doctrine and the rule against retroactive ratemaking.    </w:t>
      </w:r>
    </w:p>
    <w:p w:rsidR="00760048" w:rsidRPr="0072600F" w14:paraId="7906E963" w14:textId="77777777">
      <w:pPr>
        <w:pStyle w:val="Heading6"/>
        <w:numPr>
          <w:ilvl w:val="5"/>
          <w:numId w:val="24"/>
        </w:numPr>
        <w:autoSpaceDE/>
        <w:autoSpaceDN/>
        <w:adjustRightInd/>
        <w:rPr>
          <w:szCs w:val="26"/>
        </w:rPr>
      </w:pPr>
      <w:r w:rsidRPr="0072600F">
        <w:rPr>
          <w:szCs w:val="26"/>
        </w:rPr>
        <w:t>Determination</w:t>
      </w:r>
    </w:p>
    <w:p w:rsidR="00760048" w:rsidRPr="0072600F" w14:paraId="1934728E" w14:textId="77777777">
      <w:pPr>
        <w:pStyle w:val="FERCparanumber"/>
        <w:widowControl/>
        <w:numPr>
          <w:ilvl w:val="0"/>
          <w:numId w:val="25"/>
        </w:numPr>
        <w:autoSpaceDE/>
        <w:autoSpaceDN/>
        <w:adjustRightInd/>
        <w:spacing w:line="480" w:lineRule="auto"/>
        <w:rPr>
          <w:sz w:val="26"/>
          <w:szCs w:val="26"/>
        </w:rPr>
      </w:pPr>
      <w:bookmarkStart w:id="75" w:name="_Ref160109919"/>
      <w:r w:rsidRPr="0072600F">
        <w:rPr>
          <w:sz w:val="26"/>
          <w:szCs w:val="26"/>
        </w:rPr>
        <w:t>In Order No. 2023, the Commission stated that transmission providers should distribute any collected study delay penalties “to interconnection customers in the relevant study on a pro rata per interconnection request basis to offset their study costs.”</w:t>
      </w:r>
      <w:r>
        <w:rPr>
          <w:rStyle w:val="FootnoteReference"/>
        </w:rPr>
        <w:footnoteReference w:id="856"/>
      </w:r>
      <w:r w:rsidRPr="0072600F">
        <w:rPr>
          <w:sz w:val="26"/>
          <w:szCs w:val="26"/>
        </w:rPr>
        <w:t xml:space="preserve">  Indicated PJM TOs assert that this approach is unduly discriminatory because it results in equal treatment of differently situated customers, specifically those that paid larger study deposits or that may have larger final study costs versus those that paid smaller study deposits or that may have smaller final study costs.</w:t>
      </w:r>
      <w:r>
        <w:rPr>
          <w:rStyle w:val="FootnoteReference"/>
        </w:rPr>
        <w:footnoteReference w:id="857"/>
      </w:r>
      <w:r w:rsidRPr="0072600F">
        <w:rPr>
          <w:sz w:val="26"/>
          <w:szCs w:val="26"/>
        </w:rPr>
        <w:t xml:space="preserve">  While the Commission in Order No. 2023 stated that disbursement of interconnection study delay penalties would be on a “pro rata” (i.e., proportionate) basis per interconnection request, it did not further specify how penalties would be distributed.  We clarify here that study delay penalties must be distributed on a pro rata basis proportionate to the final study costs paid by each interconnection customer in the relevant study.  This approach ensures that the distribution of the penalty (i.e., the amount of the “offset” each interconnection customer receives) is related to the costs paid by the interconnection customer for the relevant study.</w:t>
      </w:r>
      <w:bookmarkEnd w:id="75"/>
    </w:p>
    <w:p w:rsidR="00760048" w:rsidRPr="0072600F" w14:paraId="0C1B612B" w14:textId="77777777">
      <w:pPr>
        <w:pStyle w:val="FERCparanumber"/>
        <w:widowControl/>
        <w:numPr>
          <w:ilvl w:val="0"/>
          <w:numId w:val="25"/>
        </w:numPr>
        <w:autoSpaceDE/>
        <w:autoSpaceDN/>
        <w:adjustRightInd/>
        <w:spacing w:line="480" w:lineRule="auto"/>
        <w:rPr>
          <w:sz w:val="26"/>
          <w:szCs w:val="26"/>
        </w:rPr>
      </w:pPr>
      <w:r w:rsidRPr="0072600F">
        <w:rPr>
          <w:sz w:val="26"/>
          <w:szCs w:val="26"/>
        </w:rPr>
        <w:t>We decline Invenergy’s request that the Commission grant rehearing and find that the study delay penalty of $2,000 per business day applies to the pre-study deadlines for affected systems.</w:t>
      </w:r>
      <w:r>
        <w:rPr>
          <w:rStyle w:val="FootnoteReference"/>
        </w:rPr>
        <w:footnoteReference w:id="858"/>
      </w:r>
      <w:r w:rsidRPr="0072600F">
        <w:rPr>
          <w:sz w:val="26"/>
          <w:szCs w:val="26"/>
        </w:rPr>
        <w:t xml:space="preserve">  The penalties the Commission adopted in Order No. 2023 focus on the process of conducting interconnection studies, and how delays in that process contribute to interconnection queue backlogs.  The record in this proceeding does not contain sufficient information regarding persistent delays in the pre-study process for affected systems that contribute to interconnection queue backlogs to persuade us to extend the study delay penalties to such pre-study deadlines.</w:t>
      </w:r>
      <w:r>
        <w:rPr>
          <w:rStyle w:val="FootnoteReference"/>
        </w:rPr>
        <w:footnoteReference w:id="859"/>
      </w:r>
      <w:r w:rsidRPr="0072600F">
        <w:rPr>
          <w:sz w:val="26"/>
          <w:szCs w:val="26"/>
        </w:rPr>
        <w:t xml:space="preserve">  We further find that imposing penalties on affected system transmission providers would result in unduly discriminatory treatment of similarly situated entities: host transmission providers are also required to meet pre-study deadlines in the </w:t>
      </w:r>
      <w:r w:rsidRPr="0072600F">
        <w:rPr>
          <w:i/>
          <w:sz w:val="26"/>
          <w:szCs w:val="26"/>
        </w:rPr>
        <w:t>pro forma</w:t>
      </w:r>
      <w:r w:rsidRPr="0072600F">
        <w:rPr>
          <w:sz w:val="26"/>
          <w:szCs w:val="26"/>
        </w:rPr>
        <w:t xml:space="preserve"> LGIP,</w:t>
      </w:r>
      <w:r>
        <w:rPr>
          <w:rStyle w:val="FootnoteReference"/>
        </w:rPr>
        <w:footnoteReference w:id="860"/>
      </w:r>
      <w:r w:rsidRPr="0072600F">
        <w:rPr>
          <w:sz w:val="26"/>
          <w:szCs w:val="26"/>
        </w:rPr>
        <w:t xml:space="preserve"> including deadlines for communications with affected system transmission providers, but incur no penalties for missing those deadlines. </w:t>
      </w:r>
    </w:p>
    <w:p w:rsidR="00760048" w:rsidRPr="0072600F" w14:paraId="116B6F36" w14:textId="77777777">
      <w:pPr>
        <w:pStyle w:val="FERCparanumber"/>
        <w:widowControl/>
        <w:numPr>
          <w:ilvl w:val="0"/>
          <w:numId w:val="25"/>
        </w:numPr>
        <w:autoSpaceDE/>
        <w:autoSpaceDN/>
        <w:adjustRightInd/>
        <w:spacing w:line="480" w:lineRule="auto"/>
        <w:rPr>
          <w:sz w:val="26"/>
          <w:szCs w:val="26"/>
        </w:rPr>
      </w:pPr>
      <w:r w:rsidRPr="0072600F">
        <w:rPr>
          <w:sz w:val="26"/>
          <w:szCs w:val="26"/>
        </w:rPr>
        <w:t>In Order No. 2023, the Commission explained that it “decline[d] to adopt alternative proposals [instead of the deadline and penalty approach set forth in Order No. 2023] suggested by various commenters,”</w:t>
      </w:r>
      <w:r>
        <w:rPr>
          <w:rStyle w:val="FootnoteReference"/>
        </w:rPr>
        <w:footnoteReference w:id="861"/>
      </w:r>
      <w:r w:rsidRPr="0072600F">
        <w:rPr>
          <w:sz w:val="26"/>
          <w:szCs w:val="26"/>
        </w:rPr>
        <w:t xml:space="preserve"> and we sustain that decision here in response to similar arguments on rehearing.</w:t>
      </w:r>
      <w:r>
        <w:rPr>
          <w:rStyle w:val="FootnoteReference"/>
        </w:rPr>
        <w:footnoteReference w:id="862"/>
      </w:r>
      <w:r w:rsidRPr="0072600F">
        <w:rPr>
          <w:sz w:val="26"/>
          <w:szCs w:val="26"/>
        </w:rPr>
        <w:t xml:space="preserve">  As to MISO TOs’ argument that the Commission should grant rehearing and adopt an approach similar to the approach taken in Order No. 890, the Commission considered the differences from the approach set forth in Order No. 890.  It determined that these differences were warranted,</w:t>
      </w:r>
      <w:r>
        <w:rPr>
          <w:rStyle w:val="FootnoteReference"/>
        </w:rPr>
        <w:footnoteReference w:id="863"/>
      </w:r>
      <w:r w:rsidRPr="0072600F">
        <w:rPr>
          <w:sz w:val="26"/>
          <w:szCs w:val="26"/>
        </w:rPr>
        <w:t xml:space="preserve"> and—on rehearing—we affirm that conclusion.  The study delay penalty structure appropriately responds to the problem of interconnection study delays contributing to unjust and unreasonable rates by creating strong, direct, and clear incentives on transmission providers while recognizing that the value of interconnection studies is related to their timeliness.  Moreover, given that interconnection study delays are already a significant and widespread problem, we find that it would not be appropriate to further delay imposing meaningful incentives while we further “monitor for chronic study delays”</w:t>
      </w:r>
      <w:r>
        <w:rPr>
          <w:rStyle w:val="FootnoteReference"/>
        </w:rPr>
        <w:footnoteReference w:id="864"/>
      </w:r>
      <w:r w:rsidRPr="0072600F">
        <w:rPr>
          <w:sz w:val="26"/>
          <w:szCs w:val="26"/>
        </w:rPr>
        <w:t xml:space="preserve"> by individual transmission providers.  Likewise, we find that “updating and enhancing [Order No. 845’s] reporting requirements” to “create even more transparency,” as NYISO urges,</w:t>
      </w:r>
      <w:r>
        <w:rPr>
          <w:rStyle w:val="FootnoteReference"/>
        </w:rPr>
        <w:footnoteReference w:id="865"/>
      </w:r>
      <w:r w:rsidRPr="0072600F">
        <w:rPr>
          <w:sz w:val="26"/>
          <w:szCs w:val="26"/>
        </w:rPr>
        <w:t xml:space="preserve"> or that, instead of imposing deadlines supported by penalties, the Commission simply provide “specified timeframes to complete certain tasks during studies” as EEI suggests,</w:t>
      </w:r>
      <w:r>
        <w:rPr>
          <w:rStyle w:val="FootnoteReference"/>
        </w:rPr>
        <w:footnoteReference w:id="866"/>
      </w:r>
      <w:r w:rsidRPr="0072600F">
        <w:rPr>
          <w:sz w:val="26"/>
          <w:szCs w:val="26"/>
        </w:rPr>
        <w:t xml:space="preserve"> would not be sufficient to address the problem of interconnection queue backlogs and repeatedly delayed interconnection studies.</w:t>
      </w:r>
      <w:r>
        <w:rPr>
          <w:rStyle w:val="FootnoteReference"/>
        </w:rPr>
        <w:footnoteReference w:id="867"/>
      </w:r>
      <w:r w:rsidRPr="0072600F">
        <w:rPr>
          <w:sz w:val="26"/>
          <w:szCs w:val="26"/>
        </w:rPr>
        <w:t xml:space="preserve">  </w:t>
      </w:r>
    </w:p>
    <w:p w:rsidR="00760048" w:rsidRPr="0072600F" w14:paraId="6196341F"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decline AEP’s request to expand appeal rights beyond the transmission provider that is directly assigned the penalty.  In instances where an RTO/ISO incurs a penalty and seeks to recover the cost of that penalty from transmission-owning members, such transmission owners would have the right to intervene in any proceeding under FPA section 205 or file a complaint challenging the recovery of that penalty cost under FPA section 206, as appropriate.  We believe that this adequate</w:t>
      </w:r>
      <w:r w:rsidR="0015686D">
        <w:rPr>
          <w:sz w:val="26"/>
          <w:szCs w:val="26"/>
        </w:rPr>
        <w:t>ly</w:t>
      </w:r>
      <w:r w:rsidRPr="0072600F">
        <w:rPr>
          <w:sz w:val="26"/>
          <w:szCs w:val="26"/>
        </w:rPr>
        <w:t xml:space="preserve"> protect</w:t>
      </w:r>
      <w:r w:rsidR="0015686D">
        <w:rPr>
          <w:sz w:val="26"/>
          <w:szCs w:val="26"/>
        </w:rPr>
        <w:t>s</w:t>
      </w:r>
      <w:r w:rsidRPr="0072600F">
        <w:rPr>
          <w:sz w:val="26"/>
          <w:szCs w:val="26"/>
        </w:rPr>
        <w:t xml:space="preserve"> the interests of transmission-owning members of RTOs/ISOs.  </w:t>
      </w:r>
    </w:p>
    <w:p w:rsidR="00760048" w:rsidRPr="0072600F" w14:paraId="5A5A6A5E" w14:textId="77777777">
      <w:pPr>
        <w:pStyle w:val="FERCparanumber"/>
        <w:widowControl/>
        <w:numPr>
          <w:ilvl w:val="0"/>
          <w:numId w:val="25"/>
        </w:numPr>
        <w:autoSpaceDE/>
        <w:autoSpaceDN/>
        <w:adjustRightInd/>
        <w:spacing w:line="480" w:lineRule="auto"/>
        <w:rPr>
          <w:sz w:val="26"/>
          <w:szCs w:val="26"/>
        </w:rPr>
      </w:pPr>
      <w:r w:rsidRPr="0072600F">
        <w:rPr>
          <w:sz w:val="26"/>
          <w:szCs w:val="26"/>
        </w:rPr>
        <w:t>MISO argues that the Commission should modify the transition period to account for delays in clusters that pre-date the effective date of Order No. 2023 and can cause backlogs that will affect future studies, claiming that this modification is necessary because delays in prior study clusters may affect studies in future clusters.</w:t>
      </w:r>
      <w:r>
        <w:rPr>
          <w:rStyle w:val="FootnoteReference"/>
        </w:rPr>
        <w:footnoteReference w:id="868"/>
      </w:r>
      <w:r w:rsidRPr="0072600F">
        <w:rPr>
          <w:sz w:val="26"/>
          <w:szCs w:val="26"/>
        </w:rPr>
        <w:t xml:space="preserve">  According to MISO, it must be allowed to “clear all pre-effective date ‘baked-in’ delays before penalties begin” in order to avoid “statutory retroactive effects by penalizing RTOs based on delays that occur prior to its effective date.”</w:t>
      </w:r>
      <w:r>
        <w:rPr>
          <w:rStyle w:val="FootnoteReference"/>
        </w:rPr>
        <w:footnoteReference w:id="869"/>
      </w:r>
      <w:r w:rsidRPr="0072600F">
        <w:rPr>
          <w:sz w:val="26"/>
          <w:szCs w:val="26"/>
        </w:rPr>
        <w:t xml:space="preserve">  We do not agree.  Order No. 2023 is directed toward future cluster studies, and—in fact—already provides a generous transition period to adapt and address existing backlogs, as a matter of ensuring that the impacts of the deadline and penalty structure are not unduly burdensome or punitive.  It is not clear to us how the prospective application of penalties to the third cluster study cycle after a transmission provider’s compliance filing becomes effective implicates concerns about retroactivity or the filed rate doctrine.</w:t>
      </w:r>
      <w:r>
        <w:rPr>
          <w:rStyle w:val="FootnoteReference"/>
        </w:rPr>
        <w:footnoteReference w:id="870"/>
      </w:r>
      <w:r w:rsidRPr="0072600F">
        <w:rPr>
          <w:sz w:val="26"/>
          <w:szCs w:val="26"/>
        </w:rPr>
        <w:t xml:space="preserve">  More generally, all transmission providers, including RTOs/ISOs</w:t>
      </w:r>
      <w:r w:rsidR="00EC3FFC">
        <w:rPr>
          <w:sz w:val="26"/>
          <w:szCs w:val="26"/>
        </w:rPr>
        <w:t>,</w:t>
      </w:r>
      <w:r w:rsidRPr="0072600F">
        <w:rPr>
          <w:sz w:val="26"/>
          <w:szCs w:val="26"/>
        </w:rPr>
        <w:t xml:space="preserve"> retain the option to argue on compliance why their particular circumstances warrant variations from Order No. 2023 using the appropriate standard.  </w:t>
      </w:r>
    </w:p>
    <w:p w:rsidR="00760048" w:rsidRPr="00663161" w14:paraId="59AF8192"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Clarification</w:t>
      </w:r>
    </w:p>
    <w:p w:rsidR="00760048" w:rsidRPr="0072600F" w14:paraId="3D0AADAF" w14:textId="77777777">
      <w:pPr>
        <w:pStyle w:val="Heading6"/>
        <w:numPr>
          <w:ilvl w:val="5"/>
          <w:numId w:val="24"/>
        </w:numPr>
        <w:autoSpaceDE/>
        <w:autoSpaceDN/>
        <w:adjustRightInd/>
        <w:rPr>
          <w:szCs w:val="26"/>
        </w:rPr>
      </w:pPr>
      <w:r w:rsidRPr="0072600F">
        <w:rPr>
          <w:szCs w:val="26"/>
        </w:rPr>
        <w:t>Summary of Requests for Clarification</w:t>
      </w:r>
    </w:p>
    <w:p w:rsidR="00760048" w:rsidRPr="0072600F" w14:paraId="5DB5DEC6" w14:textId="77777777">
      <w:pPr>
        <w:pStyle w:val="FERCparanumber"/>
        <w:widowControl/>
        <w:numPr>
          <w:ilvl w:val="0"/>
          <w:numId w:val="25"/>
        </w:numPr>
        <w:autoSpaceDE/>
        <w:autoSpaceDN/>
        <w:adjustRightInd/>
        <w:spacing w:line="480" w:lineRule="auto"/>
        <w:rPr>
          <w:sz w:val="26"/>
          <w:szCs w:val="26"/>
        </w:rPr>
      </w:pPr>
      <w:r w:rsidRPr="0072600F">
        <w:rPr>
          <w:sz w:val="26"/>
          <w:szCs w:val="26"/>
        </w:rPr>
        <w:t>AEP asks the Commission to clarify that the study delay penalties will not incur interest prior to distribution of the penalty funds and that the entity (i.e., transmission provider or transmission owner) conducting the study will have no obligation to pay interest on study delay penalties.</w:t>
      </w:r>
      <w:r>
        <w:rPr>
          <w:rStyle w:val="FootnoteReference"/>
        </w:rPr>
        <w:footnoteReference w:id="871"/>
      </w:r>
      <w:r w:rsidRPr="0072600F">
        <w:rPr>
          <w:sz w:val="26"/>
          <w:szCs w:val="26"/>
        </w:rPr>
        <w:t xml:space="preserve"> </w:t>
      </w:r>
    </w:p>
    <w:p w:rsidR="00760048" w:rsidRPr="0072600F" w14:paraId="253047B8" w14:textId="77777777">
      <w:pPr>
        <w:pStyle w:val="FERCparanumber"/>
        <w:widowControl/>
        <w:numPr>
          <w:ilvl w:val="0"/>
          <w:numId w:val="25"/>
        </w:numPr>
        <w:autoSpaceDE/>
        <w:autoSpaceDN/>
        <w:adjustRightInd/>
        <w:spacing w:line="480" w:lineRule="auto"/>
        <w:rPr>
          <w:sz w:val="26"/>
          <w:szCs w:val="26"/>
        </w:rPr>
      </w:pPr>
      <w:r w:rsidRPr="0072600F">
        <w:rPr>
          <w:sz w:val="26"/>
          <w:szCs w:val="26"/>
        </w:rPr>
        <w:t>Joint RTOs ask the Commission to clarify that Order No. 2023’s one-phase cluster study was not intended to require RTOs or others that conduct multiple system impact studies in a multi-phase study process (e.g., MISO, SPP, and PJM) to impose penalties for each delayed system impact study on an individual basis.</w:t>
      </w:r>
      <w:r>
        <w:rPr>
          <w:rStyle w:val="FootnoteReference"/>
        </w:rPr>
        <w:footnoteReference w:id="872"/>
      </w:r>
      <w:r w:rsidRPr="0072600F">
        <w:rPr>
          <w:sz w:val="26"/>
          <w:szCs w:val="26"/>
        </w:rPr>
        <w:t xml:space="preserve">  They argue that an RTO with a multi-phase interconnection process should be allowed to propose on compliance that the penalty for delayed interconnection studies will be assessed based on whether the RTO has complied with the aggregate timeline provided for all of the system impact studies in a cluster.</w:t>
      </w:r>
      <w:r>
        <w:rPr>
          <w:rStyle w:val="FootnoteReference"/>
        </w:rPr>
        <w:footnoteReference w:id="873"/>
      </w:r>
      <w:r w:rsidRPr="0072600F">
        <w:rPr>
          <w:sz w:val="26"/>
          <w:szCs w:val="26"/>
        </w:rPr>
        <w:t xml:space="preserve">  They also seek clarification from the Commission that, in establishing study completion timelines in their tariffs (to the extent such timelines do not already exist), they may propose specific factors they would apply in assessing the complexity of individual clusters for the purposes of establishing such timelines and the application of penalties for exceeding such timelines.</w:t>
      </w:r>
      <w:r>
        <w:rPr>
          <w:rStyle w:val="FootnoteReference"/>
        </w:rPr>
        <w:footnoteReference w:id="874"/>
      </w:r>
      <w:r w:rsidRPr="0072600F">
        <w:rPr>
          <w:sz w:val="26"/>
          <w:szCs w:val="26"/>
        </w:rPr>
        <w:t xml:space="preserve">  </w:t>
      </w:r>
    </w:p>
    <w:p w:rsidR="00760048" w:rsidRPr="0072600F" w14:paraId="483C2600" w14:textId="77777777">
      <w:pPr>
        <w:pStyle w:val="FERCparanumber"/>
        <w:widowControl/>
        <w:numPr>
          <w:ilvl w:val="0"/>
          <w:numId w:val="25"/>
        </w:numPr>
        <w:autoSpaceDE/>
        <w:autoSpaceDN/>
        <w:adjustRightInd/>
        <w:spacing w:line="480" w:lineRule="auto"/>
        <w:rPr>
          <w:sz w:val="26"/>
          <w:szCs w:val="26"/>
        </w:rPr>
      </w:pPr>
      <w:r w:rsidRPr="0072600F">
        <w:rPr>
          <w:sz w:val="26"/>
          <w:szCs w:val="26"/>
        </w:rPr>
        <w:t>Joint RTOs and PJM seek clarification that all penalties for delayed studies will apply on a per cluster basis, per business day rather than per interconnection customer in the cluster, per business day.</w:t>
      </w:r>
      <w:r>
        <w:rPr>
          <w:rStyle w:val="FootnoteReference"/>
        </w:rPr>
        <w:footnoteReference w:id="875"/>
      </w:r>
    </w:p>
    <w:p w:rsidR="00760048" w:rsidRPr="0072600F" w14:paraId="468AA4C4" w14:textId="77777777">
      <w:pPr>
        <w:pStyle w:val="FERCparanumber"/>
        <w:widowControl/>
        <w:numPr>
          <w:ilvl w:val="0"/>
          <w:numId w:val="25"/>
        </w:numPr>
        <w:autoSpaceDE/>
        <w:autoSpaceDN/>
        <w:adjustRightInd/>
        <w:spacing w:line="480" w:lineRule="auto"/>
        <w:rPr>
          <w:sz w:val="26"/>
          <w:szCs w:val="26"/>
        </w:rPr>
      </w:pPr>
      <w:r w:rsidRPr="0072600F">
        <w:rPr>
          <w:sz w:val="26"/>
          <w:szCs w:val="26"/>
        </w:rPr>
        <w:t>Joint RTOs ask the Commission to clarify that the RTO/ISO penalty recovery options provided in Order No. 2023 are not mutually exclusive, nor intended to be an exhaustive list, and that an RTO/ISO may propose using a combination of such options.</w:t>
      </w:r>
      <w:r>
        <w:rPr>
          <w:rStyle w:val="FootnoteReference"/>
        </w:rPr>
        <w:footnoteReference w:id="876"/>
      </w:r>
      <w:r w:rsidRPr="0072600F">
        <w:rPr>
          <w:sz w:val="26"/>
          <w:szCs w:val="26"/>
        </w:rPr>
        <w:t xml:space="preserve">  They also ask the Commission to clarify that, where interconnection customers contributed to the study delay, any resulting penalty may be collected from such interconnection customers under the penalty collection mechanism(s) that an RTO/ISO may adopt pursuant to Order No. 2023 and that an RTO/ISO may propose to limit any penalty distribution to those interconnection customers that have not contributed to a study delay.  In addition, Joint RTOs ask the Commission to clarify that, in cases where a transmission-owing member(s) conducted the late study, the tariff mechanisms by which payments flow can be addressed in individual compliance filings where transmission providers can account for their regional processes.  Lastly, Joint RTOs ask the Commission to clarify that RTOs/ISOs are not required to collect any penalty prior to concluding the appeals process under section 3.9(3) of the </w:t>
      </w:r>
      <w:r w:rsidRPr="0072600F">
        <w:rPr>
          <w:i/>
          <w:iCs/>
          <w:sz w:val="26"/>
          <w:szCs w:val="26"/>
        </w:rPr>
        <w:t>pro forma</w:t>
      </w:r>
      <w:r w:rsidRPr="0072600F">
        <w:rPr>
          <w:sz w:val="26"/>
          <w:szCs w:val="26"/>
        </w:rPr>
        <w:t xml:space="preserve"> LGIP. </w:t>
      </w:r>
    </w:p>
    <w:p w:rsidR="00760048" w:rsidRPr="0072600F" w14:paraId="4FDFDA14" w14:textId="77777777">
      <w:pPr>
        <w:pStyle w:val="FERCparanumber"/>
        <w:widowControl/>
        <w:numPr>
          <w:ilvl w:val="0"/>
          <w:numId w:val="25"/>
        </w:numPr>
        <w:autoSpaceDE/>
        <w:autoSpaceDN/>
        <w:adjustRightInd/>
        <w:spacing w:line="480" w:lineRule="auto"/>
        <w:rPr>
          <w:sz w:val="26"/>
          <w:szCs w:val="26"/>
        </w:rPr>
      </w:pPr>
      <w:bookmarkStart w:id="76" w:name="_Hlk158651075"/>
      <w:r w:rsidRPr="0072600F">
        <w:rPr>
          <w:sz w:val="26"/>
          <w:szCs w:val="26"/>
        </w:rPr>
        <w:t xml:space="preserve">NYTOs </w:t>
      </w:r>
      <w:bookmarkEnd w:id="76"/>
      <w:r w:rsidRPr="0072600F">
        <w:rPr>
          <w:sz w:val="26"/>
          <w:szCs w:val="26"/>
        </w:rPr>
        <w:t>request clarification that Order No. 2023’s prohibition against transmission owners recovering delay penalties in rates does not preclude a transmission owner from recovering such penalty costs that were caused by, and initially assessed to, the RTO/ISO.</w:t>
      </w:r>
      <w:r>
        <w:rPr>
          <w:rStyle w:val="FootnoteReference"/>
        </w:rPr>
        <w:footnoteReference w:id="877"/>
      </w:r>
    </w:p>
    <w:p w:rsidR="00760048" w:rsidRPr="0072600F" w14:paraId="59BE1A2A"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asks the Commission to clarify that Order No. 2023 authorizes RTOs/ISOs to recover study penalty costs from consumers without first seeking the Commission’s permission, so long as they do so through non-transmission-related charges, such as administrative fees assessed against market participants.</w:t>
      </w:r>
      <w:r>
        <w:rPr>
          <w:rStyle w:val="FootnoteReference"/>
        </w:rPr>
        <w:footnoteReference w:id="878"/>
      </w:r>
    </w:p>
    <w:p w:rsidR="00760048" w:rsidRPr="0072600F" w14:paraId="6CFEA27C"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asks the Commission to clarify that the Commission will allow penalty waivers when a transmission provider is not solely responsible for a study delay</w:t>
      </w:r>
      <w:r>
        <w:rPr>
          <w:rStyle w:val="FootnoteReference"/>
        </w:rPr>
        <w:footnoteReference w:id="879"/>
      </w:r>
      <w:r w:rsidRPr="0072600F">
        <w:rPr>
          <w:sz w:val="26"/>
          <w:szCs w:val="26"/>
        </w:rPr>
        <w:t xml:space="preserve"> or in cases where identifying the extent to which different parties are to blame for a late study would be difficult and time-consuming.</w:t>
      </w:r>
      <w:r>
        <w:rPr>
          <w:rStyle w:val="FootnoteReference"/>
        </w:rPr>
        <w:footnoteReference w:id="880"/>
      </w:r>
      <w:r w:rsidRPr="0072600F">
        <w:rPr>
          <w:sz w:val="26"/>
          <w:szCs w:val="26"/>
        </w:rPr>
        <w:t xml:space="preserve">  NYISO also asks the Commission to clarify that reasonable penalty waiver requests will be compatible with its traditional four-prong waiver analysis.</w:t>
      </w:r>
      <w:r>
        <w:rPr>
          <w:rStyle w:val="FootnoteReference"/>
        </w:rPr>
        <w:footnoteReference w:id="881"/>
      </w:r>
      <w:r w:rsidRPr="0072600F">
        <w:rPr>
          <w:sz w:val="26"/>
          <w:szCs w:val="26"/>
        </w:rPr>
        <w:t xml:space="preserve">  </w:t>
      </w:r>
    </w:p>
    <w:p w:rsidR="00760048" w:rsidRPr="0072600F" w14:paraId="7FAC5818" w14:textId="77777777">
      <w:pPr>
        <w:pStyle w:val="FERCparanumber"/>
        <w:widowControl/>
        <w:numPr>
          <w:ilvl w:val="0"/>
          <w:numId w:val="25"/>
        </w:numPr>
        <w:autoSpaceDE/>
        <w:autoSpaceDN/>
        <w:adjustRightInd/>
        <w:spacing w:line="480" w:lineRule="auto"/>
        <w:rPr>
          <w:sz w:val="26"/>
          <w:szCs w:val="26"/>
        </w:rPr>
      </w:pPr>
      <w:r w:rsidRPr="0072600F">
        <w:rPr>
          <w:sz w:val="26"/>
          <w:szCs w:val="26"/>
        </w:rPr>
        <w:t>NYISO requests clarification that RTOs/ISOs may include study penalty cost recovery proposals in their individual compliance filings.</w:t>
      </w:r>
      <w:r>
        <w:rPr>
          <w:rStyle w:val="FootnoteReference"/>
        </w:rPr>
        <w:footnoteReference w:id="882"/>
      </w:r>
      <w:r w:rsidRPr="0072600F">
        <w:rPr>
          <w:sz w:val="26"/>
          <w:szCs w:val="26"/>
        </w:rPr>
        <w:t xml:space="preserve">  Specifically, it asks the Commission to clarify that “default structure” penalty cost recovery proposals may be included in Order No. 2023 compliance filings in addition to FPA section 205 filings.</w:t>
      </w:r>
      <w:r>
        <w:rPr>
          <w:rStyle w:val="FootnoteReference"/>
        </w:rPr>
        <w:footnoteReference w:id="883"/>
      </w:r>
      <w:r w:rsidRPr="0072600F">
        <w:rPr>
          <w:sz w:val="26"/>
          <w:szCs w:val="26"/>
        </w:rPr>
        <w:t xml:space="preserve">  NYISO argues that the Commission has traditionally afforded RTOs/ISOs considerable flexibility regarding the scope of compliance filings made in response to major new rules and that it would be unduly discriminatory for the Commission to leave RTOs/ISOs that need stakeholder approval to file tariff revisions with less ability to recover study penalty costs than those that do not.</w:t>
      </w:r>
      <w:r>
        <w:rPr>
          <w:rStyle w:val="FootnoteReference"/>
        </w:rPr>
        <w:footnoteReference w:id="884"/>
      </w:r>
      <w:r w:rsidRPr="0072600F">
        <w:rPr>
          <w:sz w:val="26"/>
          <w:szCs w:val="26"/>
        </w:rPr>
        <w:t xml:space="preserve">  </w:t>
      </w:r>
    </w:p>
    <w:p w:rsidR="00760048" w:rsidRPr="0072600F" w14:paraId="11BC8409" w14:textId="77777777">
      <w:pPr>
        <w:pStyle w:val="Heading6"/>
        <w:numPr>
          <w:ilvl w:val="5"/>
          <w:numId w:val="24"/>
        </w:numPr>
        <w:autoSpaceDE/>
        <w:autoSpaceDN/>
        <w:adjustRightInd/>
        <w:rPr>
          <w:szCs w:val="26"/>
        </w:rPr>
      </w:pPr>
      <w:r w:rsidRPr="0072600F">
        <w:rPr>
          <w:szCs w:val="26"/>
        </w:rPr>
        <w:t>Determination</w:t>
      </w:r>
    </w:p>
    <w:p w:rsidR="00760048" w:rsidRPr="0072600F" w14:paraId="082215B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grant AEP’s request for clarification that study delay penalties will not incur interest prior to distribution of the penalty funds and that the entity conducting the study (i.e., transmission provider or transmission owner) will have no obligation to pay interest on study delay penalties.  Assessing interest during the pendency of an appeal could be viewed as penalizing the transmission provider for making the appeal, particularly to the extent that the transmission provider does not control the timeline for resolution of the appeal.  </w:t>
      </w:r>
    </w:p>
    <w:p w:rsidR="00760048" w:rsidRPr="0072600F" w14:paraId="1EA84CDA" w14:textId="77777777">
      <w:pPr>
        <w:pStyle w:val="FERCparanumber"/>
        <w:widowControl/>
        <w:numPr>
          <w:ilvl w:val="0"/>
          <w:numId w:val="25"/>
        </w:numPr>
        <w:autoSpaceDE/>
        <w:autoSpaceDN/>
        <w:adjustRightInd/>
        <w:spacing w:line="480" w:lineRule="auto"/>
        <w:rPr>
          <w:sz w:val="26"/>
          <w:szCs w:val="26"/>
        </w:rPr>
      </w:pPr>
      <w:r w:rsidRPr="0072600F">
        <w:rPr>
          <w:sz w:val="26"/>
          <w:szCs w:val="26"/>
        </w:rPr>
        <w:t>We deny requests for clarification of how the penalty process would apply to RTOs/ISOs with multi-phase interconnection procedures that include multiple sequential cluster studies.  Order No. 2023 did not contemplate such sequential phased cluster study procedures: thus, any such procedures and attendant penalty processes are outside the scope of the rule.  However, the Commission recognized that many transmission providers have adopted or are in the process of adopting similar reforms to those adopted in Order No. 2023 and noted that it did not intend to disrupt these ongoing transition processes.</w:t>
      </w:r>
      <w:r>
        <w:rPr>
          <w:rStyle w:val="FootnoteReference"/>
        </w:rPr>
        <w:footnoteReference w:id="885"/>
      </w:r>
      <w:r w:rsidRPr="0072600F">
        <w:rPr>
          <w:sz w:val="26"/>
          <w:szCs w:val="26"/>
        </w:rPr>
        <w:t xml:space="preserve">  On compliance, transmission providers can propose deviations from the requirements adopted in Order No. 2023 and demonstrate how those deviations meet the relevant standard.</w:t>
      </w:r>
      <w:r>
        <w:rPr>
          <w:rStyle w:val="FootnoteReference"/>
        </w:rPr>
        <w:footnoteReference w:id="886"/>
      </w:r>
    </w:p>
    <w:p w:rsidR="00760048" w:rsidRPr="0072600F" w14:paraId="3998F73A" w14:textId="77777777">
      <w:pPr>
        <w:pStyle w:val="FERCparanumber"/>
        <w:widowControl/>
        <w:numPr>
          <w:ilvl w:val="0"/>
          <w:numId w:val="25"/>
        </w:numPr>
        <w:autoSpaceDE/>
        <w:autoSpaceDN/>
        <w:adjustRightInd/>
        <w:spacing w:line="480" w:lineRule="auto"/>
        <w:rPr>
          <w:sz w:val="26"/>
          <w:szCs w:val="26"/>
        </w:rPr>
      </w:pPr>
      <w:r w:rsidRPr="0072600F">
        <w:rPr>
          <w:sz w:val="26"/>
          <w:szCs w:val="26"/>
        </w:rPr>
        <w:t>We grant requests for clarification that all penalties for delayed studies will apply on a per-study basis, per business day that the study is delayed past the tariff-specific deadline, rather than per interconnection customer.  As noted in Order No. 2023, delays of cluster studies beyond the tariff-specified deadline will incur a penalty of $1,000 per business day; delays of cluster restudies beyond the tariff-specified deadline will incur a penalty of $2,000 per business day; delays of affected system studies beyond the tariff-specified deadline will incur a penalty of $2,000 per business day; and delays of facilities studies beyond the tariff-specified deadline will incur a penalty of $2,500 per business day.</w:t>
      </w:r>
      <w:r>
        <w:rPr>
          <w:rStyle w:val="FootnoteReference"/>
        </w:rPr>
        <w:footnoteReference w:id="887"/>
      </w:r>
      <w:r w:rsidRPr="0072600F">
        <w:rPr>
          <w:sz w:val="26"/>
          <w:szCs w:val="26"/>
        </w:rPr>
        <w:t xml:space="preserve">  </w:t>
      </w:r>
    </w:p>
    <w:p w:rsidR="00760048" w:rsidRPr="0072600F" w14:paraId="3C51301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grant Joint RTOs’ request for clarification regarding the mutual exclusivity of RTO/ISO penalty recovery options and reiterate that Order No. 2023 did not require adoption of any specific RTO/ISO penalty recovery mechanism.  Order No. 2023 recognized that RTOs/ISOs have several options for collecting study delay penalties, such as submitting FPA section 205 filings to seek recovery for study delay penalties from transmission </w:t>
      </w:r>
      <w:r w:rsidR="005A1D9E">
        <w:rPr>
          <w:sz w:val="26"/>
          <w:szCs w:val="26"/>
        </w:rPr>
        <w:t>owners</w:t>
      </w:r>
      <w:r w:rsidRPr="0072600F" w:rsidR="005A1D9E">
        <w:rPr>
          <w:sz w:val="26"/>
          <w:szCs w:val="26"/>
        </w:rPr>
        <w:t xml:space="preserve"> </w:t>
      </w:r>
      <w:r w:rsidRPr="0072600F">
        <w:rPr>
          <w:sz w:val="26"/>
          <w:szCs w:val="26"/>
        </w:rPr>
        <w:t>contributing to study delays or proposing to either establish a tariff mechanism for assigning costs generally or for assigning costs for specific study delay penalties.</w:t>
      </w:r>
      <w:r>
        <w:rPr>
          <w:rStyle w:val="FootnoteReference"/>
        </w:rPr>
        <w:footnoteReference w:id="888"/>
      </w:r>
      <w:r w:rsidRPr="0072600F">
        <w:rPr>
          <w:sz w:val="26"/>
          <w:szCs w:val="26"/>
        </w:rPr>
        <w:t xml:space="preserve">  These options were not intended to be mutually exclusive or exhaustive; rather, the Commission recognized RTOs/ISOs’ flexibility to propose penalty recovery mechanisms that work for their regions. </w:t>
      </w:r>
      <w:r w:rsidRPr="0072600F">
        <w:rPr>
          <w:sz w:val="26"/>
          <w:szCs w:val="26"/>
        </w:rPr>
        <w:tab/>
      </w:r>
    </w:p>
    <w:p w:rsidR="00760048" w:rsidRPr="0072600F" w14:paraId="11AF52F4" w14:textId="77777777">
      <w:pPr>
        <w:pStyle w:val="FERCparanumber"/>
        <w:widowControl/>
        <w:numPr>
          <w:ilvl w:val="0"/>
          <w:numId w:val="25"/>
        </w:numPr>
        <w:autoSpaceDE/>
        <w:autoSpaceDN/>
        <w:adjustRightInd/>
        <w:spacing w:line="480" w:lineRule="auto"/>
        <w:rPr>
          <w:sz w:val="26"/>
          <w:szCs w:val="26"/>
        </w:rPr>
      </w:pPr>
      <w:r w:rsidRPr="0072600F">
        <w:rPr>
          <w:sz w:val="26"/>
          <w:szCs w:val="26"/>
        </w:rPr>
        <w:t>We deny Joint RTOs’ request to clarify that, where interconnection customers contribute to a study delay, any resulting penalty may be collected from such interconnection customers under the penalty collection mechanisms that an RTO/ISO may adopt pursuant to Order No. 2023.  Indeed, the Commission explicitly stated in Order No. 2023 that it “decline[d] to allow any transmission provider to recover study delay penalties from interconnection customers to the extent the interconnection customers cause delays.”</w:t>
      </w:r>
      <w:r>
        <w:rPr>
          <w:rStyle w:val="FootnoteReference"/>
        </w:rPr>
        <w:footnoteReference w:id="889"/>
      </w:r>
      <w:r w:rsidRPr="0072600F">
        <w:rPr>
          <w:sz w:val="26"/>
          <w:szCs w:val="26"/>
        </w:rPr>
        <w:t xml:space="preserve">  We note, however, that to the extent that study delays result from an interconnection customer’s actions, transmission providers may record the length of those delays and report that information in any appeal of study delay penalties filed with the Commission.</w:t>
      </w:r>
      <w:r>
        <w:rPr>
          <w:rStyle w:val="FootnoteReference"/>
        </w:rPr>
        <w:footnoteReference w:id="890"/>
      </w:r>
      <w:r w:rsidRPr="0072600F">
        <w:rPr>
          <w:sz w:val="26"/>
          <w:szCs w:val="26"/>
        </w:rPr>
        <w:t xml:space="preserve">  Further, in the event that an interconnection request is incomplete or an interconnection customer misses a deadline, those interconnection requests are subject to the withdrawal provisions of </w:t>
      </w:r>
      <w:r w:rsidRPr="0072600F">
        <w:rPr>
          <w:i/>
          <w:sz w:val="26"/>
          <w:szCs w:val="26"/>
        </w:rPr>
        <w:t>pro forma</w:t>
      </w:r>
      <w:r w:rsidRPr="0072600F">
        <w:rPr>
          <w:sz w:val="26"/>
          <w:szCs w:val="26"/>
        </w:rPr>
        <w:t xml:space="preserve"> LGIP section 3.7.  </w:t>
      </w:r>
    </w:p>
    <w:p w:rsidR="00760048" w:rsidRPr="0072600F" w14:paraId="0E0E17A3" w14:textId="77777777">
      <w:pPr>
        <w:pStyle w:val="FERCparanumber"/>
        <w:widowControl/>
        <w:numPr>
          <w:ilvl w:val="0"/>
          <w:numId w:val="25"/>
        </w:numPr>
        <w:autoSpaceDE/>
        <w:autoSpaceDN/>
        <w:adjustRightInd/>
        <w:spacing w:line="480" w:lineRule="auto"/>
        <w:rPr>
          <w:sz w:val="26"/>
          <w:szCs w:val="26"/>
        </w:rPr>
      </w:pPr>
      <w:r w:rsidRPr="0072600F">
        <w:rPr>
          <w:sz w:val="26"/>
          <w:szCs w:val="26"/>
        </w:rPr>
        <w:t>We deny Joint RTOs’ request to clarify that an RTO/ISO may propose to limit any penalty distribution to those interconnection customers that have not contributed to a study delay.  We note that we agree with the principle that interconnection customers who contribute to study delays should not benefit from penalty payments the same as other interconnection customers who were affected by, but did not contribute to, the delayed study.  However, the appeals process established by Order No. 2023 provides a strong safeguard against that scenario.  Specifically, transmission providers will be able to appeal any penalties to the Commission and show that there is good cause to grant relief from such penalties.  As Order No. 2023 noted, to the extent that study delays result from an interconnection customer’s actions, transmission providers may record the length of those delays and report that information in any appeal of study delay penalties filed with the Commission.</w:t>
      </w:r>
      <w:r>
        <w:rPr>
          <w:rStyle w:val="FootnoteReference"/>
        </w:rPr>
        <w:footnoteReference w:id="891"/>
      </w:r>
      <w:r w:rsidRPr="0072600F">
        <w:rPr>
          <w:sz w:val="26"/>
          <w:szCs w:val="26"/>
        </w:rPr>
        <w:t xml:space="preserve">  Thus, if the record shows that a study delay is caused solely by the actions or inactions of interconnection customers, the Commission is likely to grant relief from that penalty, meaning that there will be no penalty to distribute to interconnection customers.  </w:t>
      </w:r>
    </w:p>
    <w:p w:rsidR="00760048" w:rsidRPr="0072600F" w14:paraId="4DAD762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w:t>
      </w:r>
      <w:r w:rsidRPr="0072600F">
        <w:rPr>
          <w:sz w:val="26"/>
          <w:szCs w:val="26"/>
        </w:rPr>
        <w:t xml:space="preserve">recognize that </w:t>
      </w:r>
      <w:r w:rsidRPr="0072600F">
        <w:rPr>
          <w:sz w:val="26"/>
          <w:szCs w:val="26"/>
        </w:rPr>
        <w:t xml:space="preserve">a study delay might be caused only in part by an interconnection customer and in part by the actions of the transmission provider, in which case the transmission provider could incur a penalty that would then be distributed to all interconnection customers affected by the delay. </w:t>
      </w:r>
      <w:r w:rsidRPr="0072600F">
        <w:rPr>
          <w:sz w:val="26"/>
          <w:szCs w:val="26"/>
        </w:rPr>
        <w:t xml:space="preserve"> </w:t>
      </w:r>
      <w:r w:rsidRPr="0072600F">
        <w:rPr>
          <w:sz w:val="26"/>
          <w:szCs w:val="26"/>
        </w:rPr>
        <w:t xml:space="preserve">Even so, we provide two reasons why the at-fault interconnection customer in that situation would likely still not benefit from penalty payments.  First, interconnection customers that contribute to study delays, for example because they fail to timely submit information needed to commence a study, are not likely to remain in the queue past the missed study deadline.  This is because all interconnection customers have strict deadlines during the study process and, as Order No. 2023 noted, if an interconnection customer fails to adhere to all requirements in the </w:t>
      </w:r>
      <w:r w:rsidRPr="0072600F">
        <w:rPr>
          <w:i/>
          <w:sz w:val="26"/>
          <w:szCs w:val="26"/>
        </w:rPr>
        <w:t xml:space="preserve">pro forma </w:t>
      </w:r>
      <w:r w:rsidRPr="0072600F">
        <w:rPr>
          <w:sz w:val="26"/>
          <w:szCs w:val="26"/>
        </w:rPr>
        <w:t xml:space="preserve">LGIP (except in the case of disputes), the transmission provider may deem the interconnection customer’s interconnection request to be withdrawn pursuant to section 3.7 of the </w:t>
      </w:r>
      <w:r w:rsidRPr="0072600F">
        <w:rPr>
          <w:i/>
          <w:sz w:val="26"/>
          <w:szCs w:val="26"/>
        </w:rPr>
        <w:t xml:space="preserve">pro forma </w:t>
      </w:r>
      <w:r w:rsidRPr="0072600F">
        <w:rPr>
          <w:sz w:val="26"/>
          <w:szCs w:val="26"/>
        </w:rPr>
        <w:t>LGIP, in which case they would be ineligible to receive study delay penalty payments.  Second, in the unlikely scenario that interconnection customers that contribute to study delays remain in the queue past the missed study deadline, and a study penalty is incurred by</w:t>
      </w:r>
      <w:r w:rsidRPr="0072600F">
        <w:rPr>
          <w:sz w:val="26"/>
          <w:szCs w:val="26"/>
        </w:rPr>
        <w:t xml:space="preserve"> </w:t>
      </w:r>
      <w:r w:rsidRPr="0072600F">
        <w:rPr>
          <w:sz w:val="26"/>
          <w:szCs w:val="26"/>
        </w:rPr>
        <w:t xml:space="preserve">the transmission provider, the transmission provider would be able to provide, in an appeal to the Commission, facts sufficient to assess the length of the delay caused by the interconnection customers, because any missed LGIP deadlines and subsequent delays should be well-documented.  Thus, the Commission could, for example, reduce the penalty by the length of the delay (in business days) that is attributable to the interconnection customers.  In this case, the penalty distributed to all interconnection customers would exclude the number of business days the study was delayed due to the actions of the at-fault interconnection customers and would only be calculated based on the number of business days the study was delayed due to the actions of the transmission provider.  In this fashion, the interconnection customers that contributed to the delay would not benefit from their contributions to the study delay. </w:t>
      </w:r>
    </w:p>
    <w:p w:rsidR="00760048" w:rsidRPr="0072600F" w14:paraId="129A508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For these reasons, we believe that the burden of establishing such a penalty distribution limitation would outweigh the benefit.  This process would create additional litigation around penalties beyond the established appeals process, which would take up more of the parties’ and Commission’s resources.  As discussed above, given the low likelihood that interconnection customers who contribute to study delays would be eligible for distribution of the penalty amount assessed for such delays, we do not find that the additional administrative burden is warranted.    </w:t>
      </w:r>
    </w:p>
    <w:p w:rsidR="00760048" w:rsidRPr="0072600F" w14:paraId="4510BBF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deny Joint RTOs’ request for clarification that, in cases where the transmission-owning member(s) conducted the late study, the mechanisms by which payments flow can be addressed in individual compliance filings where transmission providers can account for their regional tariff processes.  In Order No. 2023, the Commission adopted 18 CFR </w:t>
      </w:r>
      <w:r w:rsidRPr="00BA1589" w:rsidR="00BA1589">
        <w:rPr>
          <w:sz w:val="26"/>
          <w:szCs w:val="26"/>
        </w:rPr>
        <w:t>§</w:t>
      </w:r>
      <w:r w:rsidR="00BA1589">
        <w:rPr>
          <w:sz w:val="26"/>
          <w:szCs w:val="26"/>
        </w:rPr>
        <w:t xml:space="preserve"> </w:t>
      </w:r>
      <w:r w:rsidRPr="0072600F">
        <w:rPr>
          <w:sz w:val="26"/>
          <w:szCs w:val="26"/>
        </w:rPr>
        <w:t xml:space="preserve">35.28(f)(1)(ii) to specify that, for RTOs/ISOs in which the transmission-owning members perform certain interconnection studies, the study delay penalties under the new </w:t>
      </w:r>
      <w:r w:rsidRPr="0072600F">
        <w:rPr>
          <w:i/>
          <w:sz w:val="26"/>
          <w:szCs w:val="26"/>
        </w:rPr>
        <w:t>pro forma</w:t>
      </w:r>
      <w:r w:rsidRPr="0072600F">
        <w:rPr>
          <w:sz w:val="26"/>
          <w:szCs w:val="26"/>
        </w:rPr>
        <w:t xml:space="preserve"> LGIP will be incurred directly by the transmission-owning member(s) that conducted the late study, thereby mooting the issue of how RTOs/ISOs recover those specific penalties.  RTOs/ISOs will thus not be required to make any filings establishing how late study penalty payments flow from at-fault transmission owners.</w:t>
      </w:r>
      <w:r w:rsidR="00AF7E0C">
        <w:rPr>
          <w:sz w:val="26"/>
          <w:szCs w:val="26"/>
        </w:rPr>
        <w:t xml:space="preserve">  However, we note that </w:t>
      </w:r>
      <w:r w:rsidRPr="009A28E5" w:rsidR="009A28E5">
        <w:rPr>
          <w:sz w:val="26"/>
          <w:szCs w:val="26"/>
        </w:rPr>
        <w:t>RTOs/ISOs may explain specific circumstances on compliance and justify any deviations under the independent entity variation</w:t>
      </w:r>
      <w:r w:rsidR="009A28E5">
        <w:rPr>
          <w:sz w:val="26"/>
          <w:szCs w:val="26"/>
        </w:rPr>
        <w:t xml:space="preserve"> standard.</w:t>
      </w:r>
    </w:p>
    <w:p w:rsidR="00760048" w:rsidRPr="0072600F" w14:paraId="2E06BF0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grant Joint RTOs’ request for clarification that transmission providers are not required to collect or earmark any late study penalty prior to concluding the appeals process under section 3.9(3) of the </w:t>
      </w:r>
      <w:r w:rsidRPr="0072600F">
        <w:rPr>
          <w:i/>
          <w:sz w:val="26"/>
          <w:szCs w:val="26"/>
        </w:rPr>
        <w:t>pro forma</w:t>
      </w:r>
      <w:r w:rsidRPr="0072600F">
        <w:rPr>
          <w:sz w:val="26"/>
          <w:szCs w:val="26"/>
        </w:rPr>
        <w:t xml:space="preserve"> LGIP.  We agree that this is not required because collecting or earmarking study penalties before the appeals process runs its course would be administratively burdensome and could entail unnecessary refund processes.</w:t>
      </w:r>
    </w:p>
    <w:p w:rsidR="00760048" w:rsidRPr="0072600F" w14:paraId="53DC3FE5"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NYISO’s request for clarification that the Commission will entertain requests for appeal of a penalty in various situations, we clarify that the Commission did not limit the evidence that a transmission provider might present in its appeal.  The Commission will evaluate each appeal on a case-by-case basis and determine whether good cause has been shown to grant relief from any applicable penalties.</w:t>
      </w:r>
    </w:p>
    <w:p w:rsidR="00760048" w:rsidRPr="0072600F" w14:paraId="438C1CC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deny NYISO’s request for clarification that reasonable penalty waiver requests will be compatible with </w:t>
      </w:r>
      <w:r w:rsidR="005A1D9E">
        <w:rPr>
          <w:sz w:val="26"/>
          <w:szCs w:val="26"/>
        </w:rPr>
        <w:t>the Commission’s</w:t>
      </w:r>
      <w:r w:rsidRPr="0072600F" w:rsidR="005A1D9E">
        <w:rPr>
          <w:sz w:val="26"/>
          <w:szCs w:val="26"/>
        </w:rPr>
        <w:t xml:space="preserve"> </w:t>
      </w:r>
      <w:r w:rsidRPr="0072600F">
        <w:rPr>
          <w:sz w:val="26"/>
          <w:szCs w:val="26"/>
        </w:rPr>
        <w:t>traditional four-prong waiver analysis.  The four-prong waiver analysis will not be the relevant standard used in the penalty appeals process; rather, as the Commission made clear in Order No. 2023, the Commission will evaluate whether good cause exists to grant relief from the study delay penalty and will issue an order granting or denying relief.</w:t>
      </w:r>
      <w:r>
        <w:rPr>
          <w:rStyle w:val="FootnoteReference"/>
        </w:rPr>
        <w:footnoteReference w:id="892"/>
      </w:r>
      <w:r w:rsidRPr="0072600F">
        <w:rPr>
          <w:sz w:val="26"/>
          <w:szCs w:val="26"/>
        </w:rPr>
        <w:t xml:space="preserve">  We continue to find that the good cause standard provides an adequate framework through which the Commission can evaluate whether it is appropriate to grant relief from any applicable penalties.</w:t>
      </w:r>
    </w:p>
    <w:p w:rsidR="00760048" w:rsidRPr="0072600F" w14:paraId="71396119" w14:textId="77777777">
      <w:pPr>
        <w:pStyle w:val="FERCparanumber"/>
        <w:widowControl/>
        <w:numPr>
          <w:ilvl w:val="0"/>
          <w:numId w:val="25"/>
        </w:numPr>
        <w:autoSpaceDE/>
        <w:autoSpaceDN/>
        <w:adjustRightInd/>
        <w:spacing w:line="480" w:lineRule="auto"/>
        <w:rPr>
          <w:sz w:val="26"/>
          <w:szCs w:val="26"/>
        </w:rPr>
      </w:pPr>
      <w:r w:rsidRPr="0072600F">
        <w:rPr>
          <w:sz w:val="26"/>
          <w:szCs w:val="26"/>
        </w:rPr>
        <w:t>We deny NYISO’s request to clarify that “default structure” penalty cost recovery proposals may be included in Order No. 2023 compliance filings in addition to FPA section 205 filings.  Order No. 2023 declined to adopt the NOPR proposal to require RTOs/ISOs to submit requests to recover the costs of specific study delay penalties; instead, Order No. 2023 stated that RTOs/ISOs may make such filings under FPA section 205 in the future if they choose.</w:t>
      </w:r>
      <w:r>
        <w:rPr>
          <w:rStyle w:val="FootnoteReference"/>
        </w:rPr>
        <w:footnoteReference w:id="893"/>
      </w:r>
      <w:r w:rsidRPr="0072600F">
        <w:rPr>
          <w:sz w:val="26"/>
          <w:szCs w:val="26"/>
        </w:rPr>
        <w:t xml:space="preserve">  We find it inappropriate to invite such proposals on compliance because the Commission </w:t>
      </w:r>
      <w:r w:rsidRPr="0072600F">
        <w:rPr>
          <w:sz w:val="26"/>
          <w:szCs w:val="26"/>
        </w:rPr>
        <w:t xml:space="preserve">did not </w:t>
      </w:r>
      <w:r w:rsidRPr="0072600F">
        <w:rPr>
          <w:sz w:val="26"/>
          <w:szCs w:val="26"/>
        </w:rPr>
        <w:t>make an FPA section 206 finding</w:t>
      </w:r>
      <w:r w:rsidRPr="0072600F">
        <w:rPr>
          <w:sz w:val="26"/>
          <w:szCs w:val="26"/>
        </w:rPr>
        <w:t xml:space="preserve"> </w:t>
      </w:r>
      <w:r w:rsidRPr="0072600F">
        <w:rPr>
          <w:sz w:val="26"/>
          <w:szCs w:val="26"/>
        </w:rPr>
        <w:t xml:space="preserve">that any such default penalty structure would be just, reasonable, and not unduly discriminatory or preferential.  In response to NYISO’s concerns about obtaining majority stakeholder approval for FPA section 205 filings, we note that, to the extent it is concerned that the lack of a mechanism for the transmission provider to recover the costs of delay penalties renders its tariff unjust and unreasonable, NYISO has the opportunity to file an FPA section 206 complaint.  </w:t>
      </w:r>
    </w:p>
    <w:p w:rsidR="00760048" w:rsidRPr="0072600F" w14:paraId="414EF59E" w14:textId="77777777">
      <w:pPr>
        <w:pStyle w:val="FERCparanumber"/>
        <w:widowControl/>
        <w:numPr>
          <w:ilvl w:val="0"/>
          <w:numId w:val="25"/>
        </w:numPr>
        <w:autoSpaceDE/>
        <w:autoSpaceDN/>
        <w:adjustRightInd/>
        <w:spacing w:line="480" w:lineRule="auto"/>
        <w:rPr>
          <w:sz w:val="26"/>
          <w:szCs w:val="26"/>
        </w:rPr>
      </w:pPr>
      <w:bookmarkStart w:id="78" w:name="_Hlk158651262"/>
      <w:r w:rsidRPr="0072600F">
        <w:rPr>
          <w:sz w:val="26"/>
          <w:szCs w:val="26"/>
        </w:rPr>
        <w:t>We deny NYTOs’ request to clarify that Order No. 2023’s prohibition against transmission providers recovering delay penalties in rates does not preclude a transmission owner from recovering such penalty costs that were caused by, and initially assessed to, the RTO/ISO.  NYTOs are concerned that RTOs/ISOs will pass penalties to transmission owner members when those providers are not responsible for a delay.  We find this concern premature because the Commission does not yet have before it any FPA section 205 proposals by an RTO/ISO to recover the costs of study delay penalties.  We continue to find that concerns about any RTO/ISO proposal to recover the costs of study delay penalties are best addressed on a case-by-case basis in the relevant FPA section 205 proceedings.</w:t>
      </w:r>
      <w:r>
        <w:rPr>
          <w:rStyle w:val="FootnoteReference"/>
        </w:rPr>
        <w:footnoteReference w:id="894"/>
      </w:r>
    </w:p>
    <w:p w:rsidR="00760048" w:rsidRPr="00663161" w14:paraId="0D3179DB"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79" w:name="_bmk20"/>
      <w:bookmarkEnd w:id="78"/>
      <w:r w:rsidRPr="00663161">
        <w:rPr>
          <w:b/>
          <w:bCs/>
          <w:sz w:val="26"/>
          <w:u w:val="single"/>
        </w:rPr>
        <w:t>A</w:t>
      </w:r>
      <w:bookmarkEnd w:id="79"/>
      <w:r w:rsidRPr="00663161">
        <w:rPr>
          <w:b/>
          <w:bCs/>
          <w:sz w:val="26"/>
          <w:u w:val="single"/>
        </w:rPr>
        <w:t>ffected Systems</w:t>
      </w:r>
    </w:p>
    <w:p w:rsidR="00760048" w:rsidRPr="00663161" w14:paraId="3E1C76AA"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Affected Systems Study Process</w:t>
      </w:r>
    </w:p>
    <w:p w:rsidR="00760048" w:rsidRPr="00663161" w14:paraId="650122C2"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779F65D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adopted an affected system study process and added several related definitions to the </w:t>
      </w:r>
      <w:r w:rsidRPr="0072600F">
        <w:rPr>
          <w:i/>
          <w:iCs/>
          <w:sz w:val="26"/>
          <w:szCs w:val="26"/>
        </w:rPr>
        <w:t xml:space="preserve">pro forma </w:t>
      </w:r>
      <w:r w:rsidRPr="0072600F">
        <w:rPr>
          <w:sz w:val="26"/>
          <w:szCs w:val="26"/>
        </w:rPr>
        <w:t>LGIP.</w:t>
      </w:r>
      <w:r>
        <w:rPr>
          <w:rStyle w:val="FootnoteReference"/>
        </w:rPr>
        <w:footnoteReference w:id="895"/>
      </w:r>
      <w:r w:rsidRPr="0072600F">
        <w:rPr>
          <w:sz w:val="26"/>
          <w:szCs w:val="26"/>
        </w:rPr>
        <w:t xml:space="preserve">  The Commission found that a detailed affected system study process in the </w:t>
      </w:r>
      <w:r w:rsidRPr="0072600F">
        <w:rPr>
          <w:i/>
          <w:iCs/>
          <w:sz w:val="26"/>
          <w:szCs w:val="26"/>
        </w:rPr>
        <w:t xml:space="preserve">pro forma </w:t>
      </w:r>
      <w:r w:rsidRPr="0072600F">
        <w:rPr>
          <w:sz w:val="26"/>
          <w:szCs w:val="26"/>
        </w:rPr>
        <w:t>LGIP would:  (1) prevent the use of ad hoc approaches that may give rise to interconnection customers being treated in an unjust, unreasonable, and</w:t>
      </w:r>
      <w:r w:rsidRPr="0072600F">
        <w:rPr>
          <w:sz w:val="26"/>
          <w:szCs w:val="26"/>
        </w:rPr>
        <w:t xml:space="preserve"> </w:t>
      </w:r>
      <w:r w:rsidRPr="0072600F">
        <w:rPr>
          <w:sz w:val="26"/>
          <w:szCs w:val="26"/>
        </w:rPr>
        <w:t>unduly discriminatory or preferential manner; (2) provide interconnection customers greater certainty regarding expectations throughout the interconnection process, including greater cost certainty, which will lead to fewer late-stage withdrawals and fewer delays; (3) ensure that the affected system study process moves along expediently, providing clarity,</w:t>
      </w:r>
      <w:r w:rsidRPr="0072600F">
        <w:rPr>
          <w:sz w:val="26"/>
          <w:szCs w:val="26"/>
        </w:rPr>
        <w:t xml:space="preserve"> </w:t>
      </w:r>
      <w:r w:rsidRPr="0072600F">
        <w:rPr>
          <w:sz w:val="26"/>
          <w:szCs w:val="26"/>
        </w:rPr>
        <w:t>cost certainty, and increased transparency throughout the study process, which will minimize opportunities for undue discrimination, through firm affected system study deadlines; and (4) ensure that interconnection customers are able to interconnect to the transmission system in a reliable, efficient, transparent, and timely manner.</w:t>
      </w:r>
    </w:p>
    <w:p w:rsidR="00760048" w:rsidRPr="0072600F" w14:paraId="39138CA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several definitions in section 1 of the </w:t>
      </w:r>
      <w:r w:rsidRPr="0072600F">
        <w:rPr>
          <w:i/>
          <w:iCs/>
          <w:sz w:val="26"/>
          <w:szCs w:val="26"/>
        </w:rPr>
        <w:t xml:space="preserve">pro forma </w:t>
      </w:r>
      <w:r w:rsidRPr="0072600F">
        <w:rPr>
          <w:sz w:val="26"/>
          <w:szCs w:val="26"/>
        </w:rPr>
        <w:t xml:space="preserve">LGIP related to the affected system reforms, specifically, “affected system facilities construction agreement,” “affected system interconnection customer,” “affected system network upgrades,” “affected system queue position,” </w:t>
      </w:r>
      <w:r w:rsidRPr="0072600F">
        <w:rPr>
          <w:sz w:val="26"/>
          <w:szCs w:val="26"/>
        </w:rPr>
        <w:t>“</w:t>
      </w:r>
      <w:r w:rsidRPr="0072600F">
        <w:rPr>
          <w:sz w:val="26"/>
          <w:szCs w:val="26"/>
        </w:rPr>
        <w:t>a</w:t>
      </w:r>
      <w:r w:rsidRPr="0072600F">
        <w:rPr>
          <w:sz w:val="26"/>
          <w:szCs w:val="26"/>
        </w:rPr>
        <w:t xml:space="preserve">ffected </w:t>
      </w:r>
      <w:r w:rsidRPr="0072600F">
        <w:rPr>
          <w:sz w:val="26"/>
          <w:szCs w:val="26"/>
        </w:rPr>
        <w:t>s</w:t>
      </w:r>
      <w:r w:rsidRPr="0072600F">
        <w:rPr>
          <w:sz w:val="26"/>
          <w:szCs w:val="26"/>
        </w:rPr>
        <w:t xml:space="preserve">ystem </w:t>
      </w:r>
      <w:r w:rsidRPr="0072600F">
        <w:rPr>
          <w:sz w:val="26"/>
          <w:szCs w:val="26"/>
        </w:rPr>
        <w:t>study,” “affected system study agreement,” “affected system study report,” “multiparty affected system facilities construction agreement,” and “multiparty affected system study agreement.”</w:t>
      </w:r>
      <w:r>
        <w:rPr>
          <w:rStyle w:val="FootnoteReference"/>
        </w:rPr>
        <w:footnoteReference w:id="896"/>
      </w:r>
    </w:p>
    <w:p w:rsidR="00760048" w:rsidRPr="0072600F" w14:paraId="3E07B38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section 3.6.1 (Initial Notification) of the </w:t>
      </w:r>
      <w:r w:rsidRPr="0072600F">
        <w:rPr>
          <w:i/>
          <w:iCs/>
          <w:sz w:val="26"/>
          <w:szCs w:val="26"/>
        </w:rPr>
        <w:t xml:space="preserve">pro forma </w:t>
      </w:r>
      <w:r w:rsidRPr="0072600F">
        <w:rPr>
          <w:sz w:val="26"/>
          <w:szCs w:val="26"/>
        </w:rPr>
        <w:t>LGIP, which requires the transmission provider to notify the affected system operator within 10 business days of the first instance of an identified potential affected system impact, which may occur</w:t>
      </w:r>
      <w:r w:rsidRPr="0072600F">
        <w:rPr>
          <w:iCs/>
          <w:sz w:val="26"/>
          <w:szCs w:val="26"/>
        </w:rPr>
        <w:t xml:space="preserve"> at the completion of either the cluster study or the cluster restudy</w:t>
      </w:r>
      <w:r w:rsidRPr="0072600F">
        <w:rPr>
          <w:sz w:val="26"/>
          <w:szCs w:val="26"/>
        </w:rPr>
        <w:t>.</w:t>
      </w:r>
      <w:r>
        <w:rPr>
          <w:rStyle w:val="FootnoteReference"/>
        </w:rPr>
        <w:footnoteReference w:id="897"/>
      </w:r>
      <w:r w:rsidRPr="0072600F">
        <w:rPr>
          <w:sz w:val="26"/>
          <w:szCs w:val="26"/>
        </w:rPr>
        <w:t xml:space="preserve">  </w:t>
      </w:r>
    </w:p>
    <w:p w:rsidR="00760048" w:rsidRPr="0072600F" w14:paraId="487EA86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next adopted several requirements for the transmission provider when it is acting as the affected system transmission provider (i.e., when the transmission provider is studying the impacts on its own transmission system of proposed interconnections to other transmission providers’ transmission systems) in </w:t>
      </w:r>
      <w:r w:rsidRPr="0072600F">
        <w:rPr>
          <w:i/>
          <w:iCs/>
          <w:sz w:val="26"/>
          <w:szCs w:val="26"/>
        </w:rPr>
        <w:t xml:space="preserve">pro forma </w:t>
      </w:r>
      <w:r w:rsidRPr="0072600F">
        <w:rPr>
          <w:sz w:val="26"/>
          <w:szCs w:val="26"/>
        </w:rPr>
        <w:t>LGIP section 9 (Affected System Study).</w:t>
      </w:r>
      <w:r>
        <w:rPr>
          <w:rStyle w:val="FootnoteReference"/>
        </w:rPr>
        <w:footnoteReference w:id="898"/>
      </w:r>
      <w:r w:rsidRPr="0072600F">
        <w:rPr>
          <w:sz w:val="26"/>
          <w:szCs w:val="26"/>
        </w:rPr>
        <w:t xml:space="preserve">  First, the Commission adopted section 9.2 (Response to Initial Notification) of the </w:t>
      </w:r>
      <w:r w:rsidRPr="0072600F">
        <w:rPr>
          <w:i/>
          <w:iCs/>
          <w:sz w:val="26"/>
          <w:szCs w:val="26"/>
        </w:rPr>
        <w:t xml:space="preserve">pro forma </w:t>
      </w:r>
      <w:r w:rsidRPr="0072600F">
        <w:rPr>
          <w:sz w:val="26"/>
          <w:szCs w:val="26"/>
        </w:rPr>
        <w:t>LGIP, which requires the affected system transmission provider to respond to notification of a potential affected system impact in writing within 20 business days indicating whether it intends to conduct an affected system study.</w:t>
      </w:r>
      <w:r>
        <w:rPr>
          <w:rStyle w:val="FootnoteReference"/>
        </w:rPr>
        <w:footnoteReference w:id="899"/>
      </w:r>
      <w:r w:rsidRPr="0072600F">
        <w:rPr>
          <w:sz w:val="26"/>
          <w:szCs w:val="26"/>
        </w:rPr>
        <w:t xml:space="preserve">  Section 9.2 also requires that, within 15 business days of the affected system transmission provider’s affirmative response of its intent to conduct an affected system study, the affected system transmission provider must share a non-binding good faith estimate of the cost and schedule to complete the affected system study.</w:t>
      </w:r>
    </w:p>
    <w:p w:rsidR="00760048" w:rsidRPr="0072600F" w14:paraId="3E0FE61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next adopted section 9.3 (Affected System Queue Position) of the </w:t>
      </w:r>
      <w:r w:rsidRPr="0072600F">
        <w:rPr>
          <w:i/>
          <w:iCs/>
          <w:sz w:val="26"/>
          <w:szCs w:val="26"/>
        </w:rPr>
        <w:t xml:space="preserve">pro forma </w:t>
      </w:r>
      <w:r w:rsidRPr="0072600F">
        <w:rPr>
          <w:sz w:val="26"/>
          <w:szCs w:val="26"/>
        </w:rPr>
        <w:t>LGIP.</w:t>
      </w:r>
      <w:r>
        <w:rPr>
          <w:rStyle w:val="FootnoteReference"/>
        </w:rPr>
        <w:footnoteReference w:id="900"/>
      </w:r>
      <w:r w:rsidRPr="0072600F">
        <w:rPr>
          <w:sz w:val="26"/>
          <w:szCs w:val="26"/>
        </w:rPr>
        <w:t xml:space="preserve">  Under section 9.3, the interconnection requests of affected system interconnection customers that have executed an affected system study agreement will be higher-queued than the interconnection requests of those host system interconnection customers that have not yet received their cluster study results, and lower-queued than those interconnection customers that have already received their cluster study results.  All affected system interconnection requests studied within the same affected system cluster will be equally queued.</w:t>
      </w:r>
    </w:p>
    <w:p w:rsidR="00760048" w:rsidRPr="0072600F" w14:paraId="02F9E1D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next adopted section 9.4 (Affected System Study Agreement/Multiparty Affected System Study Agreement) of the </w:t>
      </w:r>
      <w:r w:rsidRPr="0072600F">
        <w:rPr>
          <w:i/>
          <w:iCs/>
          <w:sz w:val="26"/>
          <w:szCs w:val="26"/>
        </w:rPr>
        <w:t xml:space="preserve">pro forma </w:t>
      </w:r>
      <w:r w:rsidRPr="0072600F">
        <w:rPr>
          <w:sz w:val="26"/>
          <w:szCs w:val="26"/>
        </w:rPr>
        <w:t>LGIP to require that the transmission provider tender the affected system study agreement within 10 business days of sharing the schedule for the study with the affected system interconnection customers.</w:t>
      </w:r>
      <w:r>
        <w:rPr>
          <w:rStyle w:val="FootnoteReference"/>
        </w:rPr>
        <w:footnoteReference w:id="901"/>
      </w:r>
      <w:r w:rsidRPr="0072600F">
        <w:rPr>
          <w:sz w:val="26"/>
          <w:szCs w:val="26"/>
        </w:rPr>
        <w:t xml:space="preserve">  Section 9.4 also requires the affected system interconnection customer to compensate the affected system transmission provider for the actual costs of the affected system study, and the difference between the affected system study deposit and actual cost of the affected system study will be detailed in an invoice and paid by or refunded to the affected system interconnection customer within 30 calendar days of the receipt of such invoice.</w:t>
      </w:r>
      <w:r w:rsidRPr="0072600F">
        <w:rPr>
          <w:b/>
          <w:sz w:val="26"/>
          <w:szCs w:val="26"/>
          <w:vertAlign w:val="superscript"/>
        </w:rPr>
        <w:t xml:space="preserve"> </w:t>
      </w:r>
      <w:r>
        <w:rPr>
          <w:rStyle w:val="FootnoteReference"/>
        </w:rPr>
        <w:footnoteReference w:id="902"/>
      </w:r>
      <w:r w:rsidRPr="0072600F">
        <w:rPr>
          <w:sz w:val="26"/>
          <w:szCs w:val="26"/>
        </w:rPr>
        <w:t xml:space="preserve">  An affected system interconnection customer’s failure to pay the difference between these amounts will result in loss of that affected system interconnection customer’s affected system queue position.  Section 9.4 also requires that the affected system transmission provider notify the host transmission provider of the affected system interconnection customer’s breach of its obligations under this section, should such breach occur.</w:t>
      </w:r>
      <w:r>
        <w:rPr>
          <w:rStyle w:val="FootnoteReference"/>
        </w:rPr>
        <w:footnoteReference w:id="903"/>
      </w:r>
    </w:p>
    <w:p w:rsidR="00760048" w:rsidRPr="0072600F" w14:paraId="47588E8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next adopted section 9.5 (Execution of Affected System Study Agreement/Multiparty Affected System Study Agreement) of the </w:t>
      </w:r>
      <w:r w:rsidRPr="0072600F">
        <w:rPr>
          <w:i/>
          <w:iCs/>
          <w:sz w:val="26"/>
          <w:szCs w:val="26"/>
        </w:rPr>
        <w:t xml:space="preserve">pro forma </w:t>
      </w:r>
      <w:r w:rsidRPr="0072600F">
        <w:rPr>
          <w:sz w:val="26"/>
          <w:szCs w:val="26"/>
        </w:rPr>
        <w:t>LGIP, which provides the affected system interconnection customer with 10 business days from the date of receipt of the affected system study agreement to execute and deliver it to the affected system transmission provider.</w:t>
      </w:r>
      <w:r>
        <w:rPr>
          <w:rStyle w:val="FootnoteReference"/>
        </w:rPr>
        <w:footnoteReference w:id="904"/>
      </w:r>
      <w:r w:rsidRPr="0072600F">
        <w:rPr>
          <w:sz w:val="26"/>
          <w:szCs w:val="26"/>
        </w:rPr>
        <w:t xml:space="preserve">  Section 9.5 also provides that, if the affected system interconnection customer does not provide all required technical data when it delivers the affected system study agreement, the affected system transmission provider shall notify the affected system interconnection customer of the deficiency within five business days of the receipt of the affected system study agreement, and the affected system interconnection customer has 10 business days to cure the deficiency after receipt of such notice (provided that the deficiency does not include failure to deliver the executed affected system study agreement or deposit).</w:t>
      </w:r>
    </w:p>
    <w:p w:rsidR="00760048" w:rsidRPr="0072600F" w14:paraId="2B61949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next adopted section 9.6 (Scope of Affected System Study) of the </w:t>
      </w:r>
      <w:r w:rsidRPr="0072600F">
        <w:rPr>
          <w:i/>
          <w:iCs/>
          <w:sz w:val="26"/>
          <w:szCs w:val="26"/>
        </w:rPr>
        <w:t xml:space="preserve">pro forma </w:t>
      </w:r>
      <w:r w:rsidRPr="0072600F">
        <w:rPr>
          <w:sz w:val="26"/>
          <w:szCs w:val="26"/>
        </w:rPr>
        <w:t>LGIP, which requires the affected system study to consider the base case as well as all higher-queued generating facilities on the affected system transmission provider’s transmission system and to consist of a power flow, stability, and short circuit analysis.</w:t>
      </w:r>
      <w:r>
        <w:rPr>
          <w:rStyle w:val="FootnoteReference"/>
        </w:rPr>
        <w:footnoteReference w:id="905"/>
      </w:r>
      <w:r w:rsidRPr="0072600F">
        <w:rPr>
          <w:sz w:val="26"/>
          <w:szCs w:val="26"/>
        </w:rPr>
        <w:t xml:space="preserve">  Section 9.6 also requires the affected system study to provide a list of affected system network upgrades that are required because of the affected system interconnection customer’s proposed interconnection, a non-binding good faith estimate of cost responsibility, and a non-binding good faith estimated time to construct.</w:t>
      </w:r>
    </w:p>
    <w:p w:rsidR="00760048" w:rsidRPr="0072600F" w14:paraId="598E156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next adopted section 9.7 of the </w:t>
      </w:r>
      <w:r w:rsidRPr="0072600F">
        <w:rPr>
          <w:i/>
          <w:iCs/>
          <w:sz w:val="26"/>
          <w:szCs w:val="26"/>
        </w:rPr>
        <w:t xml:space="preserve">pro forma </w:t>
      </w:r>
      <w:r w:rsidRPr="0072600F">
        <w:rPr>
          <w:sz w:val="26"/>
          <w:szCs w:val="26"/>
        </w:rPr>
        <w:t>LGIP (Affected System Study Procedures), which requires clustering of affected system interconnection customers for study purposes where multiple interconnection requests that are part of a single cluster in the host system’s cluster study process cause the need for an affected system study.</w:t>
      </w:r>
      <w:r>
        <w:rPr>
          <w:rStyle w:val="FootnoteReference"/>
        </w:rPr>
        <w:footnoteReference w:id="906"/>
      </w:r>
      <w:r w:rsidRPr="0072600F">
        <w:rPr>
          <w:sz w:val="26"/>
          <w:szCs w:val="26"/>
        </w:rPr>
        <w:t xml:space="preserve">  Section 9.7 also requires the affected system transmission provider to complete the affected system study and provide the affected system interconnection customer with affected system study results within 150 calendar days after receipt of the affected system study agreement.  Section 9.7 also requires the affected system transmission provider to provide the affected system study report to the host transmission provider at the same time it provides the report to the affected system interconnection customer.  The affected system transmission provider must notify the affected system interconnection customer that an affected system study will be late.</w:t>
      </w:r>
      <w:r>
        <w:rPr>
          <w:rStyle w:val="FootnoteReference"/>
        </w:rPr>
        <w:footnoteReference w:id="907"/>
      </w:r>
      <w:r w:rsidRPr="0072600F">
        <w:rPr>
          <w:sz w:val="26"/>
          <w:szCs w:val="26"/>
        </w:rPr>
        <w:t xml:space="preserve">  Lastly, </w:t>
      </w:r>
      <w:r w:rsidRPr="0072600F">
        <w:rPr>
          <w:i/>
          <w:iCs/>
          <w:sz w:val="26"/>
          <w:szCs w:val="26"/>
        </w:rPr>
        <w:t xml:space="preserve">pro forma </w:t>
      </w:r>
      <w:r w:rsidRPr="0072600F">
        <w:rPr>
          <w:sz w:val="26"/>
          <w:szCs w:val="26"/>
        </w:rPr>
        <w:t>LGIP section 9.7 requires affected system transmission providers to study all affected system interconnection requests using ERIS modeling standards.</w:t>
      </w:r>
      <w:r>
        <w:rPr>
          <w:rStyle w:val="FootnoteReference"/>
        </w:rPr>
        <w:footnoteReference w:id="908"/>
      </w:r>
      <w:r w:rsidRPr="0072600F">
        <w:rPr>
          <w:sz w:val="26"/>
          <w:szCs w:val="26"/>
        </w:rPr>
        <w:t xml:space="preserve">  </w:t>
      </w:r>
    </w:p>
    <w:p w:rsidR="00760048" w:rsidRPr="0072600F" w14:paraId="3AD82B9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added a new section 11.2.1 to the </w:t>
      </w:r>
      <w:r w:rsidRPr="0072600F">
        <w:rPr>
          <w:i/>
          <w:iCs/>
          <w:sz w:val="26"/>
          <w:szCs w:val="26"/>
        </w:rPr>
        <w:t xml:space="preserve">pro forma </w:t>
      </w:r>
      <w:r w:rsidRPr="0072600F">
        <w:rPr>
          <w:sz w:val="26"/>
          <w:szCs w:val="26"/>
        </w:rPr>
        <w:t>LGIP (Delay in LGIA Execution, or Filing Unexecuted, to Await Affected System Study Report).</w:t>
      </w:r>
      <w:r>
        <w:rPr>
          <w:rStyle w:val="FootnoteReference"/>
        </w:rPr>
        <w:footnoteReference w:id="909"/>
      </w:r>
      <w:r w:rsidRPr="0072600F">
        <w:rPr>
          <w:sz w:val="26"/>
          <w:szCs w:val="26"/>
        </w:rPr>
        <w:t xml:space="preserve">  Under this section, if the interconnection customer does not receive its affected system study results before the deadline in its host system for LGIA execution, or the deadline to request that the LGIA be filed unexecuted, the host transmission provider must, at the interconnection customer’s request, delay the deadline for the interconnection customer to finalize its LGIA.</w:t>
      </w:r>
      <w:r>
        <w:rPr>
          <w:rStyle w:val="FootnoteReference"/>
        </w:rPr>
        <w:footnoteReference w:id="910"/>
      </w:r>
      <w:r w:rsidRPr="0072600F">
        <w:rPr>
          <w:sz w:val="26"/>
          <w:szCs w:val="26"/>
        </w:rPr>
        <w:t xml:space="preserve">  The interconnection customer will have 30 calendar days after receipt of the affected system study report to execute the LGIA, or request that the LGIA be filed unexecuted.  Additionally, if the interconnection customer prefers to proceed to the execution of its LGIA, or request that the LGIA be filed unexecuted, before it has received its affected system study results, it may notify the host transmission provider of its intent to proceed with the execution of the LGIA, or request that the LGIA be filed unexecuted.</w:t>
      </w:r>
      <w:r>
        <w:rPr>
          <w:rStyle w:val="FootnoteReference"/>
        </w:rPr>
        <w:footnoteReference w:id="911"/>
      </w:r>
      <w:r w:rsidRPr="0072600F">
        <w:rPr>
          <w:sz w:val="26"/>
          <w:szCs w:val="26"/>
        </w:rPr>
        <w:t xml:space="preserve"> </w:t>
      </w:r>
      <w:r w:rsidRPr="0072600F">
        <w:rPr>
          <w:sz w:val="26"/>
          <w:szCs w:val="26"/>
        </w:rPr>
        <w:t xml:space="preserve"> </w:t>
      </w:r>
      <w:r w:rsidRPr="0072600F">
        <w:rPr>
          <w:sz w:val="26"/>
          <w:szCs w:val="26"/>
        </w:rPr>
        <w:t>If the host transmission provider determines that further delay to the LGIA execution date would cause a material impact on the cost or timing of an equal- or lower-queued interconnection customer, the transmission provider must notify the relevant interconnection customer of such impact and establish that the new deadline is 30 calendar days after such notice is provided.</w:t>
      </w:r>
    </w:p>
    <w:p w:rsidR="00760048" w:rsidRPr="0072600F" w14:paraId="120D46E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section 9.8 of the </w:t>
      </w:r>
      <w:r w:rsidRPr="0072600F">
        <w:rPr>
          <w:i/>
          <w:iCs/>
          <w:sz w:val="26"/>
          <w:szCs w:val="26"/>
        </w:rPr>
        <w:t xml:space="preserve">pro forma </w:t>
      </w:r>
      <w:r w:rsidRPr="0072600F">
        <w:rPr>
          <w:sz w:val="26"/>
          <w:szCs w:val="26"/>
        </w:rPr>
        <w:t>LGIP (Meeting with Transmission Provider), which requires the affected system transmission provider and the affected system interconnection customer to meet within 10 business days of the affected system transmission provider tendering the affected system study report to the affected system interconnection customer.</w:t>
      </w:r>
      <w:r>
        <w:rPr>
          <w:rStyle w:val="FootnoteReference"/>
        </w:rPr>
        <w:footnoteReference w:id="912"/>
      </w:r>
      <w:r w:rsidRPr="0072600F">
        <w:rPr>
          <w:sz w:val="26"/>
          <w:szCs w:val="26"/>
        </w:rPr>
        <w:t xml:space="preserve">  </w:t>
      </w:r>
    </w:p>
    <w:p w:rsidR="00760048" w:rsidRPr="0072600F" w14:paraId="2264E55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section 9.9 of the </w:t>
      </w:r>
      <w:r w:rsidRPr="0072600F">
        <w:rPr>
          <w:i/>
          <w:iCs/>
          <w:sz w:val="26"/>
          <w:szCs w:val="26"/>
        </w:rPr>
        <w:t xml:space="preserve">pro forma </w:t>
      </w:r>
      <w:r w:rsidRPr="0072600F">
        <w:rPr>
          <w:sz w:val="26"/>
          <w:szCs w:val="26"/>
        </w:rPr>
        <w:t xml:space="preserve">LGIP (Affected System Cost Allocation), which requires the allocation of affected system network upgrade costs using a proportional impact method in accordance with </w:t>
      </w:r>
      <w:r w:rsidRPr="0072600F">
        <w:rPr>
          <w:i/>
          <w:iCs/>
          <w:sz w:val="26"/>
          <w:szCs w:val="26"/>
        </w:rPr>
        <w:t xml:space="preserve">pro forma </w:t>
      </w:r>
      <w:r w:rsidRPr="0072600F">
        <w:rPr>
          <w:sz w:val="26"/>
          <w:szCs w:val="26"/>
        </w:rPr>
        <w:t>LGIP section 4.2.1(1)(b).</w:t>
      </w:r>
      <w:r>
        <w:rPr>
          <w:rStyle w:val="FootnoteReference"/>
        </w:rPr>
        <w:footnoteReference w:id="913"/>
      </w:r>
      <w:r w:rsidRPr="0072600F">
        <w:rPr>
          <w:sz w:val="26"/>
          <w:szCs w:val="26"/>
        </w:rPr>
        <w:t xml:space="preserve">  </w:t>
      </w:r>
    </w:p>
    <w:p w:rsidR="00760048" w:rsidRPr="0072600F" w14:paraId="13BF8FB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section 9.10 of the </w:t>
      </w:r>
      <w:r w:rsidRPr="0072600F">
        <w:rPr>
          <w:i/>
          <w:iCs/>
          <w:sz w:val="26"/>
          <w:szCs w:val="26"/>
        </w:rPr>
        <w:t xml:space="preserve">pro forma </w:t>
      </w:r>
      <w:r w:rsidRPr="0072600F">
        <w:rPr>
          <w:sz w:val="26"/>
          <w:szCs w:val="26"/>
        </w:rPr>
        <w:t>LGIP (Tender of Affected System Facilities Construction Agreement/Multiparty Affected System Facilities Construction Agreement).</w:t>
      </w:r>
      <w:r>
        <w:rPr>
          <w:rStyle w:val="FootnoteReference"/>
        </w:rPr>
        <w:footnoteReference w:id="914"/>
      </w:r>
      <w:r w:rsidRPr="0072600F">
        <w:rPr>
          <w:sz w:val="26"/>
          <w:szCs w:val="26"/>
        </w:rPr>
        <w:t xml:space="preserve">  Under section 9.10, an affected system transmission provider must tender an affected system facilities construction agreement to the affected system interconnection customer within 30 calendar days of providing the affected system study report.  The affected system transmission provider must provide 10 business days after receipt of the affected system facilities construction agreement for the affected system interconnection customer to</w:t>
      </w:r>
      <w:r w:rsidRPr="0072600F">
        <w:rPr>
          <w:sz w:val="26"/>
          <w:szCs w:val="26"/>
        </w:rPr>
        <w:t xml:space="preserve"> </w:t>
      </w:r>
      <w:r w:rsidRPr="0072600F">
        <w:rPr>
          <w:sz w:val="26"/>
          <w:szCs w:val="26"/>
        </w:rPr>
        <w:t>execute the agreement or have the affected system transmission provider file it unexecuted with the Commission.</w:t>
      </w:r>
    </w:p>
    <w:p w:rsidR="00760048" w:rsidRPr="0072600F" w14:paraId="36F8B65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section 9.11 of the </w:t>
      </w:r>
      <w:r w:rsidRPr="0072600F">
        <w:rPr>
          <w:i/>
          <w:iCs/>
          <w:sz w:val="26"/>
          <w:szCs w:val="26"/>
        </w:rPr>
        <w:t xml:space="preserve">pro forma </w:t>
      </w:r>
      <w:r w:rsidRPr="0072600F">
        <w:rPr>
          <w:sz w:val="26"/>
          <w:szCs w:val="26"/>
        </w:rPr>
        <w:t>LGIP (Restudy) to include a maximum 60-calendar day restudy period for any affected system restudies.</w:t>
      </w:r>
      <w:r>
        <w:rPr>
          <w:rStyle w:val="FootnoteReference"/>
        </w:rPr>
        <w:footnoteReference w:id="915"/>
      </w:r>
      <w:r w:rsidRPr="0072600F">
        <w:rPr>
          <w:sz w:val="26"/>
          <w:szCs w:val="26"/>
        </w:rPr>
        <w:t xml:space="preserve">  Section 9.11 also adopts a 30-calendar day notification requirement for the affected system transmission provider to notify the affected system interconnection customer of the need for affected system restudy upon discovery of such need.</w:t>
      </w:r>
      <w:r>
        <w:rPr>
          <w:rStyle w:val="FootnoteReference"/>
        </w:rPr>
        <w:footnoteReference w:id="916"/>
      </w:r>
    </w:p>
    <w:p w:rsidR="00760048" w:rsidRPr="00663161" w14:paraId="7E783285"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64370F60"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Invenergy ask the Commission to clarify that there are deadlines for determining that an affected system study will be conducted.</w:t>
      </w:r>
      <w:r>
        <w:rPr>
          <w:rStyle w:val="FootnoteReference"/>
        </w:rPr>
        <w:footnoteReference w:id="917"/>
      </w:r>
      <w:r w:rsidRPr="0072600F">
        <w:rPr>
          <w:sz w:val="26"/>
          <w:szCs w:val="26"/>
        </w:rPr>
        <w:t xml:space="preserve">  Clean Energy Associations and Invenergy note that Order No. 2023 requires transmission providers to notify affected system transmission providers of potential affected system impacts at the completion of the cluster study or cluster restudy, and affected system transmission providers have 20 business days to determine whether or not to conduct an affect system study.  However, Clean Energy Associations and Invenergy state that it is unclear whether an affected system may decline to conduct an affected system study after the initial notification but later elect to conduct an affected system study after the cluster restudy, even if no new potential affected system impact is found.  Clean Energy Associations and Invenergy argue that affected system transmission providers may have an incentive to perform affected system studies as late as possible to:  (1) give priority to queue requests on their own system; (2) avoid the volume of studies created by restudies; or (3) reduce the amount of necessary studies to reduce the risk of study delay penalties.  Clean Energy Associations and Invenergy explain that interconnection customers need to know as soon as possible if affected system studies will be performed and what the results of those studies are.  Clean Energy Associations and Invenergy argue that, while it is possible that new information about an affected system impact could show up when the host transmission provider conducts its restudy (which would then require the affected system to conduct its own study), the affected system should not be permitted to wait until the restudy stage to make its determination to perform studies unless new information has been identified in the restudy.  Clean Energy Associations and Invenergy therefore request clarification that, if an affected system declines to perform an affected system study after the cluster study and host transmission provider’s notification of an impact on the affected system, the affected system is not eligible to run a study after the cluster restudy unless the cluster restudy results in information that was not identified in the initial notification.  </w:t>
      </w:r>
    </w:p>
    <w:p w:rsidR="00760048" w:rsidRPr="0072600F" w14:paraId="2F55C7D8"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Invenergy agree with Order No. 2023’s directive that, if the interconnection customer does not have the results of the affected system study prior to finalizing the LGIA, the interconnection customer may request that the host transmission provider delay finalizing the LGIA.</w:t>
      </w:r>
      <w:r>
        <w:rPr>
          <w:rStyle w:val="FootnoteReference"/>
        </w:rPr>
        <w:footnoteReference w:id="918"/>
      </w:r>
      <w:r w:rsidRPr="0072600F">
        <w:rPr>
          <w:sz w:val="26"/>
          <w:szCs w:val="26"/>
        </w:rPr>
        <w:t xml:space="preserve">  However, Clean Energy Associations and Invenergy argue that a host transmission provider should not be able to reject that request if it determines that delaying the LGIA pending completion of the affected system study would materially impact the cost or timing of equal or lower-queued interconnection customers.  Clean Energy Associations and Invenergy explain that, when an interconnection customer executes its LGIA, it should be able to rely on those costs and other agreement provisions without significant changes, and that allowing the host transmission provider to reject requests for delaying LGIA execution is directly at odds with the Commission’s goal of ensuring that interconnection customers have adequate time to evaluate their costs prior to committing to the LGIA.  When the affected system costs are not known, Clean Energy Associations and Invenergy explain, it exacerbates the cost uncertainty and late-stage upgrades </w:t>
      </w:r>
      <w:r w:rsidR="00CD62A3">
        <w:rPr>
          <w:sz w:val="26"/>
          <w:szCs w:val="26"/>
        </w:rPr>
        <w:t xml:space="preserve">that </w:t>
      </w:r>
      <w:r w:rsidRPr="0072600F">
        <w:rPr>
          <w:sz w:val="26"/>
          <w:szCs w:val="26"/>
        </w:rPr>
        <w:t>Order No. 2023 sought to ameliorate.</w:t>
      </w:r>
      <w:r>
        <w:rPr>
          <w:rStyle w:val="FootnoteReference"/>
        </w:rPr>
        <w:footnoteReference w:id="919"/>
      </w:r>
      <w:r w:rsidRPr="0072600F">
        <w:rPr>
          <w:sz w:val="26"/>
          <w:szCs w:val="26"/>
        </w:rPr>
        <w:t xml:space="preserve">  Further, </w:t>
      </w:r>
      <w:r w:rsidR="009534B1">
        <w:rPr>
          <w:sz w:val="26"/>
          <w:szCs w:val="26"/>
        </w:rPr>
        <w:t xml:space="preserve">they argue, </w:t>
      </w:r>
      <w:r w:rsidRPr="0072600F">
        <w:rPr>
          <w:sz w:val="26"/>
          <w:szCs w:val="26"/>
        </w:rPr>
        <w:t xml:space="preserve">allowing the host transmission provider alone to determine when the material threshold is met creates potential for undue discrimination.  Therefore, Clean Energy Associations and Invenergy request that the Commission strike the last sentence in revised </w:t>
      </w:r>
      <w:r w:rsidRPr="0072600F">
        <w:rPr>
          <w:i/>
          <w:iCs/>
          <w:sz w:val="26"/>
          <w:szCs w:val="26"/>
        </w:rPr>
        <w:t>pro forma</w:t>
      </w:r>
      <w:r w:rsidRPr="0072600F">
        <w:rPr>
          <w:sz w:val="26"/>
          <w:szCs w:val="26"/>
        </w:rPr>
        <w:t xml:space="preserve"> LGIP, section 11.2.1.</w:t>
      </w:r>
      <w:r w:rsidRPr="0072600F">
        <w:rPr>
          <w:rStyle w:val="FootnoteReference"/>
        </w:rPr>
        <w:t xml:space="preserve"> </w:t>
      </w:r>
    </w:p>
    <w:p w:rsidR="00760048" w:rsidRPr="0072600F" w14:paraId="08E0678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and Invenergy also seek clarification of </w:t>
      </w:r>
      <w:r w:rsidRPr="0072600F">
        <w:rPr>
          <w:i/>
          <w:iCs/>
          <w:sz w:val="26"/>
          <w:szCs w:val="26"/>
        </w:rPr>
        <w:t>pro forma</w:t>
      </w:r>
      <w:r w:rsidRPr="0072600F">
        <w:rPr>
          <w:sz w:val="26"/>
          <w:szCs w:val="26"/>
        </w:rPr>
        <w:t xml:space="preserve"> LGIP section 11.2.1, which states that the interconnection customer is not required to post security under the LGIA and fund network upgrades if the deadline for LGIA execution, or to request that the LGIA be filed unexecuted, is delayed.</w:t>
      </w:r>
      <w:r>
        <w:rPr>
          <w:rStyle w:val="FootnoteReference"/>
        </w:rPr>
        <w:footnoteReference w:id="920"/>
      </w:r>
      <w:r w:rsidRPr="0072600F">
        <w:rPr>
          <w:sz w:val="26"/>
          <w:szCs w:val="26"/>
        </w:rPr>
        <w:t xml:space="preserve">  Clean Energy Associations state that the ability to not post security or fund network upgrades should also apply when the host transmission provider determines a material impact from delay and requires that the interconnection customer move forward with LGIA execution.  If the Commission does not grant this request, Clean Energy Associations and Invenergy contend that the Commission should clarify that, when an interconnection customer is not allowed to delay LGIA execution under the material impact standard, the interconnection customer will receive a refund of the deposit upon deciding to not move forward with the interconnection after receiving the affected system studies.</w:t>
      </w:r>
      <w:r w:rsidRPr="0072600F">
        <w:rPr>
          <w:rStyle w:val="FootnoteReference"/>
        </w:rPr>
        <w:t xml:space="preserve"> </w:t>
      </w:r>
    </w:p>
    <w:p w:rsidR="00760048" w:rsidRPr="0072600F" w14:paraId="23EFCF5A" w14:textId="77777777">
      <w:pPr>
        <w:pStyle w:val="FERCparanumber"/>
        <w:widowControl/>
        <w:numPr>
          <w:ilvl w:val="0"/>
          <w:numId w:val="25"/>
        </w:numPr>
        <w:tabs>
          <w:tab w:val="left" w:pos="1035"/>
        </w:tabs>
        <w:autoSpaceDE/>
        <w:autoSpaceDN/>
        <w:adjustRightInd/>
        <w:spacing w:after="260" w:line="480" w:lineRule="auto"/>
        <w:contextualSpacing/>
        <w:rPr>
          <w:sz w:val="26"/>
          <w:szCs w:val="26"/>
        </w:rPr>
      </w:pPr>
      <w:bookmarkStart w:id="80" w:name="_Hlk156998523"/>
      <w:bookmarkStart w:id="81" w:name="_Hlk156997526"/>
      <w:r w:rsidRPr="0072600F">
        <w:rPr>
          <w:sz w:val="26"/>
          <w:szCs w:val="26"/>
        </w:rPr>
        <w:t>Duke Southeast Utilities ask for clarification of the requirement for a host transmission provider to notify an affected system transmission provider within 10 days of the completion of a cluster study or restudy of potential affected system impacts identified in the study.</w:t>
      </w:r>
      <w:r>
        <w:rPr>
          <w:rStyle w:val="FootnoteReference"/>
        </w:rPr>
        <w:footnoteReference w:id="921"/>
      </w:r>
      <w:r w:rsidRPr="0072600F">
        <w:rPr>
          <w:sz w:val="26"/>
          <w:szCs w:val="26"/>
        </w:rPr>
        <w:t xml:space="preserve">  Specifically, Duke Southeast Utilities ask the Commission to clarify the meaning of the “completion of” a cluster study or restudy, referring to a number of possible interpretations, including:  (1) the date stated on the study report; (2) the date the report is provided to interconnection customers; (3) the date the report is posted to OASIS; and (4) the date of the cluster study report meeting.  Duke Southeast Utilities assert that a lack of clarity will lead to lack of uniformity in how transmission providers calculate their 10-day deadline.  Further, Duke Southeast Utilities note that, because affected system transmission providers have 20 days to decide whether to conduct an affected system study, and host transmission providers have 30 days after the cluster study report meeting to decide whether to conduct a cluster restudy, there is potential for an affected system transmission provider to have begun conducting an affected system study before being notified that the host transmission provider will conduct a cluster restudy.  Duke Southeast Utilities request clarification on whether an affected system transmission provider may terminate an affected system study once it learns of the host transmission provider’s restudy, or whether it must continue with the affected system study.  Duke Southeast Utilities explain that continuing an affected system study in this case would cause affected system interconnection customers to pay for an unnecessary study.  </w:t>
      </w:r>
    </w:p>
    <w:bookmarkEnd w:id="80"/>
    <w:p w:rsidR="00760048" w:rsidRPr="0072600F" w14:paraId="41F2837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and Invenergy ask for rehearing or clarification with respect to the exclusion of affected system network upgrade costs from the penalty-free withdrawal calculation in </w:t>
      </w:r>
      <w:r w:rsidRPr="0072600F">
        <w:rPr>
          <w:i/>
          <w:iCs/>
          <w:sz w:val="26"/>
          <w:szCs w:val="26"/>
        </w:rPr>
        <w:t>pro forma</w:t>
      </w:r>
      <w:r w:rsidRPr="0072600F">
        <w:rPr>
          <w:sz w:val="26"/>
          <w:szCs w:val="26"/>
        </w:rPr>
        <w:t xml:space="preserve"> LGIP section 3.7.1, which allows for penalty-free withdrawal if the withdrawal follows significant, unanticipated increases in network upgrade cost estimates.</w:t>
      </w:r>
      <w:r>
        <w:rPr>
          <w:rStyle w:val="FootnoteReference"/>
        </w:rPr>
        <w:footnoteReference w:id="922"/>
      </w:r>
      <w:r w:rsidRPr="0072600F">
        <w:rPr>
          <w:sz w:val="26"/>
          <w:szCs w:val="26"/>
        </w:rPr>
        <w:t xml:space="preserve">  Clean Energy Associations request rehearing and argue that failing to include affected system network upgrade costs in withdrawal penalty exemption calculations will discourage generating facilities that experience significant cost increases from withdrawing from the interconnection process in a timely way.</w:t>
      </w:r>
      <w:r>
        <w:rPr>
          <w:rStyle w:val="FootnoteReference"/>
        </w:rPr>
        <w:footnoteReference w:id="923"/>
      </w:r>
      <w:r w:rsidRPr="0072600F">
        <w:rPr>
          <w:sz w:val="26"/>
          <w:szCs w:val="26"/>
        </w:rPr>
        <w:t xml:space="preserve">  Clean Energy Associations state that an interconnection customer will be incentivized to remain in the queue despite significant cost increases from the transmission provider and affected system transmission provider in the hopes that either other interconnection customers withdraw, or other conditions change such that the generating facility faces reduced network upgrade and affected system network upgrade costs and becomes financially viable again.  Clean Energy Associations further state that it is unreasonable to penalize an interconnection customer for proceeding when its costs increase dramatically due to affected system interconnection study results.  Clean Energy Associations state that affected system study results are not known at the conclusion of the cluster study and are also subject to errors or significant inaccuracies.  Invenergy argues that the differing treatment in withdrawal penalties for host transmission system studies versus affected system studies is arbitrary and capricious and not a result of reasoned decision-making.</w:t>
      </w:r>
      <w:r>
        <w:rPr>
          <w:rStyle w:val="FootnoteReference"/>
        </w:rPr>
        <w:footnoteReference w:id="924"/>
      </w:r>
      <w:r w:rsidRPr="0072600F">
        <w:rPr>
          <w:sz w:val="26"/>
          <w:szCs w:val="26"/>
        </w:rPr>
        <w:t xml:space="preserve">  </w:t>
      </w:r>
    </w:p>
    <w:p w:rsidR="00760048" w:rsidRPr="0072600F" w14:paraId="0FAA48EC"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Invenergy further argue that the Commission erred by failing to set any penalty-free withdrawal threshold based upon costs identified in an affected system study, which would result in essentially uncapped liability for interconnection customers.</w:t>
      </w:r>
      <w:r>
        <w:rPr>
          <w:rStyle w:val="FootnoteReference"/>
        </w:rPr>
        <w:footnoteReference w:id="925"/>
      </w:r>
      <w:r w:rsidRPr="0072600F">
        <w:rPr>
          <w:sz w:val="26"/>
          <w:szCs w:val="26"/>
        </w:rPr>
        <w:t xml:space="preserve">  </w:t>
      </w:r>
    </w:p>
    <w:p w:rsidR="00760048" w:rsidRPr="0072600F" w14:paraId="12BC2D4D"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Invenergy disagree with the Commission’s statement that</w:t>
      </w:r>
      <w:r w:rsidRPr="0072600F">
        <w:rPr>
          <w:sz w:val="26"/>
          <w:szCs w:val="26"/>
        </w:rPr>
        <w:t xml:space="preserve"> </w:t>
      </w:r>
      <w:r w:rsidRPr="0072600F">
        <w:rPr>
          <w:sz w:val="26"/>
          <w:szCs w:val="26"/>
        </w:rPr>
        <w:t>the use of ERIS modeling standard to conduct affected system studies should reduce the number and total cost of affected system network upgrades assigned to affected system interconnection customers.</w:t>
      </w:r>
      <w:r>
        <w:rPr>
          <w:rStyle w:val="FootnoteReference"/>
        </w:rPr>
        <w:footnoteReference w:id="926"/>
      </w:r>
      <w:r w:rsidRPr="0072600F">
        <w:rPr>
          <w:sz w:val="26"/>
          <w:szCs w:val="26"/>
        </w:rPr>
        <w:t xml:space="preserve">  Clean Energy Associations argue that the ERIS modeling standard in no way guarantees a small number of assigned affected system network upgrades or total assigned network upgrade costs to any one affected system interconnection customer, and that significant impacts can occur in both large and small transmission systems.</w:t>
      </w:r>
      <w:r>
        <w:rPr>
          <w:rStyle w:val="FootnoteReference"/>
        </w:rPr>
        <w:footnoteReference w:id="927"/>
      </w:r>
      <w:r w:rsidRPr="0072600F">
        <w:rPr>
          <w:sz w:val="26"/>
          <w:szCs w:val="26"/>
        </w:rPr>
        <w:t xml:space="preserve">  Invenergy similarly argues that the ERIS modeling standard does not guarantee fewer assigned costs, and that even if using ERIS modeling decreases the number of interconnection customers receiving significant affected system upgrade costs, the lack of penalty-free withdrawal for when affected system network upgrade costs remain significant is unjust and unreasonable.</w:t>
      </w:r>
      <w:r>
        <w:rPr>
          <w:rStyle w:val="FootnoteReference"/>
        </w:rPr>
        <w:footnoteReference w:id="928"/>
      </w:r>
      <w:r w:rsidRPr="0072600F">
        <w:rPr>
          <w:sz w:val="26"/>
          <w:szCs w:val="26"/>
        </w:rPr>
        <w:t xml:space="preserve">  Invenergy states that the Commission’s reasoning does not ameliorate the differing treatment of interconnection customers with significant network upgrades and those with significant affected system network upgrades merely because significant affected system upgrade costs might occur less often.</w:t>
      </w:r>
    </w:p>
    <w:p w:rsidR="00760048" w:rsidRPr="0072600F" w14:paraId="582292DA"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request that the Commission match the penalty-free withdrawal cost increase thresholds for both the host and affected systems at the facilities study phase at 50%.</w:t>
      </w:r>
      <w:r>
        <w:rPr>
          <w:rStyle w:val="FootnoteReference"/>
        </w:rPr>
        <w:footnoteReference w:id="929"/>
      </w:r>
      <w:r w:rsidRPr="0072600F">
        <w:rPr>
          <w:sz w:val="26"/>
          <w:szCs w:val="26"/>
        </w:rPr>
        <w:t xml:space="preserve">  In the alternative, Clean Energy Associations argue that the Commission should allow penalty-free withdrawal for interconnection customers based upon the same 100% cost increase on the affected system as on the host transmission system.  Invenergy requests that the Commission modify </w:t>
      </w:r>
      <w:r w:rsidRPr="0072600F">
        <w:rPr>
          <w:i/>
          <w:iCs/>
          <w:sz w:val="26"/>
          <w:szCs w:val="26"/>
        </w:rPr>
        <w:t>pro forma</w:t>
      </w:r>
      <w:r w:rsidRPr="0072600F">
        <w:rPr>
          <w:sz w:val="26"/>
          <w:szCs w:val="26"/>
        </w:rPr>
        <w:t xml:space="preserve"> LGIP section 3.7.1 to include that an interconnection customer may withdraw penalty free after receiving the affected system study and the affected system network upgrade costs identified in the report have increased the interconnection customer’s costs by more than 25% compared to the costs assigned by the host system.</w:t>
      </w:r>
      <w:r>
        <w:rPr>
          <w:rStyle w:val="FootnoteReference"/>
        </w:rPr>
        <w:footnoteReference w:id="930"/>
      </w:r>
      <w:r w:rsidRPr="0072600F">
        <w:rPr>
          <w:sz w:val="26"/>
          <w:szCs w:val="26"/>
        </w:rPr>
        <w:t xml:space="preserve">  Invenergy asserts that such modification is consistent with MISO’s withdrawal process, which progressively increases when interconnection customers may withdraw penalty free, including for affected system network upgrade costs.</w:t>
      </w:r>
      <w:r>
        <w:rPr>
          <w:rStyle w:val="FootnoteReference"/>
        </w:rPr>
        <w:footnoteReference w:id="931"/>
      </w:r>
    </w:p>
    <w:p w:rsidR="00760048" w:rsidRPr="0072600F" w14:paraId="416891A8" w14:textId="77777777">
      <w:pPr>
        <w:pStyle w:val="FERCparanumber"/>
        <w:widowControl/>
        <w:numPr>
          <w:ilvl w:val="0"/>
          <w:numId w:val="25"/>
        </w:numPr>
        <w:autoSpaceDE/>
        <w:autoSpaceDN/>
        <w:adjustRightInd/>
        <w:spacing w:line="480" w:lineRule="auto"/>
        <w:rPr>
          <w:sz w:val="26"/>
          <w:szCs w:val="26"/>
        </w:rPr>
      </w:pPr>
      <w:bookmarkStart w:id="82" w:name="_Hlk157005201"/>
      <w:bookmarkEnd w:id="81"/>
      <w:r w:rsidRPr="0072600F">
        <w:rPr>
          <w:sz w:val="26"/>
          <w:szCs w:val="26"/>
        </w:rPr>
        <w:t>SPP states that the Commission’s decision to require affected system operators to study all interconnection requests on neighboring systems using the ERIS modeling standard is unsupported.</w:t>
      </w:r>
      <w:r>
        <w:rPr>
          <w:rStyle w:val="FootnoteReference"/>
        </w:rPr>
        <w:footnoteReference w:id="932"/>
      </w:r>
      <w:r w:rsidRPr="0072600F">
        <w:rPr>
          <w:sz w:val="26"/>
          <w:szCs w:val="26"/>
        </w:rPr>
        <w:t xml:space="preserve">  SPP argues that limiting affected system transmission providers to use of the ERIS standard will result in significant equity issues when certain generating facilities that are deemed firm by one transmission provider will not be required to mitigate issues on another transmission provider’s system unless they impact a constraint at a level significantly higher than internal generating facilities requesting firm service.  SPP asserts that Order No. 2023 ignores this issue by claiming to ensure that all affected system interconnection customers are studied similarly, while the root issue of the inequity (i.e., the point at which deliverability is determined) remains unaddressed.  SPP states that the Commission’s rationalization, that studying affected system impacts using ERIS lowers affected system network upgrade costs and makes requests less likely to withdraw at a late stage, conflicts with the Commission’s long-standing policy that interconnection customers should be responsible for the costs of all network upgrades that would not be required “but for” their interconnection.</w:t>
      </w:r>
    </w:p>
    <w:p w:rsidR="00760048" w:rsidRPr="0072600F" w14:paraId="63A8B96A" w14:textId="77777777">
      <w:pPr>
        <w:pStyle w:val="FERCparanumber"/>
        <w:widowControl/>
        <w:numPr>
          <w:ilvl w:val="0"/>
          <w:numId w:val="25"/>
        </w:numPr>
        <w:autoSpaceDE/>
        <w:autoSpaceDN/>
        <w:adjustRightInd/>
        <w:spacing w:line="480" w:lineRule="auto"/>
        <w:rPr>
          <w:sz w:val="26"/>
          <w:szCs w:val="26"/>
        </w:rPr>
      </w:pPr>
      <w:r w:rsidRPr="0072600F">
        <w:rPr>
          <w:sz w:val="26"/>
          <w:szCs w:val="26"/>
        </w:rPr>
        <w:t>SPP</w:t>
      </w:r>
      <w:r w:rsidRPr="0072600F">
        <w:rPr>
          <w:sz w:val="26"/>
          <w:szCs w:val="26"/>
        </w:rPr>
        <w:t xml:space="preserve"> </w:t>
      </w:r>
      <w:r w:rsidRPr="0072600F">
        <w:rPr>
          <w:sz w:val="26"/>
          <w:szCs w:val="26"/>
        </w:rPr>
        <w:t>contends that the Commission’s reliance on MISO’s use of only ERIS in affected system studies fails to recognize that SPP assesses deliverability through the transmission service process.</w:t>
      </w:r>
      <w:r>
        <w:rPr>
          <w:rStyle w:val="FootnoteReference"/>
        </w:rPr>
        <w:footnoteReference w:id="933"/>
      </w:r>
      <w:r w:rsidRPr="0072600F">
        <w:rPr>
          <w:sz w:val="26"/>
          <w:szCs w:val="26"/>
        </w:rPr>
        <w:t xml:space="preserve">  As such, SPP asserts that MISO has the opportunity to assess the impacts on its system of firm deliverability granted to generating facilities on the SPP system through transmission service study coordination.  SPP states that it does not get the same opportunity as MISO, who determines and grants deliverability on its own system through its awarding of NRIS during the interconnection process without a subsequent request for transmission service.  SPP concludes that the Commission’s failure to recognize this problem renders Order No. 2023 both discriminatory toward interconnection customers in RTOs/ISOs like SPP and arbitrary and capricious.</w:t>
      </w:r>
      <w:r w:rsidRPr="0072600F">
        <w:rPr>
          <w:rStyle w:val="FootnoteReference"/>
        </w:rPr>
        <w:t xml:space="preserve"> </w:t>
      </w:r>
    </w:p>
    <w:p w:rsidR="00760048" w:rsidRPr="0072600F" w14:paraId="5ADDFA1D" w14:textId="77777777">
      <w:pPr>
        <w:pStyle w:val="FERCparanumber"/>
        <w:widowControl/>
        <w:numPr>
          <w:ilvl w:val="0"/>
          <w:numId w:val="25"/>
        </w:numPr>
        <w:autoSpaceDE/>
        <w:autoSpaceDN/>
        <w:adjustRightInd/>
        <w:spacing w:line="480" w:lineRule="auto"/>
        <w:rPr>
          <w:sz w:val="26"/>
          <w:szCs w:val="26"/>
        </w:rPr>
      </w:pPr>
      <w:r w:rsidRPr="0072600F">
        <w:rPr>
          <w:sz w:val="26"/>
          <w:szCs w:val="26"/>
        </w:rPr>
        <w:t>Similarly, PJM asserts that</w:t>
      </w:r>
      <w:r w:rsidR="004777E1">
        <w:rPr>
          <w:sz w:val="26"/>
          <w:szCs w:val="26"/>
        </w:rPr>
        <w:t>,</w:t>
      </w:r>
      <w:r w:rsidRPr="0072600F">
        <w:rPr>
          <w:sz w:val="26"/>
          <w:szCs w:val="26"/>
        </w:rPr>
        <w:t xml:space="preserve"> because it studies affected system interconnection customers to ensure deliverability anywhere on PJM’s transmission system, studying affected systems interconnection customers based on a lesser standard than that applied to directly connected interconnection customers would be unduly discriminatory and inconsistent with how PJM plans its transmission system.</w:t>
      </w:r>
      <w:r>
        <w:rPr>
          <w:rStyle w:val="FootnoteReference"/>
        </w:rPr>
        <w:footnoteReference w:id="934"/>
      </w:r>
      <w:r w:rsidRPr="0072600F">
        <w:rPr>
          <w:sz w:val="26"/>
          <w:szCs w:val="26"/>
        </w:rPr>
        <w:t xml:space="preserve">  PJM requests clarification that the requirement for all affected system studies to be performed using ERIS will not apply to affected system studies that PJM performs under the interconnection reforms accepted by the Commission in November 2022.</w:t>
      </w:r>
    </w:p>
    <w:p w:rsidR="00760048" w:rsidRPr="0072600F" w14:paraId="10D105E0" w14:textId="77777777">
      <w:pPr>
        <w:pStyle w:val="FERCparanumber"/>
        <w:widowControl/>
        <w:numPr>
          <w:ilvl w:val="0"/>
          <w:numId w:val="25"/>
        </w:numPr>
        <w:autoSpaceDE/>
        <w:autoSpaceDN/>
        <w:adjustRightInd/>
        <w:spacing w:line="480" w:lineRule="auto"/>
        <w:rPr>
          <w:sz w:val="26"/>
          <w:szCs w:val="26"/>
        </w:rPr>
      </w:pPr>
      <w:r w:rsidRPr="0072600F">
        <w:rPr>
          <w:sz w:val="26"/>
          <w:szCs w:val="26"/>
        </w:rPr>
        <w:t>SPP notes that Order No. 2023 directly contradicts recent Commission precedent holding that use of NRIS modeling standards in affected system studies is just and reasonable where the interconnection customer requested NRIS-level interconnection service on the host transmission system.</w:t>
      </w:r>
      <w:r>
        <w:rPr>
          <w:rStyle w:val="FootnoteReference"/>
        </w:rPr>
        <w:footnoteReference w:id="935"/>
      </w:r>
      <w:r w:rsidRPr="0072600F">
        <w:rPr>
          <w:sz w:val="26"/>
          <w:szCs w:val="26"/>
        </w:rPr>
        <w:t xml:space="preserve">  SPP asserts that, by failing to acknowledge its prior holdings and relying on a blanket unsupported assertion that any significant impact would generally be captured by an ERIS study, the Commission’s determination in Order No. 2023 constitutes an arbitrary and capricious departure from prior precedent.</w:t>
      </w:r>
      <w:r w:rsidRPr="0072600F">
        <w:rPr>
          <w:rStyle w:val="FootnoteReference"/>
        </w:rPr>
        <w:t xml:space="preserve"> </w:t>
      </w:r>
    </w:p>
    <w:bookmarkEnd w:id="82"/>
    <w:p w:rsidR="00760048" w:rsidRPr="00663161" w14:paraId="3DDB25F6"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1B4C221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Clean Energy Associations’ and Invenergy’s requests for clarification that there are deadlines for determining that an affected system study will be conducted, we clarify that there are such deadlines.  Pursuant to </w:t>
      </w:r>
      <w:r w:rsidRPr="0072600F">
        <w:rPr>
          <w:i/>
          <w:iCs/>
          <w:sz w:val="26"/>
          <w:szCs w:val="26"/>
        </w:rPr>
        <w:t xml:space="preserve">pro forma </w:t>
      </w:r>
      <w:r w:rsidRPr="0072600F">
        <w:rPr>
          <w:sz w:val="26"/>
          <w:szCs w:val="26"/>
        </w:rPr>
        <w:t xml:space="preserve">LGIP section 9.2, the affected system transmission provider is required to respond in writing within 20 business days of receipt of the initial notification from the host transmission provider that interconnection requests may impact the affected system transmission provider’s transmission system.  From the point of written notification of the intention to conduct the affected system study, the affected system transmission provider then has 15 business days to share a non-binding good faith estimate of the cost and schedule to complete the affected system study.  </w:t>
      </w:r>
    </w:p>
    <w:p w:rsidR="00760048" w:rsidRPr="0072600F" w14:paraId="52C39588" w14:textId="77777777">
      <w:pPr>
        <w:pStyle w:val="FERCparanumber"/>
        <w:widowControl/>
        <w:numPr>
          <w:ilvl w:val="0"/>
          <w:numId w:val="25"/>
        </w:numPr>
        <w:autoSpaceDE/>
        <w:autoSpaceDN/>
        <w:adjustRightInd/>
        <w:spacing w:line="480" w:lineRule="auto"/>
        <w:rPr>
          <w:sz w:val="26"/>
          <w:szCs w:val="26"/>
        </w:rPr>
      </w:pPr>
      <w:r w:rsidRPr="0072600F">
        <w:rPr>
          <w:sz w:val="26"/>
          <w:szCs w:val="26"/>
        </w:rPr>
        <w:t>We reject</w:t>
      </w:r>
      <w:r w:rsidRPr="0072600F">
        <w:rPr>
          <w:sz w:val="26"/>
          <w:szCs w:val="26"/>
        </w:rPr>
        <w:t xml:space="preserve"> </w:t>
      </w:r>
      <w:r w:rsidRPr="0072600F">
        <w:rPr>
          <w:sz w:val="26"/>
          <w:szCs w:val="26"/>
        </w:rPr>
        <w:t xml:space="preserve">Clean Energy Associations’ and Invenergy’s requests for clarification that, if an affected system transmission provider declines to perform an affected system study after the cluster study and the host transmission provider’s notification of an impact on the affected system, the affected system transmission provider is ineligible to run a study after the cluster restudy unless the cluster restudy results in information that was not identified in the initial notification.  We understand Clean Energy Associations’ and Invenergy’s concern to be that affected system transmission providers may have an incentive to perform affected system studies as late as possible, and therefore might decline to conduct an affected system study after the initial notification but later elect to conduct an affected system study, even if no new potential affected system impact is found.  We expect affected system transmission providers to adhere to the affected system study process timelines prescribed in Order No. 2023.  We therefore expect </w:t>
      </w:r>
      <w:r w:rsidR="00715820">
        <w:rPr>
          <w:sz w:val="26"/>
          <w:szCs w:val="26"/>
        </w:rPr>
        <w:t xml:space="preserve">that </w:t>
      </w:r>
      <w:r w:rsidRPr="0072600F">
        <w:rPr>
          <w:sz w:val="26"/>
          <w:szCs w:val="26"/>
        </w:rPr>
        <w:t xml:space="preserve">an affected system transmission provider will respond within 20 business days following notification, pursuant to </w:t>
      </w:r>
      <w:r w:rsidRPr="0072600F">
        <w:rPr>
          <w:i/>
          <w:iCs/>
          <w:sz w:val="26"/>
          <w:szCs w:val="26"/>
        </w:rPr>
        <w:t xml:space="preserve">pro forma </w:t>
      </w:r>
      <w:r w:rsidRPr="0072600F">
        <w:rPr>
          <w:sz w:val="26"/>
          <w:szCs w:val="26"/>
        </w:rPr>
        <w:t xml:space="preserve">LGIP section 9.2, if it intends to conduct an affected system study based on the initial host transmission provider notification, and there is no need for the further clarification requested.    </w:t>
      </w:r>
    </w:p>
    <w:p w:rsidR="00760048" w:rsidRPr="0072600F" w14:paraId="344C5474" w14:textId="77777777">
      <w:pPr>
        <w:pStyle w:val="FERCparanumber"/>
        <w:widowControl/>
        <w:numPr>
          <w:ilvl w:val="0"/>
          <w:numId w:val="25"/>
        </w:numPr>
        <w:autoSpaceDE/>
        <w:autoSpaceDN/>
        <w:adjustRightInd/>
        <w:spacing w:line="480" w:lineRule="auto"/>
        <w:rPr>
          <w:sz w:val="26"/>
          <w:szCs w:val="26"/>
        </w:rPr>
      </w:pPr>
      <w:bookmarkStart w:id="83" w:name="_Ref160729735"/>
      <w:r w:rsidRPr="0072600F">
        <w:rPr>
          <w:sz w:val="26"/>
          <w:szCs w:val="26"/>
        </w:rPr>
        <w:t xml:space="preserve">We are not persuaded by Clean Energy Associations’ request to strike the last sentence of </w:t>
      </w:r>
      <w:r w:rsidRPr="0072600F">
        <w:rPr>
          <w:i/>
          <w:iCs/>
          <w:sz w:val="26"/>
          <w:szCs w:val="26"/>
        </w:rPr>
        <w:t xml:space="preserve">pro forma </w:t>
      </w:r>
      <w:r w:rsidRPr="0072600F">
        <w:rPr>
          <w:sz w:val="26"/>
          <w:szCs w:val="26"/>
        </w:rPr>
        <w:t xml:space="preserve">LGIP section 11.2.1, which allows a transmission provider to reject an interconnection customer’s request for extension of the deadline to execute its LGIA (or request that the LGIA be filed unexecuted) if the transmission provider determines that such delay would cause a material impact on the cost or timing of an equal- or lower-queued interconnection customer.  We also disagree with Invenergy’s assertion that the material exception language in </w:t>
      </w:r>
      <w:r w:rsidRPr="0072600F">
        <w:rPr>
          <w:i/>
          <w:iCs/>
          <w:sz w:val="26"/>
          <w:szCs w:val="26"/>
        </w:rPr>
        <w:t xml:space="preserve">pro forma </w:t>
      </w:r>
      <w:r w:rsidRPr="0072600F">
        <w:rPr>
          <w:sz w:val="26"/>
          <w:szCs w:val="26"/>
        </w:rPr>
        <w:t>LGIP section 11.2.1 makes Order No. 2023 arbitrary and capricious and not the result of reasoned decision-making.  We find that allowing a transmission provider to determine what constitutes a material impact on interconnection customers in a single cluster due to another interconnection customer’s delay in LGIA execution appropriately balances the benefits of delay due to one interconnection customer’s network upgrade cost certainty with the potential burdens on other interconnection customers in that cluster as a result of such delay.  Allowing the transmission provider discretion in determining what constitutes a material impact provides a necessary degree of flexibility for each transmission provider.  We disagree with Clean Energy Associations that this provision undermines the goal of LGIA cost certainty for interconnection customers because there is no requirement for affected system network upgrade costs to be known at the time of LGIA execution:</w:t>
      </w:r>
      <w:r w:rsidRPr="0072600F">
        <w:rPr>
          <w:sz w:val="26"/>
          <w:szCs w:val="26"/>
        </w:rPr>
        <w:t xml:space="preserve"> </w:t>
      </w:r>
      <w:r w:rsidRPr="0072600F">
        <w:rPr>
          <w:sz w:val="26"/>
          <w:szCs w:val="26"/>
        </w:rPr>
        <w:t xml:space="preserve">the costs included in the LGIA are estimates and always subject to true-up once final costs are known, pursuant to </w:t>
      </w:r>
      <w:r w:rsidRPr="0072600F">
        <w:rPr>
          <w:i/>
          <w:iCs/>
          <w:sz w:val="26"/>
          <w:szCs w:val="26"/>
        </w:rPr>
        <w:t xml:space="preserve">pro forma </w:t>
      </w:r>
      <w:r w:rsidRPr="0072600F">
        <w:rPr>
          <w:sz w:val="26"/>
          <w:szCs w:val="26"/>
        </w:rPr>
        <w:t xml:space="preserve">LGIA article 12.2 (Final Invoice).  The goal is a better estimate of costs at the time of LGIA execution, and the material impact language in </w:t>
      </w:r>
      <w:r w:rsidRPr="0072600F">
        <w:rPr>
          <w:i/>
          <w:sz w:val="26"/>
          <w:szCs w:val="26"/>
        </w:rPr>
        <w:t>pro forma</w:t>
      </w:r>
      <w:r w:rsidRPr="0072600F">
        <w:rPr>
          <w:sz w:val="26"/>
          <w:szCs w:val="26"/>
        </w:rPr>
        <w:t xml:space="preserve"> LGIP section 11.2.1 provides a check to ensure a balance between multiple interconnection customers’ competing needs for certainty.</w:t>
      </w:r>
      <w:bookmarkEnd w:id="83"/>
    </w:p>
    <w:p w:rsidR="00760048" w:rsidRPr="0072600F" w14:paraId="6F50BC02" w14:textId="77777777">
      <w:pPr>
        <w:pStyle w:val="FERCparanumber"/>
        <w:widowControl/>
        <w:numPr>
          <w:ilvl w:val="0"/>
          <w:numId w:val="25"/>
        </w:numPr>
        <w:autoSpaceDE/>
        <w:autoSpaceDN/>
        <w:adjustRightInd/>
        <w:spacing w:line="480" w:lineRule="auto"/>
        <w:rPr>
          <w:sz w:val="26"/>
          <w:szCs w:val="26"/>
        </w:rPr>
      </w:pPr>
      <w:r w:rsidRPr="0072600F">
        <w:rPr>
          <w:sz w:val="26"/>
          <w:szCs w:val="26"/>
        </w:rPr>
        <w:t>We reject Clean Energy Associations’ and Invenergy’s requests for clarification that the interconnection customer should be exempt from the requirement to</w:t>
      </w:r>
      <w:r w:rsidRPr="0072600F">
        <w:rPr>
          <w:sz w:val="26"/>
          <w:szCs w:val="26"/>
        </w:rPr>
        <w:t xml:space="preserve"> </w:t>
      </w:r>
      <w:r w:rsidRPr="0072600F">
        <w:rPr>
          <w:sz w:val="26"/>
          <w:szCs w:val="26"/>
        </w:rPr>
        <w:t>post security or fund network upgrades when the host transmission provider determines a material impact from delay and requires that the interconnection customer moves forward with LGIA execution.  We further disagree with Clean Energy Associations’ assertion that we should clarify that when an interconnection customer is not allowed to delay LGIA execution under the material impact standard the interconnection customer will receive a refund of the deposit upon deciding to not move forward with the interconnection after receiving the affected system studies.  Once an interconnection customer executes an LGIA, or requests that it be filed unexecuted, it must fulfill its obligations under the LGIA, which include the requirements to provide financial security and fund assigned network upgrades.</w:t>
      </w:r>
      <w:r>
        <w:rPr>
          <w:rStyle w:val="FootnoteReference"/>
        </w:rPr>
        <w:footnoteReference w:id="936"/>
      </w:r>
      <w:r w:rsidRPr="0072600F">
        <w:rPr>
          <w:sz w:val="26"/>
          <w:szCs w:val="26"/>
        </w:rPr>
        <w:t xml:space="preserve">  Similarly, an interconnection customer that has finalized its LGIA is not entitled to a refund of its deposit.</w:t>
      </w:r>
      <w:r>
        <w:rPr>
          <w:rStyle w:val="FootnoteReference"/>
        </w:rPr>
        <w:footnoteReference w:id="937"/>
      </w:r>
      <w:r w:rsidRPr="0072600F">
        <w:rPr>
          <w:sz w:val="26"/>
          <w:szCs w:val="26"/>
        </w:rPr>
        <w:t xml:space="preserve">  We note that the transmission provider may only require an interconnection customer to finalize its LGIA, despite waiting for its affected system study report, because it materially impacts other interconnection customers.  Allowing an interconnection customer to avoid its financial responsibilities under a finalized LGIA or to have its deposit refunded upon withdrawal after it has finalized its LGIA would nullify the purpose of requiring the interconnection customer to finalize its LGIA—to provide greater certainty to other interconnection customers that would be materially impacted by the interconnection request’s delay or withdrawal.  To the contrary, allowing an interconnection customer to evade these financial risks increases the likelihood it proceeds to finalize its LGIA although its proposed generating facility may no longer be commercially viable.  The other materially impacted interconnection customers, who, for example, may share network upgrade costs with the delayed interconnection customer, would face greater risk of cost increases or timing delays should the delayed interconnection request later be withdrawn, even as they are required to finalize their LGIAs.</w:t>
      </w:r>
      <w:r>
        <w:rPr>
          <w:rStyle w:val="FootnoteReference"/>
        </w:rPr>
        <w:footnoteReference w:id="938"/>
      </w:r>
      <w:r w:rsidRPr="0072600F">
        <w:rPr>
          <w:sz w:val="26"/>
          <w:szCs w:val="26"/>
        </w:rPr>
        <w:t xml:space="preserve"> </w:t>
      </w:r>
    </w:p>
    <w:p w:rsidR="00760048" w:rsidRPr="0072600F" w14:paraId="074978B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Duke Southeast Utilities’ request for clarification of the requirement for a host transmission provider to notify an affected system transmission provider within 10 days of the completion of a cluster study or restudy of potential affected system impacts identified in the study, we clarify that the meaning of the “completion of” a cluster study or restudy is the date the cluster study report or cluster restudy report is provided to interconnection customers.  </w:t>
      </w:r>
    </w:p>
    <w:p w:rsidR="00760048" w:rsidRPr="0072600F" w14:paraId="28A8ABD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Duke Southeast Utilities’ request for clarification regarding whether an affected system transmission provider may terminate an affected system study once it learns of the host transmission provider’s restudy or whether it must continue with the affected system study, we clarify that an affected system transmission provider may pause an affected system study that is planned or in progress if the host transmission provider decides to conduct a cluster restudy.  We also clarify that, if a host transmission provider decides to conduct a cluster restudy, then the affected system transmission provider may delay the affected system study until after the completion of the cluster restudy, following which the host transmission provider will notify the affected system transmission provider that the cluster restudy is complete and of any possible affected system impacts.  The cluster restudy may result in further withdrawals on the host transmission system, which in turn, would impact the affected system study results, possibly resulting in an affected system restudy.  Allowing an affected system transmission provider to delay the affected system study in the event that the host transmission provider is conducting a cluster restudy will prevent unnecessary studies, and potentially cascading restudies, and the resultant costs to interconnection customers, in the affected system transmission provider’s queue.  </w:t>
      </w:r>
    </w:p>
    <w:p w:rsidR="00760048" w:rsidRPr="0072600F" w14:paraId="69D458A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To ensure that the affected system transmission provider is timely informed of the host transmission provider’s decision to conduct a cluster restudy, we add to </w:t>
      </w:r>
      <w:r w:rsidRPr="0072600F">
        <w:rPr>
          <w:i/>
          <w:iCs/>
          <w:sz w:val="26"/>
          <w:szCs w:val="26"/>
        </w:rPr>
        <w:t xml:space="preserve">pro forma </w:t>
      </w:r>
      <w:r w:rsidRPr="0072600F">
        <w:rPr>
          <w:sz w:val="26"/>
          <w:szCs w:val="26"/>
        </w:rPr>
        <w:t>LGIP section 3.6.2 (Notification of Cluster Restudy) the requirement that the host transmission provider notify any relevant affected system operators of a cluster restudy at the same time that it notifies the interconnection customers in the cluster restudy.  Through this modification, the affected system transmission provider will receive notification of the cluster restudy before commencement or completion of a planned or in-progress affected system study and</w:t>
      </w:r>
      <w:r w:rsidRPr="0072600F">
        <w:rPr>
          <w:sz w:val="26"/>
          <w:szCs w:val="26"/>
        </w:rPr>
        <w:t xml:space="preserve"> </w:t>
      </w:r>
      <w:r w:rsidRPr="0072600F">
        <w:rPr>
          <w:sz w:val="26"/>
          <w:szCs w:val="26"/>
        </w:rPr>
        <w:t xml:space="preserve">can use that information to decide whether to move forward with the affected system study or to delay the affected system study until the host transmission provider completes the cluster restudy.  We also add </w:t>
      </w:r>
      <w:r w:rsidRPr="0072600F">
        <w:rPr>
          <w:i/>
          <w:iCs/>
          <w:sz w:val="26"/>
          <w:szCs w:val="26"/>
        </w:rPr>
        <w:t xml:space="preserve">pro forma </w:t>
      </w:r>
      <w:r w:rsidRPr="0072600F">
        <w:rPr>
          <w:sz w:val="26"/>
          <w:szCs w:val="26"/>
        </w:rPr>
        <w:t>LGIP section 9.2.2 (Response to Notification of Cluster Restudy) to allow the affected system transmission provider five business days</w:t>
      </w:r>
      <w:r w:rsidRPr="0072600F">
        <w:rPr>
          <w:sz w:val="26"/>
          <w:szCs w:val="26"/>
        </w:rPr>
        <w:t xml:space="preserve"> </w:t>
      </w:r>
      <w:r w:rsidRPr="0072600F">
        <w:rPr>
          <w:sz w:val="26"/>
          <w:szCs w:val="26"/>
        </w:rPr>
        <w:t xml:space="preserve">from receiving notification of the cluster restudy to send a written notification to the relevant affected system interconnection customers and the host transmission provider if it intends to delay commencement or completion of a planned or in-progress affected system study until after the completion of the cluster restudy.  If the affected system transmission provider decides to delay the affected system study, then it is not required to perform its obligations under </w:t>
      </w:r>
      <w:r w:rsidRPr="0072600F">
        <w:rPr>
          <w:i/>
          <w:iCs/>
          <w:sz w:val="26"/>
          <w:szCs w:val="26"/>
        </w:rPr>
        <w:t xml:space="preserve">pro forma </w:t>
      </w:r>
      <w:r w:rsidRPr="0072600F">
        <w:rPr>
          <w:sz w:val="26"/>
          <w:szCs w:val="26"/>
        </w:rPr>
        <w:t xml:space="preserve">LGIP section 9 until the time that it receives notification from the host transmission provider that the cluster restudy is complete.  In contrast, if the affected system transmission provider decides to move forward with its affected system study despite the cluster restudy, then it must meet all obligations to proceed with the affected system study process under </w:t>
      </w:r>
      <w:r w:rsidRPr="0072600F">
        <w:rPr>
          <w:i/>
          <w:iCs/>
          <w:sz w:val="26"/>
          <w:szCs w:val="26"/>
        </w:rPr>
        <w:t xml:space="preserve">pro forma </w:t>
      </w:r>
      <w:r w:rsidRPr="0072600F">
        <w:rPr>
          <w:sz w:val="26"/>
          <w:szCs w:val="26"/>
        </w:rPr>
        <w:t>LGIP section 9.</w:t>
      </w:r>
    </w:p>
    <w:p w:rsidR="00760048" w:rsidRPr="0072600F" w14:paraId="1258DAF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Additionally, we modify </w:t>
      </w:r>
      <w:r w:rsidRPr="0072600F">
        <w:rPr>
          <w:i/>
          <w:iCs/>
          <w:sz w:val="26"/>
          <w:szCs w:val="26"/>
        </w:rPr>
        <w:t xml:space="preserve">pro forma </w:t>
      </w:r>
      <w:r w:rsidRPr="0072600F">
        <w:rPr>
          <w:sz w:val="26"/>
          <w:szCs w:val="26"/>
        </w:rPr>
        <w:t xml:space="preserve">LGIP section 9.5 (Execution of Affected System Study Agreement/Multiparty Affected System Study Agreement) to remove the requirement for an affected system interconnection customer to execute and return its previously received affected system study agreement/multiparty affected system study agreement and submit its affected system study deposit if the affected system transmission provider decides to delay the affected system study, pursuant to </w:t>
      </w:r>
      <w:r w:rsidRPr="0072600F">
        <w:rPr>
          <w:i/>
          <w:iCs/>
          <w:sz w:val="26"/>
          <w:szCs w:val="26"/>
        </w:rPr>
        <w:t xml:space="preserve">pro forma </w:t>
      </w:r>
      <w:r w:rsidRPr="0072600F">
        <w:rPr>
          <w:sz w:val="26"/>
          <w:szCs w:val="26"/>
        </w:rPr>
        <w:t xml:space="preserve">LGIP section 9.2.2.  We find this modification necessary because the affected system transmission provider will provide the affected system interconnection customer with a new affected system study agreement/multiparty affected system study agreement in this circumstance, and the previously tendered agreement will be moot. </w:t>
      </w:r>
    </w:p>
    <w:p w:rsidR="00760048" w:rsidRPr="0072600F" w14:paraId="75D47A8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add a new </w:t>
      </w:r>
      <w:r w:rsidRPr="0072600F">
        <w:rPr>
          <w:i/>
          <w:iCs/>
          <w:sz w:val="26"/>
          <w:szCs w:val="26"/>
        </w:rPr>
        <w:t xml:space="preserve">pro forma </w:t>
      </w:r>
      <w:r w:rsidRPr="0072600F">
        <w:rPr>
          <w:sz w:val="26"/>
          <w:szCs w:val="26"/>
        </w:rPr>
        <w:t xml:space="preserve">LGIP section 3.6.3 (Notification of Cluster Restudy Completion) to require that, upon the completion of the host transmission provider’s cluster restudy, the host transmission provider will notify the affected system transmission provider the completion of the cluster restudy and of a potential affected system impact caused by an interconnection request within 10 business days of the completion of the cluster restudy, regardless of whether that potential affected system impact was previously identified.  At the time of the notification of the completion of the cluster restudy to the affected system operator, the host transmission provider must provide the interconnection customer with a list of potential affected systems, along with relevant contact information.     </w:t>
      </w:r>
    </w:p>
    <w:p w:rsidR="00760048" w:rsidRPr="0072600F" w14:paraId="736DC6F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Moreover, we clarify that, upon the receipt of notification of any potential affected system impacts from interconnection customers in the cluster restudy, the affected system transmission provider must respond in writing to such interconnection customers within 20 business days whether it intends to conduct an affected system study.  Accordingly, we rename former </w:t>
      </w:r>
      <w:r w:rsidRPr="0072600F">
        <w:rPr>
          <w:i/>
          <w:iCs/>
          <w:sz w:val="26"/>
          <w:szCs w:val="26"/>
        </w:rPr>
        <w:t xml:space="preserve">pro forma </w:t>
      </w:r>
      <w:r w:rsidRPr="0072600F">
        <w:rPr>
          <w:sz w:val="26"/>
          <w:szCs w:val="26"/>
        </w:rPr>
        <w:t xml:space="preserve">LGIP section 9.2 (Response to Initial Notification) to “Response to Notifications” and move the requirements into new section 9.2.1 (Response to Initial Notification).  We revise the requirements to clarify that an affected system transmission provider’s obligations under section 9.2.1 apply whether in response to a notification that an affected system interconnection customer’s proposed interconnection </w:t>
      </w:r>
      <w:r w:rsidR="00BD24BD">
        <w:rPr>
          <w:sz w:val="26"/>
          <w:szCs w:val="26"/>
        </w:rPr>
        <w:t xml:space="preserve">to </w:t>
      </w:r>
      <w:r w:rsidRPr="0072600F">
        <w:rPr>
          <w:sz w:val="26"/>
          <w:szCs w:val="26"/>
        </w:rPr>
        <w:t xml:space="preserve">its host transmission provider may impact the affected system based on a cluster study or a cluster restudy.  Finally, we revise a reference in </w:t>
      </w:r>
      <w:r w:rsidRPr="0072600F">
        <w:rPr>
          <w:i/>
          <w:iCs/>
          <w:sz w:val="26"/>
          <w:szCs w:val="26"/>
        </w:rPr>
        <w:t xml:space="preserve">pro forma </w:t>
      </w:r>
      <w:r w:rsidRPr="0072600F">
        <w:rPr>
          <w:sz w:val="26"/>
          <w:szCs w:val="26"/>
        </w:rPr>
        <w:t>LGIP section 9.4 (Affected System Study Agreement/Multiparty Affected System Study Agreement) from section 9.2 to section 9.2.1.</w:t>
      </w:r>
    </w:p>
    <w:p w:rsidR="00760048" w:rsidRPr="0072600F" w14:paraId="5575D80D" w14:textId="77777777">
      <w:pPr>
        <w:pStyle w:val="FERCparanumber"/>
        <w:widowControl/>
        <w:numPr>
          <w:ilvl w:val="0"/>
          <w:numId w:val="25"/>
        </w:numPr>
        <w:autoSpaceDE/>
        <w:autoSpaceDN/>
        <w:adjustRightInd/>
        <w:spacing w:line="480" w:lineRule="auto"/>
        <w:rPr>
          <w:sz w:val="26"/>
          <w:szCs w:val="26"/>
        </w:rPr>
      </w:pPr>
      <w:bookmarkStart w:id="84" w:name="_Ref161764245"/>
      <w:r w:rsidRPr="0072600F">
        <w:rPr>
          <w:sz w:val="26"/>
          <w:szCs w:val="26"/>
        </w:rPr>
        <w:t>We disagree with Clean Energy Associations’ and Invenergy’s assertion</w:t>
      </w:r>
      <w:r w:rsidR="000C4E9D">
        <w:rPr>
          <w:sz w:val="26"/>
          <w:szCs w:val="26"/>
        </w:rPr>
        <w:t>s</w:t>
      </w:r>
      <w:r w:rsidRPr="0072600F">
        <w:rPr>
          <w:sz w:val="26"/>
          <w:szCs w:val="26"/>
        </w:rPr>
        <w:t xml:space="preserve"> that Order No. 2023 was arbitrary and capricious because it failed to allow interconnection customers to withdraw penalty-free from the interconnection queue if such withdrawal follows significant, unanticipated increases in affected system network upgrade cost estimates.  Although the affected system study process reforms seek to coordinate the host system and affected system studies, there is no guarantee that affected system network upgrade costs will be known even at the time of LGIA finalization, particularly where the affected system is non-jurisdictional and, therefore, not governed by the </w:t>
      </w:r>
      <w:r w:rsidRPr="0072600F">
        <w:rPr>
          <w:i/>
          <w:iCs/>
          <w:sz w:val="26"/>
          <w:szCs w:val="26"/>
        </w:rPr>
        <w:t xml:space="preserve">pro forma </w:t>
      </w:r>
      <w:r w:rsidRPr="0072600F">
        <w:rPr>
          <w:sz w:val="26"/>
          <w:szCs w:val="26"/>
        </w:rPr>
        <w:t xml:space="preserve">LGIP affected systems processes.  The possibility of a long lag between delivery of host system facilities study report and affected system study report could lead to uncertainty for other interconnection customers in the same cluster who are not awaiting affected system study reports and thus must finalize their LGIAs pursuant to </w:t>
      </w:r>
      <w:r w:rsidRPr="0072600F">
        <w:rPr>
          <w:i/>
          <w:iCs/>
          <w:sz w:val="26"/>
          <w:szCs w:val="26"/>
        </w:rPr>
        <w:t xml:space="preserve">pro forma </w:t>
      </w:r>
      <w:r w:rsidRPr="0072600F">
        <w:rPr>
          <w:sz w:val="26"/>
          <w:szCs w:val="26"/>
        </w:rPr>
        <w:t>LGIP section 11.2.1.</w:t>
      </w:r>
      <w:r w:rsidRPr="0072600F">
        <w:rPr>
          <w:b/>
          <w:sz w:val="26"/>
          <w:szCs w:val="26"/>
          <w:vertAlign w:val="superscript"/>
        </w:rPr>
        <w:t xml:space="preserve"> </w:t>
      </w:r>
      <w:r w:rsidRPr="0072600F">
        <w:rPr>
          <w:sz w:val="26"/>
          <w:szCs w:val="26"/>
        </w:rPr>
        <w:t xml:space="preserve"> Allowing late-stage, penalty-free withdrawal for interconnection customers after potentially delayed receipt of the affected system study report could substantially harm those interconnection customers who had to finalize their LGIAs and share network upgrade costs with the withdrawing interconnection customer.  Such a practice of penalty-free withdrawal after other interconnection customers in the same cluster have finalized their LGIAs would give greater weight to cost certainty of a few interconnection customers who are awaiting affected system study results than to the many interconnection customers who did not impact an affected system and had to finalize their LGIAs.  Furthermore, penalty-free withdrawal of interconnection customers after they have received their affected system study results and after other interconnection customers in the same cluster have finalized their LGIAs could lead to one of the very problems Order No. 2023 sought to mitigate—cascading withdrawals and restudies—which can result in cost increases and delays, which in turn can prompt further late-stage withdrawals.</w:t>
      </w:r>
      <w:r>
        <w:rPr>
          <w:rStyle w:val="FootnoteReference"/>
        </w:rPr>
        <w:footnoteReference w:id="939"/>
      </w:r>
      <w:r w:rsidRPr="0072600F">
        <w:rPr>
          <w:sz w:val="26"/>
          <w:szCs w:val="26"/>
        </w:rPr>
        <w:t xml:space="preserve">  It is, therefore, more important for </w:t>
      </w:r>
      <w:r w:rsidRPr="0072600F">
        <w:rPr>
          <w:i/>
          <w:sz w:val="26"/>
          <w:szCs w:val="26"/>
        </w:rPr>
        <w:t>all</w:t>
      </w:r>
      <w:r w:rsidRPr="0072600F">
        <w:rPr>
          <w:sz w:val="26"/>
          <w:szCs w:val="26"/>
        </w:rPr>
        <w:t xml:space="preserve"> interconnection customers in a cluster to have greater certainty that, once interconnection customers decide whether to proceed after the final facilities study report, withdrawals are less likely, than for one or few interconnection customers in a cluster to have cost estimate certainty inclusive of affected system study results.</w:t>
      </w:r>
      <w:bookmarkEnd w:id="84"/>
      <w:r w:rsidRPr="0072600F">
        <w:rPr>
          <w:sz w:val="26"/>
          <w:szCs w:val="26"/>
        </w:rPr>
        <w:t xml:space="preserve">  </w:t>
      </w:r>
    </w:p>
    <w:p w:rsidR="00760048" w:rsidRPr="0072600F" w14:paraId="24EE5619" w14:textId="77777777">
      <w:pPr>
        <w:pStyle w:val="FERCparanumber"/>
        <w:widowControl/>
        <w:numPr>
          <w:ilvl w:val="0"/>
          <w:numId w:val="25"/>
        </w:numPr>
        <w:autoSpaceDE/>
        <w:autoSpaceDN/>
        <w:adjustRightInd/>
        <w:spacing w:line="480" w:lineRule="auto"/>
        <w:rPr>
          <w:sz w:val="26"/>
          <w:szCs w:val="26"/>
        </w:rPr>
      </w:pPr>
      <w:r w:rsidRPr="0072600F">
        <w:rPr>
          <w:sz w:val="26"/>
          <w:szCs w:val="26"/>
        </w:rPr>
        <w:t>We</w:t>
      </w:r>
      <w:r w:rsidRPr="0072600F">
        <w:rPr>
          <w:sz w:val="26"/>
          <w:szCs w:val="26"/>
        </w:rPr>
        <w:t xml:space="preserve"> </w:t>
      </w:r>
      <w:r w:rsidRPr="0072600F">
        <w:rPr>
          <w:sz w:val="26"/>
          <w:szCs w:val="26"/>
        </w:rPr>
        <w:t xml:space="preserve">expect that the affected system study process reforms in Order No. 2023 should reduce affected system network upgrade costs.  Specifically, as Clean Energy Associations and Invenergy point out, the Commission stated in Order No. 2023 that the use of ERIS to conduct affected system studies </w:t>
      </w:r>
      <w:r w:rsidRPr="0072600F">
        <w:rPr>
          <w:i/>
          <w:sz w:val="26"/>
          <w:szCs w:val="26"/>
        </w:rPr>
        <w:t>should</w:t>
      </w:r>
      <w:r w:rsidRPr="0072600F">
        <w:rPr>
          <w:sz w:val="26"/>
          <w:szCs w:val="26"/>
        </w:rPr>
        <w:t xml:space="preserve"> reduce the number and total cost of affected system network upgrades assigned to interconnection customers with affected system impacts.  We did not, as Invenergy </w:t>
      </w:r>
      <w:r w:rsidRPr="0072600F">
        <w:rPr>
          <w:sz w:val="26"/>
          <w:szCs w:val="26"/>
        </w:rPr>
        <w:t>implies,</w:t>
      </w:r>
      <w:r w:rsidRPr="0072600F">
        <w:rPr>
          <w:sz w:val="26"/>
          <w:szCs w:val="26"/>
        </w:rPr>
        <w:t xml:space="preserve"> state that the use of ERIS in affected system studies </w:t>
      </w:r>
      <w:r w:rsidRPr="0072600F">
        <w:rPr>
          <w:i/>
          <w:sz w:val="26"/>
          <w:szCs w:val="26"/>
        </w:rPr>
        <w:t>guarantees</w:t>
      </w:r>
      <w:r w:rsidRPr="0072600F">
        <w:rPr>
          <w:sz w:val="26"/>
          <w:szCs w:val="26"/>
        </w:rPr>
        <w:t xml:space="preserve"> fewer assigned costs.  As the Commission noted in Order No. 2023, interconnection customers inherently assume some risk.</w:t>
      </w:r>
      <w:r>
        <w:rPr>
          <w:rStyle w:val="FootnoteReference"/>
        </w:rPr>
        <w:footnoteReference w:id="940"/>
      </w:r>
      <w:r w:rsidRPr="0072600F">
        <w:rPr>
          <w:sz w:val="26"/>
          <w:szCs w:val="26"/>
        </w:rPr>
        <w:t xml:space="preserve">  Interconnection customers will calculate that risk into their decision as to whether to stay in the queue following the receipt of their facilities study reports, and we note that interconnection customers are always able to withdraw, pursuant to </w:t>
      </w:r>
      <w:r w:rsidRPr="0072600F">
        <w:rPr>
          <w:i/>
          <w:iCs/>
          <w:sz w:val="26"/>
          <w:szCs w:val="26"/>
        </w:rPr>
        <w:t xml:space="preserve">pro forma </w:t>
      </w:r>
      <w:r w:rsidRPr="0072600F">
        <w:rPr>
          <w:sz w:val="26"/>
          <w:szCs w:val="26"/>
        </w:rPr>
        <w:t xml:space="preserve">LGIP section 3.7, if their project becomes uneconomical based on significant affected system network upgrade costs.  We also note that the language in </w:t>
      </w:r>
      <w:r w:rsidRPr="0072600F">
        <w:rPr>
          <w:i/>
          <w:iCs/>
          <w:sz w:val="26"/>
          <w:szCs w:val="26"/>
        </w:rPr>
        <w:t>pro forma</w:t>
      </w:r>
      <w:r w:rsidRPr="0072600F">
        <w:rPr>
          <w:sz w:val="26"/>
          <w:szCs w:val="26"/>
        </w:rPr>
        <w:t xml:space="preserve"> LGIP section 3.7.1 applies to network upgrades costs assigned to the interconnection request, and, because an affected system network upgrade is a subset of network upgrades, affected system network upgrade cost estimates should be included in the total cost increase if listed in the facilities study report.  In such a situation, if the network upgrades costs </w:t>
      </w:r>
      <w:r w:rsidR="00672A6F">
        <w:rPr>
          <w:sz w:val="26"/>
          <w:szCs w:val="26"/>
        </w:rPr>
        <w:t>(</w:t>
      </w:r>
      <w:r w:rsidRPr="0072600F">
        <w:rPr>
          <w:sz w:val="26"/>
          <w:szCs w:val="26"/>
        </w:rPr>
        <w:t>including the affected system network upgrade costs</w:t>
      </w:r>
      <w:r w:rsidR="00672A6F">
        <w:rPr>
          <w:sz w:val="26"/>
          <w:szCs w:val="26"/>
        </w:rPr>
        <w:t>)</w:t>
      </w:r>
      <w:r w:rsidRPr="0072600F">
        <w:rPr>
          <w:sz w:val="26"/>
          <w:szCs w:val="26"/>
        </w:rPr>
        <w:t xml:space="preserve"> in the facilities study report were more than 100% higher than the cluster study report, then the interconnection customer may be eligible for penalty-free withdrawals.  </w:t>
      </w:r>
    </w:p>
    <w:p w:rsidR="00760048" w:rsidRPr="0072600F" w14:paraId="6669BBB8"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Clean Energy Associations’ and Invenergy’s assertion</w:t>
      </w:r>
      <w:r w:rsidR="00672A6F">
        <w:rPr>
          <w:sz w:val="26"/>
          <w:szCs w:val="26"/>
        </w:rPr>
        <w:t>s</w:t>
      </w:r>
      <w:r w:rsidRPr="0072600F">
        <w:rPr>
          <w:sz w:val="26"/>
          <w:szCs w:val="26"/>
        </w:rPr>
        <w:t xml:space="preserve"> that, even if ERIS modeling decreases the number of interconnection customers receiving significant affected system network upgrades costs, this does not ameliorate the differing treatment between interconnection customers with significant network upgrades and those with significant affected system network upgrades.  An interconnection customer that is notified of significant network upgrades and one that is notified of significant affected system network upgrades are not differently situated, as alleged, because affected system network upgrade costs may occur less often, but rather because of the timing within the interconnection study process that such notices occur, and the increased impacts on other interconnection customers of allowing for penalty-free withdrawal late within that process.  As discussed above, because allowing late-stage, penalty-free withdrawal for interconnection customers after potentially delayed receipt of the affected system study report could substantially harm those interconnection customers who had to finalize their LGIAs and share network upgrade costs with the withdrawing interconnection customer, the differing requirements are justified.  </w:t>
      </w:r>
    </w:p>
    <w:p w:rsidR="00760048" w:rsidRPr="0072600F" w14:paraId="01537C5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therefore, are not persuaded to extend penalty-free withdrawal provisions to interconnection customers for affected system network upgrade cost increases beyond a certain threshold.  As noted, in the interest of greater cost certainty </w:t>
      </w:r>
      <w:r w:rsidR="00BD3262">
        <w:rPr>
          <w:sz w:val="26"/>
          <w:szCs w:val="26"/>
        </w:rPr>
        <w:t>for</w:t>
      </w:r>
      <w:r w:rsidRPr="0072600F">
        <w:rPr>
          <w:sz w:val="26"/>
          <w:szCs w:val="26"/>
        </w:rPr>
        <w:t xml:space="preserve"> all interconnection customers, we maintain that penalty-free withdrawal exemptions triggered by cost increases above a certain threshold are not applicable after the finalization of the LGIA for any interconnection customers in the same cluster, even an interconnection customer that must finalize its LGIA before receiving its affected system study report.  We also disagree that the lack of penalty-free withdrawal thresholds essentially results in uncapped liability because the interconnection customer may still withdraw and face only the withdrawal penalty.   </w:t>
      </w:r>
    </w:p>
    <w:p w:rsidR="00760048" w:rsidRPr="0072600F" w14:paraId="7AD661D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Clean Energy Associations’ and Invenergy’s arguments that failing to include affected system network upgrade costs in withdrawal penalty exemption calculations will discourage generating facilities that experience significant cost increases from withdrawing from the interconnection process in a timely manner.  As long as the interconnection customer fulfills its obligations under the </w:t>
      </w:r>
      <w:r w:rsidRPr="0072600F">
        <w:rPr>
          <w:i/>
          <w:iCs/>
          <w:sz w:val="26"/>
          <w:szCs w:val="26"/>
        </w:rPr>
        <w:t xml:space="preserve">pro forma </w:t>
      </w:r>
      <w:r w:rsidRPr="0072600F">
        <w:rPr>
          <w:sz w:val="26"/>
          <w:szCs w:val="26"/>
        </w:rPr>
        <w:t>LGIP, it may opt to stay in the queue until it decides that its project is uneconomical.</w:t>
      </w:r>
      <w:r w:rsidRPr="0072600F">
        <w:rPr>
          <w:sz w:val="26"/>
          <w:szCs w:val="26"/>
        </w:rPr>
        <w:t xml:space="preserve"> </w:t>
      </w:r>
      <w:r w:rsidRPr="0072600F">
        <w:rPr>
          <w:sz w:val="26"/>
          <w:szCs w:val="26"/>
        </w:rPr>
        <w:t xml:space="preserve"> If the interconnection customer decides after receiving its affected system study report that significant cost increases render its project uneconomical, nothing in the </w:t>
      </w:r>
      <w:r w:rsidRPr="0072600F">
        <w:rPr>
          <w:i/>
          <w:sz w:val="26"/>
          <w:szCs w:val="26"/>
        </w:rPr>
        <w:t>pro forma</w:t>
      </w:r>
      <w:r w:rsidRPr="0072600F">
        <w:rPr>
          <w:sz w:val="26"/>
          <w:szCs w:val="26"/>
        </w:rPr>
        <w:t xml:space="preserve"> LGIP prohibits it from withdrawing from the queue at that time.  Moreover, if affected system network upgrade costs were included as a basis for withdrawal penalty-free in all cases, this could encourage interconnection customers waiting for their affected systems study results to remain in the queue, even if they have determined that their proposed generating facility is no longer commercially viable, because the possibility of significant affected systems network upgrade costs in such study could allow for withdrawal penalty-free</w:t>
      </w:r>
      <w:r w:rsidRPr="0072600F">
        <w:rPr>
          <w:sz w:val="26"/>
          <w:szCs w:val="26"/>
        </w:rPr>
        <w:t>.</w:t>
      </w:r>
    </w:p>
    <w:p w:rsidR="00760048" w:rsidRPr="0072600F" w:rsidP="001E6AA2" w14:paraId="0D75149C" w14:textId="77777777">
      <w:pPr>
        <w:pStyle w:val="FERCparanumber"/>
        <w:widowControl/>
        <w:numPr>
          <w:ilvl w:val="0"/>
          <w:numId w:val="25"/>
        </w:numPr>
        <w:autoSpaceDE/>
        <w:autoSpaceDN/>
        <w:adjustRightInd/>
        <w:spacing w:line="480" w:lineRule="auto"/>
        <w:ind w:right="-90"/>
        <w:rPr>
          <w:sz w:val="26"/>
          <w:szCs w:val="26"/>
        </w:rPr>
      </w:pPr>
      <w:bookmarkStart w:id="85" w:name="_Ref159920843"/>
      <w:r w:rsidRPr="0072600F">
        <w:rPr>
          <w:sz w:val="26"/>
          <w:szCs w:val="26"/>
        </w:rPr>
        <w:t>We disagree with SPP’s assertion that requiring affected system transmission providers to use ERIS in affected system studies will result in significant equity issues because of the differences in how neighboring transmission providers study generators requesting firm transmission service.  SPP states that each RTO/ISO evaluates deliverability of resources pursuant to its individual Commission-approved processes and relies on the differences between SPP’s and MISO’s interconnection and transmission service study processes as evidence for its need to use NRIS for affected system interconnection request</w:t>
      </w:r>
      <w:r w:rsidR="0090109B">
        <w:rPr>
          <w:sz w:val="26"/>
          <w:szCs w:val="26"/>
        </w:rPr>
        <w:t xml:space="preserve">s requesting NRIS </w:t>
      </w:r>
      <w:r w:rsidR="009254B8">
        <w:rPr>
          <w:sz w:val="26"/>
          <w:szCs w:val="26"/>
        </w:rPr>
        <w:t>on their host system</w:t>
      </w:r>
      <w:r w:rsidRPr="0072600F">
        <w:rPr>
          <w:sz w:val="26"/>
          <w:szCs w:val="26"/>
        </w:rPr>
        <w:t xml:space="preserve"> to </w:t>
      </w:r>
      <w:r w:rsidRPr="00483C37">
        <w:rPr>
          <w:sz w:val="26"/>
          <w:szCs w:val="26"/>
        </w:rPr>
        <w:t>ensure deliverability.</w:t>
      </w:r>
      <w:r w:rsidRPr="0072600F">
        <w:rPr>
          <w:sz w:val="26"/>
          <w:szCs w:val="26"/>
        </w:rPr>
        <w:t xml:space="preserve">  However, as the Commission found in Order No. 2003 and reiterated in Order No. 2023, interconnection service is an element of, but separate from the delivery component of, transmission service, and, in the majority of circumstances, interconnection alone is unlikely to affect the reliability of an affected system transmission provider’s transmission system.</w:t>
      </w:r>
      <w:r>
        <w:rPr>
          <w:rStyle w:val="FootnoteReference"/>
        </w:rPr>
        <w:footnoteReference w:id="941"/>
      </w:r>
      <w:r w:rsidRPr="0072600F">
        <w:rPr>
          <w:sz w:val="26"/>
          <w:szCs w:val="26"/>
        </w:rPr>
        <w:t xml:space="preserve">  </w:t>
      </w:r>
      <w:r w:rsidRPr="00170DB6" w:rsidR="00170DB6">
        <w:rPr>
          <w:sz w:val="26"/>
          <w:szCs w:val="26"/>
        </w:rPr>
        <w:t>Furthermore, the differences between SPP’s and MISO’s interconnection and transmission study processes that SPP describes do not undermine the bases on which the Commission determined that continuing to permit affected system transmission providers to study affected system interconnection customers using NRIS assumptions would allow unjust and unreasonable rates to persist.</w:t>
      </w:r>
      <w:r>
        <w:rPr>
          <w:b/>
          <w:sz w:val="26"/>
          <w:szCs w:val="26"/>
          <w:vertAlign w:val="superscript"/>
        </w:rPr>
        <w:footnoteReference w:id="942"/>
      </w:r>
      <w:r w:rsidRPr="00170DB6" w:rsidR="00170DB6">
        <w:rPr>
          <w:sz w:val="26"/>
          <w:szCs w:val="26"/>
        </w:rPr>
        <w:t xml:space="preserve">  </w:t>
      </w:r>
      <w:r w:rsidR="00187EC0">
        <w:rPr>
          <w:sz w:val="26"/>
          <w:szCs w:val="26"/>
        </w:rPr>
        <w:t>A</w:t>
      </w:r>
      <w:r w:rsidRPr="00170DB6" w:rsidR="00170DB6">
        <w:rPr>
          <w:sz w:val="26"/>
          <w:szCs w:val="26"/>
        </w:rPr>
        <w:t xml:space="preserve"> primary basis on which the Commission found the ERIS requirement just and reasonable is that even when an interconnection customer seeks NRIS on the host system, it does not seek—and an affected system transmission provider has no obligation to continually ensure—deliverability on the affected system.</w:t>
      </w:r>
      <w:r>
        <w:rPr>
          <w:b/>
          <w:sz w:val="26"/>
          <w:szCs w:val="26"/>
          <w:vertAlign w:val="superscript"/>
        </w:rPr>
        <w:footnoteReference w:id="943"/>
      </w:r>
      <w:r w:rsidRPr="00170DB6" w:rsidR="00170DB6">
        <w:rPr>
          <w:sz w:val="26"/>
          <w:szCs w:val="26"/>
        </w:rPr>
        <w:t xml:space="preserve">  To instead permit an affected system transmission provider to use NRIS assumptions risks “an affected system interconnection customer [facing] increased costs without a commensurate increase in service.”</w:t>
      </w:r>
      <w:r>
        <w:rPr>
          <w:b/>
          <w:sz w:val="26"/>
          <w:szCs w:val="26"/>
          <w:vertAlign w:val="superscript"/>
        </w:rPr>
        <w:footnoteReference w:id="944"/>
      </w:r>
      <w:r w:rsidRPr="00170DB6" w:rsidR="00170DB6">
        <w:rPr>
          <w:sz w:val="26"/>
          <w:szCs w:val="26"/>
        </w:rPr>
        <w:t xml:space="preserve">  We continue to find that adopting the ERIS requirement for affected system transmission providers will provide important benefits</w:t>
      </w:r>
      <w:r>
        <w:rPr>
          <w:b/>
          <w:sz w:val="26"/>
          <w:szCs w:val="26"/>
          <w:vertAlign w:val="superscript"/>
        </w:rPr>
        <w:footnoteReference w:id="945"/>
      </w:r>
      <w:r w:rsidRPr="00170DB6" w:rsidR="00170DB6">
        <w:rPr>
          <w:sz w:val="26"/>
          <w:szCs w:val="26"/>
        </w:rPr>
        <w:t xml:space="preserve"> even where the details of study processes may differ somewhat across transmission providers, and that such requirement is sufficient to capture reliability impacts of affected system interconnection requests on the affected system</w:t>
      </w:r>
      <w:r w:rsidRPr="0072600F">
        <w:rPr>
          <w:sz w:val="26"/>
          <w:szCs w:val="26"/>
        </w:rPr>
        <w:t>.</w:t>
      </w:r>
      <w:r>
        <w:rPr>
          <w:rStyle w:val="FootnoteReference"/>
        </w:rPr>
        <w:footnoteReference w:id="946"/>
      </w:r>
      <w:bookmarkEnd w:id="85"/>
    </w:p>
    <w:p w:rsidR="00760048" w:rsidRPr="0072600F" w14:paraId="5FA46209" w14:textId="77777777">
      <w:pPr>
        <w:pStyle w:val="FERCparanumber"/>
        <w:widowControl/>
        <w:numPr>
          <w:ilvl w:val="0"/>
          <w:numId w:val="25"/>
        </w:numPr>
        <w:autoSpaceDE/>
        <w:autoSpaceDN/>
        <w:adjustRightInd/>
        <w:spacing w:line="480" w:lineRule="auto"/>
        <w:rPr>
          <w:sz w:val="26"/>
          <w:szCs w:val="26"/>
        </w:rPr>
      </w:pPr>
      <w:bookmarkStart w:id="86" w:name="_Ref161763722"/>
      <w:r w:rsidRPr="0072600F">
        <w:rPr>
          <w:sz w:val="26"/>
          <w:szCs w:val="26"/>
        </w:rPr>
        <w:t>We similarly reject PJM’s request for clarification that Order No. 2023’s requirement for affected system transmission providers to use ERIS when conducting affected system studies will not apply to PJM’s affected system studies.  We reject this clarification because it is essentially a request for the Commission to allow PJM to deviate from the requirements outlined in Order No. 2023 based on its individual interconnection study procedures.</w:t>
      </w:r>
      <w:r w:rsidRPr="0072600F">
        <w:rPr>
          <w:sz w:val="26"/>
          <w:szCs w:val="26"/>
        </w:rPr>
        <w:t xml:space="preserve"> </w:t>
      </w:r>
      <w:r w:rsidRPr="0072600F">
        <w:rPr>
          <w:sz w:val="26"/>
          <w:szCs w:val="26"/>
        </w:rPr>
        <w:t xml:space="preserve">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w:t>
      </w:r>
      <w:r>
        <w:rPr>
          <w:rStyle w:val="FootnoteReference"/>
        </w:rPr>
        <w:footnoteReference w:id="947"/>
      </w:r>
      <w:bookmarkEnd w:id="86"/>
      <w:r w:rsidRPr="0072600F">
        <w:rPr>
          <w:sz w:val="26"/>
          <w:szCs w:val="26"/>
        </w:rPr>
        <w:t xml:space="preserve">  </w:t>
      </w:r>
    </w:p>
    <w:p w:rsidR="00760048" w:rsidRPr="0072600F" w14:paraId="4051EA68"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disagree with SPP’s assertion that the Commission’s rationale for requiring ERIS conflicts with the Commission’s long-standing policy that interconnection customers should be responsible for the costs of all network upgrades that would not be required “but for” their interconnection.  This policy only requires interconnection customers to pay initially the costs</w:t>
      </w:r>
      <w:r w:rsidRPr="0072600F">
        <w:rPr>
          <w:sz w:val="26"/>
          <w:szCs w:val="26"/>
        </w:rPr>
        <w:t xml:space="preserve"> </w:t>
      </w:r>
      <w:r w:rsidRPr="0072600F">
        <w:rPr>
          <w:sz w:val="26"/>
          <w:szCs w:val="26"/>
        </w:rPr>
        <w:t>of network upgrades that would not have been needed but for the interconnection of the interconnection customer’s generating facility.</w:t>
      </w:r>
      <w:r>
        <w:rPr>
          <w:rStyle w:val="FootnoteReference"/>
        </w:rPr>
        <w:footnoteReference w:id="948"/>
      </w:r>
      <w:r w:rsidRPr="0072600F">
        <w:rPr>
          <w:sz w:val="26"/>
          <w:szCs w:val="26"/>
        </w:rPr>
        <w:t xml:space="preserve">  The Commission has not defined a particular technical approach that must be implemented in order to reasonably capture these “but for” network upgrade costs; instead, the Commission has accepted varying approaches as just and reasonable and not unduly discriminatory or preferential.</w:t>
      </w:r>
      <w:r>
        <w:rPr>
          <w:rStyle w:val="FootnoteReference"/>
        </w:rPr>
        <w:footnoteReference w:id="949"/>
      </w:r>
      <w:r w:rsidRPr="0072600F">
        <w:rPr>
          <w:sz w:val="26"/>
          <w:szCs w:val="26"/>
        </w:rPr>
        <w:t xml:space="preserve">  In Order No. 2023, the Commission found that “any significant impact would generally be captured by an ERIS study” and such study would “ensure any reliability impacts on the affected system are mitigated to accommodate the affected systems interconnection customer’s proposed generating facility to the host system.”</w:t>
      </w:r>
      <w:r>
        <w:rPr>
          <w:rStyle w:val="FootnoteReference"/>
        </w:rPr>
        <w:footnoteReference w:id="950"/>
      </w:r>
      <w:r w:rsidRPr="0072600F">
        <w:rPr>
          <w:sz w:val="26"/>
          <w:szCs w:val="26"/>
        </w:rPr>
        <w:t xml:space="preserve">  Accordingly, requiring use of an ERIS study to assign affected system network upgrades to affected system interconnection customers does not conflict with the Commission’s “but for” pricing policy.</w:t>
      </w:r>
    </w:p>
    <w:p w:rsidR="00760048" w:rsidRPr="0072600F" w14:paraId="219A6A48"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SPP’s assertion that the Commission’s reliance on MISO’s use of ERIS in affected system studies fails to recognize that SPP assesses deliverability through the transmission service process.  Order No. 2023 relies on MISO’s use of ERIS in affected system studies simply to demonstrate that, as noted by MISO itself, this requirement does not result in reliability issues and will not cause unnecessary curtailment or redispatch on affected systems.</w:t>
      </w:r>
      <w:r>
        <w:rPr>
          <w:rStyle w:val="FootnoteReference"/>
        </w:rPr>
        <w:footnoteReference w:id="951"/>
      </w:r>
      <w:r w:rsidRPr="0072600F">
        <w:rPr>
          <w:sz w:val="26"/>
          <w:szCs w:val="26"/>
        </w:rPr>
        <w:t xml:space="preserve">  </w:t>
      </w:r>
    </w:p>
    <w:p w:rsidR="00760048" w:rsidRPr="0072600F" w14:paraId="3BEBFF1C"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SPP’s claim that the findings in Order No. 2023 contradict recent Commission precedent holding that the use of NRIS modeling standards in affected system studies is just and reasonable where the interconnection customer requested NRIS-level interconnection service on the host transmission system.</w:t>
      </w:r>
      <w:r>
        <w:rPr>
          <w:rStyle w:val="FootnoteReference"/>
        </w:rPr>
        <w:footnoteReference w:id="952"/>
      </w:r>
      <w:r w:rsidRPr="0072600F">
        <w:rPr>
          <w:sz w:val="26"/>
          <w:szCs w:val="26"/>
        </w:rPr>
        <w:t xml:space="preserve">  While the Commission previously allowed affected system transmission providers to justify their own approach to selecting the modeling standard used to evaluate affected system impacts, we found in Order No. 2023 that the assignment of significant affected system network upgrades under an NRIS study without a commensurate increase in service would result in unjust and unreasonable rates.</w:t>
      </w:r>
      <w:r>
        <w:rPr>
          <w:rStyle w:val="FootnoteReference"/>
        </w:rPr>
        <w:footnoteReference w:id="953"/>
      </w:r>
      <w:r w:rsidRPr="0072600F">
        <w:rPr>
          <w:sz w:val="26"/>
          <w:szCs w:val="26"/>
        </w:rPr>
        <w:t xml:space="preserve">  This is because the affected system transmission provider has no obligation to ensure that the output from an affected system interconnection customer’s generating facility is integrated on the affected system similar to generating facilities that serve the affected system transmission provider’s native load customers or network resources.</w:t>
      </w:r>
      <w:r>
        <w:rPr>
          <w:rStyle w:val="FootnoteReference"/>
        </w:rPr>
        <w:footnoteReference w:id="954"/>
      </w:r>
      <w:r w:rsidRPr="0072600F">
        <w:rPr>
          <w:sz w:val="26"/>
          <w:szCs w:val="26"/>
        </w:rPr>
        <w:t xml:space="preserve">  The Commission found that the mismatch between costs and services received would occur because the affected system transmission provider has no obligation to ensure that the output from the affected system interconnection customer’s generating facility is studied so that it could be integrated on the affected system similar to generating facilities that serve the affected system transmission provider’s native load or customers and could lead to curtailment of the generating facility or there could be congestion on the affected system preventing deliverability of the generating facility’s output.</w:t>
      </w:r>
      <w:r>
        <w:rPr>
          <w:rStyle w:val="FootnoteReference"/>
        </w:rPr>
        <w:footnoteReference w:id="955"/>
      </w:r>
      <w:r w:rsidRPr="0072600F">
        <w:rPr>
          <w:sz w:val="26"/>
          <w:szCs w:val="26"/>
        </w:rPr>
        <w:t xml:space="preserve">  Thus, we sustain Order No. 2023’s finding that being assigned significant affected system network upgrades under an NRIS study</w:t>
      </w:r>
      <w:r w:rsidR="006A5D36">
        <w:rPr>
          <w:sz w:val="26"/>
          <w:szCs w:val="26"/>
        </w:rPr>
        <w:t>,</w:t>
      </w:r>
      <w:r w:rsidRPr="0072600F">
        <w:rPr>
          <w:sz w:val="26"/>
          <w:szCs w:val="26"/>
        </w:rPr>
        <w:t xml:space="preserve"> without the obligation for the affected system transmission provider to ensure that the output from an affected system interconnection customer’s generating facility is integrated on the affected system similar to generating facilities that serve the affected system transmission provider’s native load customers or network resources</w:t>
      </w:r>
      <w:r w:rsidR="006A5D36">
        <w:rPr>
          <w:sz w:val="26"/>
          <w:szCs w:val="26"/>
        </w:rPr>
        <w:t>,</w:t>
      </w:r>
      <w:r w:rsidRPr="0072600F">
        <w:rPr>
          <w:sz w:val="26"/>
          <w:szCs w:val="26"/>
        </w:rPr>
        <w:t xml:space="preserve"> results in unjust and unreasonable rates by increasing the cost for affected system interconnection customers without a commensurate increase in service.</w:t>
      </w:r>
      <w:r>
        <w:rPr>
          <w:rStyle w:val="FootnoteReference"/>
        </w:rPr>
        <w:footnoteReference w:id="956"/>
      </w:r>
      <w:r w:rsidRPr="0072600F">
        <w:rPr>
          <w:sz w:val="26"/>
          <w:szCs w:val="26"/>
        </w:rPr>
        <w:t xml:space="preserve">  Given this finding, the Commission’s previous permissiveness in allowing transmission providers to justify their own approach to affected system study modeling criteria is no longer appropriate.  </w:t>
      </w:r>
    </w:p>
    <w:p w:rsidR="00760048" w:rsidRPr="0072600F" w14:paraId="67A69C6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Additionally, we note that the issue raised in </w:t>
      </w:r>
      <w:r w:rsidRPr="0072600F">
        <w:rPr>
          <w:i/>
          <w:iCs/>
          <w:sz w:val="26"/>
          <w:szCs w:val="26"/>
        </w:rPr>
        <w:t>EDF Renewable Energy Inc. v. Midcontinent Indep. Sys. Operator, Inc.</w:t>
      </w:r>
      <w:r w:rsidRPr="0072600F">
        <w:rPr>
          <w:sz w:val="26"/>
          <w:szCs w:val="26"/>
        </w:rPr>
        <w:t xml:space="preserve"> was not whether the use of NRIS in affected system studies results in just and reasonable and not unduly discriminatory or preferential treatment of affected system interconnection customers.  Rather, the issue was whether</w:t>
      </w:r>
      <w:r w:rsidRPr="0072600F">
        <w:rPr>
          <w:sz w:val="26"/>
          <w:szCs w:val="26"/>
        </w:rPr>
        <w:t xml:space="preserve"> </w:t>
      </w:r>
      <w:r w:rsidRPr="0072600F">
        <w:rPr>
          <w:sz w:val="26"/>
          <w:szCs w:val="26"/>
        </w:rPr>
        <w:t>lack of transparency as to whether MISO, SPP, and PJM, as affected system transmission providers, would conduct affected system studies using NRIS or ERIS standards results in unjust and unreasonable rates.  The Commission addressed in its holding the complainants’ core concerns regarding transparency, finding, on the record in that proceeding, that there was not sufficient evidence to demonstrate that current modeling practices in those RTOs were unjust and unreasonable.</w:t>
      </w:r>
      <w:r w:rsidRPr="0072600F">
        <w:rPr>
          <w:rStyle w:val="FootnoteReference"/>
        </w:rPr>
        <w:t xml:space="preserve"> </w:t>
      </w:r>
      <w:r>
        <w:rPr>
          <w:rStyle w:val="FootnoteReference"/>
        </w:rPr>
        <w:footnoteReference w:id="957"/>
      </w:r>
      <w:r w:rsidRPr="0072600F">
        <w:rPr>
          <w:sz w:val="26"/>
          <w:szCs w:val="26"/>
        </w:rPr>
        <w:t xml:space="preserve"> </w:t>
      </w:r>
      <w:r w:rsidR="00392AFD">
        <w:rPr>
          <w:sz w:val="26"/>
          <w:szCs w:val="26"/>
        </w:rPr>
        <w:t xml:space="preserve"> </w:t>
      </w:r>
      <w:r w:rsidRPr="0072600F">
        <w:rPr>
          <w:sz w:val="26"/>
          <w:szCs w:val="26"/>
        </w:rPr>
        <w:t xml:space="preserve">In any event, the Commission has sufficiently explained its evolution in thinking, as discussed above. </w:t>
      </w:r>
    </w:p>
    <w:p w:rsidR="00760048" w:rsidRPr="00663161" w14:paraId="7DCBF7D5"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 xml:space="preserve">Affected System </w:t>
      </w:r>
      <w:r w:rsidRPr="00663161">
        <w:rPr>
          <w:b/>
          <w:bCs/>
          <w:i/>
          <w:sz w:val="26"/>
          <w:u w:val="single"/>
        </w:rPr>
        <w:t>Pro Forma</w:t>
      </w:r>
      <w:r w:rsidRPr="00663161">
        <w:rPr>
          <w:b/>
          <w:bCs/>
          <w:sz w:val="26"/>
          <w:u w:val="single"/>
        </w:rPr>
        <w:t xml:space="preserve"> Agreements</w:t>
      </w:r>
    </w:p>
    <w:p w:rsidR="00760048" w:rsidRPr="00663161" w14:paraId="14EF9859"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46B44C7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adopted several </w:t>
      </w:r>
      <w:r w:rsidRPr="0072600F">
        <w:rPr>
          <w:i/>
          <w:iCs/>
          <w:sz w:val="26"/>
          <w:szCs w:val="26"/>
        </w:rPr>
        <w:t xml:space="preserve">pro forma </w:t>
      </w:r>
      <w:r w:rsidRPr="0072600F">
        <w:rPr>
          <w:sz w:val="26"/>
          <w:szCs w:val="26"/>
        </w:rPr>
        <w:t xml:space="preserve">agreements to improve the efficiency and transparency of the interactions among the parties during the affected system study process.  The Commission first adopted a </w:t>
      </w:r>
      <w:r w:rsidRPr="0072600F">
        <w:rPr>
          <w:i/>
          <w:iCs/>
          <w:sz w:val="26"/>
          <w:szCs w:val="26"/>
        </w:rPr>
        <w:t xml:space="preserve">pro forma </w:t>
      </w:r>
      <w:r w:rsidRPr="0072600F">
        <w:rPr>
          <w:sz w:val="26"/>
          <w:szCs w:val="26"/>
        </w:rPr>
        <w:t xml:space="preserve">affected system study agreement in new Appendix 9 of the </w:t>
      </w:r>
      <w:r w:rsidRPr="0072600F">
        <w:rPr>
          <w:i/>
          <w:iCs/>
          <w:sz w:val="26"/>
          <w:szCs w:val="26"/>
        </w:rPr>
        <w:t xml:space="preserve">pro forma </w:t>
      </w:r>
      <w:r w:rsidRPr="0072600F">
        <w:rPr>
          <w:sz w:val="26"/>
          <w:szCs w:val="26"/>
        </w:rPr>
        <w:t xml:space="preserve">LGIP and a </w:t>
      </w:r>
      <w:r w:rsidRPr="0072600F">
        <w:rPr>
          <w:i/>
          <w:iCs/>
          <w:sz w:val="26"/>
          <w:szCs w:val="26"/>
        </w:rPr>
        <w:t xml:space="preserve">pro forma </w:t>
      </w:r>
      <w:r w:rsidRPr="0072600F">
        <w:rPr>
          <w:sz w:val="26"/>
          <w:szCs w:val="26"/>
        </w:rPr>
        <w:t xml:space="preserve">multiparty affected system study agreement in new Appendix 10 of the </w:t>
      </w:r>
      <w:r w:rsidRPr="0072600F">
        <w:rPr>
          <w:i/>
          <w:iCs/>
          <w:sz w:val="26"/>
          <w:szCs w:val="26"/>
        </w:rPr>
        <w:t xml:space="preserve">pro forma </w:t>
      </w:r>
      <w:r w:rsidRPr="0072600F">
        <w:rPr>
          <w:sz w:val="26"/>
          <w:szCs w:val="26"/>
        </w:rPr>
        <w:t>LGIP.</w:t>
      </w:r>
      <w:r>
        <w:rPr>
          <w:rStyle w:val="FootnoteReference"/>
        </w:rPr>
        <w:footnoteReference w:id="958"/>
      </w:r>
      <w:r w:rsidRPr="0072600F">
        <w:rPr>
          <w:sz w:val="26"/>
          <w:szCs w:val="26"/>
        </w:rPr>
        <w:t xml:space="preserve">  These </w:t>
      </w:r>
      <w:r w:rsidRPr="0072600F">
        <w:rPr>
          <w:i/>
          <w:iCs/>
          <w:sz w:val="26"/>
          <w:szCs w:val="26"/>
        </w:rPr>
        <w:t xml:space="preserve">pro forma </w:t>
      </w:r>
      <w:r w:rsidRPr="0072600F">
        <w:rPr>
          <w:sz w:val="26"/>
          <w:szCs w:val="26"/>
        </w:rPr>
        <w:t xml:space="preserve">affected system study agreements stipulate how to study the impact of interconnecting generating facilities on an affected system to identify network upgrades needed to accommodate the interconnection request.  The Commission next adopted a </w:t>
      </w:r>
      <w:r w:rsidRPr="0072600F">
        <w:rPr>
          <w:i/>
          <w:iCs/>
          <w:sz w:val="26"/>
          <w:szCs w:val="26"/>
        </w:rPr>
        <w:t xml:space="preserve">pro forma </w:t>
      </w:r>
      <w:r w:rsidRPr="0072600F">
        <w:rPr>
          <w:sz w:val="26"/>
          <w:szCs w:val="26"/>
        </w:rPr>
        <w:t xml:space="preserve">affected system facilities construction agreement in new Appendix 11 of the </w:t>
      </w:r>
      <w:r w:rsidRPr="0072600F">
        <w:rPr>
          <w:i/>
          <w:iCs/>
          <w:sz w:val="26"/>
          <w:szCs w:val="26"/>
        </w:rPr>
        <w:t xml:space="preserve">pro forma </w:t>
      </w:r>
      <w:r w:rsidRPr="0072600F">
        <w:rPr>
          <w:sz w:val="26"/>
          <w:szCs w:val="26"/>
        </w:rPr>
        <w:t>LGIP and</w:t>
      </w:r>
      <w:r w:rsidRPr="0072600F">
        <w:rPr>
          <w:sz w:val="26"/>
          <w:szCs w:val="26"/>
        </w:rPr>
        <w:t xml:space="preserve"> </w:t>
      </w:r>
      <w:r w:rsidRPr="0072600F">
        <w:rPr>
          <w:sz w:val="26"/>
          <w:szCs w:val="26"/>
        </w:rPr>
        <w:t xml:space="preserve">a </w:t>
      </w:r>
      <w:r w:rsidRPr="0072600F">
        <w:rPr>
          <w:i/>
          <w:iCs/>
          <w:sz w:val="26"/>
          <w:szCs w:val="26"/>
        </w:rPr>
        <w:t xml:space="preserve">pro forma </w:t>
      </w:r>
      <w:r w:rsidRPr="0072600F">
        <w:rPr>
          <w:sz w:val="26"/>
          <w:szCs w:val="26"/>
        </w:rPr>
        <w:t xml:space="preserve">multiparty affected system facilities construction agreement in new Appendix 12 of the </w:t>
      </w:r>
      <w:r w:rsidRPr="0072600F">
        <w:rPr>
          <w:i/>
          <w:iCs/>
          <w:sz w:val="26"/>
          <w:szCs w:val="26"/>
        </w:rPr>
        <w:t xml:space="preserve">pro forma </w:t>
      </w:r>
      <w:r w:rsidRPr="0072600F">
        <w:rPr>
          <w:sz w:val="26"/>
          <w:szCs w:val="26"/>
        </w:rPr>
        <w:t>LGIP.</w:t>
      </w:r>
      <w:r>
        <w:rPr>
          <w:rStyle w:val="FootnoteReference"/>
        </w:rPr>
        <w:footnoteReference w:id="959"/>
      </w:r>
      <w:r w:rsidRPr="0072600F">
        <w:rPr>
          <w:sz w:val="26"/>
          <w:szCs w:val="26"/>
        </w:rPr>
        <w:t xml:space="preserve">  These </w:t>
      </w:r>
      <w:r w:rsidRPr="0072600F">
        <w:rPr>
          <w:i/>
          <w:iCs/>
          <w:sz w:val="26"/>
          <w:szCs w:val="26"/>
        </w:rPr>
        <w:t xml:space="preserve">pro forma </w:t>
      </w:r>
      <w:r w:rsidRPr="0072600F">
        <w:rPr>
          <w:sz w:val="26"/>
          <w:szCs w:val="26"/>
        </w:rPr>
        <w:t>affected system facilities construction agreements standardize the terms and conditions regarding construction of affected system network upgrades.</w:t>
      </w:r>
    </w:p>
    <w:p w:rsidR="00760048" w:rsidRPr="00663161" w14:paraId="0DE5A183"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3D71C7E0" w14:textId="77777777">
      <w:pPr>
        <w:pStyle w:val="FERCparanumber"/>
        <w:widowControl/>
        <w:numPr>
          <w:ilvl w:val="0"/>
          <w:numId w:val="25"/>
        </w:numPr>
        <w:autoSpaceDE/>
        <w:autoSpaceDN/>
        <w:adjustRightInd/>
        <w:spacing w:after="260" w:line="480" w:lineRule="auto"/>
        <w:contextualSpacing/>
        <w:rPr>
          <w:sz w:val="26"/>
          <w:szCs w:val="26"/>
        </w:rPr>
      </w:pPr>
      <w:bookmarkStart w:id="87" w:name="_Hlk157006977"/>
      <w:r w:rsidRPr="0072600F">
        <w:rPr>
          <w:sz w:val="26"/>
          <w:szCs w:val="26"/>
        </w:rPr>
        <w:t>Duke Southeast Utilities take issue with article 3.2.2.1 (Repayment) of th</w:t>
      </w:r>
      <w:r w:rsidRPr="0072600F">
        <w:rPr>
          <w:i/>
          <w:iCs/>
          <w:sz w:val="26"/>
          <w:szCs w:val="26"/>
        </w:rPr>
        <w:t xml:space="preserve">e </w:t>
      </w:r>
      <w:r w:rsidR="001E6AA2">
        <w:rPr>
          <w:i/>
          <w:iCs/>
          <w:sz w:val="26"/>
          <w:szCs w:val="26"/>
        </w:rPr>
        <w:t xml:space="preserve">        </w:t>
      </w:r>
      <w:r w:rsidRPr="0072600F">
        <w:rPr>
          <w:i/>
          <w:iCs/>
          <w:sz w:val="26"/>
          <w:szCs w:val="26"/>
        </w:rPr>
        <w:t xml:space="preserve">pro forma </w:t>
      </w:r>
      <w:r w:rsidRPr="0072600F">
        <w:rPr>
          <w:sz w:val="26"/>
          <w:szCs w:val="26"/>
        </w:rPr>
        <w:t>affected system facilities construction agreement, which states that the affected system interconnection customer shall be entitled to a cash repayment of the amount it paid for any affected system network upgrades.</w:t>
      </w:r>
      <w:r>
        <w:rPr>
          <w:rStyle w:val="FootnoteReference"/>
        </w:rPr>
        <w:footnoteReference w:id="960"/>
      </w:r>
      <w:r w:rsidRPr="0072600F">
        <w:rPr>
          <w:sz w:val="26"/>
          <w:szCs w:val="26"/>
        </w:rPr>
        <w:t xml:space="preserve">  </w:t>
      </w:r>
    </w:p>
    <w:p w:rsidR="00760048" w:rsidRPr="0072600F" w:rsidP="00663161" w14:paraId="510DB96F"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state that, despite conceding that the repayment policy for affected system network upgrades was a NOPR proposal, the Commission declined to address arguments on the merits of this policy on the basis that the Commission simply proposed to memorialize the Commission’s existing policy in a</w:t>
      </w:r>
      <w:r w:rsidRPr="0072600F">
        <w:rPr>
          <w:i/>
          <w:sz w:val="26"/>
          <w:szCs w:val="26"/>
        </w:rPr>
        <w:t xml:space="preserve"> pro forma</w:t>
      </w:r>
      <w:r w:rsidRPr="0072600F">
        <w:rPr>
          <w:sz w:val="26"/>
          <w:szCs w:val="26"/>
        </w:rPr>
        <w:t xml:space="preserve"> agreement for affected systems.</w:t>
      </w:r>
      <w:r>
        <w:rPr>
          <w:rStyle w:val="FootnoteReference"/>
        </w:rPr>
        <w:footnoteReference w:id="961"/>
      </w:r>
      <w:r w:rsidRPr="0072600F">
        <w:rPr>
          <w:sz w:val="26"/>
          <w:szCs w:val="26"/>
        </w:rPr>
        <w:t xml:space="preserve">  Duke Southeast Utilities contend that the Commission’s refusal to engage on this critical question was wrong on the law and renders this portion of Order No. 2023 reversible error.  Duke Southeast Utilities state that the Commission’s central argument is that the cost allocation question is beyond the scope of Order No. 2023 because the Commission did not propose to change its existing policy.  Duke Southeast Utilities assert that the Commission’s “existing policy” is the subject of significant debate and ongoing litigation in the courts.</w:t>
      </w:r>
      <w:r>
        <w:rPr>
          <w:rStyle w:val="FootnoteReference"/>
        </w:rPr>
        <w:footnoteReference w:id="962"/>
      </w:r>
      <w:r w:rsidRPr="0072600F">
        <w:rPr>
          <w:sz w:val="26"/>
          <w:szCs w:val="26"/>
        </w:rPr>
        <w:t xml:space="preserve">  Duke Southeast Utilities state that they have steadfastly maintained that</w:t>
      </w:r>
      <w:r w:rsidR="00F84894">
        <w:rPr>
          <w:sz w:val="26"/>
          <w:szCs w:val="26"/>
        </w:rPr>
        <w:t>,</w:t>
      </w:r>
      <w:r w:rsidRPr="0072600F">
        <w:rPr>
          <w:sz w:val="26"/>
          <w:szCs w:val="26"/>
        </w:rPr>
        <w:t xml:space="preserve"> before Order No. 2023, there was no such existing policy that required affected system operators to reimburse distant interconnection customers.  Duke Southeast Utilities explain that, first, because there was no</w:t>
      </w:r>
      <w:r w:rsidRPr="0072600F">
        <w:rPr>
          <w:i/>
          <w:iCs/>
          <w:sz w:val="26"/>
          <w:szCs w:val="26"/>
        </w:rPr>
        <w:t xml:space="preserve"> pro forma </w:t>
      </w:r>
      <w:r w:rsidRPr="0072600F">
        <w:rPr>
          <w:sz w:val="26"/>
          <w:szCs w:val="26"/>
        </w:rPr>
        <w:t>affected system facilities construction agreement before now, transmission owners fashioned their own agreements and filed them with the Commission.  Duke Southeast Utilities state that the Commission had routinely accepted such affected system agreements</w:t>
      </w:r>
      <w:r w:rsidRPr="0072600F">
        <w:rPr>
          <w:i/>
          <w:iCs/>
          <w:sz w:val="26"/>
          <w:szCs w:val="26"/>
        </w:rPr>
        <w:t xml:space="preserve"> without </w:t>
      </w:r>
      <w:r w:rsidRPr="0072600F">
        <w:rPr>
          <w:sz w:val="26"/>
          <w:szCs w:val="26"/>
        </w:rPr>
        <w:t>reimbursement provisions, which it clearly would not have done if such filed agreements violated an “existing policy” of the Commission.</w:t>
      </w:r>
      <w:r>
        <w:rPr>
          <w:rStyle w:val="FootnoteReference"/>
        </w:rPr>
        <w:footnoteReference w:id="963"/>
      </w:r>
      <w:r w:rsidRPr="0072600F">
        <w:rPr>
          <w:sz w:val="26"/>
          <w:szCs w:val="26"/>
        </w:rPr>
        <w:t xml:space="preserve">  </w:t>
      </w:r>
    </w:p>
    <w:p w:rsidR="00760048" w:rsidRPr="0072600F" w:rsidP="00663161" w14:paraId="168FC818"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explain that, second, while the Commission has claimed that Order No. 2003 and the LGIA</w:t>
      </w:r>
      <w:r w:rsidRPr="0072600F">
        <w:rPr>
          <w:i/>
          <w:iCs/>
          <w:sz w:val="26"/>
          <w:szCs w:val="26"/>
        </w:rPr>
        <w:t xml:space="preserve"> </w:t>
      </w:r>
      <w:r w:rsidRPr="0072600F">
        <w:rPr>
          <w:sz w:val="26"/>
          <w:szCs w:val="26"/>
        </w:rPr>
        <w:t>contain a requirement that affected system operators reimburse distant interconnection customers, the Commission was equally clear that the LGIA adopted in Order No. 2003 by its terms does not apply to affected system operators.</w:t>
      </w:r>
      <w:r>
        <w:rPr>
          <w:rStyle w:val="FootnoteReference"/>
        </w:rPr>
        <w:footnoteReference w:id="964"/>
      </w:r>
      <w:r w:rsidRPr="0072600F">
        <w:rPr>
          <w:sz w:val="26"/>
          <w:szCs w:val="26"/>
        </w:rPr>
        <w:t xml:space="preserve">  Duke Southeast Utilities state that, in </w:t>
      </w:r>
      <w:r w:rsidRPr="0072600F">
        <w:rPr>
          <w:i/>
          <w:iCs/>
          <w:sz w:val="26"/>
          <w:szCs w:val="26"/>
        </w:rPr>
        <w:t>Midwest Independent Transmission System Operator</w:t>
      </w:r>
      <w:r w:rsidRPr="0072600F">
        <w:rPr>
          <w:sz w:val="26"/>
          <w:szCs w:val="26"/>
        </w:rPr>
        <w:t xml:space="preserve">, </w:t>
      </w:r>
      <w:r w:rsidRPr="0072600F">
        <w:rPr>
          <w:i/>
          <w:iCs/>
          <w:sz w:val="26"/>
          <w:szCs w:val="26"/>
        </w:rPr>
        <w:t>Inc.</w:t>
      </w:r>
      <w:r w:rsidRPr="0072600F">
        <w:rPr>
          <w:sz w:val="26"/>
          <w:szCs w:val="26"/>
        </w:rPr>
        <w:t>, the Commission accepted an agreement between an affected system and an interconnection customer that allocated 50% of the network upgrade costs to the interconnection customer without reimbursement.</w:t>
      </w:r>
      <w:r>
        <w:rPr>
          <w:rStyle w:val="FootnoteReference"/>
        </w:rPr>
        <w:footnoteReference w:id="965"/>
      </w:r>
      <w:r w:rsidRPr="0072600F">
        <w:rPr>
          <w:sz w:val="26"/>
          <w:szCs w:val="26"/>
        </w:rPr>
        <w:t xml:space="preserve">  Duke Southeast Utilities state that, in the process of accepting that agreement, the Commission rejected the interconnection customer’s argument that Order No. 2003 entitled it to 100% reimbursement, because the affected system there “was not a party to the interconnection agreement and cannot be bound by a contract to which it is not a party” and because “Order [ ] 2003 [ ] acknowledges that an Affected System is not bound by the Final Rule [Large Generator Interconnection Procedures] and interconnection agreement.”</w:t>
      </w:r>
      <w:r>
        <w:rPr>
          <w:rStyle w:val="FootnoteReference"/>
        </w:rPr>
        <w:footnoteReference w:id="966"/>
      </w:r>
      <w:r w:rsidRPr="0072600F">
        <w:rPr>
          <w:sz w:val="26"/>
          <w:szCs w:val="26"/>
        </w:rPr>
        <w:t xml:space="preserve">  Duke Southeast Utilities conclude that it is therefore clear that there was no “existing policy” that would justify the Commission’s refusal to engage this question in the present rulemaking. </w:t>
      </w:r>
    </w:p>
    <w:p w:rsidR="00760048" w:rsidRPr="0072600F" w:rsidP="00663161" w14:paraId="24FC025C"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state that the Commission adopted a brand new agreement—th</w:t>
      </w:r>
      <w:r w:rsidRPr="0072600F">
        <w:rPr>
          <w:i/>
          <w:iCs/>
          <w:sz w:val="26"/>
          <w:szCs w:val="26"/>
        </w:rPr>
        <w:t xml:space="preserve">e pro forma </w:t>
      </w:r>
      <w:r w:rsidRPr="0072600F">
        <w:rPr>
          <w:sz w:val="26"/>
          <w:szCs w:val="26"/>
        </w:rPr>
        <w:t>affected system facilities construction agreement—that includes a mandatory reimbursement requirement without acknowledging its past practice of accepting such agreements without reimbursement language.</w:t>
      </w:r>
      <w:r>
        <w:rPr>
          <w:rStyle w:val="FootnoteReference"/>
        </w:rPr>
        <w:footnoteReference w:id="967"/>
      </w:r>
      <w:r w:rsidRPr="0072600F">
        <w:rPr>
          <w:sz w:val="26"/>
          <w:szCs w:val="26"/>
        </w:rPr>
        <w:t xml:space="preserve">  Duke Southeast Utilities assert that the Commission has repeatedly accepted proposed affected system agreements that allocate affected system network upgrade costs to affected system interconnection customers without reimbursement.</w:t>
      </w:r>
      <w:r>
        <w:rPr>
          <w:rStyle w:val="FootnoteReference"/>
        </w:rPr>
        <w:footnoteReference w:id="968"/>
      </w:r>
      <w:r w:rsidRPr="0072600F">
        <w:rPr>
          <w:sz w:val="26"/>
          <w:szCs w:val="26"/>
        </w:rPr>
        <w:t xml:space="preserve">  Duke Southeast Utilities argue that this reflects the Commission’s practice of accepting as just and reasonable and not unduly discriminatory affected system agreements in which the affected system interconnection customer has no right to reimbursement.  Duke Southeast Utilities contend that the Commission’s failure to explain its change of course on its reimbursement policy without addressing the precedent from which it departs is a direct violation of the APA.</w:t>
      </w:r>
      <w:r>
        <w:rPr>
          <w:rStyle w:val="FootnoteReference"/>
        </w:rPr>
        <w:footnoteReference w:id="969"/>
      </w:r>
    </w:p>
    <w:p w:rsidR="00760048" w:rsidRPr="0072600F" w:rsidP="00663161" w14:paraId="72F33B64"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contend that, under this repayment provision, customers on the affected system must bear higher transmission costs to pay for network upgrades they do not need (by reimbursing interconnection customers who provide upfront funding), so that an interconnection customer can interconnect on a neighboring transmission system.</w:t>
      </w:r>
      <w:r>
        <w:rPr>
          <w:rStyle w:val="FootnoteReference"/>
        </w:rPr>
        <w:footnoteReference w:id="970"/>
      </w:r>
      <w:r w:rsidRPr="0072600F">
        <w:rPr>
          <w:sz w:val="26"/>
          <w:szCs w:val="26"/>
        </w:rPr>
        <w:t xml:space="preserve">  Duke Southeast Utilities state that, in the case of the Duke Southeast Utilities, and as shown in the rulemaking comments filed by North Carolina state regulators and consumer advocate bodies, this often means that the retail customers of North Carolina are forced to subsidize generating facilities interconnecting to, and selling into, PJM.</w:t>
      </w:r>
      <w:r>
        <w:rPr>
          <w:rStyle w:val="FootnoteReference"/>
        </w:rPr>
        <w:footnoteReference w:id="971"/>
      </w:r>
      <w:r w:rsidRPr="0072600F">
        <w:rPr>
          <w:sz w:val="26"/>
          <w:szCs w:val="26"/>
        </w:rPr>
        <w:t xml:space="preserve">  Duke Southeast Utilities assert that the Commission was not entitled to willfully ignore changed circumstances and refuse to provide meaningful answers to arguments presented by North Carolina stakeholders.</w:t>
      </w:r>
      <w:r>
        <w:rPr>
          <w:rStyle w:val="FootnoteReference"/>
        </w:rPr>
        <w:footnoteReference w:id="972"/>
      </w:r>
      <w:r w:rsidRPr="0072600F">
        <w:rPr>
          <w:sz w:val="26"/>
          <w:szCs w:val="26"/>
        </w:rPr>
        <w:t xml:space="preserve">  Duke Southeast Utilities state that the Commission (1) acted arbitrarily and capriciously by failing to address the various commenters’ concerns, and such actions without substantial evidence in support is grounds for reversal on its own under the APA</w:t>
      </w:r>
      <w:r>
        <w:rPr>
          <w:rStyle w:val="FootnoteReference"/>
        </w:rPr>
        <w:footnoteReference w:id="973"/>
      </w:r>
      <w:r w:rsidRPr="0072600F">
        <w:rPr>
          <w:sz w:val="26"/>
          <w:szCs w:val="26"/>
        </w:rPr>
        <w:t xml:space="preserve"> and (2) violated section 205 of the FPA by mandating a new </w:t>
      </w:r>
      <w:r w:rsidRPr="0072600F">
        <w:rPr>
          <w:i/>
          <w:iCs/>
          <w:sz w:val="26"/>
          <w:szCs w:val="26"/>
        </w:rPr>
        <w:t xml:space="preserve">pro forma </w:t>
      </w:r>
      <w:r w:rsidRPr="0072600F">
        <w:rPr>
          <w:sz w:val="26"/>
          <w:szCs w:val="26"/>
        </w:rPr>
        <w:t>cost allocation agreement without meaningfully considering the needs of impacted customers.</w:t>
      </w:r>
      <w:r>
        <w:rPr>
          <w:rStyle w:val="FootnoteReference"/>
        </w:rPr>
        <w:footnoteReference w:id="974"/>
      </w:r>
      <w:r w:rsidRPr="0072600F">
        <w:rPr>
          <w:sz w:val="26"/>
          <w:szCs w:val="26"/>
        </w:rPr>
        <w:t xml:space="preserve">     </w:t>
      </w:r>
    </w:p>
    <w:p w:rsidR="00760048" w:rsidRPr="0072600F" w:rsidP="00663161" w14:paraId="783A5F77"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state that the Commission has not conducted an analysis based on the specific facts and record presented in this case to justify allocating these network upgrade costs to Duke Southeast Utilities’ existing transmission customers.</w:t>
      </w:r>
      <w:r>
        <w:rPr>
          <w:rStyle w:val="FootnoteReference"/>
        </w:rPr>
        <w:footnoteReference w:id="975"/>
      </w:r>
      <w:r w:rsidRPr="0072600F">
        <w:rPr>
          <w:sz w:val="26"/>
          <w:szCs w:val="26"/>
        </w:rPr>
        <w:t xml:space="preserve">  Duke Southeast Utilities state that Order No. 2023 contains no explanation or evidence that the Commission considered the impacts to native transmission customers at all.  Duke Southeast Utilities assert that, if the Commission undertook such a balancing of interests, it had a responsibility under the APA to explain itself.</w:t>
      </w:r>
      <w:r>
        <w:rPr>
          <w:rStyle w:val="FootnoteReference"/>
        </w:rPr>
        <w:footnoteReference w:id="976"/>
      </w:r>
      <w:r w:rsidRPr="0072600F">
        <w:rPr>
          <w:sz w:val="26"/>
          <w:szCs w:val="26"/>
        </w:rPr>
        <w:t xml:space="preserve">  Duke Southeast Utilities argue that, on rehearing, the Commission should explain in detail what this analysis entailed.</w:t>
      </w:r>
      <w:r>
        <w:rPr>
          <w:rStyle w:val="FootnoteReference"/>
        </w:rPr>
        <w:footnoteReference w:id="977"/>
      </w:r>
      <w:r w:rsidRPr="0072600F">
        <w:rPr>
          <w:sz w:val="26"/>
          <w:szCs w:val="26"/>
        </w:rPr>
        <w:t xml:space="preserve"> </w:t>
      </w:r>
    </w:p>
    <w:p w:rsidR="00760048" w:rsidRPr="0072600F" w:rsidP="00663161" w14:paraId="726D470C"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argues that the Commission’s cost allocation decision is inconsistent with the cost causation principle, which states that all approved rates must reflect to some degree the costs actually caused by the customer who must pay them</w:t>
      </w:r>
      <w:r>
        <w:rPr>
          <w:rStyle w:val="FootnoteReference"/>
        </w:rPr>
        <w:footnoteReference w:id="978"/>
      </w:r>
      <w:r w:rsidRPr="0072600F">
        <w:rPr>
          <w:sz w:val="26"/>
          <w:szCs w:val="26"/>
        </w:rPr>
        <w:t xml:space="preserve"> and that benefits must be at least roughly commensurate with costs.</w:t>
      </w:r>
      <w:r>
        <w:rPr>
          <w:rStyle w:val="FootnoteReference"/>
        </w:rPr>
        <w:footnoteReference w:id="979"/>
      </w:r>
    </w:p>
    <w:p w:rsidR="00760048" w:rsidRPr="0072600F" w:rsidP="00663161" w14:paraId="654B8A13"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state that the Commission declined in Order No. 2023 to respond to Duke Southeast Utilities’ arguments that the reimbursement policy goes against the Commission’s cost causation principles.</w:t>
      </w:r>
      <w:r>
        <w:rPr>
          <w:rStyle w:val="FootnoteReference"/>
        </w:rPr>
        <w:footnoteReference w:id="980"/>
      </w:r>
      <w:r w:rsidRPr="0072600F">
        <w:rPr>
          <w:sz w:val="26"/>
          <w:szCs w:val="26"/>
        </w:rPr>
        <w:t xml:space="preserve">  Duke Southeast Utilities state that the mere fact is that, “but for” the affected system interconnection customers’ interconnection with the host transmission provider, there would be no need for the affected system network upgrades.  Duke Southeast Utilities contend that customers on the affected system will not benefit from the interconnection of the affected system interconnection customers onto the interconnecting transmission provider’s transmission system from an energy and capacity perspective because the affected system is not receiving energy and capacity from the host transmission provider: therefore, Duke Southeast Utilities’ retail customers will not be receiving the generation.  Duke Southeast Utilities state that the required network upgrades also provide no benefit to the customers of the affected system from a transmission perspective because they are not needed “but for” the affected system interconnection customers interconnection to the host transmission provider. </w:t>
      </w:r>
    </w:p>
    <w:p w:rsidR="00760048" w:rsidRPr="0072600F" w:rsidP="00663161" w14:paraId="1DFCD857" w14:textId="77777777">
      <w:pPr>
        <w:pStyle w:val="FERCparanumber"/>
        <w:widowControl/>
        <w:numPr>
          <w:ilvl w:val="0"/>
          <w:numId w:val="23"/>
        </w:numPr>
        <w:autoSpaceDE/>
        <w:autoSpaceDN/>
        <w:adjustRightInd/>
        <w:spacing w:after="260" w:line="480" w:lineRule="auto"/>
        <w:contextualSpacing/>
        <w:rPr>
          <w:sz w:val="26"/>
          <w:szCs w:val="26"/>
        </w:rPr>
      </w:pPr>
      <w:r w:rsidRPr="0072600F">
        <w:rPr>
          <w:sz w:val="26"/>
          <w:szCs w:val="26"/>
        </w:rPr>
        <w:t>Duke Southeast Utilities’ argue that, in the context of affected system network upgrades, the Commission should require affected system interconnection customers to fund the cost of affected system network upgrades because (a) such network upgrades would not be necessary but for the affected system interconnection request and (b) doing so would allocate the network upgrades costs to the party that caused the costs to be incurred and reaps the resulting benefits – the affected system interconnection customers.</w:t>
      </w:r>
      <w:r>
        <w:rPr>
          <w:rStyle w:val="FootnoteReference"/>
        </w:rPr>
        <w:footnoteReference w:id="981"/>
      </w:r>
      <w:r w:rsidRPr="0072600F">
        <w:rPr>
          <w:sz w:val="26"/>
          <w:szCs w:val="26"/>
        </w:rPr>
        <w:t xml:space="preserve"> </w:t>
      </w:r>
    </w:p>
    <w:bookmarkEnd w:id="87"/>
    <w:p w:rsidR="00760048" w:rsidRPr="00663161" w14:paraId="0804487E"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275DB6C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Duke Southeast Utilities’ characterization that the Commission conceded that the affected system network upgrade reimbursement provisions in the </w:t>
      </w:r>
      <w:r w:rsidR="009D197E">
        <w:rPr>
          <w:sz w:val="26"/>
          <w:szCs w:val="26"/>
        </w:rPr>
        <w:t xml:space="preserve">    </w:t>
      </w:r>
      <w:r w:rsidRPr="0072600F">
        <w:rPr>
          <w:i/>
          <w:iCs/>
          <w:sz w:val="26"/>
          <w:szCs w:val="26"/>
        </w:rPr>
        <w:t xml:space="preserve">pro forma </w:t>
      </w:r>
      <w:r w:rsidRPr="0072600F">
        <w:rPr>
          <w:sz w:val="26"/>
          <w:szCs w:val="26"/>
        </w:rPr>
        <w:t xml:space="preserve">affected system facilities construction agreements were a “NOPR proposal;” rather, the Commission merely acknowledged that in the NOPR it included the existing affected system network upgrade reimbursement in the newly proposed </w:t>
      </w:r>
      <w:r w:rsidRPr="0072600F">
        <w:rPr>
          <w:i/>
          <w:iCs/>
          <w:sz w:val="26"/>
          <w:szCs w:val="26"/>
        </w:rPr>
        <w:t xml:space="preserve">pro forma </w:t>
      </w:r>
      <w:r w:rsidRPr="0072600F">
        <w:rPr>
          <w:sz w:val="26"/>
          <w:szCs w:val="26"/>
        </w:rPr>
        <w:t xml:space="preserve">affected system facilities construction agreements.  The Commission did not state that the affected system network upgrade reimbursement was a “NOPR proposal” of new regulations.  </w:t>
      </w:r>
    </w:p>
    <w:p w:rsidR="00760048" w:rsidRPr="0072600F" w14:paraId="513ADD0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Duke Southeast Utilities’ request for rehearing of the affected system network upgrade reimbursement provisions in the </w:t>
      </w:r>
      <w:r w:rsidRPr="0072600F">
        <w:rPr>
          <w:i/>
          <w:iCs/>
          <w:sz w:val="26"/>
          <w:szCs w:val="26"/>
        </w:rPr>
        <w:t xml:space="preserve">pro forma </w:t>
      </w:r>
      <w:r w:rsidRPr="0072600F">
        <w:rPr>
          <w:sz w:val="26"/>
          <w:szCs w:val="26"/>
        </w:rPr>
        <w:t>affected system facilities construction agreements, we note that, although we are not changing existing Commission policy, we continue to find that policy to be just, reasonable, and not unduly discriminatory or preferential.  We disagree with Duke Southeast Utilities’ assertion that</w:t>
      </w:r>
      <w:r w:rsidR="00717E77">
        <w:rPr>
          <w:sz w:val="26"/>
          <w:szCs w:val="26"/>
        </w:rPr>
        <w:t>,</w:t>
      </w:r>
      <w:r w:rsidRPr="0072600F">
        <w:rPr>
          <w:sz w:val="26"/>
          <w:szCs w:val="26"/>
        </w:rPr>
        <w:t xml:space="preserve"> before Order No. 2023, there was no such existing affected system network upgrade reimbursement policy.  As the Commission concluded in Order No. 2003, and we affirm here, the Commission’s interconnection pricing policy as it applies to a non-independent affected system transmission provider should be consistent with the policy the Commission adopted for non-independent host transmission providers.</w:t>
      </w:r>
      <w:r>
        <w:rPr>
          <w:rStyle w:val="FootnoteReference"/>
        </w:rPr>
        <w:footnoteReference w:id="982"/>
      </w:r>
      <w:r w:rsidRPr="0072600F">
        <w:rPr>
          <w:sz w:val="26"/>
          <w:szCs w:val="26"/>
        </w:rPr>
        <w:t xml:space="preserve">  Specifically, under the Commission’s interconnection pricing policy, the costs of interconnection facilities are the responsibility of the interconnection customer and the costs of network upgrades are funded initially by the interconnection customer (unless the transmission provider elects to fund them), and the interconnection customer is entitled to a cash equivalent refund equal to the total amount paid for the network upgrades.</w:t>
      </w:r>
      <w:r>
        <w:rPr>
          <w:rStyle w:val="FootnoteReference"/>
        </w:rPr>
        <w:footnoteReference w:id="983"/>
      </w:r>
      <w:r w:rsidRPr="0072600F">
        <w:rPr>
          <w:sz w:val="26"/>
          <w:szCs w:val="26"/>
        </w:rPr>
        <w:t xml:space="preserve">  </w:t>
      </w:r>
    </w:p>
    <w:p w:rsidR="00760048" w:rsidRPr="0072600F" w14:paraId="5A3ED187" w14:textId="77777777">
      <w:pPr>
        <w:pStyle w:val="FERCparanumber"/>
        <w:widowControl/>
        <w:numPr>
          <w:ilvl w:val="0"/>
          <w:numId w:val="25"/>
        </w:numPr>
        <w:autoSpaceDE/>
        <w:autoSpaceDN/>
        <w:adjustRightInd/>
        <w:spacing w:line="480" w:lineRule="auto"/>
        <w:rPr>
          <w:sz w:val="26"/>
          <w:szCs w:val="26"/>
        </w:rPr>
      </w:pPr>
      <w:r w:rsidRPr="0072600F">
        <w:rPr>
          <w:sz w:val="26"/>
          <w:szCs w:val="26"/>
        </w:rPr>
        <w:t>We find that it is important for the repayment provisions for affected system interconnection customers to be consistent with the manner</w:t>
      </w:r>
      <w:r w:rsidRPr="0072600F">
        <w:rPr>
          <w:sz w:val="26"/>
          <w:szCs w:val="26"/>
        </w:rPr>
        <w:t xml:space="preserve"> </w:t>
      </w:r>
      <w:r w:rsidRPr="0072600F">
        <w:rPr>
          <w:sz w:val="26"/>
          <w:szCs w:val="26"/>
        </w:rPr>
        <w:t xml:space="preserve">that the transmission provider repays its own interconnection customers. </w:t>
      </w:r>
      <w:r w:rsidRPr="0072600F">
        <w:rPr>
          <w:sz w:val="26"/>
          <w:szCs w:val="26"/>
        </w:rPr>
        <w:t xml:space="preserve"> </w:t>
      </w:r>
      <w:r w:rsidRPr="0072600F">
        <w:rPr>
          <w:sz w:val="26"/>
          <w:szCs w:val="26"/>
        </w:rPr>
        <w:t>For example, the Commission in Order No. 2003 explained that non-independent transmission providers have an incentive to frustrate rival interconnection customers, and, absent a reimbursement requirement, such transmission providers might discriminate against independent interconnection customers by, for example, finding that a disproportionate share of the costs of expansions needed to serve its own power customers is attributable to competing interconnection customers.</w:t>
      </w:r>
      <w:r>
        <w:rPr>
          <w:rStyle w:val="FootnoteReference"/>
        </w:rPr>
        <w:footnoteReference w:id="984"/>
      </w:r>
      <w:r w:rsidRPr="0072600F">
        <w:rPr>
          <w:sz w:val="26"/>
          <w:szCs w:val="26"/>
        </w:rPr>
        <w:t xml:space="preserve">  This rationale applies equally to affected system transmission providers.  </w:t>
      </w:r>
    </w:p>
    <w:p w:rsidR="00760048" w:rsidRPr="0072600F" w14:paraId="36F8FC6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Affected system transmission providers might source generation from the host transmission provider’s transmission system to serve its own load, and such affected system transmission provider’s interests might benefit from additional network upgrades to facilitate transactions across the seam between transmission providers.  If that is the case, the affected system transmission provider would have an incentive to impose additional burdensome and unnecessary affected system network upgrades on affected system interconnection customers; however, because under Commission policy the affected system transmission providers are required to reimburse the affected system interconnection customer for those network upgrade costs, the incentive for discriminatory behavior is absent.  </w:t>
      </w:r>
    </w:p>
    <w:p w:rsidR="00760048" w:rsidRPr="0072600F" w14:paraId="08F83638"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also found in Order No. 2003 that the reimbursement requirement would enhance competition by promoting new generation.</w:t>
      </w:r>
      <w:r>
        <w:rPr>
          <w:rStyle w:val="FootnoteReference"/>
        </w:rPr>
        <w:footnoteReference w:id="985"/>
      </w:r>
      <w:r w:rsidRPr="0072600F">
        <w:rPr>
          <w:sz w:val="26"/>
          <w:szCs w:val="26"/>
        </w:rPr>
        <w:t xml:space="preserve">  We similarly find that the requirement for affected system transmission providers to repay affected system interconnection customers will enhance competition because it will discourage affected system transmission providers from assigning unnecessary affected system network upgrade costs to interconnection customers if the transmission provider ultimately must reimburse the affected system interconnection customer for such costs.</w:t>
      </w:r>
      <w:r>
        <w:rPr>
          <w:rStyle w:val="FootnoteReference"/>
        </w:rPr>
        <w:footnoteReference w:id="986"/>
      </w:r>
      <w:r w:rsidRPr="0072600F">
        <w:rPr>
          <w:sz w:val="26"/>
          <w:szCs w:val="26"/>
        </w:rPr>
        <w:t xml:space="preserve">  In doing so, we continue to maintain that such additional generation and related enhanced competition will generally cause the average embedded cost transmission rate to decline for all remaining customers.</w:t>
      </w:r>
      <w:r>
        <w:rPr>
          <w:rStyle w:val="FootnoteReference"/>
        </w:rPr>
        <w:footnoteReference w:id="987"/>
      </w:r>
      <w:r w:rsidRPr="0072600F">
        <w:rPr>
          <w:sz w:val="26"/>
          <w:szCs w:val="26"/>
        </w:rPr>
        <w:t xml:space="preserve">  </w:t>
      </w:r>
      <w:bookmarkStart w:id="88" w:name="_Hlk156822111"/>
    </w:p>
    <w:bookmarkEnd w:id="88"/>
    <w:p w:rsidR="00760048" w:rsidRPr="0072600F" w14:paraId="3544AF4D"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continue to find, as we did in Order Nos. 2003 and 2003-A, that “network facilities are not ‘sole use’ facilities but facilities that benefit all Transmission Customers . . . the addition [of a network upgrade facility] represents a system expansion used by and benefiting all users due to the integrated nature of the grid.”</w:t>
      </w:r>
      <w:r>
        <w:rPr>
          <w:rStyle w:val="FootnoteReference"/>
        </w:rPr>
        <w:footnoteReference w:id="988"/>
      </w:r>
      <w:r w:rsidRPr="0072600F">
        <w:rPr>
          <w:sz w:val="26"/>
          <w:szCs w:val="26"/>
        </w:rPr>
        <w:t xml:space="preserve">  </w:t>
      </w:r>
    </w:p>
    <w:p w:rsidR="00760048" w:rsidRPr="0072600F" w14:paraId="2705F637"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Duke Southeast Utilities’ assertion that the Commission has routinely accepted affected system agreements without affected system network upgrade reimbursement provisions, we clarify that such acceptances were in error and in contravention of Commission policy as established in Order No. 2003.</w:t>
      </w:r>
      <w:r>
        <w:rPr>
          <w:rStyle w:val="FootnoteReference"/>
        </w:rPr>
        <w:footnoteReference w:id="989"/>
      </w:r>
      <w:r w:rsidRPr="0072600F">
        <w:rPr>
          <w:sz w:val="26"/>
          <w:szCs w:val="26"/>
        </w:rPr>
        <w:t xml:space="preserve">  In Docket No. ER20-2419-000, the two service agreements at issue involved system protection facilities, the costs of which, per Duke Southeast Utilities’ tariff, are directly assignable to an interconnection customer without reimbursement.</w:t>
      </w:r>
      <w:r>
        <w:rPr>
          <w:rStyle w:val="FootnoteReference"/>
        </w:rPr>
        <w:footnoteReference w:id="990"/>
      </w:r>
    </w:p>
    <w:p w:rsidR="00760048" w:rsidRPr="0072600F" w14:paraId="2AC35C4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disagree with Duke Southeast Utilities’ assertion that the Commission has been clear that the </w:t>
      </w:r>
      <w:r w:rsidRPr="0072600F">
        <w:rPr>
          <w:i/>
          <w:iCs/>
          <w:sz w:val="26"/>
          <w:szCs w:val="26"/>
        </w:rPr>
        <w:t xml:space="preserve">pro forma </w:t>
      </w:r>
      <w:r w:rsidRPr="0072600F">
        <w:rPr>
          <w:sz w:val="26"/>
          <w:szCs w:val="26"/>
        </w:rPr>
        <w:t xml:space="preserve">LGIA adopted in Order No. 2003 does not apply to affected system operators.  We reiterate that Order No. 2003’s reimbursement requirements are reflected both in the preamble of Order No. 2003 and </w:t>
      </w:r>
      <w:r w:rsidRPr="0072600F">
        <w:rPr>
          <w:i/>
          <w:iCs/>
          <w:sz w:val="26"/>
          <w:szCs w:val="26"/>
        </w:rPr>
        <w:t xml:space="preserve">pro forma </w:t>
      </w:r>
      <w:r w:rsidRPr="0072600F">
        <w:rPr>
          <w:sz w:val="26"/>
          <w:szCs w:val="26"/>
        </w:rPr>
        <w:t>LGIA Article 11.4, which Order No. 2003 explicitly made applicable to all jurisdictional affected system operators.</w:t>
      </w:r>
      <w:r>
        <w:rPr>
          <w:rStyle w:val="FootnoteReference"/>
        </w:rPr>
        <w:footnoteReference w:id="991"/>
      </w:r>
      <w:r w:rsidRPr="0072600F">
        <w:rPr>
          <w:sz w:val="26"/>
          <w:szCs w:val="26"/>
        </w:rPr>
        <w:t xml:space="preserve">  </w:t>
      </w:r>
    </w:p>
    <w:p w:rsidR="00760048" w:rsidRPr="0072600F" w14:paraId="23B7971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w:t>
      </w:r>
      <w:r w:rsidRPr="0072600F">
        <w:rPr>
          <w:i/>
          <w:iCs/>
          <w:sz w:val="26"/>
          <w:szCs w:val="26"/>
        </w:rPr>
        <w:t>Midwest Independent Transmission System Operator, Inc.</w:t>
      </w:r>
      <w:r w:rsidRPr="0072600F">
        <w:rPr>
          <w:sz w:val="26"/>
          <w:szCs w:val="26"/>
        </w:rPr>
        <w:t xml:space="preserve"> proceeding that Duke Southeast Utilities cites is inapposite to the status quo as established in Order No. 2003.  First, the affected system transmission owner was not a party to the agreement in that proceeding and was not required to reimburse the interconnection customer in a region that had transitioned to participant funding prior to the filing of the interconnection agreement at issue in that proceeding.</w:t>
      </w:r>
      <w:r>
        <w:rPr>
          <w:rStyle w:val="FootnoteReference"/>
        </w:rPr>
        <w:footnoteReference w:id="992"/>
      </w:r>
      <w:r w:rsidRPr="0072600F">
        <w:rPr>
          <w:sz w:val="26"/>
          <w:szCs w:val="26"/>
        </w:rPr>
        <w:t xml:space="preserve">  Second, the affected system “operator” was a transmission owner within the MISO footprint, not a transmission provider in a separate service territory with its own tariff.</w:t>
      </w:r>
      <w:r>
        <w:rPr>
          <w:rStyle w:val="FootnoteReference"/>
        </w:rPr>
        <w:footnoteReference w:id="993"/>
      </w:r>
      <w:r w:rsidRPr="0072600F">
        <w:rPr>
          <w:sz w:val="26"/>
          <w:szCs w:val="26"/>
        </w:rPr>
        <w:t xml:space="preserve">  Furthermore, in Order No. 2003, the Commission limited the use of participant funding to independent transmission providers, such as MISO, because of its concern that for a non-independent transmission provider, such as Duke Southeast Utilities, the implementation of participant funding creates opportunities for undue discrimination.</w:t>
      </w:r>
      <w:r>
        <w:rPr>
          <w:rStyle w:val="FootnoteReference"/>
        </w:rPr>
        <w:footnoteReference w:id="994"/>
      </w:r>
      <w:r w:rsidRPr="0072600F">
        <w:rPr>
          <w:sz w:val="26"/>
          <w:szCs w:val="26"/>
        </w:rPr>
        <w:t xml:space="preserve">  The Commission also stated that, if the affected system operator is an independent transmission provider, then it has flexibility regarding its interconnection pricing policy (including participant funding) that the affected system operator may propose while as discussed above, an affected system operator that is not independent must be consistent with the policy adopted for non-independent transmission providers (i.e., reimbursement).</w:t>
      </w:r>
      <w:r>
        <w:rPr>
          <w:rStyle w:val="FootnoteReference"/>
        </w:rPr>
        <w:footnoteReference w:id="995"/>
      </w:r>
      <w:r w:rsidRPr="0072600F">
        <w:rPr>
          <w:sz w:val="26"/>
          <w:szCs w:val="26"/>
        </w:rPr>
        <w:t xml:space="preserve">  This circumstance does not even speak to Order No. 2003’s network upgrade reimbursement requirement for jurisdictional affected system operators, much less undermine it.</w:t>
      </w:r>
    </w:p>
    <w:p w:rsidR="00760048" w:rsidRPr="0072600F" w14:paraId="552B0C0A"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Duke Southeast Utilities’ allegation that the Commission failed to address commenters’ concerns in Order No. 2023, we are not obligated to respond to each argument that goes to issues outside the scope of the proceeding one-by-one.</w:t>
      </w:r>
      <w:r>
        <w:rPr>
          <w:rStyle w:val="FootnoteReference"/>
        </w:rPr>
        <w:footnoteReference w:id="996"/>
      </w:r>
      <w:r w:rsidRPr="0072600F">
        <w:rPr>
          <w:sz w:val="26"/>
          <w:szCs w:val="26"/>
        </w:rPr>
        <w:t xml:space="preserve">  We reiterate that the affected system network upgrade reimbursement provisions in the </w:t>
      </w:r>
      <w:r w:rsidRPr="0072600F">
        <w:rPr>
          <w:i/>
          <w:iCs/>
          <w:sz w:val="26"/>
          <w:szCs w:val="26"/>
        </w:rPr>
        <w:t xml:space="preserve">pro forma </w:t>
      </w:r>
      <w:r w:rsidRPr="0072600F">
        <w:rPr>
          <w:sz w:val="26"/>
          <w:szCs w:val="26"/>
        </w:rPr>
        <w:t>affected system facilities construction agreements are a codification of existing Commission policy and are not a new policy proposal.  Order No. 2023 is not a vehicle for challenging existing Commission policy</w:t>
      </w:r>
      <w:r>
        <w:rPr>
          <w:rStyle w:val="FootnoteReference"/>
        </w:rPr>
        <w:footnoteReference w:id="997"/>
      </w:r>
      <w:r w:rsidRPr="0072600F">
        <w:rPr>
          <w:sz w:val="26"/>
          <w:szCs w:val="26"/>
        </w:rPr>
        <w:t xml:space="preserve"> and, accordingly, the Commission did not need to address each individual argument attempting to undermine existing Commission policy because Order No. 2023 did not revise the Commission’s existing reimbursement policy.</w:t>
      </w:r>
    </w:p>
    <w:p w:rsidR="00760048" w:rsidRPr="0072600F" w14:paraId="6F79C38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Finally, we remove from the </w:t>
      </w:r>
      <w:r w:rsidRPr="0072600F">
        <w:rPr>
          <w:i/>
          <w:iCs/>
          <w:sz w:val="26"/>
          <w:szCs w:val="26"/>
        </w:rPr>
        <w:t xml:space="preserve">pro forma </w:t>
      </w:r>
      <w:r w:rsidRPr="0072600F">
        <w:rPr>
          <w:sz w:val="26"/>
          <w:szCs w:val="26"/>
        </w:rPr>
        <w:t xml:space="preserve">affected system facilities construction agreements sections 3.1.2.2 (Recommencing of Work) and 3.1.2.3 (Right to Suspend Due to Default).  We find that these provisions are inconsistent with the </w:t>
      </w:r>
      <w:r w:rsidRPr="0072600F">
        <w:rPr>
          <w:i/>
          <w:iCs/>
          <w:sz w:val="26"/>
          <w:szCs w:val="26"/>
        </w:rPr>
        <w:t xml:space="preserve">pro forma </w:t>
      </w:r>
      <w:r w:rsidRPr="0072600F">
        <w:rPr>
          <w:sz w:val="26"/>
          <w:szCs w:val="26"/>
        </w:rPr>
        <w:t xml:space="preserve">LGIA and, accordingly, are unnecessary.  </w:t>
      </w:r>
    </w:p>
    <w:p w:rsidR="00760048" w:rsidRPr="00663161" w14:paraId="2D501C51"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Miscellaneous</w:t>
      </w:r>
    </w:p>
    <w:p w:rsidR="00760048" w:rsidRPr="00663161" w14:paraId="755B2178"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441FF4D3" w14:textId="77777777">
      <w:pPr>
        <w:pStyle w:val="FERCparanumber"/>
        <w:widowControl/>
        <w:numPr>
          <w:ilvl w:val="0"/>
          <w:numId w:val="25"/>
        </w:numPr>
        <w:autoSpaceDE/>
        <w:autoSpaceDN/>
        <w:adjustRightInd/>
        <w:spacing w:line="480" w:lineRule="auto"/>
        <w:rPr>
          <w:sz w:val="26"/>
          <w:szCs w:val="26"/>
        </w:rPr>
      </w:pPr>
      <w:r w:rsidRPr="0072600F">
        <w:rPr>
          <w:sz w:val="26"/>
          <w:szCs w:val="26"/>
        </w:rPr>
        <w:t>MISO asks the Commission to require MISO, PJM, and SPP to coordinate their affected systems revisions on compliance.</w:t>
      </w:r>
      <w:r>
        <w:rPr>
          <w:rStyle w:val="FootnoteReference"/>
        </w:rPr>
        <w:footnoteReference w:id="998"/>
      </w:r>
      <w:r w:rsidRPr="0072600F">
        <w:rPr>
          <w:sz w:val="26"/>
          <w:szCs w:val="26"/>
        </w:rPr>
        <w:t xml:space="preserve">  MISO explains that  Order No. 2023 only encourages, but does not require, “voluntary coordination between transmission providers who share transmission system seams and whose customers frequently impact each other’s systems.”</w:t>
      </w:r>
      <w:r>
        <w:rPr>
          <w:rStyle w:val="FootnoteReference"/>
        </w:rPr>
        <w:footnoteReference w:id="999"/>
      </w:r>
      <w:r w:rsidRPr="0072600F">
        <w:rPr>
          <w:sz w:val="26"/>
          <w:szCs w:val="26"/>
        </w:rPr>
        <w:t xml:space="preserve">  MISO argues that this could potentially allow neighboring RTOs/ISOs to independently develop affected systems approaches that could conflict with each other’s procedures and disrupt or sideline existing joint operating agreement coordination processes.</w:t>
      </w:r>
      <w:r>
        <w:rPr>
          <w:rStyle w:val="FootnoteReference"/>
        </w:rPr>
        <w:footnoteReference w:id="1000"/>
      </w:r>
      <w:r w:rsidRPr="0072600F">
        <w:rPr>
          <w:sz w:val="26"/>
          <w:szCs w:val="26"/>
        </w:rPr>
        <w:t xml:space="preserve">  MISO states that MISO, PJM, and SPP would need to intervene in each other’s compliance proceedings to monitor proposed revisions and protest if needed, which would be less efficient than the current joint affected system coordination process.  MISO adds that misalignment on affected systems studies between MISO, PJM, and SPP could lead to delayed study penalties.  Further, MISO explains that the Commission has previously required coordinated filings by RTO/ISOs proposing identical changes to their joint operating agreements.  MISO states that it addressed these concerns in its comments but asserts that Order No. 2023 did not meaningfully respond to them and failed to acknowledge the unique status of MISO, PJM, and SPP’s affected system coordination procedures.  Rather, MISO explains that Order No. 2023 states that the Commission “is not persuaded that any potential efficiencies of such coordination outweigh the burdens that may be placed on host transmission providers.”</w:t>
      </w:r>
      <w:r>
        <w:rPr>
          <w:rStyle w:val="FootnoteReference"/>
        </w:rPr>
        <w:footnoteReference w:id="1001"/>
      </w:r>
      <w:r w:rsidRPr="0072600F">
        <w:rPr>
          <w:sz w:val="26"/>
          <w:szCs w:val="26"/>
        </w:rPr>
        <w:t xml:space="preserve">  MISO argues that ignoring these arguments violates the requirement of reasoned decision-making and asserts that it is arbitrary and capricious that the Commission did not justify its departure from its precedent of requiring coordination between transmission providers.  </w:t>
      </w:r>
    </w:p>
    <w:p w:rsidR="00760048" w:rsidRPr="0072600F" w14:paraId="190022CA" w14:textId="77777777">
      <w:pPr>
        <w:pStyle w:val="FERCparanumber"/>
        <w:widowControl/>
        <w:numPr>
          <w:ilvl w:val="0"/>
          <w:numId w:val="25"/>
        </w:numPr>
        <w:autoSpaceDE/>
        <w:autoSpaceDN/>
        <w:adjustRightInd/>
        <w:spacing w:line="480" w:lineRule="auto"/>
        <w:rPr>
          <w:sz w:val="26"/>
          <w:szCs w:val="26"/>
        </w:rPr>
      </w:pPr>
      <w:r w:rsidRPr="0072600F">
        <w:rPr>
          <w:sz w:val="26"/>
          <w:szCs w:val="26"/>
        </w:rPr>
        <w:t>Shell requests clarification that affected system transmission providers must reimburse affected system interconnection customers for affected system network upgrades, not only when those network upgrades are identified via a traditional affected system study, but also when identified through a seams study.</w:t>
      </w:r>
      <w:r>
        <w:rPr>
          <w:rStyle w:val="FootnoteReference"/>
        </w:rPr>
        <w:footnoteReference w:id="1002"/>
      </w:r>
      <w:r w:rsidRPr="0072600F">
        <w:rPr>
          <w:sz w:val="26"/>
          <w:szCs w:val="26"/>
        </w:rPr>
        <w:t xml:space="preserve">  Shell explains that seams studies integrate generator interconnection and regional and inter-regional transmission planning and cost allocation.  Shell asserts that it would be unjust, unreasonable, and unduly discriminatory to reimburse interconnection customers for affected systems network upgrades identified under the revised </w:t>
      </w:r>
      <w:r w:rsidRPr="0072600F">
        <w:rPr>
          <w:i/>
          <w:iCs/>
          <w:sz w:val="26"/>
          <w:szCs w:val="26"/>
        </w:rPr>
        <w:t xml:space="preserve">pro forma, </w:t>
      </w:r>
      <w:r w:rsidRPr="0072600F">
        <w:rPr>
          <w:sz w:val="26"/>
          <w:szCs w:val="26"/>
        </w:rPr>
        <w:t>but not those identified under a seams arrangement.</w:t>
      </w:r>
      <w:r w:rsidRPr="0072600F">
        <w:rPr>
          <w:rStyle w:val="FootnoteReference"/>
        </w:rPr>
        <w:t xml:space="preserve"> </w:t>
      </w:r>
    </w:p>
    <w:p w:rsidR="00760048" w:rsidRPr="0072600F" w14:paraId="35435495" w14:textId="77777777">
      <w:pPr>
        <w:pStyle w:val="FERCparanumber"/>
        <w:widowControl/>
        <w:numPr>
          <w:ilvl w:val="0"/>
          <w:numId w:val="25"/>
        </w:numPr>
        <w:autoSpaceDE/>
        <w:autoSpaceDN/>
        <w:adjustRightInd/>
        <w:spacing w:line="480" w:lineRule="auto"/>
        <w:rPr>
          <w:sz w:val="26"/>
          <w:szCs w:val="26"/>
        </w:rPr>
      </w:pPr>
      <w:r w:rsidRPr="0072600F">
        <w:rPr>
          <w:sz w:val="26"/>
          <w:szCs w:val="26"/>
        </w:rPr>
        <w:t>Southeastern Utilities agree with the Commission that</w:t>
      </w:r>
      <w:r w:rsidR="0033255A">
        <w:rPr>
          <w:sz w:val="26"/>
          <w:szCs w:val="26"/>
        </w:rPr>
        <w:t>,</w:t>
      </w:r>
      <w:r w:rsidRPr="0072600F">
        <w:rPr>
          <w:sz w:val="26"/>
          <w:szCs w:val="26"/>
        </w:rPr>
        <w:t xml:space="preserve"> in most cases, an affected system transmission provider will receive the opportunity to study a delivery request if the “affected system interconnection customer subsequently seeks deliverability on either the host system or an affected system.”</w:t>
      </w:r>
      <w:r>
        <w:rPr>
          <w:rStyle w:val="FootnoteReference"/>
        </w:rPr>
        <w:footnoteReference w:id="1003"/>
      </w:r>
      <w:r w:rsidRPr="0072600F">
        <w:rPr>
          <w:sz w:val="26"/>
          <w:szCs w:val="26"/>
        </w:rPr>
        <w:t xml:space="preserve">  However, Southeastern Utilities explain that</w:t>
      </w:r>
      <w:r w:rsidR="0033255A">
        <w:rPr>
          <w:sz w:val="26"/>
          <w:szCs w:val="26"/>
        </w:rPr>
        <w:t>,</w:t>
      </w:r>
      <w:r w:rsidRPr="0072600F">
        <w:rPr>
          <w:sz w:val="26"/>
          <w:szCs w:val="26"/>
        </w:rPr>
        <w:t xml:space="preserve"> in some cases, the host transmission provider may not perform a transmission service study before power flows from a generating facility based on an NRIS request, and in those cases, it is not clear how or when the affected system transmission provider would have the opportunity to study the transmission service request.  For example, Southeastern Utilities note that MISO’s business practice manual allows MISO to accept a network service request “without further analysis” if the generating facility implicated in the request is a MISO aggregate deliverable resource that is identified during an NRIS deliverability study.</w:t>
      </w:r>
      <w:r>
        <w:rPr>
          <w:rStyle w:val="FootnoteReference"/>
        </w:rPr>
        <w:footnoteReference w:id="1004"/>
      </w:r>
      <w:r w:rsidRPr="0072600F">
        <w:rPr>
          <w:sz w:val="26"/>
          <w:szCs w:val="26"/>
        </w:rPr>
        <w:t xml:space="preserve">  Therefore, Southeastern Utilities ask the Commission to clarify that, in the event a host transmission provider performs a delivery analysis as part of its interconnection study, the affected system transmission provider can also study both interconnection and delivery requirements because the affected system transmission provider may not have an opportunity to study a transmission service request related to the generating facility.</w:t>
      </w:r>
      <w:r>
        <w:rPr>
          <w:rStyle w:val="FootnoteReference"/>
        </w:rPr>
        <w:footnoteReference w:id="1005"/>
      </w:r>
      <w:r w:rsidRPr="0072600F">
        <w:rPr>
          <w:sz w:val="26"/>
          <w:szCs w:val="26"/>
        </w:rPr>
        <w:t xml:space="preserve">  Southeastern Utilities argue that this clarification is needed to better consider impacts on their systems from delivery of power on neighboring systems.  If the Commission does not provide clarification, Southeastern Utilities request rehearing on this matter.  Southeastern Utilities argue that prohibiting affected system transmission providers to perform a delivery study along with an interconnection study under the circumstances it describes would be arbitrary and capricious and contrary to law for failing to consider all aspects of the issue under consideration, inconsistent with the Commission’s stated rationale, and would jeopardize system reliability.</w:t>
      </w:r>
      <w:r w:rsidRPr="0072600F">
        <w:rPr>
          <w:rStyle w:val="FootnoteReference"/>
        </w:rPr>
        <w:t xml:space="preserve"> </w:t>
      </w:r>
    </w:p>
    <w:p w:rsidR="00760048" w:rsidRPr="0072600F" w14:paraId="7310B09E"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rPr>
      </w:pPr>
      <w:r w:rsidRPr="00663161">
        <w:rPr>
          <w:sz w:val="26"/>
          <w:szCs w:val="26"/>
          <w:u w:val="single"/>
        </w:rPr>
        <w:t>Determination</w:t>
      </w:r>
    </w:p>
    <w:p w:rsidR="00760048" w:rsidRPr="0072600F" w14:paraId="62548B17" w14:textId="77777777">
      <w:pPr>
        <w:pStyle w:val="FERCparanumber"/>
        <w:widowControl/>
        <w:numPr>
          <w:ilvl w:val="0"/>
          <w:numId w:val="25"/>
        </w:numPr>
        <w:autoSpaceDE/>
        <w:autoSpaceDN/>
        <w:adjustRightInd/>
        <w:spacing w:line="480" w:lineRule="auto"/>
        <w:rPr>
          <w:sz w:val="26"/>
          <w:szCs w:val="26"/>
        </w:rPr>
      </w:pPr>
      <w:r w:rsidRPr="0072600F">
        <w:rPr>
          <w:sz w:val="26"/>
          <w:szCs w:val="26"/>
        </w:rPr>
        <w:t>We reject MISO’s request that the Commission require MISO, PJM, and SPP to coordinate their affected systems revisions on compliance.  We disagree with MISO’s argument that failing to include a directive for joint operating parties to coordinate affected systems was arbitrary and capricious.  Order No. 2023 sets the requirements in the</w:t>
      </w:r>
      <w:r w:rsidRPr="0072600F">
        <w:rPr>
          <w:i/>
          <w:iCs/>
          <w:sz w:val="26"/>
          <w:szCs w:val="26"/>
        </w:rPr>
        <w:t xml:space="preserve"> pro forma </w:t>
      </w:r>
      <w:r w:rsidRPr="0072600F">
        <w:rPr>
          <w:sz w:val="26"/>
          <w:szCs w:val="26"/>
        </w:rPr>
        <w:t>LGIP for the affected system study process.  As MISO acknowledges in its rehearing request, the RTOs’/ISOs’ joint operating agreements are “unique” and thus are not part of the Commission’s</w:t>
      </w:r>
      <w:r w:rsidRPr="0072600F">
        <w:rPr>
          <w:i/>
          <w:iCs/>
          <w:sz w:val="26"/>
          <w:szCs w:val="26"/>
        </w:rPr>
        <w:t xml:space="preserve"> pro forma </w:t>
      </w:r>
      <w:r w:rsidRPr="0072600F">
        <w:rPr>
          <w:sz w:val="26"/>
          <w:szCs w:val="26"/>
        </w:rPr>
        <w:t xml:space="preserve">LGIP.  We recognize that MISO has joint operating agreements with SPP and PJM that may need to be updated to reflect the requirements of Order No. 2023, and to the extent that revisions are needed, then we expect that MISO, PJM, and SPP will propose revisions to their joint operating agreements to ensure that there are no conflicts among their joint operating agreements, their LGIPs, and Order No. 2023’s requirements.  </w:t>
      </w:r>
    </w:p>
    <w:p w:rsidR="00760048" w:rsidRPr="0072600F" w14:paraId="6068EE8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disagree with MISO’s argument that failing to include a directive for joint operating parties to coordinate affected systems is a departure from Commission precedent.  We note that MISO points to a complaint that was specifically filed against MISO’s, PJM’s, and SPP’s joint operating agreements and tariffs.  However, here, we are revising the Commission’s </w:t>
      </w:r>
      <w:r w:rsidRPr="0072600F">
        <w:rPr>
          <w:i/>
          <w:iCs/>
          <w:sz w:val="26"/>
          <w:szCs w:val="26"/>
        </w:rPr>
        <w:t xml:space="preserve">pro forma </w:t>
      </w:r>
      <w:r w:rsidRPr="0072600F">
        <w:rPr>
          <w:sz w:val="26"/>
          <w:szCs w:val="26"/>
        </w:rPr>
        <w:t xml:space="preserve">LGIP.  Order No. 2023 does not modify or address individual seams arrangements, which are not part of the Commission’s </w:t>
      </w:r>
      <w:r w:rsidRPr="0072600F">
        <w:rPr>
          <w:i/>
          <w:iCs/>
          <w:sz w:val="26"/>
          <w:szCs w:val="26"/>
        </w:rPr>
        <w:t xml:space="preserve">pro forma </w:t>
      </w:r>
      <w:r w:rsidRPr="0072600F">
        <w:rPr>
          <w:sz w:val="26"/>
          <w:szCs w:val="26"/>
        </w:rPr>
        <w:t>LGIP.  We agree that alignment among neighboring processes is important, and we continue to encourage voluntary coordination between transmission providers who share transmission seams.</w:t>
      </w:r>
      <w:r>
        <w:rPr>
          <w:rStyle w:val="FootnoteReference"/>
        </w:rPr>
        <w:footnoteReference w:id="1006"/>
      </w:r>
      <w:r w:rsidRPr="0072600F">
        <w:rPr>
          <w:sz w:val="26"/>
          <w:szCs w:val="26"/>
        </w:rPr>
        <w:t xml:space="preserve">  </w:t>
      </w:r>
    </w:p>
    <w:p w:rsidR="00760048" w:rsidRPr="0072600F" w14:paraId="3494D1CC"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reject Shell’s</w:t>
      </w:r>
      <w:r w:rsidRPr="0072600F">
        <w:rPr>
          <w:sz w:val="26"/>
          <w:szCs w:val="26"/>
        </w:rPr>
        <w:t xml:space="preserve"> </w:t>
      </w:r>
      <w:r w:rsidRPr="0072600F">
        <w:rPr>
          <w:sz w:val="26"/>
          <w:szCs w:val="26"/>
        </w:rPr>
        <w:t xml:space="preserve">request for clarification that affected system transmission providers must reimburse affected system interconnection customers for affected system network upgrades whether identified via a traditional affected system study or through a seams study, because such clarification is outside of the scope of Order No. 2023.  As discussed above, Order No. 2023 modifies the Commission’s </w:t>
      </w:r>
      <w:r w:rsidRPr="0072600F">
        <w:rPr>
          <w:i/>
          <w:iCs/>
          <w:sz w:val="26"/>
          <w:szCs w:val="26"/>
        </w:rPr>
        <w:t xml:space="preserve">pro forma </w:t>
      </w:r>
      <w:r w:rsidRPr="0072600F">
        <w:rPr>
          <w:sz w:val="26"/>
          <w:szCs w:val="26"/>
        </w:rPr>
        <w:t>LGIP to establish a standardized affected system study process.  Additionally, as discussed above, we note that Order No. 2023 does not alter the Commission’s existing reimbursement requirements for affected system network upgrades.</w:t>
      </w:r>
      <w:r w:rsidRPr="0072600F">
        <w:rPr>
          <w:sz w:val="26"/>
          <w:szCs w:val="26"/>
        </w:rPr>
        <w:t xml:space="preserve"> </w:t>
      </w:r>
    </w:p>
    <w:p w:rsidR="00760048" w:rsidRPr="0072600F" w14:paraId="4C413D8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reject Southeastern Utilities’ request for rehearing that, in the event a host transmission provider does not perform a delivery analysis as part of its interconnection study, the affected system transmission provider can also study both interconnection and delivery requirements.  In Order No. 2023, the Commission found, and we continue to find, that an affected system transmission provider must use ERIS studies on affected system interconnection requests regardless of the level of service requested on the host system.  Southeastern Utilities argue that there are some instances where the affected system transmission provider will not have the opportunity to study the impact of the generating facility in the context of the associated transmission service request before any power flow from that generating facility and notes, as an example, that MISO does not conduct a deliverability study for network service requests when an interconnection customer requests NRIS.  However, as discussed in Order No. 2023, the ERIS modeling requirement applies to the </w:t>
      </w:r>
      <w:r w:rsidRPr="0072600F">
        <w:rPr>
          <w:i/>
          <w:iCs/>
          <w:sz w:val="26"/>
          <w:szCs w:val="26"/>
        </w:rPr>
        <w:t xml:space="preserve">pro forma </w:t>
      </w:r>
      <w:r w:rsidRPr="0072600F">
        <w:rPr>
          <w:sz w:val="26"/>
          <w:szCs w:val="26"/>
        </w:rPr>
        <w:t>LGIP affected system study process and the Commission explicitly stated that it would not address whether a transmission provider has adequate transmission service studies.</w:t>
      </w:r>
      <w:r>
        <w:rPr>
          <w:rStyle w:val="FootnoteReference"/>
        </w:rPr>
        <w:footnoteReference w:id="1007"/>
      </w:r>
      <w:r w:rsidRPr="0072600F">
        <w:rPr>
          <w:sz w:val="26"/>
          <w:szCs w:val="26"/>
        </w:rPr>
        <w:t xml:space="preserve">   As discussed above, the Commission found in Order No. 2003 and reiterated in Order No. 2023 that interconnection service is an element of, but separate from the delivery component of, transmission service.</w:t>
      </w:r>
      <w:r>
        <w:rPr>
          <w:rStyle w:val="FootnoteReference"/>
        </w:rPr>
        <w:footnoteReference w:id="1008"/>
      </w:r>
    </w:p>
    <w:p w:rsidR="00760048" w:rsidRPr="00663161" w14:paraId="7DE22347"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u w:val="single"/>
        </w:rPr>
      </w:pPr>
      <w:bookmarkStart w:id="89" w:name="_bmk21"/>
      <w:bookmarkStart w:id="90" w:name="_Toc138973272"/>
      <w:bookmarkStart w:id="91" w:name="_Toc138973611"/>
      <w:r w:rsidRPr="00663161">
        <w:rPr>
          <w:b/>
          <w:bCs/>
          <w:sz w:val="26"/>
          <w:szCs w:val="26"/>
          <w:u w:val="single"/>
        </w:rPr>
        <w:t>R</w:t>
      </w:r>
      <w:bookmarkEnd w:id="89"/>
      <w:r w:rsidRPr="00663161">
        <w:rPr>
          <w:b/>
          <w:bCs/>
          <w:sz w:val="26"/>
          <w:szCs w:val="26"/>
          <w:u w:val="single"/>
        </w:rPr>
        <w:t>eforms to Incorporate Technological Advancements into the Interconnection Process</w:t>
      </w:r>
      <w:bookmarkEnd w:id="90"/>
      <w:bookmarkEnd w:id="91"/>
    </w:p>
    <w:p w:rsidR="00760048" w:rsidRPr="00663161" w14:paraId="677066AF"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92" w:name="_bmk22"/>
      <w:r w:rsidRPr="00663161">
        <w:rPr>
          <w:b/>
          <w:bCs/>
          <w:sz w:val="26"/>
          <w:u w:val="single"/>
        </w:rPr>
        <w:t>I</w:t>
      </w:r>
      <w:bookmarkEnd w:id="92"/>
      <w:r w:rsidRPr="00663161">
        <w:rPr>
          <w:b/>
          <w:bCs/>
          <w:sz w:val="26"/>
          <w:u w:val="single"/>
        </w:rPr>
        <w:t>ncreasing Flexibility in the Generation Interconnection Process</w:t>
      </w:r>
    </w:p>
    <w:p w:rsidR="00760048" w:rsidRPr="00663161" w14:paraId="5E202635"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Co-Located Generating Facilities Behind One Point of Interconnection</w:t>
      </w:r>
    </w:p>
    <w:p w:rsidR="00760048" w:rsidRPr="00663161" w14:paraId="1266A8E8"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076A841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w:t>
      </w:r>
      <w:r w:rsidRPr="0072600F">
        <w:rPr>
          <w:i/>
          <w:iCs/>
          <w:sz w:val="26"/>
          <w:szCs w:val="26"/>
        </w:rPr>
        <w:t xml:space="preserve">pro forma </w:t>
      </w:r>
      <w:r w:rsidRPr="0072600F">
        <w:rPr>
          <w:sz w:val="26"/>
          <w:szCs w:val="26"/>
        </w:rPr>
        <w:t>LGIP section 3.1.2 to require transmission providers to allow more than one generating facility to co-locate on a shared site behind a single point of interconnection and share a single interconnection request.</w:t>
      </w:r>
      <w:r>
        <w:rPr>
          <w:rStyle w:val="FootnoteReference"/>
        </w:rPr>
        <w:footnoteReference w:id="1009"/>
      </w:r>
      <w:r w:rsidRPr="0072600F">
        <w:rPr>
          <w:sz w:val="26"/>
          <w:szCs w:val="26"/>
        </w:rPr>
        <w:t xml:space="preserve">  The Commission clarified that interconnection customers have the choice to structure their interconnection requests for co-located generating facilities according to their preference (i.e., as separate interconnection requests or as a shared interconnection request) and that Order No. 2023 does not require</w:t>
      </w:r>
      <w:r w:rsidRPr="0072600F">
        <w:rPr>
          <w:i/>
          <w:iCs/>
          <w:sz w:val="26"/>
          <w:szCs w:val="26"/>
        </w:rPr>
        <w:t xml:space="preserve"> </w:t>
      </w:r>
      <w:r w:rsidRPr="0072600F">
        <w:rPr>
          <w:sz w:val="26"/>
          <w:szCs w:val="26"/>
        </w:rPr>
        <w:t>interconnection customers to share a single interconnection request for multiple generating facilities located on the same site.</w:t>
      </w:r>
      <w:r>
        <w:rPr>
          <w:rStyle w:val="FootnoteReference"/>
        </w:rPr>
        <w:footnoteReference w:id="1010"/>
      </w:r>
      <w:r w:rsidRPr="0072600F">
        <w:rPr>
          <w:sz w:val="26"/>
          <w:szCs w:val="26"/>
        </w:rPr>
        <w:t xml:space="preserve">  The Commission also clarified that co-located generating facilities can be owned by a single interconnection customer with multiple generating facilities sharing a site, or by multiple interconnection customers that have a contract or other agreement that allows for shared land use.</w:t>
      </w:r>
      <w:r>
        <w:rPr>
          <w:rStyle w:val="FootnoteReference"/>
        </w:rPr>
        <w:footnoteReference w:id="1011"/>
      </w:r>
    </w:p>
    <w:p w:rsidR="00760048" w:rsidRPr="0072600F" w14:paraId="1C5ABFA6"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found that co-located generating facilities, in spite of being prevalent in current interconnection queues, face barriers to interconnection under existing interconnection procedures,</w:t>
      </w:r>
      <w:r w:rsidRPr="0072600F">
        <w:rPr>
          <w:b/>
          <w:bCs/>
          <w:sz w:val="26"/>
          <w:szCs w:val="26"/>
        </w:rPr>
        <w:t xml:space="preserve"> </w:t>
      </w:r>
      <w:r w:rsidRPr="0072600F">
        <w:rPr>
          <w:sz w:val="26"/>
          <w:szCs w:val="26"/>
        </w:rPr>
        <w:t>and that this reform will effectively remove such barriers.</w:t>
      </w:r>
      <w:r>
        <w:rPr>
          <w:rStyle w:val="FootnoteReference"/>
        </w:rPr>
        <w:footnoteReference w:id="1012"/>
      </w:r>
      <w:r w:rsidRPr="0072600F">
        <w:rPr>
          <w:sz w:val="26"/>
          <w:szCs w:val="26"/>
        </w:rPr>
        <w:t xml:space="preserve">  The Commission further found that requiring transmission providers to allow interconnection customers to submit a single interconnection request that represents multiple generating facilities that are located behind a single point of interconnection is required to ensure just and reasonable rates.  The Commission stated that this reform will improve efficiency for transmission providers in the study process by reducing the number of interconnection requests in the interconnection queue and will reduce costs for interconnection customers because they will only submit a single set of deposits to enter the interconnection queue.  The Commission also stated that this reform will improve interconnection queue efficiency without imposing an adverse impact on the efficacy of interconnection study results or other interconnection customers.</w:t>
      </w:r>
      <w:r>
        <w:rPr>
          <w:rStyle w:val="FootnoteReference"/>
        </w:rPr>
        <w:footnoteReference w:id="1013"/>
      </w:r>
    </w:p>
    <w:p w:rsidR="00760048" w:rsidRPr="00663161" w14:paraId="607713DA"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53417626" w14:textId="77777777">
      <w:pPr>
        <w:pStyle w:val="FERCparanumber"/>
        <w:widowControl/>
        <w:numPr>
          <w:ilvl w:val="0"/>
          <w:numId w:val="25"/>
        </w:numPr>
        <w:autoSpaceDE/>
        <w:autoSpaceDN/>
        <w:adjustRightInd/>
        <w:spacing w:line="480" w:lineRule="auto"/>
        <w:rPr>
          <w:sz w:val="26"/>
          <w:szCs w:val="26"/>
        </w:rPr>
      </w:pPr>
      <w:r w:rsidRPr="0072600F">
        <w:rPr>
          <w:sz w:val="26"/>
          <w:szCs w:val="26"/>
        </w:rPr>
        <w:t>MISO urges the Commission to clarify that the requirement to allow co-located resources to share an interconnection request is limited to co-located resources owned by the same interconnection customer.</w:t>
      </w:r>
      <w:r>
        <w:rPr>
          <w:rStyle w:val="FootnoteReference"/>
        </w:rPr>
        <w:footnoteReference w:id="1014"/>
      </w:r>
      <w:r w:rsidRPr="0072600F">
        <w:rPr>
          <w:sz w:val="26"/>
          <w:szCs w:val="26"/>
        </w:rPr>
        <w:t xml:space="preserve">  MISO states that requiring or even allowing separate interconnection customers to combine their projects into a single interconnection request would create numerous opportunities for conflict and interconnection management challenges.  MISO argues, for example, that, if one of two interconnection customers sharing an interconnection request fails to adhere to the requirements of MISO’s LGIP and must be withdrawn, MISO would need to develop an extensive set of revisions to the LGIP and new procedures for separating one interconnection customer’s facilities out of a shared interconnection request.  MISO asserts that it is not necessary to require a transmission provider to allow separate interconnection customers to share an interconnection request for separate projects just to allow them to co-locate behind a common point of interconnection.  Therefore, MISO asks the Commission to clarify that allowing multiple interconnection customers to share an interconnection request is merely one mechanism to achieve Order No. 2023’s goal allowing interconnection customers to co-locate their generating facilities and that transmission providers are not required to use that particular mechanism provided they adopt procedures to allow the intended result.</w:t>
      </w:r>
      <w:r w:rsidRPr="0072600F">
        <w:rPr>
          <w:b/>
          <w:sz w:val="26"/>
          <w:szCs w:val="26"/>
          <w:vertAlign w:val="superscript"/>
        </w:rPr>
        <w:t xml:space="preserve"> </w:t>
      </w:r>
    </w:p>
    <w:p w:rsidR="00760048" w:rsidRPr="0072600F" w14:paraId="115E757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NYTOs ask the Commission to clarify the definition of </w:t>
      </w:r>
      <w:r w:rsidRPr="0072600F">
        <w:rPr>
          <w:sz w:val="26"/>
          <w:szCs w:val="26"/>
        </w:rPr>
        <w:t>stand alone</w:t>
      </w:r>
      <w:r w:rsidRPr="0072600F">
        <w:rPr>
          <w:sz w:val="26"/>
          <w:szCs w:val="26"/>
        </w:rPr>
        <w:t xml:space="preserve"> network upgrades and the option to build standalone network upgrades in situations of co-located generating facilities.</w:t>
      </w:r>
      <w:r>
        <w:rPr>
          <w:rStyle w:val="FootnoteReference"/>
        </w:rPr>
        <w:footnoteReference w:id="1015"/>
      </w:r>
      <w:r w:rsidRPr="0072600F">
        <w:rPr>
          <w:sz w:val="26"/>
          <w:szCs w:val="26"/>
        </w:rPr>
        <w:t xml:space="preserve">  Specifically, NYTOs note that Order No. 2023 maintains the definition of </w:t>
      </w:r>
      <w:r w:rsidRPr="0072600F">
        <w:rPr>
          <w:sz w:val="26"/>
          <w:szCs w:val="26"/>
        </w:rPr>
        <w:t>stand alone</w:t>
      </w:r>
      <w:r w:rsidRPr="0072600F">
        <w:rPr>
          <w:sz w:val="26"/>
          <w:szCs w:val="26"/>
        </w:rPr>
        <w:t xml:space="preserve"> network upgrades as “only those required for a single interconnection customer,”</w:t>
      </w:r>
      <w:r>
        <w:rPr>
          <w:rStyle w:val="FootnoteReference"/>
        </w:rPr>
        <w:footnoteReference w:id="1016"/>
      </w:r>
      <w:r w:rsidRPr="0072600F">
        <w:rPr>
          <w:sz w:val="26"/>
          <w:szCs w:val="26"/>
        </w:rPr>
        <w:t xml:space="preserve"> but also requires transmission providers to allow interconnection customers to submit a single interconnection request that represents multiple generating facilities that are located behind a single point of interconnection.</w:t>
      </w:r>
      <w:r>
        <w:rPr>
          <w:rStyle w:val="FootnoteReference"/>
        </w:rPr>
        <w:footnoteReference w:id="1017"/>
      </w:r>
      <w:r w:rsidRPr="0072600F">
        <w:rPr>
          <w:sz w:val="26"/>
          <w:szCs w:val="26"/>
        </w:rPr>
        <w:t xml:space="preserve">  Therefore, NYTOs urge the Commission to clarify application of the option to build </w:t>
      </w:r>
      <w:r w:rsidRPr="0072600F">
        <w:rPr>
          <w:sz w:val="26"/>
          <w:szCs w:val="26"/>
        </w:rPr>
        <w:t>stand alone</w:t>
      </w:r>
      <w:r w:rsidRPr="0072600F">
        <w:rPr>
          <w:sz w:val="26"/>
          <w:szCs w:val="26"/>
        </w:rPr>
        <w:t xml:space="preserve"> network upgrades when required for a shared interconnection request.</w:t>
      </w:r>
    </w:p>
    <w:p w:rsidR="00760048" w:rsidRPr="00663161" w14:paraId="6FCDDC2D"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4784AB26"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MISO’s arguments that the requirement to allow co-located resources to share an interconnection request should be limited to co-located resources owned by the same interconnection customer.  We</w:t>
      </w:r>
      <w:r w:rsidRPr="0072600F">
        <w:rPr>
          <w:sz w:val="26"/>
          <w:szCs w:val="26"/>
        </w:rPr>
        <w:t xml:space="preserve"> </w:t>
      </w:r>
      <w:r w:rsidRPr="0072600F">
        <w:rPr>
          <w:sz w:val="26"/>
          <w:szCs w:val="26"/>
        </w:rPr>
        <w:t>sustain our findings in Order No. 2023 that transmission providers must allow more than one generating facility to co-locate on a shared site behind a single point of interconnection and share a single interconnection request, and that such co-located generating facilities can be owned by a single interconnection customer with multiple generating facilities sharing a site, or by multiple interconnection customers that have a contract or other agreement that allows for shared land use.</w:t>
      </w:r>
      <w:r>
        <w:rPr>
          <w:rStyle w:val="FootnoteReference"/>
        </w:rPr>
        <w:footnoteReference w:id="1018"/>
      </w:r>
      <w:r w:rsidRPr="0072600F">
        <w:rPr>
          <w:sz w:val="26"/>
          <w:szCs w:val="26"/>
        </w:rPr>
        <w:t xml:space="preserve">  We continue to find that this reform will improve efficiency for transmission providers in the study process by reducing the number of interconnection requests in the interconnection queue and will reduce costs for interconnection customers because they will only submit a single set of deposits to enter the interconnection queue.  For these reasons, we continue to believe that this reform will improve efficiency for both transmission providers and interconnection customers, and that this reform is necessary to ensure just and reasonable rates.  </w:t>
      </w:r>
    </w:p>
    <w:p w:rsidR="00760048" w:rsidRPr="0072600F" w14:paraId="47A6B3EF"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Regarding the situation that MISO </w:t>
      </w:r>
      <w:r w:rsidRPr="0072600F">
        <w:rPr>
          <w:sz w:val="26"/>
          <w:szCs w:val="26"/>
        </w:rPr>
        <w:t>describes,</w:t>
      </w:r>
      <w:r w:rsidRPr="0072600F">
        <w:rPr>
          <w:sz w:val="26"/>
          <w:szCs w:val="26"/>
        </w:rPr>
        <w:t xml:space="preserve"> in which one of the co-located generating facilities sharing an interconnection request is withdrawn or requested to be withdrawn, we do not believe </w:t>
      </w:r>
      <w:r w:rsidR="00761A3B">
        <w:rPr>
          <w:sz w:val="26"/>
          <w:szCs w:val="26"/>
        </w:rPr>
        <w:t xml:space="preserve">that </w:t>
      </w:r>
      <w:r w:rsidRPr="0072600F">
        <w:rPr>
          <w:sz w:val="26"/>
          <w:szCs w:val="26"/>
        </w:rPr>
        <w:t xml:space="preserve">revisions to the </w:t>
      </w:r>
      <w:r w:rsidRPr="0072600F">
        <w:rPr>
          <w:i/>
          <w:sz w:val="26"/>
          <w:szCs w:val="26"/>
        </w:rPr>
        <w:t>pro forma</w:t>
      </w:r>
      <w:r w:rsidRPr="0072600F">
        <w:rPr>
          <w:sz w:val="26"/>
          <w:szCs w:val="26"/>
        </w:rPr>
        <w:t xml:space="preserve"> LGIP are needed to separate the facilities in the shared interconnection request.  Rather, we believe </w:t>
      </w:r>
      <w:r w:rsidR="00761A3B">
        <w:rPr>
          <w:sz w:val="26"/>
          <w:szCs w:val="26"/>
        </w:rPr>
        <w:t>that</w:t>
      </w:r>
      <w:r w:rsidRPr="0072600F">
        <w:rPr>
          <w:sz w:val="26"/>
          <w:szCs w:val="26"/>
        </w:rPr>
        <w:t xml:space="preserve"> transmission providers should determine whether the entire shared interconnection request should proceed or be withdrawn using the existing withdrawal provisions in section 3.7 of the </w:t>
      </w:r>
      <w:r w:rsidRPr="0072600F">
        <w:rPr>
          <w:i/>
          <w:iCs/>
          <w:sz w:val="26"/>
          <w:szCs w:val="26"/>
        </w:rPr>
        <w:t>pro forma</w:t>
      </w:r>
      <w:r w:rsidRPr="0072600F">
        <w:rPr>
          <w:sz w:val="26"/>
          <w:szCs w:val="26"/>
        </w:rPr>
        <w:t xml:space="preserve"> LGIP or the existing material modification procedures in section 4.4 of the </w:t>
      </w:r>
      <w:r w:rsidRPr="0072600F">
        <w:rPr>
          <w:i/>
          <w:iCs/>
          <w:sz w:val="26"/>
          <w:szCs w:val="26"/>
        </w:rPr>
        <w:t>pro forma</w:t>
      </w:r>
      <w:r w:rsidRPr="0072600F">
        <w:rPr>
          <w:sz w:val="26"/>
          <w:szCs w:val="26"/>
        </w:rPr>
        <w:t xml:space="preserve"> LGIP.  If a transmission provider would like to propose revisions to its LGIP to allow one co-located generating facility sharing an interconnection request to withdraw from the queue while allowing another co-located generating facility sharing the same interconnection request to proceed in the interconnection queue, </w:t>
      </w:r>
      <w:r w:rsidR="00782CB3">
        <w:rPr>
          <w:sz w:val="26"/>
          <w:szCs w:val="26"/>
        </w:rPr>
        <w:t>it</w:t>
      </w:r>
      <w:r w:rsidRPr="0072600F" w:rsidR="00782CB3">
        <w:rPr>
          <w:sz w:val="26"/>
          <w:szCs w:val="26"/>
        </w:rPr>
        <w:t xml:space="preserve"> </w:t>
      </w:r>
      <w:r w:rsidRPr="0072600F">
        <w:rPr>
          <w:sz w:val="26"/>
          <w:szCs w:val="26"/>
        </w:rPr>
        <w:t>may do so in a</w:t>
      </w:r>
      <w:r w:rsidR="00782CB3">
        <w:rPr>
          <w:sz w:val="26"/>
          <w:szCs w:val="26"/>
        </w:rPr>
        <w:t>n</w:t>
      </w:r>
      <w:r w:rsidRPr="0072600F">
        <w:rPr>
          <w:sz w:val="26"/>
          <w:szCs w:val="26"/>
        </w:rPr>
        <w:t xml:space="preserve"> FPA section 205 filing.</w:t>
      </w:r>
    </w:p>
    <w:p w:rsidR="00760048" w:rsidRPr="0072600F" w14:paraId="6151BD9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response to NYTOs’ request for clarification, we believe that the revisions to the definition of </w:t>
      </w:r>
      <w:r w:rsidRPr="0072600F">
        <w:rPr>
          <w:sz w:val="26"/>
          <w:szCs w:val="26"/>
        </w:rPr>
        <w:t>stand alone</w:t>
      </w:r>
      <w:r w:rsidRPr="0072600F">
        <w:rPr>
          <w:sz w:val="26"/>
          <w:szCs w:val="26"/>
        </w:rPr>
        <w:t xml:space="preserve"> network upgrades earlier in this order in response to Clean Energy Associations’ request for rehearing should resolve NYTOs’ concern and clarify the option to build </w:t>
      </w:r>
      <w:r w:rsidRPr="0072600F">
        <w:rPr>
          <w:sz w:val="26"/>
          <w:szCs w:val="26"/>
        </w:rPr>
        <w:t>stand alone</w:t>
      </w:r>
      <w:r w:rsidRPr="0072600F">
        <w:rPr>
          <w:sz w:val="26"/>
          <w:szCs w:val="26"/>
        </w:rPr>
        <w:t xml:space="preserve"> network upgrades when required for a shared interconnection request.</w:t>
      </w:r>
      <w:r>
        <w:rPr>
          <w:rStyle w:val="FootnoteReference"/>
        </w:rPr>
        <w:footnoteReference w:id="1019"/>
      </w:r>
      <w:r w:rsidRPr="0072600F">
        <w:rPr>
          <w:sz w:val="26"/>
          <w:szCs w:val="26"/>
        </w:rPr>
        <w:t xml:space="preserve">  </w:t>
      </w:r>
    </w:p>
    <w:p w:rsidR="00760048" w:rsidRPr="00663161" w14:paraId="17E2A3DF"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Revisions to the Modification Process to Require Consideration of Generating Facility Additions</w:t>
      </w:r>
    </w:p>
    <w:p w:rsidR="00760048" w:rsidRPr="00663161" w14:paraId="6CB551F7"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0316542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section 4.4.3 of the </w:t>
      </w:r>
      <w:r w:rsidRPr="0072600F">
        <w:rPr>
          <w:i/>
          <w:iCs/>
          <w:sz w:val="26"/>
          <w:szCs w:val="26"/>
        </w:rPr>
        <w:t xml:space="preserve">pro forma </w:t>
      </w:r>
      <w:r w:rsidRPr="0072600F">
        <w:rPr>
          <w:sz w:val="26"/>
          <w:szCs w:val="26"/>
        </w:rPr>
        <w:t>LGIP to require transmission providers to evaluate the proposed addition of a generating facility at the same point of interconnection prior to deeming such an addition a material modification, if the addition does not change the originally requested interconnection service level.</w:t>
      </w:r>
      <w:r>
        <w:rPr>
          <w:rStyle w:val="FootnoteReference"/>
        </w:rPr>
        <w:footnoteReference w:id="1020"/>
      </w:r>
      <w:r w:rsidRPr="0072600F">
        <w:rPr>
          <w:sz w:val="26"/>
          <w:szCs w:val="26"/>
        </w:rPr>
        <w:t xml:space="preserve">  The Commission found that automatically deeming a request to add a generating facility to an existing interconnection request to be a material modification without such evaluation creates a significant barrier to access to the transmission system</w:t>
      </w:r>
      <w:r w:rsidRPr="0072600F">
        <w:rPr>
          <w:b/>
          <w:bCs/>
          <w:sz w:val="26"/>
          <w:szCs w:val="26"/>
        </w:rPr>
        <w:t xml:space="preserve"> </w:t>
      </w:r>
      <w:r w:rsidRPr="0072600F">
        <w:rPr>
          <w:sz w:val="26"/>
          <w:szCs w:val="26"/>
        </w:rPr>
        <w:t>and renders existing interconnection processes unjust and unreasonable.</w:t>
      </w:r>
      <w:r>
        <w:rPr>
          <w:rStyle w:val="FootnoteReference"/>
        </w:rPr>
        <w:footnoteReference w:id="1021"/>
      </w:r>
      <w:r w:rsidRPr="0072600F">
        <w:rPr>
          <w:sz w:val="26"/>
          <w:szCs w:val="26"/>
        </w:rPr>
        <w:t xml:space="preserve">  </w:t>
      </w:r>
    </w:p>
    <w:p w:rsidR="00760048" w:rsidRPr="0072600F" w14:paraId="0AA7843C"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clarified that interconnection customers may continue to request changes to proposed generating facilities at any time in the interconnection process; however, transmission providers are only required to evaluate whether a request to add a generating facility to an existing interconnection request is material if the request is submitted before the interconnection customer returns the executed facilities study agreement to the transmission provider.  Once the executed facilities study agreement is returned, the transmission provider may decide to automatically treat requests to add a generating facility to an existing interconnection request as material modifications without review.</w:t>
      </w:r>
      <w:r>
        <w:rPr>
          <w:rStyle w:val="FootnoteReference"/>
        </w:rPr>
        <w:footnoteReference w:id="1022"/>
      </w:r>
      <w:r w:rsidRPr="0072600F">
        <w:rPr>
          <w:sz w:val="26"/>
          <w:szCs w:val="26"/>
        </w:rPr>
        <w:t xml:space="preserve">  The Commission also created an exception from these requirements for transmission providers that employ fuel-based dispatch assumptions.</w:t>
      </w:r>
      <w:r>
        <w:rPr>
          <w:rStyle w:val="FootnoteReference"/>
        </w:rPr>
        <w:footnoteReference w:id="1023"/>
      </w:r>
    </w:p>
    <w:p w:rsidR="00760048" w:rsidRPr="0072600F" w14:paraId="5788B56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clarified that, per </w:t>
      </w:r>
      <w:r w:rsidRPr="0072600F">
        <w:rPr>
          <w:i/>
          <w:iCs/>
          <w:sz w:val="26"/>
          <w:szCs w:val="26"/>
        </w:rPr>
        <w:t xml:space="preserve">pro forma </w:t>
      </w:r>
      <w:r w:rsidRPr="0072600F">
        <w:rPr>
          <w:sz w:val="26"/>
          <w:szCs w:val="26"/>
        </w:rPr>
        <w:t>LGIP section 4.4.1, prior to the return of the cluster study agreement from the transmission provider to the interconnection customer, a decrease of up to 60% of electrical output (MW) must not be considered a material modification.</w:t>
      </w:r>
      <w:r>
        <w:rPr>
          <w:rStyle w:val="FootnoteReference"/>
        </w:rPr>
        <w:footnoteReference w:id="1024"/>
      </w:r>
      <w:r w:rsidRPr="0072600F">
        <w:rPr>
          <w:sz w:val="26"/>
          <w:szCs w:val="26"/>
        </w:rPr>
        <w:t xml:space="preserve">  In addition, per </w:t>
      </w:r>
      <w:r w:rsidRPr="0072600F">
        <w:rPr>
          <w:i/>
          <w:iCs/>
          <w:sz w:val="26"/>
          <w:szCs w:val="26"/>
        </w:rPr>
        <w:t xml:space="preserve">pro forma </w:t>
      </w:r>
      <w:r w:rsidRPr="0072600F">
        <w:rPr>
          <w:sz w:val="26"/>
          <w:szCs w:val="26"/>
        </w:rPr>
        <w:t>LGIP section 4.4.2, prior to the return of the executed interconnection facilities study, an additional 15% decrease of electrical output of the proposed project must not be considered a material modification if the change occurred either through a decrease in plant size (MW) or a decrease in interconnection service level accomplished by applying transmission provider-approved injection-limiting equipment.</w:t>
      </w:r>
    </w:p>
    <w:p w:rsidR="00760048" w:rsidRPr="00663161" w14:paraId="32A35B4B"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rsidP="00A36830" w14:paraId="3FF2099D" w14:textId="77777777">
      <w:pPr>
        <w:pStyle w:val="FERCparanumber"/>
        <w:widowControl/>
        <w:numPr>
          <w:ilvl w:val="0"/>
          <w:numId w:val="25"/>
        </w:numPr>
        <w:autoSpaceDE/>
        <w:autoSpaceDN/>
        <w:adjustRightInd/>
        <w:spacing w:line="480" w:lineRule="auto"/>
        <w:rPr>
          <w:sz w:val="26"/>
          <w:szCs w:val="26"/>
        </w:rPr>
      </w:pPr>
      <w:r w:rsidRPr="0072600F">
        <w:rPr>
          <w:sz w:val="26"/>
          <w:szCs w:val="26"/>
        </w:rPr>
        <w:t>PJM seeks rehearing of this reform because it believes that the Commission fails to address the concerns PJM raised in its NOPR comments that locating an additional facility at the site of the first project can affect other interconnection customers, especially if the additional facility has a different fuel type than the initial facility.</w:t>
      </w:r>
      <w:r>
        <w:rPr>
          <w:rStyle w:val="FootnoteReference"/>
        </w:rPr>
        <w:footnoteReference w:id="1025"/>
      </w:r>
      <w:r w:rsidRPr="0072600F">
        <w:rPr>
          <w:sz w:val="26"/>
          <w:szCs w:val="26"/>
        </w:rPr>
        <w:t xml:space="preserve">  PJM adds that the Commission’s determination is arbitrary and capricious because a project developer who is unsure which facilities it seeks to interconnect at the time of its application is not ready to proceed and performing a material modification analysis is time-consuming</w:t>
      </w:r>
      <w:r w:rsidR="00C15D06">
        <w:rPr>
          <w:sz w:val="26"/>
          <w:szCs w:val="26"/>
        </w:rPr>
        <w:t>:</w:t>
      </w:r>
      <w:r w:rsidRPr="0072600F">
        <w:rPr>
          <w:sz w:val="26"/>
          <w:szCs w:val="26"/>
        </w:rPr>
        <w:t xml:space="preserve"> </w:t>
      </w:r>
      <w:r w:rsidR="009D197E">
        <w:rPr>
          <w:sz w:val="26"/>
          <w:szCs w:val="26"/>
        </w:rPr>
        <w:t xml:space="preserve"> </w:t>
      </w:r>
      <w:r w:rsidRPr="0072600F">
        <w:rPr>
          <w:sz w:val="26"/>
          <w:szCs w:val="26"/>
        </w:rPr>
        <w:t>therefore, this requirement is inconsistent with Order No. 2023’s stated goal of facilitating a prompt study process that allows ready projects to move forward.</w:t>
      </w:r>
    </w:p>
    <w:p w:rsidR="00760048" w:rsidRPr="0072600F" w14:paraId="43679CCF" w14:textId="77777777">
      <w:pPr>
        <w:pStyle w:val="FERCparanumber"/>
        <w:widowControl/>
        <w:numPr>
          <w:ilvl w:val="0"/>
          <w:numId w:val="25"/>
        </w:numPr>
        <w:autoSpaceDE/>
        <w:autoSpaceDN/>
        <w:adjustRightInd/>
        <w:spacing w:line="480" w:lineRule="auto"/>
        <w:rPr>
          <w:sz w:val="26"/>
          <w:szCs w:val="26"/>
        </w:rPr>
      </w:pPr>
      <w:r w:rsidRPr="0072600F">
        <w:rPr>
          <w:sz w:val="26"/>
          <w:szCs w:val="26"/>
        </w:rPr>
        <w:t>Shell</w:t>
      </w:r>
      <w:r w:rsidRPr="0072600F">
        <w:rPr>
          <w:sz w:val="26"/>
          <w:szCs w:val="26"/>
        </w:rPr>
        <w:t xml:space="preserve"> </w:t>
      </w:r>
      <w:r w:rsidRPr="0072600F">
        <w:rPr>
          <w:sz w:val="26"/>
          <w:szCs w:val="26"/>
        </w:rPr>
        <w:t>seeks rehearing regarding the deadlines by which an interconnection customer can reduce the size of its generating facilities without the change being deemed a material modification.</w:t>
      </w:r>
      <w:r>
        <w:rPr>
          <w:rStyle w:val="FootnoteReference"/>
        </w:rPr>
        <w:footnoteReference w:id="1026"/>
      </w:r>
      <w:r w:rsidRPr="0072600F">
        <w:rPr>
          <w:sz w:val="26"/>
          <w:szCs w:val="26"/>
        </w:rPr>
        <w:t xml:space="preserve">  Shell notes that Order No. 2023 allows an initial 60% size reduction prior to the interconnection customer executing the cluster study agreement.  Shell states that, because Order No. 2023 eliminated the feasibility study from the interconnection study process, interconnection customers no longer have a basis at that point in the study process from which to determine if they should decrease the size of their generating facility.  Shell</w:t>
      </w:r>
      <w:r w:rsidRPr="0072600F">
        <w:rPr>
          <w:sz w:val="26"/>
          <w:szCs w:val="26"/>
        </w:rPr>
        <w:t xml:space="preserve"> </w:t>
      </w:r>
      <w:r w:rsidRPr="0072600F">
        <w:rPr>
          <w:sz w:val="26"/>
          <w:szCs w:val="26"/>
        </w:rPr>
        <w:t xml:space="preserve">argues that the Commission should revise </w:t>
      </w:r>
      <w:r w:rsidRPr="0072600F">
        <w:rPr>
          <w:i/>
          <w:iCs/>
          <w:sz w:val="26"/>
          <w:szCs w:val="26"/>
        </w:rPr>
        <w:t>pro forma</w:t>
      </w:r>
      <w:r w:rsidRPr="0072600F">
        <w:rPr>
          <w:sz w:val="26"/>
          <w:szCs w:val="26"/>
        </w:rPr>
        <w:t xml:space="preserve"> LGIP section 4.4.1 to allow interconnection customers to reduce their project size after the initial cluster study report and prior to the start of the subsequent cluster re-study or facilities study.</w:t>
      </w:r>
      <w:r w:rsidRPr="0072600F">
        <w:rPr>
          <w:b/>
          <w:sz w:val="26"/>
          <w:szCs w:val="26"/>
          <w:vertAlign w:val="superscript"/>
        </w:rPr>
        <w:t xml:space="preserve"> </w:t>
      </w:r>
    </w:p>
    <w:p w:rsidR="00760048" w:rsidRPr="0072600F" w14:paraId="78F783B1"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ask the Commission to clarify that changing solar modules or wind turbines, adding storage capacity, or making minor adjustment to inverter performance are presumptively immaterial if the project’s planned export and import capacity remains the same.</w:t>
      </w:r>
      <w:r>
        <w:rPr>
          <w:rStyle w:val="FootnoteReference"/>
        </w:rPr>
        <w:footnoteReference w:id="1027"/>
      </w:r>
      <w:r w:rsidRPr="0072600F">
        <w:rPr>
          <w:sz w:val="26"/>
          <w:szCs w:val="26"/>
        </w:rPr>
        <w:t xml:space="preserve">  Clean Energy Associations state that finalizing procurement is highly reliant on the results and timing of the interconnection studies and argue that this clarification is necessary to ensure that project developers are not effectively forced into locking in inefficient equipment early in the interconnection process.  </w:t>
      </w:r>
    </w:p>
    <w:p w:rsidR="00760048" w:rsidRPr="00663161" w14:paraId="4A841CFA"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49589071"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PJM that the Commission did not sufficiently address</w:t>
      </w:r>
      <w:r w:rsidRPr="0072600F">
        <w:rPr>
          <w:sz w:val="26"/>
          <w:szCs w:val="26"/>
        </w:rPr>
        <w:t xml:space="preserve"> </w:t>
      </w:r>
      <w:r w:rsidR="00B86E1F">
        <w:rPr>
          <w:sz w:val="26"/>
          <w:szCs w:val="26"/>
        </w:rPr>
        <w:t>PJM’s</w:t>
      </w:r>
      <w:r w:rsidRPr="0072600F">
        <w:rPr>
          <w:sz w:val="26"/>
          <w:szCs w:val="26"/>
        </w:rPr>
        <w:t xml:space="preserve"> concerns that locating an additional facility at the site of the first project could affect other interconnection customers.  In Order No. 2023, the Commission established a procedural requirement for transmission providers to evaluate the proposed addition of a generating facility at the same point of interconnection prior to deeming such an addition a material modification, if the addition does not change the originally requested interconnection service level.</w:t>
      </w:r>
      <w:r>
        <w:rPr>
          <w:rStyle w:val="FootnoteReference"/>
        </w:rPr>
        <w:footnoteReference w:id="1028"/>
      </w:r>
      <w:r w:rsidRPr="0072600F">
        <w:rPr>
          <w:sz w:val="26"/>
          <w:szCs w:val="26"/>
        </w:rPr>
        <w:t xml:space="preserve">  The Commission did not require any particular substantive outcome following this evaluation; rather, transmission providers may still find that a proposed modification involving the proposed addition of a generating facility at the same point of interconnection would have a material impact on the cost or timing of any interconnection request with an equal or later queue position, and therefore constitutes a material modification.  While such evaluation likely entails some additional burden on the transmission provider, we continue to find that this outcome is warranted given the countervailing benefits.  Specifically, we</w:t>
      </w:r>
      <w:r w:rsidRPr="0072600F">
        <w:rPr>
          <w:sz w:val="26"/>
          <w:szCs w:val="26"/>
        </w:rPr>
        <w:t xml:space="preserve"> </w:t>
      </w:r>
      <w:r w:rsidRPr="0072600F">
        <w:rPr>
          <w:sz w:val="26"/>
          <w:szCs w:val="26"/>
        </w:rPr>
        <w:t>sustain our finding that transmission providers automatically deeming a request to add a generating facility to an existing interconnection request to be a material modification creates a significant barrier to access to the transmission system</w:t>
      </w:r>
      <w:r w:rsidRPr="0072600F">
        <w:rPr>
          <w:b/>
          <w:bCs/>
          <w:sz w:val="26"/>
          <w:szCs w:val="26"/>
        </w:rPr>
        <w:t xml:space="preserve"> </w:t>
      </w:r>
      <w:r w:rsidRPr="0072600F">
        <w:rPr>
          <w:sz w:val="26"/>
          <w:szCs w:val="26"/>
        </w:rPr>
        <w:t>and renders existing interconnection processes unjust and unreasonable.</w:t>
      </w:r>
      <w:r>
        <w:rPr>
          <w:rStyle w:val="FootnoteReference"/>
        </w:rPr>
        <w:footnoteReference w:id="1029"/>
      </w:r>
      <w:r w:rsidRPr="0072600F">
        <w:rPr>
          <w:sz w:val="26"/>
          <w:szCs w:val="26"/>
        </w:rPr>
        <w:t xml:space="preserve">  Further, we continue to find that this reform will ensure that interconnection customers are able to interconnect to the transmission system in a reliable, efficient, transparent, and timely manner, and will prevent undue discrimination.</w:t>
      </w:r>
    </w:p>
    <w:p w:rsidR="00760048" w:rsidRPr="0072600F" w14:paraId="65AA0EEC"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Shell’s arguments on rehearing that the Commission should allow a 60% size reduction after the initial cluster study report and prior to the start of the subsequent cluster re-study or facilities study.  We find that allowing every interconnection customer in a cluster a 60% size reduction after the initial cluster study report will significantly impact the amount of uncertainty faced by interconnection customers in a cluster—because each change in proposed generating facility size may shift network upgrade costs to other interconnection customers, who in turn, may elect to re-size—and may lead to withdrawals and restudies.  R</w:t>
      </w:r>
      <w:bookmarkStart w:id="93" w:name="_Hlk156822267"/>
      <w:r w:rsidRPr="0072600F">
        <w:rPr>
          <w:sz w:val="26"/>
          <w:szCs w:val="26"/>
        </w:rPr>
        <w:t xml:space="preserve">ather, we reiterate our finding that, per </w:t>
      </w:r>
      <w:r w:rsidRPr="0072600F">
        <w:rPr>
          <w:i/>
          <w:iCs/>
          <w:sz w:val="26"/>
          <w:szCs w:val="26"/>
        </w:rPr>
        <w:t xml:space="preserve">pro forma </w:t>
      </w:r>
      <w:r w:rsidRPr="0072600F">
        <w:rPr>
          <w:sz w:val="26"/>
          <w:szCs w:val="26"/>
        </w:rPr>
        <w:t>LGIP section 4.4.1, prior to the return of the cluster study agreement from the transmission provider to the interconnection customer, the proposed decrease of up to 60% of a generating facility’s electrical output (MW) must not be considered a material modification.</w:t>
      </w:r>
      <w:r>
        <w:rPr>
          <w:rStyle w:val="FootnoteReference"/>
        </w:rPr>
        <w:footnoteReference w:id="1030"/>
      </w:r>
      <w:r w:rsidRPr="0072600F">
        <w:rPr>
          <w:sz w:val="26"/>
          <w:szCs w:val="26"/>
        </w:rPr>
        <w:t xml:space="preserve">  We clarify that this allowable decrease of up to 60% of a generating facility’s electrical output may occur during the customer engagement window (i.e., prior to the return of the cluster study agreement from the transmission provider to the interconnection customer).  </w:t>
      </w:r>
      <w:bookmarkEnd w:id="93"/>
      <w:r w:rsidRPr="0072600F">
        <w:rPr>
          <w:sz w:val="26"/>
          <w:szCs w:val="26"/>
        </w:rPr>
        <w:t xml:space="preserve">Further, we note that interconnection customers have an additional opportunity to propose a decrease in the output of the generation facility after the cluster study report: per </w:t>
      </w:r>
      <w:r w:rsidRPr="0072600F">
        <w:rPr>
          <w:i/>
          <w:iCs/>
          <w:sz w:val="26"/>
          <w:szCs w:val="26"/>
        </w:rPr>
        <w:t xml:space="preserve">pro forma </w:t>
      </w:r>
      <w:r w:rsidRPr="0072600F">
        <w:rPr>
          <w:sz w:val="26"/>
          <w:szCs w:val="26"/>
        </w:rPr>
        <w:t>LGIP section 4.4.2, prior to the return of the executed interconnection facilities study, an additional 15% decrease of electrical output of the proposed project must not be considered a material modification if the change occurred either through a decrease in plant size (MW) or a decrease in interconnection service level accomplished by applying transmission provider-approved injection-limiting equipment.</w:t>
      </w:r>
    </w:p>
    <w:p w:rsidR="00760048" w:rsidRPr="0072600F" w:rsidP="009D197E" w14:paraId="480B65B3"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We find Clean Energy Associations’ requested clarification that changing solar modules or wind turbines, adding storage capacity, or making minor adjustments to inverter performance are presumptively immaterial if the project’s planned export and import capacity remains the same</w:t>
      </w:r>
      <w:r w:rsidR="00E07942">
        <w:rPr>
          <w:sz w:val="26"/>
          <w:szCs w:val="26"/>
        </w:rPr>
        <w:t>,</w:t>
      </w:r>
      <w:r w:rsidRPr="0072600F">
        <w:rPr>
          <w:sz w:val="26"/>
          <w:szCs w:val="26"/>
        </w:rPr>
        <w:t xml:space="preserve"> is outside the scope of this rulemaking.  In Order </w:t>
      </w:r>
      <w:r w:rsidR="009D197E">
        <w:rPr>
          <w:sz w:val="26"/>
          <w:szCs w:val="26"/>
        </w:rPr>
        <w:t xml:space="preserve">     </w:t>
      </w:r>
      <w:r w:rsidRPr="0072600F">
        <w:rPr>
          <w:sz w:val="26"/>
          <w:szCs w:val="26"/>
        </w:rPr>
        <w:t>No. 2023, the Commission did not establish a presumption of immateriality for any specific changes to an interconnection request that do not impact the requested interconnection service level.  Rather, the Commission established a procedural requirement for transmission providers to evaluate the proposed addition of a generating facility at the same point of interconnection prior to deeming such an addition a material modification, if the addition does not change the originally requested interconnection service level.</w:t>
      </w:r>
      <w:r>
        <w:rPr>
          <w:rStyle w:val="FootnoteReference"/>
        </w:rPr>
        <w:footnoteReference w:id="1031"/>
      </w:r>
      <w:r w:rsidRPr="0072600F">
        <w:rPr>
          <w:sz w:val="26"/>
          <w:szCs w:val="26"/>
        </w:rPr>
        <w:t xml:space="preserve">  We decline to establish any presumption of immateriality here for specific changes to an interconnection request that do not impact the requested interconnection service level.  We do note that Order No. 845 established the technological change procedure to provide for the evaluation of whether a technological advancement can be incorporated into an interconnection request without the change being considered a material modification (i.e., whether the change is a permissible technological advancement).</w:t>
      </w:r>
      <w:r>
        <w:rPr>
          <w:rStyle w:val="FootnoteReference"/>
        </w:rPr>
        <w:footnoteReference w:id="1032"/>
      </w:r>
      <w:r w:rsidRPr="0072600F">
        <w:rPr>
          <w:sz w:val="26"/>
          <w:szCs w:val="26"/>
        </w:rPr>
        <w:t xml:space="preserve">  Any such technical change procedures are in the transmission provider</w:t>
      </w:r>
      <w:r w:rsidR="00E07942">
        <w:rPr>
          <w:sz w:val="26"/>
          <w:szCs w:val="26"/>
        </w:rPr>
        <w:t>’</w:t>
      </w:r>
      <w:r w:rsidRPr="0072600F">
        <w:rPr>
          <w:sz w:val="26"/>
          <w:szCs w:val="26"/>
        </w:rPr>
        <w:t xml:space="preserve">s tariff, and Order No. 2023 did not affect them.  </w:t>
      </w:r>
    </w:p>
    <w:p w:rsidR="00760048" w:rsidRPr="00663161" w14:paraId="7849686E"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Availability of Surplus Interconnection Service</w:t>
      </w:r>
    </w:p>
    <w:p w:rsidR="00760048" w:rsidRPr="00663161" w14:paraId="33382D16"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0D2678D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section 3.3.1 of the </w:t>
      </w:r>
      <w:r w:rsidRPr="0072600F">
        <w:rPr>
          <w:i/>
          <w:iCs/>
          <w:sz w:val="26"/>
          <w:szCs w:val="26"/>
        </w:rPr>
        <w:t xml:space="preserve">pro forma </w:t>
      </w:r>
      <w:r w:rsidRPr="0072600F">
        <w:rPr>
          <w:sz w:val="26"/>
          <w:szCs w:val="26"/>
        </w:rPr>
        <w:t>LGIP to require transmission providers to allow interconnection customers to access the surplus interconnection service process once the original interconnection customer has an executed LGIA or requests the filing of an unexecuted LGIA.</w:t>
      </w:r>
      <w:r>
        <w:rPr>
          <w:rStyle w:val="FootnoteReference"/>
        </w:rPr>
        <w:footnoteReference w:id="1033"/>
      </w:r>
      <w:r w:rsidRPr="0072600F">
        <w:rPr>
          <w:sz w:val="26"/>
          <w:szCs w:val="26"/>
        </w:rPr>
        <w:t xml:space="preserve">  The Commission found that this reform will enable interconnection customers with unused interconnection service to let other generating facilities use that interconnection service earlier than is currently allowed and, therefore, increase overall efficiency of the interconnection queue and in turn ensure just and reasonable rates.</w:t>
      </w:r>
      <w:r>
        <w:rPr>
          <w:rStyle w:val="FootnoteReference"/>
        </w:rPr>
        <w:footnoteReference w:id="1034"/>
      </w:r>
      <w:r w:rsidRPr="0072600F">
        <w:rPr>
          <w:sz w:val="26"/>
          <w:szCs w:val="26"/>
        </w:rPr>
        <w:t xml:space="preserve">  The Commission clarified that this reform does not modify how the surplus interconnection service process is conducted, but rather addresses when a request for surplus interconnection service may be submitted.</w:t>
      </w:r>
      <w:r>
        <w:rPr>
          <w:rStyle w:val="FootnoteReference"/>
        </w:rPr>
        <w:footnoteReference w:id="1035"/>
      </w:r>
      <w:r w:rsidRPr="0072600F">
        <w:rPr>
          <w:sz w:val="26"/>
          <w:szCs w:val="26"/>
        </w:rPr>
        <w:t xml:space="preserve">  The Commission further clarified that the original interconnection customer must have an LGIA in place, either executed or requested to be filed unexecuted with the Commission, prior to the transmission provider tendering any LGIA for surplus interconnection service.</w:t>
      </w:r>
      <w:r>
        <w:rPr>
          <w:rStyle w:val="FootnoteReference"/>
        </w:rPr>
        <w:footnoteReference w:id="1036"/>
      </w:r>
    </w:p>
    <w:p w:rsidR="00760048" w:rsidRPr="00663161" w14:paraId="17F68D66"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689B4BDB" w14:textId="77777777">
      <w:pPr>
        <w:pStyle w:val="FERCparanumber"/>
        <w:widowControl/>
        <w:numPr>
          <w:ilvl w:val="0"/>
          <w:numId w:val="25"/>
        </w:numPr>
        <w:autoSpaceDE/>
        <w:autoSpaceDN/>
        <w:adjustRightInd/>
        <w:spacing w:line="480" w:lineRule="auto"/>
        <w:rPr>
          <w:sz w:val="26"/>
          <w:szCs w:val="26"/>
        </w:rPr>
      </w:pPr>
      <w:r w:rsidRPr="0072600F">
        <w:rPr>
          <w:sz w:val="26"/>
          <w:szCs w:val="26"/>
        </w:rPr>
        <w:t>PJM requests clarification or, in the alternative, rehearing of Order No. 2023’s requirement regarding surplus interconnection service.</w:t>
      </w:r>
      <w:r>
        <w:rPr>
          <w:rStyle w:val="FootnoteReference"/>
        </w:rPr>
        <w:footnoteReference w:id="1037"/>
      </w:r>
      <w:r w:rsidRPr="0072600F">
        <w:rPr>
          <w:sz w:val="26"/>
          <w:szCs w:val="26"/>
        </w:rPr>
        <w:t xml:space="preserve">  PJM asserts that, when the initial interconnection customer signs an LGIA, none of the network upgrades or customer interconnection facilities will have been built, such that there will be no service, much less “surplus” service, available.  PJM argues that the requirement would introduce additional administrative burden, thereby detracting from the timely completion of interconnection studies and increasing the potential for study delay penalties, while providing little additional benefit to interconnection customers.</w:t>
      </w:r>
      <w:r>
        <w:rPr>
          <w:rStyle w:val="FootnoteReference"/>
        </w:rPr>
        <w:footnoteReference w:id="1038"/>
      </w:r>
      <w:r w:rsidRPr="0072600F">
        <w:rPr>
          <w:sz w:val="26"/>
          <w:szCs w:val="26"/>
        </w:rPr>
        <w:t xml:space="preserve">  PJM adds that studying co-located generating facilities of different fuel types is appropriate within the same cluster study rather than at disjointed points in time given that such generating facilities can have very different electrical characteristics.  Therefore, PJM seeks clarification that it is entitled to an independent entity variation to not provide surplus interconnection service at such an early stage of project development or to not provide the service at any stage if it demonstrates that surplus interconnection service requests are inconsistent with its cluster study processes and will hinder efficient and timely clustered interconnection studies.  In the alternative, PJM seeks rehearing of the requirement for being arbitrary and capricious because the expansion of surplus interconnection service runs contrary to Order No. 2023’s goal of speeding up interconnection processes.</w:t>
      </w:r>
      <w:r w:rsidRPr="0072600F">
        <w:rPr>
          <w:b/>
          <w:sz w:val="26"/>
          <w:szCs w:val="26"/>
          <w:vertAlign w:val="superscript"/>
        </w:rPr>
        <w:t xml:space="preserve"> </w:t>
      </w:r>
    </w:p>
    <w:p w:rsidR="00760048" w:rsidRPr="0072600F" w14:paraId="28BA0D8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SPP asks the Commission to clarify that Order No. 2023 requires transmission providers to allow interconnection customers to </w:t>
      </w:r>
      <w:r w:rsidRPr="0072600F">
        <w:rPr>
          <w:i/>
          <w:iCs/>
          <w:sz w:val="26"/>
          <w:szCs w:val="26"/>
        </w:rPr>
        <w:t>apply for</w:t>
      </w:r>
      <w:r w:rsidRPr="0072600F">
        <w:rPr>
          <w:sz w:val="26"/>
          <w:szCs w:val="26"/>
        </w:rPr>
        <w:t xml:space="preserve"> surplus interconnection service once the underlying GIA is executed or filed unexecuted, not that transmission providers must allow interconnection customers to begin receiving surplus interconnection service at that point.</w:t>
      </w:r>
      <w:r>
        <w:rPr>
          <w:rStyle w:val="FootnoteReference"/>
        </w:rPr>
        <w:footnoteReference w:id="1039"/>
      </w:r>
      <w:r w:rsidRPr="0072600F">
        <w:rPr>
          <w:sz w:val="26"/>
          <w:szCs w:val="26"/>
        </w:rPr>
        <w:t xml:space="preserve">  Because surplus interconnection service fundamentally relies upon another interconnection service request, SPP asks the Commission to clarify that Order No. 2023 does not obligate transmission providers to provide surplus interconnection service earlier than they provide interconnection service to the underlying interconnection service request.  In the alternative, SPP requests rehearing of the requirement because it would be impossible for transmission providers to provide surplus interconnection service before providing service for the underlying interconnection request and would threaten system reliability.</w:t>
      </w:r>
    </w:p>
    <w:p w:rsidR="00760048" w:rsidRPr="00663161" w14:paraId="04A64014"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rsidP="009D197E" w14:paraId="78F4E3AD" w14:textId="77777777">
      <w:pPr>
        <w:pStyle w:val="FERCparanumber"/>
        <w:widowControl/>
        <w:numPr>
          <w:ilvl w:val="0"/>
          <w:numId w:val="25"/>
        </w:numPr>
        <w:autoSpaceDE/>
        <w:autoSpaceDN/>
        <w:adjustRightInd/>
        <w:spacing w:line="480" w:lineRule="auto"/>
        <w:ind w:right="-90"/>
        <w:rPr>
          <w:sz w:val="26"/>
          <w:szCs w:val="26"/>
        </w:rPr>
      </w:pPr>
      <w:r w:rsidRPr="0072600F">
        <w:rPr>
          <w:sz w:val="26"/>
          <w:szCs w:val="26"/>
        </w:rPr>
        <w:t>We are unpersuaded by PJM’s arguments on rehearing that the Commission should eliminate this reform because it would detract from the timely completion of interconnection studies without providing any measurable benefit to interconnection customers.  We reiterate that the reform solely modifies when an interconnection customer can submit a request for surplus interconnection service, allowing interconnection customers to access the surplus interconnection service process once the initial interconnection customer has an executed LGIA or requests the filing of an unexecuted LGIA.  Surplus interconnection service is defined as any unneeded portion of interconnection service established in a</w:t>
      </w:r>
      <w:r w:rsidR="00C64995">
        <w:rPr>
          <w:sz w:val="26"/>
          <w:szCs w:val="26"/>
        </w:rPr>
        <w:t>n</w:t>
      </w:r>
      <w:r w:rsidRPr="0072600F">
        <w:rPr>
          <w:sz w:val="26"/>
          <w:szCs w:val="26"/>
        </w:rPr>
        <w:t xml:space="preserve"> </w:t>
      </w:r>
      <w:r w:rsidR="00C64995">
        <w:rPr>
          <w:sz w:val="26"/>
          <w:szCs w:val="26"/>
        </w:rPr>
        <w:t>LGIA</w:t>
      </w:r>
      <w:r w:rsidRPr="0072600F">
        <w:rPr>
          <w:sz w:val="26"/>
          <w:szCs w:val="26"/>
        </w:rPr>
        <w:t xml:space="preserve">, such that if surplus interconnection service is utilized, the total amount of </w:t>
      </w:r>
      <w:r w:rsidR="00403DC5">
        <w:rPr>
          <w:sz w:val="26"/>
          <w:szCs w:val="26"/>
        </w:rPr>
        <w:t>i</w:t>
      </w:r>
      <w:r w:rsidRPr="0072600F">
        <w:rPr>
          <w:sz w:val="26"/>
          <w:szCs w:val="26"/>
        </w:rPr>
        <w:t xml:space="preserve">nterconnection </w:t>
      </w:r>
      <w:r w:rsidR="00403DC5">
        <w:rPr>
          <w:sz w:val="26"/>
          <w:szCs w:val="26"/>
        </w:rPr>
        <w:t>s</w:t>
      </w:r>
      <w:r w:rsidRPr="0072600F">
        <w:rPr>
          <w:sz w:val="26"/>
          <w:szCs w:val="26"/>
        </w:rPr>
        <w:t xml:space="preserve">ervice at the </w:t>
      </w:r>
      <w:r w:rsidR="00403DC5">
        <w:rPr>
          <w:sz w:val="26"/>
          <w:szCs w:val="26"/>
        </w:rPr>
        <w:t>p</w:t>
      </w:r>
      <w:r w:rsidRPr="0072600F">
        <w:rPr>
          <w:sz w:val="26"/>
          <w:szCs w:val="26"/>
        </w:rPr>
        <w:t xml:space="preserve">oint of </w:t>
      </w:r>
      <w:r w:rsidR="00403DC5">
        <w:rPr>
          <w:sz w:val="26"/>
          <w:szCs w:val="26"/>
        </w:rPr>
        <w:t>i</w:t>
      </w:r>
      <w:r w:rsidRPr="0072600F">
        <w:rPr>
          <w:sz w:val="26"/>
          <w:szCs w:val="26"/>
        </w:rPr>
        <w:t>nterconnection would remain the same.</w:t>
      </w:r>
      <w:r>
        <w:rPr>
          <w:rStyle w:val="FootnoteReference"/>
        </w:rPr>
        <w:footnoteReference w:id="1040"/>
      </w:r>
      <w:r w:rsidRPr="0072600F">
        <w:rPr>
          <w:sz w:val="26"/>
          <w:szCs w:val="26"/>
        </w:rPr>
        <w:t xml:space="preserve">  PJM notes that</w:t>
      </w:r>
      <w:r w:rsidR="00403DC5">
        <w:rPr>
          <w:sz w:val="26"/>
          <w:szCs w:val="26"/>
        </w:rPr>
        <w:t>,</w:t>
      </w:r>
      <w:r w:rsidRPr="0072600F">
        <w:rPr>
          <w:sz w:val="26"/>
          <w:szCs w:val="26"/>
        </w:rPr>
        <w:t xml:space="preserve"> when the initial interconnection customer signs an LGIA, the interconnection facilities and network upgrades to accommodate the initial interconnection customer’s generating facility will not yet have been built.  At that point, however, it will be known whether there is any unneeded portion of interconnection service established in the LGIA that a surplus interconnection customer could utilize.  For this reason, we disagree with PJM that interconnection customers should not be allowed to request surplus interconnection service once the initial interconnection customer signs an LGIA.  We continue to find that this reform will enable interconnection customers with unused interconnection service to allow other generating facilities to use that interconnection service earlier than was previously allowed and, therefore, will increase the overall efficiency of the interconnection queue.  We continue to find that this reform will ensure that interconnection customers are able to interconnect to the transmission system in a reliable, efficient, transparent, and timely manner, and will prevent undue discrimination.  </w:t>
      </w:r>
    </w:p>
    <w:p w:rsidR="00760048" w:rsidRPr="0072600F" w14:paraId="65CF6EB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decline to grant PJM’s request for clarification that PJM is entitled to an independent entity variation to not provide surplus interconnection service.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    </w:t>
      </w:r>
    </w:p>
    <w:p w:rsidR="00760048" w:rsidRPr="0072600F" w14:paraId="61D6461A" w14:textId="77777777">
      <w:pPr>
        <w:pStyle w:val="FERCparanumber"/>
        <w:widowControl/>
        <w:numPr>
          <w:ilvl w:val="0"/>
          <w:numId w:val="25"/>
        </w:numPr>
        <w:autoSpaceDE/>
        <w:autoSpaceDN/>
        <w:adjustRightInd/>
        <w:spacing w:line="480" w:lineRule="auto"/>
        <w:rPr>
          <w:sz w:val="26"/>
          <w:szCs w:val="26"/>
        </w:rPr>
      </w:pPr>
      <w:bookmarkStart w:id="94" w:name="_Hlk156822292"/>
      <w:r w:rsidRPr="0072600F">
        <w:rPr>
          <w:sz w:val="26"/>
          <w:szCs w:val="26"/>
        </w:rPr>
        <w:t xml:space="preserve">We grant SPP’s request for clarification that Order No. 2023 requires transmission providers to allow interconnection customers to </w:t>
      </w:r>
      <w:r w:rsidRPr="0072600F">
        <w:rPr>
          <w:i/>
          <w:iCs/>
          <w:sz w:val="26"/>
          <w:szCs w:val="26"/>
        </w:rPr>
        <w:t>apply for</w:t>
      </w:r>
      <w:r w:rsidRPr="0072600F">
        <w:rPr>
          <w:sz w:val="26"/>
          <w:szCs w:val="26"/>
        </w:rPr>
        <w:t xml:space="preserve"> surplus interconnection service once the underlying LGIA is executed or filed unexecuted, not that transmission providers must allow interconnection customers to begin receiving surplus interconnection service at that point.  As the Commission stated in Order No. 2023, and as SPP describes, this reform modifies when a request for surplus interconnection service may be submitted.</w:t>
      </w:r>
      <w:r>
        <w:rPr>
          <w:rStyle w:val="FootnoteReference"/>
        </w:rPr>
        <w:footnoteReference w:id="1041"/>
      </w:r>
      <w:r w:rsidRPr="0072600F">
        <w:rPr>
          <w:sz w:val="26"/>
          <w:szCs w:val="26"/>
        </w:rPr>
        <w:t xml:space="preserve">  We reiterate the clarification in Order No. 2023 that the initial interconnection customer must have an LGIA in place, either executed or requested to be filed unexecuted with the Commission, prior to the transmission provider tendering any LGIA for surplus interconnection service.</w:t>
      </w:r>
      <w:r>
        <w:rPr>
          <w:rStyle w:val="FootnoteReference"/>
        </w:rPr>
        <w:footnoteReference w:id="1042"/>
      </w:r>
    </w:p>
    <w:bookmarkEnd w:id="94"/>
    <w:p w:rsidR="00760048" w:rsidRPr="00663161" w14:paraId="744C506C"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Operating Assumptions for Interconnection Studies</w:t>
      </w:r>
    </w:p>
    <w:p w:rsidR="00760048" w:rsidRPr="00663161" w14:paraId="2EB63E8A"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2089FEF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sections 3.1.2, 3.2.1.2, 3.2.2.2, 3.3.1, 3.4.2, 4.4.3, 7.3, 8.2, and Appendix 1 of the </w:t>
      </w:r>
      <w:r w:rsidRPr="0072600F">
        <w:rPr>
          <w:i/>
          <w:iCs/>
          <w:sz w:val="26"/>
          <w:szCs w:val="26"/>
        </w:rPr>
        <w:t xml:space="preserve">pro forma </w:t>
      </w:r>
      <w:r w:rsidRPr="0072600F">
        <w:rPr>
          <w:sz w:val="26"/>
          <w:szCs w:val="26"/>
        </w:rPr>
        <w:t xml:space="preserve">LGIP and article 17.2 and Appendix H of the </w:t>
      </w:r>
      <w:r w:rsidRPr="0072600F">
        <w:rPr>
          <w:i/>
          <w:iCs/>
          <w:sz w:val="26"/>
          <w:szCs w:val="26"/>
        </w:rPr>
        <w:t xml:space="preserve">pro forma </w:t>
      </w:r>
      <w:r w:rsidRPr="0072600F">
        <w:rPr>
          <w:sz w:val="26"/>
          <w:szCs w:val="26"/>
        </w:rPr>
        <w:t>LGIA to require transmission providers, at the request of the interconnection customer, to use operating assumptions in interconnection studies that reflect the proposed charging behavior of electric storage resources</w:t>
      </w:r>
      <w:r>
        <w:rPr>
          <w:rStyle w:val="FootnoteReference"/>
        </w:rPr>
        <w:footnoteReference w:id="1043"/>
      </w:r>
      <w:r w:rsidRPr="0072600F">
        <w:rPr>
          <w:b/>
          <w:bCs/>
          <w:sz w:val="26"/>
          <w:szCs w:val="26"/>
        </w:rPr>
        <w:t xml:space="preserve"> </w:t>
      </w:r>
      <w:r w:rsidRPr="0072600F">
        <w:rPr>
          <w:sz w:val="26"/>
          <w:szCs w:val="26"/>
        </w:rPr>
        <w:t>(whether standalone, co-located generating facilities,</w:t>
      </w:r>
      <w:r>
        <w:rPr>
          <w:rStyle w:val="FootnoteReference"/>
        </w:rPr>
        <w:footnoteReference w:id="1044"/>
      </w:r>
      <w:r w:rsidRPr="0072600F">
        <w:rPr>
          <w:b/>
          <w:bCs/>
          <w:sz w:val="26"/>
          <w:szCs w:val="26"/>
        </w:rPr>
        <w:t xml:space="preserve"> </w:t>
      </w:r>
      <w:r w:rsidRPr="0072600F">
        <w:rPr>
          <w:sz w:val="26"/>
          <w:szCs w:val="26"/>
        </w:rPr>
        <w:t>or part of a hybrid generating facility</w:t>
      </w:r>
      <w:r>
        <w:rPr>
          <w:rStyle w:val="FootnoteReference"/>
        </w:rPr>
        <w:footnoteReference w:id="1045"/>
      </w:r>
      <w:r w:rsidRPr="0072600F">
        <w:rPr>
          <w:sz w:val="26"/>
          <w:szCs w:val="26"/>
        </w:rPr>
        <w:t>)—i.e., whether the interconnecting generating facility will or will not charge during peak load conditions—unless good utility practice, including applicable reliability standards,</w:t>
      </w:r>
      <w:r>
        <w:rPr>
          <w:rStyle w:val="FootnoteReference"/>
        </w:rPr>
        <w:footnoteReference w:id="1046"/>
      </w:r>
      <w:r w:rsidRPr="0072600F">
        <w:rPr>
          <w:b/>
          <w:bCs/>
          <w:sz w:val="26"/>
          <w:szCs w:val="26"/>
        </w:rPr>
        <w:t xml:space="preserve"> </w:t>
      </w:r>
      <w:r w:rsidRPr="0072600F">
        <w:rPr>
          <w:sz w:val="26"/>
          <w:szCs w:val="26"/>
        </w:rPr>
        <w:t>otherwise requires the use of different operating assumptions.</w:t>
      </w:r>
      <w:r>
        <w:rPr>
          <w:rStyle w:val="FootnoteReference"/>
        </w:rPr>
        <w:footnoteReference w:id="1047"/>
      </w:r>
      <w:r w:rsidRPr="0072600F">
        <w:rPr>
          <w:sz w:val="26"/>
          <w:szCs w:val="26"/>
        </w:rPr>
        <w:t xml:space="preserve">  The Commission clarified that studying electric storage resources, at the request of the interconnection customer, according to their planned operating assumptions refers only to the operating assumptions for withdrawals of energy (e.g., the charging of an electric storage resource) in interconnection studies.  The Commission further clarified that the reforms described in that determination section of Order No. 2023 and the related sections of the </w:t>
      </w:r>
      <w:r w:rsidRPr="0072600F">
        <w:rPr>
          <w:i/>
          <w:iCs/>
          <w:sz w:val="26"/>
          <w:szCs w:val="26"/>
        </w:rPr>
        <w:t xml:space="preserve">pro forma </w:t>
      </w:r>
      <w:r w:rsidRPr="0072600F">
        <w:rPr>
          <w:sz w:val="26"/>
          <w:szCs w:val="26"/>
        </w:rPr>
        <w:t>LGIP apply to all interconnecting electric storage resources, whether they are standalone, co-located generating facilities, or part of a hybrid generating facility.</w:t>
      </w:r>
      <w:r>
        <w:rPr>
          <w:rStyle w:val="FootnoteReference"/>
        </w:rPr>
        <w:footnoteReference w:id="1048"/>
      </w:r>
      <w:r w:rsidRPr="0072600F">
        <w:rPr>
          <w:sz w:val="26"/>
          <w:szCs w:val="26"/>
        </w:rPr>
        <w:t xml:space="preserve"> </w:t>
      </w:r>
    </w:p>
    <w:p w:rsidR="00760048" w:rsidRPr="0072600F" w14:paraId="6907F4F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stated that, if an interconnection customer fails to operate its electric storage resource in accordance with the operating assumptions memorialized in the interconnection customer’s LGIA, the procedure for termination of the LGIA pursuant to articles 17.1.1 and 17.1.2 of the </w:t>
      </w:r>
      <w:r w:rsidRPr="0072600F">
        <w:rPr>
          <w:i/>
          <w:iCs/>
          <w:sz w:val="26"/>
          <w:szCs w:val="26"/>
        </w:rPr>
        <w:t xml:space="preserve">pro forma </w:t>
      </w:r>
      <w:r w:rsidRPr="0072600F">
        <w:rPr>
          <w:sz w:val="26"/>
          <w:szCs w:val="26"/>
        </w:rPr>
        <w:t>LGIA is appropriate.</w:t>
      </w:r>
      <w:r>
        <w:rPr>
          <w:rStyle w:val="FootnoteReference"/>
        </w:rPr>
        <w:footnoteReference w:id="1049"/>
      </w:r>
      <w:r w:rsidRPr="0072600F">
        <w:rPr>
          <w:sz w:val="26"/>
          <w:szCs w:val="26"/>
        </w:rPr>
        <w:t xml:space="preserve">  The Commission further found that an electric storage resource that operates contrary to the operating assumptions specified in its LGIA must not be considered in breach of its LGIA by the transmission provider if its operation is at the direction of the transmission provider to maintain the reliable and efficient operation of the transmission system.</w:t>
      </w:r>
    </w:p>
    <w:p w:rsidR="00760048" w:rsidRPr="0072600F" w14:paraId="714EA03E"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found that, by more accurately reflecting the technical capabilities of electric storage resources in interconnection studies through the use of appropriate operating assumptions, this reform will ensure the reliable interconnection of new electric storage resources without overestimating their impact on the transmission system, thereby ensuring just and reasonable rates by avoiding excessive and unnecessary network upgrades that may hinder the timely development of new generating facilities that stifles competition in the wholesale market.</w:t>
      </w:r>
      <w:r>
        <w:rPr>
          <w:rStyle w:val="FootnoteReference"/>
        </w:rPr>
        <w:footnoteReference w:id="1050"/>
      </w:r>
      <w:r w:rsidRPr="0072600F">
        <w:rPr>
          <w:sz w:val="26"/>
          <w:szCs w:val="26"/>
        </w:rPr>
        <w:t xml:space="preserve">  The Commission also found that this reform reduces unduly discriminatory or preferential barriers to the interconnection of electric storage resources. </w:t>
      </w:r>
    </w:p>
    <w:p w:rsidR="00760048" w:rsidRPr="0072600F" w14:paraId="706660E8"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found that, taken together, the revisions to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LGIA adopted in Order No. 2023 will ensure that interconnection customers adhere to the operating assumptions used to study their electric storage resource and ameliorate concerns about possible reliability problems expressed by commenters.</w:t>
      </w:r>
      <w:r>
        <w:rPr>
          <w:rStyle w:val="FootnoteReference"/>
        </w:rPr>
        <w:footnoteReference w:id="1051"/>
      </w:r>
      <w:r w:rsidRPr="0072600F">
        <w:rPr>
          <w:sz w:val="26"/>
          <w:szCs w:val="26"/>
        </w:rPr>
        <w:t xml:space="preserve">  The Commission further found that:  (1) control devices can prevent electric storage resources from charging during peak load conditions; (2) modern electric storage resources can respond to signals from the transmission provider within seconds; (3) electric storage resources generally do not have an economic incentive to charge during peak load conditions; and (4) the consequence of being considered in breach of the LGIA provides an additional incentive for electric storage resources to follow the agreed-upon operating assumptions memorialized in their LGIA.  Further, the Commission noted that some transmission providers already assume in their interconnection studies that electric storage resources will not charge during peak load conditions.</w:t>
      </w:r>
      <w:r>
        <w:rPr>
          <w:rStyle w:val="FootnoteReference"/>
        </w:rPr>
        <w:footnoteReference w:id="1052"/>
      </w:r>
      <w:r w:rsidRPr="0072600F">
        <w:rPr>
          <w:b/>
          <w:bCs/>
          <w:sz w:val="26"/>
          <w:szCs w:val="26"/>
        </w:rPr>
        <w:t xml:space="preserve"> </w:t>
      </w:r>
      <w:r w:rsidRPr="0072600F">
        <w:rPr>
          <w:sz w:val="26"/>
          <w:szCs w:val="26"/>
        </w:rPr>
        <w:t xml:space="preserve"> The Commission emphasized that, irrespective of these changes to operating assumptions, all electric storage resources must continue to meet all requirements in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 xml:space="preserve">LGIA, as well as all applicable reliability standards. </w:t>
      </w:r>
    </w:p>
    <w:p w:rsidR="00760048" w:rsidRPr="0072600F" w14:paraId="22A0A430"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found that the speed and control with which electric storage resources can respond to signals from transmission providers sufficiently distinguishes the charging behavior of electric storage resources from that of firm customer end-use load.</w:t>
      </w:r>
      <w:r>
        <w:rPr>
          <w:rStyle w:val="FootnoteReference"/>
        </w:rPr>
        <w:footnoteReference w:id="1053"/>
      </w:r>
      <w:r w:rsidRPr="0072600F">
        <w:rPr>
          <w:sz w:val="26"/>
          <w:szCs w:val="26"/>
        </w:rPr>
        <w:t xml:space="preserve">  Therefore, for purposes of determining any network upgrades necessary to accommodate the reliable interconnection of electric storage resources, the Commission found that the charging of electric storage resources should not be modeled equivalently to firm customer end-use load in interconnection studies if the interconnection customer memorializes its operating assumptions in the LGIA and installs control technologies, if required, to limit its operations as specified.  The Commission further clarified that the transmission provider must not assign network upgrade costs to the interconnection customer based on those worst-case operating assumptions (e.g., charging at maximum capacity during peak load conditions) where there is agreement from the interconnection customer to, if required, implement operating restrictions including installing or demonstrating that the generating facility already has control technologies (software and/or hardware) to limit its operations during peak load conditions.</w:t>
      </w:r>
      <w:r>
        <w:rPr>
          <w:rStyle w:val="FootnoteReference"/>
        </w:rPr>
        <w:footnoteReference w:id="1054"/>
      </w:r>
    </w:p>
    <w:p w:rsidR="00760048" w:rsidRPr="0072600F" w14:paraId="07C77B51" w14:textId="77777777">
      <w:pPr>
        <w:pStyle w:val="FERCparanumber"/>
        <w:widowControl/>
        <w:numPr>
          <w:ilvl w:val="0"/>
          <w:numId w:val="25"/>
        </w:numPr>
        <w:autoSpaceDE/>
        <w:autoSpaceDN/>
        <w:adjustRightInd/>
        <w:spacing w:line="480" w:lineRule="auto"/>
        <w:rPr>
          <w:sz w:val="26"/>
          <w:szCs w:val="26"/>
        </w:rPr>
      </w:pPr>
      <w:r w:rsidRPr="0072600F">
        <w:rPr>
          <w:sz w:val="26"/>
          <w:szCs w:val="26"/>
        </w:rPr>
        <w:t>Additionally, in Order No. 2023 the Commission declined to extend the reform to apply to additional generating facility technologies (e.g., natural gas, solar, wind) or to other operating assumptions, including the injection of power.</w:t>
      </w:r>
      <w:r>
        <w:rPr>
          <w:rStyle w:val="FootnoteReference"/>
        </w:rPr>
        <w:footnoteReference w:id="1055"/>
      </w:r>
      <w:r w:rsidRPr="0072600F">
        <w:rPr>
          <w:sz w:val="26"/>
          <w:szCs w:val="26"/>
        </w:rPr>
        <w:t xml:space="preserve">  The Commission encouraged transmission providers to examine on an individual basis what operating assumptions used to study the injection of power may be appropriate to render the study process more accurate.  The Commission also clarified that this requirement does not apply to transmission service requests and </w:t>
      </w:r>
      <w:r w:rsidR="00171112">
        <w:rPr>
          <w:sz w:val="26"/>
          <w:szCs w:val="26"/>
        </w:rPr>
        <w:t>that</w:t>
      </w:r>
      <w:r w:rsidRPr="0072600F">
        <w:rPr>
          <w:sz w:val="26"/>
          <w:szCs w:val="26"/>
        </w:rPr>
        <w:t xml:space="preserve"> Order No. 2023 does not modify the process for requesting transmission service.</w:t>
      </w:r>
      <w:r>
        <w:rPr>
          <w:rStyle w:val="FootnoteReference"/>
        </w:rPr>
        <w:footnoteReference w:id="1056"/>
      </w:r>
    </w:p>
    <w:p w:rsidR="00760048" w:rsidRPr="00663161" w14:paraId="0AD2768B"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471A7B1A" w14:textId="77777777">
      <w:pPr>
        <w:pStyle w:val="FERCparanumber"/>
        <w:widowControl/>
        <w:numPr>
          <w:ilvl w:val="0"/>
          <w:numId w:val="25"/>
        </w:numPr>
        <w:autoSpaceDE/>
        <w:autoSpaceDN/>
        <w:adjustRightInd/>
        <w:spacing w:line="480" w:lineRule="auto"/>
        <w:rPr>
          <w:rFonts w:eastAsia="Calibri"/>
          <w:sz w:val="26"/>
          <w:szCs w:val="26"/>
        </w:rPr>
      </w:pPr>
      <w:r w:rsidRPr="0072600F">
        <w:rPr>
          <w:sz w:val="26"/>
          <w:szCs w:val="26"/>
        </w:rPr>
        <w:t>Joint RTOs and PJM request rehearing of the operating assumptions reform because they assert that the Commission failed to respond meaningfully to the concerns raised that the use of customer-provided operating assumptions in interconnection studies (1) is not consistent with how planning studies are performed, (2) will add additional administrative burdens for transmission providers, and (3) may jeopardize reliability and shift costs to load.</w:t>
      </w:r>
      <w:r>
        <w:rPr>
          <w:rStyle w:val="FootnoteReference"/>
        </w:rPr>
        <w:footnoteReference w:id="1057"/>
      </w:r>
      <w:r w:rsidRPr="0072600F">
        <w:rPr>
          <w:sz w:val="26"/>
          <w:szCs w:val="26"/>
        </w:rPr>
        <w:t xml:space="preserve">  Joint RTOs also urge the Commission to revise or clarify Order No. 2023 to allow RTOs/ISOs to develop generally applicable procedures for addressing storage charging assumptions rather than burdensome ad hoc analyses for each interconnection customer.</w:t>
      </w:r>
      <w:r>
        <w:rPr>
          <w:rStyle w:val="FootnoteReference"/>
        </w:rPr>
        <w:footnoteReference w:id="1058"/>
      </w:r>
      <w:r w:rsidRPr="0072600F">
        <w:rPr>
          <w:sz w:val="26"/>
          <w:szCs w:val="26"/>
        </w:rPr>
        <w:t xml:space="preserve">  Joint RTOs argue that the operating assumptions reform is impractical and creates reliability problems due to the complexities of the required studies and lack of feasible enforcement mechanisms, and will burden real-time operations to limit these units to assumptions they provided as part of their interconnection application.</w:t>
      </w:r>
      <w:r>
        <w:rPr>
          <w:rStyle w:val="FootnoteReference"/>
        </w:rPr>
        <w:footnoteReference w:id="1059"/>
      </w:r>
      <w:r w:rsidRPr="0072600F">
        <w:rPr>
          <w:sz w:val="26"/>
          <w:szCs w:val="26"/>
        </w:rPr>
        <w:t xml:space="preserve">  </w:t>
      </w:r>
    </w:p>
    <w:p w:rsidR="00760048" w:rsidRPr="0072600F" w14:paraId="5DF16EA8" w14:textId="77777777">
      <w:pPr>
        <w:pStyle w:val="FERCparanumber"/>
        <w:widowControl/>
        <w:numPr>
          <w:ilvl w:val="0"/>
          <w:numId w:val="25"/>
        </w:numPr>
        <w:autoSpaceDE/>
        <w:autoSpaceDN/>
        <w:adjustRightInd/>
        <w:spacing w:line="480" w:lineRule="auto"/>
        <w:rPr>
          <w:sz w:val="26"/>
          <w:szCs w:val="26"/>
        </w:rPr>
      </w:pPr>
      <w:r w:rsidRPr="0072600F">
        <w:rPr>
          <w:sz w:val="26"/>
          <w:szCs w:val="26"/>
        </w:rPr>
        <w:t>Joint RTOs and PJM assert that transmission providers have no ability to monitor in real time if an interconnection customer violates its operating limits, which could threaten reliability, and contend that Order No. 2023 does not explain how transmission providers would police storage resources’ operations and enforce the operating assumptions on which their interconnection studies were based.</w:t>
      </w:r>
      <w:r>
        <w:rPr>
          <w:rStyle w:val="FootnoteReference"/>
        </w:rPr>
        <w:footnoteReference w:id="1060"/>
      </w:r>
      <w:r w:rsidRPr="0072600F">
        <w:rPr>
          <w:sz w:val="26"/>
          <w:szCs w:val="26"/>
        </w:rPr>
        <w:t xml:space="preserve">  Joint RTOs and PJM add that, to the extent electric storage resources exceed their operating parameters in real time, the costs of network upgrades would fall unfairly upon load because, once interconnected, load </w:t>
      </w:r>
      <w:r w:rsidR="008648A0">
        <w:rPr>
          <w:sz w:val="26"/>
          <w:szCs w:val="26"/>
        </w:rPr>
        <w:t>(</w:t>
      </w:r>
      <w:r w:rsidRPr="0072600F">
        <w:rPr>
          <w:sz w:val="26"/>
          <w:szCs w:val="26"/>
        </w:rPr>
        <w:t>rather than the interconnection customer</w:t>
      </w:r>
      <w:r w:rsidR="008648A0">
        <w:rPr>
          <w:sz w:val="26"/>
          <w:szCs w:val="26"/>
        </w:rPr>
        <w:t>)</w:t>
      </w:r>
      <w:r w:rsidRPr="0072600F">
        <w:rPr>
          <w:sz w:val="26"/>
          <w:szCs w:val="26"/>
        </w:rPr>
        <w:t xml:space="preserve"> is responsible for the costs of upgrading the system to maintain the unit’s deliverability over its lifetime.</w:t>
      </w:r>
      <w:r>
        <w:rPr>
          <w:rStyle w:val="FootnoteReference"/>
        </w:rPr>
        <w:footnoteReference w:id="1061"/>
      </w:r>
      <w:r w:rsidRPr="0072600F">
        <w:rPr>
          <w:sz w:val="26"/>
          <w:szCs w:val="26"/>
        </w:rPr>
        <w:t xml:space="preserve">  Joint RTOs and PJM state that interconnection studies are not designed to incorporate the real-time dispatch of resources or withdrawals of load or storage resources, arguing that the Commission fails to distinguish how storage resources differ from other generating facilities so as to justify this unwarranted departure from the principles which underlie planning and interconnection analyses.  Joint RTOs and PJM also argue that implementing this reform, including the requirement to provide an interconnection customer with an explanation of why the submitted operating assumptions are insufficient or inappropriate and allow the interconnection customer to revise and resubmit the operating assumptions, is likely to add more time to the interconnection study process and engender arguments of unequal treatment by other resources within a cluster.</w:t>
      </w:r>
      <w:r>
        <w:rPr>
          <w:rStyle w:val="FootnoteReference"/>
        </w:rPr>
        <w:footnoteReference w:id="1062"/>
      </w:r>
      <w:r w:rsidRPr="0072600F">
        <w:rPr>
          <w:sz w:val="26"/>
          <w:szCs w:val="26"/>
        </w:rPr>
        <w:t xml:space="preserve">  PJM adds that Order No. 2023 is unduly discriminatory and provides no clear basis for favoring storage projects over all other types of generating resources or other types of load.</w:t>
      </w:r>
      <w:r>
        <w:rPr>
          <w:rStyle w:val="FootnoteReference"/>
        </w:rPr>
        <w:footnoteReference w:id="1063"/>
      </w:r>
    </w:p>
    <w:p w:rsidR="00760048" w:rsidRPr="0072600F" w14:paraId="122F178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NYISO requests rehearing of the operating assumptions reform because it is inconsistent with the NYISO-administered markets given that storage resources participating as </w:t>
      </w:r>
      <w:r w:rsidR="009775EA">
        <w:rPr>
          <w:sz w:val="26"/>
          <w:szCs w:val="26"/>
        </w:rPr>
        <w:t>i</w:t>
      </w:r>
      <w:r w:rsidRPr="0072600F">
        <w:rPr>
          <w:sz w:val="26"/>
          <w:szCs w:val="26"/>
        </w:rPr>
        <w:t xml:space="preserve">nstalled </w:t>
      </w:r>
      <w:r w:rsidR="009775EA">
        <w:rPr>
          <w:sz w:val="26"/>
          <w:szCs w:val="26"/>
        </w:rPr>
        <w:t>c</w:t>
      </w:r>
      <w:r w:rsidRPr="0072600F">
        <w:rPr>
          <w:sz w:val="26"/>
          <w:szCs w:val="26"/>
        </w:rPr>
        <w:t xml:space="preserve">apacity </w:t>
      </w:r>
      <w:r w:rsidR="009775EA">
        <w:rPr>
          <w:sz w:val="26"/>
          <w:szCs w:val="26"/>
        </w:rPr>
        <w:t>s</w:t>
      </w:r>
      <w:r w:rsidRPr="0072600F">
        <w:rPr>
          <w:sz w:val="26"/>
          <w:szCs w:val="26"/>
        </w:rPr>
        <w:t xml:space="preserve">uppliers are required to bid, schedule, and/or declare unavailable their entire withdrawal operating range during the </w:t>
      </w:r>
      <w:r w:rsidR="009775EA">
        <w:rPr>
          <w:sz w:val="26"/>
          <w:szCs w:val="26"/>
        </w:rPr>
        <w:t>d</w:t>
      </w:r>
      <w:r w:rsidRPr="0072600F">
        <w:rPr>
          <w:sz w:val="26"/>
          <w:szCs w:val="26"/>
        </w:rPr>
        <w:t>ay-</w:t>
      </w:r>
      <w:r w:rsidR="009775EA">
        <w:rPr>
          <w:sz w:val="26"/>
          <w:szCs w:val="26"/>
        </w:rPr>
        <w:t>a</w:t>
      </w:r>
      <w:r w:rsidRPr="0072600F">
        <w:rPr>
          <w:sz w:val="26"/>
          <w:szCs w:val="26"/>
        </w:rPr>
        <w:t xml:space="preserve">head </w:t>
      </w:r>
      <w:r w:rsidR="009775EA">
        <w:rPr>
          <w:sz w:val="26"/>
          <w:szCs w:val="26"/>
        </w:rPr>
        <w:t>m</w:t>
      </w:r>
      <w:r w:rsidRPr="0072600F">
        <w:rPr>
          <w:sz w:val="26"/>
          <w:szCs w:val="26"/>
        </w:rPr>
        <w:t>arket, or otherwise may be subject to financial penalties.</w:t>
      </w:r>
      <w:r>
        <w:rPr>
          <w:rStyle w:val="FootnoteReference"/>
        </w:rPr>
        <w:footnoteReference w:id="1064"/>
      </w:r>
      <w:r w:rsidRPr="0072600F">
        <w:rPr>
          <w:sz w:val="26"/>
          <w:szCs w:val="26"/>
        </w:rPr>
        <w:t xml:space="preserve">  NYISO adds that grid or market conditions may make it desirable for storage resources to charge during peak demand hours and/or during NYISO’s </w:t>
      </w:r>
      <w:r w:rsidR="009775EA">
        <w:rPr>
          <w:sz w:val="26"/>
          <w:szCs w:val="26"/>
        </w:rPr>
        <w:t>p</w:t>
      </w:r>
      <w:r w:rsidRPr="0072600F">
        <w:rPr>
          <w:sz w:val="26"/>
          <w:szCs w:val="26"/>
        </w:rPr>
        <w:t xml:space="preserve">eak </w:t>
      </w:r>
      <w:r w:rsidR="009775EA">
        <w:rPr>
          <w:sz w:val="26"/>
          <w:szCs w:val="26"/>
        </w:rPr>
        <w:t>l</w:t>
      </w:r>
      <w:r w:rsidRPr="0072600F">
        <w:rPr>
          <w:sz w:val="26"/>
          <w:szCs w:val="26"/>
        </w:rPr>
        <w:t xml:space="preserve">oad </w:t>
      </w:r>
      <w:r w:rsidR="009775EA">
        <w:rPr>
          <w:sz w:val="26"/>
          <w:szCs w:val="26"/>
        </w:rPr>
        <w:t>w</w:t>
      </w:r>
      <w:r w:rsidRPr="0072600F">
        <w:rPr>
          <w:sz w:val="26"/>
          <w:szCs w:val="26"/>
        </w:rPr>
        <w:t>indow, for example to capture energy production during peak output of solar generating facilities.</w:t>
      </w:r>
      <w:r>
        <w:rPr>
          <w:rStyle w:val="FootnoteReference"/>
        </w:rPr>
        <w:footnoteReference w:id="1065"/>
      </w:r>
      <w:r w:rsidRPr="0072600F">
        <w:rPr>
          <w:sz w:val="26"/>
          <w:szCs w:val="26"/>
        </w:rPr>
        <w:t xml:space="preserve">  NYISO argues that the reform will add significant new complexity to interconnection studies and increase the time required to complete such studies, which is at odds with the intent of Order No. 2023 to expedite such studies by establishing firm deadlines subject to penalties.</w:t>
      </w:r>
      <w:r>
        <w:rPr>
          <w:rStyle w:val="FootnoteReference"/>
        </w:rPr>
        <w:footnoteReference w:id="1066"/>
      </w:r>
      <w:r w:rsidRPr="0072600F">
        <w:rPr>
          <w:sz w:val="26"/>
          <w:szCs w:val="26"/>
        </w:rPr>
        <w:t xml:space="preserve">  NYISO asserts that requiring a transmission provider to consider the individual operating assumptions of each storage project would require that it create additional off-peak system base cases that are tailored for each individual project as the standardized set of system base cases may not represent the system conditions where the developer of the storage project opts to charge.</w:t>
      </w:r>
      <w:r w:rsidRPr="0072600F">
        <w:rPr>
          <w:b/>
          <w:sz w:val="26"/>
          <w:szCs w:val="26"/>
          <w:vertAlign w:val="superscript"/>
        </w:rPr>
        <w:t xml:space="preserve"> </w:t>
      </w:r>
    </w:p>
    <w:p w:rsidR="00760048" w:rsidRPr="0072600F" w14:paraId="33A71AA5" w14:textId="77777777">
      <w:pPr>
        <w:pStyle w:val="FERCparanumber"/>
        <w:widowControl/>
        <w:numPr>
          <w:ilvl w:val="0"/>
          <w:numId w:val="25"/>
        </w:numPr>
        <w:autoSpaceDE/>
        <w:autoSpaceDN/>
        <w:adjustRightInd/>
        <w:spacing w:line="480" w:lineRule="auto"/>
        <w:rPr>
          <w:sz w:val="26"/>
          <w:szCs w:val="26"/>
        </w:rPr>
      </w:pPr>
      <w:r w:rsidRPr="0072600F">
        <w:rPr>
          <w:sz w:val="26"/>
          <w:szCs w:val="26"/>
        </w:rPr>
        <w:t>In contrast, Public Interest Organizations argue that the Commission erred in limiting the reform to only the operating parameters for withdrawals of energy by storage resources and declining to extend it to storage injections or other technologies.</w:t>
      </w:r>
      <w:r>
        <w:rPr>
          <w:rStyle w:val="FootnoteReference"/>
        </w:rPr>
        <w:footnoteReference w:id="1067"/>
      </w:r>
      <w:r w:rsidRPr="0072600F">
        <w:rPr>
          <w:sz w:val="26"/>
          <w:szCs w:val="26"/>
        </w:rPr>
        <w:t xml:space="preserve">  Public Interest Organizations contend that the Commission’s reasoning that the potential reliability impacts and administrative burden of extending the reform to injections of energy is arbitrary and capricious given (1) the broad support among commenters that the failure to use realistic operating assumptions for injections of power can result in unnecessary network upgrades, stifle competition, and create unduly discriminatory barriers and (2) the ample evidence presented of how the reliability impacts of injections are already being sufficiently managed by grid operators during real-time operations.  Public Interest Organizations aver that, without consideration of operating parameters in interconnection studies, certain interconnection customers will be forced to pay for increasingly excessive and unnecessary upgrades that will sit unused, which will ultimately lead to a less efficient power system and unjust and unreasonable electricity costs for ratepayers.</w:t>
      </w:r>
      <w:r>
        <w:rPr>
          <w:rStyle w:val="FootnoteReference"/>
        </w:rPr>
        <w:footnoteReference w:id="1068"/>
      </w:r>
    </w:p>
    <w:p w:rsidR="00760048" w:rsidRPr="0072600F" w14:paraId="2CB5FC0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Clean Energy Associations request clarification, or in the alternative rehearing, </w:t>
      </w:r>
      <w:r w:rsidR="00BB6E44">
        <w:rPr>
          <w:sz w:val="26"/>
          <w:szCs w:val="26"/>
        </w:rPr>
        <w:t xml:space="preserve">so </w:t>
      </w:r>
      <w:r w:rsidRPr="0072600F">
        <w:rPr>
          <w:sz w:val="26"/>
          <w:szCs w:val="26"/>
        </w:rPr>
        <w:t xml:space="preserve">that the </w:t>
      </w:r>
      <w:r w:rsidRPr="0072600F">
        <w:rPr>
          <w:i/>
          <w:iCs/>
          <w:sz w:val="26"/>
          <w:szCs w:val="26"/>
        </w:rPr>
        <w:t>pro forma</w:t>
      </w:r>
      <w:r w:rsidRPr="0072600F">
        <w:rPr>
          <w:i/>
          <w:sz w:val="26"/>
          <w:szCs w:val="26"/>
        </w:rPr>
        <w:t xml:space="preserve"> </w:t>
      </w:r>
      <w:r w:rsidRPr="0072600F">
        <w:rPr>
          <w:sz w:val="26"/>
          <w:szCs w:val="26"/>
        </w:rPr>
        <w:t>LGIP require</w:t>
      </w:r>
      <w:r w:rsidR="00BB6E44">
        <w:rPr>
          <w:sz w:val="26"/>
          <w:szCs w:val="26"/>
        </w:rPr>
        <w:t>s</w:t>
      </w:r>
      <w:r w:rsidRPr="0072600F">
        <w:rPr>
          <w:sz w:val="26"/>
          <w:szCs w:val="26"/>
        </w:rPr>
        <w:t xml:space="preserve"> that the interconnection customer and transmission provider mutually agree in the cluster study agreement as to (1) which loading cases are applied to storage charging and discharging and (2) what power level or percentage output or percentage charging is applied to each case.</w:t>
      </w:r>
      <w:r>
        <w:rPr>
          <w:rStyle w:val="FootnoteReference"/>
        </w:rPr>
        <w:footnoteReference w:id="1069"/>
      </w:r>
      <w:r w:rsidRPr="0072600F">
        <w:rPr>
          <w:sz w:val="26"/>
          <w:szCs w:val="26"/>
        </w:rPr>
        <w:t xml:space="preserve">  Clean Energy Associations also ask the Commission to require transmission providers to identify which loading case triggered identified upgrades in the cluster study results.  Further, to ensure that interconnection customers and transmission providers have clarity about the operating constraints that apply in an LGIA, Clean Energy Associations urge the Commission to specify requirements for operating assumptions in the cluster study agreement as well as what the transmission provider must deliver to the electric storage resource owner interconnection customer in cluster study results, rather than having the utility state when their peak load applies.  Clean Energy Associations state that, because Order No. 2023 does not provide for any means to address situations in which the interconnection customer and transmission provider continue to have a disagreement after the revision and resubmittal of the operating assumptions during the customer engagement window, they seek clarification or, in the alternative rehearing, that interconnection customers may submit conflicting situations to the Commission along with a request to file the applicable study agreement unexecuted, with a request that the Commission determine which operating assumption should be used in the applicable study.</w:t>
      </w:r>
      <w:r w:rsidRPr="0072600F">
        <w:rPr>
          <w:b/>
          <w:sz w:val="26"/>
          <w:szCs w:val="26"/>
          <w:vertAlign w:val="superscript"/>
        </w:rPr>
        <w:t xml:space="preserve"> </w:t>
      </w:r>
    </w:p>
    <w:p w:rsidR="00760048" w:rsidRPr="0072600F" w14:paraId="5C92EC24"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ask the Commission to clarify that the planned operating assumptions of electric storage resources must be considered as part of the interconnection process.</w:t>
      </w:r>
      <w:r>
        <w:rPr>
          <w:rStyle w:val="FootnoteReference"/>
        </w:rPr>
        <w:footnoteReference w:id="1070"/>
      </w:r>
      <w:r w:rsidRPr="0072600F">
        <w:rPr>
          <w:sz w:val="26"/>
          <w:szCs w:val="26"/>
        </w:rPr>
        <w:t xml:space="preserve">  Clean Energy Associations assert that planned operating assumptions should also be considered part of transmission service requests.  Clean Energy Associations also ask the Commission to clarify that the operating assumption requirement applies not just to standalone storage, but to hybrid and co-located resources as well.  Clean Energy Associations add that, given the Commission’s findings regarding the capabilities and incentives of energy storage resources, the Commission should clarify that modeling energy storage charging equivalently to firm customer end-use load for purposes of determining network upgrades is inconsistent with good utility practice going forward.</w:t>
      </w:r>
      <w:r>
        <w:rPr>
          <w:rStyle w:val="FootnoteReference"/>
        </w:rPr>
        <w:footnoteReference w:id="1071"/>
      </w:r>
    </w:p>
    <w:p w:rsidR="00760048" w:rsidRPr="00663161" w14:paraId="0B79F91F"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6156DE25"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PJM’s and Joint RTOs’ arguments on rehearing.  First, we disagree with PJM and Joint RTOs that the Commission did not sufficiently articulate how electric storage resources are distinct from other types of generating facilities, why this reform is needed to ensure just and reasonable rates, and why this reform is not unduly discriminatory or preferential.  As the Commission stated in Order No. 2023, electric storage resources have operating parameters that differ from traditional types of generating facilities for which the generator interconnection process was originally designed, namely their ability to both inject power and withdraw power.</w:t>
      </w:r>
      <w:r>
        <w:rPr>
          <w:rStyle w:val="FootnoteReference"/>
        </w:rPr>
        <w:footnoteReference w:id="1072"/>
      </w:r>
      <w:r w:rsidRPr="0072600F">
        <w:rPr>
          <w:sz w:val="26"/>
          <w:szCs w:val="26"/>
        </w:rPr>
        <w:t xml:space="preserve">  The instant reform is directed specifically and exclusively at how transmission providers study the withdrawal of power from electric storage resources (i.e., the unique feature of electric storage resources compared to other types of generating facilities) within the generator interconnection process.  </w:t>
      </w:r>
    </w:p>
    <w:p w:rsidR="00760048" w:rsidRPr="0072600F" w14:paraId="5C952102" w14:textId="77777777">
      <w:pPr>
        <w:pStyle w:val="FERCparanumber"/>
        <w:widowControl/>
        <w:numPr>
          <w:ilvl w:val="0"/>
          <w:numId w:val="25"/>
        </w:numPr>
        <w:autoSpaceDE/>
        <w:autoSpaceDN/>
        <w:adjustRightInd/>
        <w:spacing w:line="480" w:lineRule="auto"/>
        <w:rPr>
          <w:sz w:val="26"/>
          <w:szCs w:val="26"/>
        </w:rPr>
      </w:pPr>
      <w:r w:rsidRPr="0072600F">
        <w:rPr>
          <w:sz w:val="26"/>
          <w:szCs w:val="26"/>
        </w:rPr>
        <w:t>As the record indicates, the existing practice of some transmission providers is to study withdrawals of power from electric storage resources during peak load conditions equivalently to firm customer end-use load, and this practice results in excessive and unnecessary network upgrades and may hinder the timely development of new generation, thereby stifling competition in the wholesale markets, and resulting in rates, terms, and conditions that are unjust and unreasonable.</w:t>
      </w:r>
      <w:r>
        <w:rPr>
          <w:rStyle w:val="FootnoteReference"/>
        </w:rPr>
        <w:footnoteReference w:id="1073"/>
      </w:r>
      <w:r w:rsidRPr="0072600F">
        <w:rPr>
          <w:sz w:val="26"/>
          <w:szCs w:val="26"/>
        </w:rPr>
        <w:t xml:space="preserve">  We continue to find that the speed and control with which electric storage resources can respond to signals from transmission providers sufficiently distinguishes the charging behavior of electric storage resources from that of firm customer end-use load, and that reflecting the technical capabilities of electric storage resources through the use of appropriate operating assumptions in interconnection studies reduces unduly discriminatory or preferential barriers to the interconnection of electric storage resources.</w:t>
      </w:r>
      <w:r>
        <w:rPr>
          <w:rStyle w:val="FootnoteReference"/>
        </w:rPr>
        <w:footnoteReference w:id="1074"/>
      </w:r>
      <w:r w:rsidRPr="0072600F">
        <w:rPr>
          <w:sz w:val="26"/>
          <w:szCs w:val="26"/>
        </w:rPr>
        <w:t xml:space="preserve">  </w:t>
      </w:r>
    </w:p>
    <w:p w:rsidR="00760048" w:rsidRPr="0072600F" w14:paraId="60203552"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PJM’s and Joint RTOs’ arguments that reflecting whether an interconnecting electric storage resource will or will not charge during peak load conditions is fundamentally incompatible with interconnection studies.  We reiterate that Order No. 2023 requires transmission providers, at the request of the interconnection customer, to reflect in their interconnection studies whether an interconnecting electric storage resource will or will not charge during peak load conditions (unless good utility practice, including applicable reliability standards, otherwise requires the use of different operating assumptions).</w:t>
      </w:r>
      <w:r>
        <w:rPr>
          <w:rStyle w:val="FootnoteReference"/>
        </w:rPr>
        <w:footnoteReference w:id="1075"/>
      </w:r>
      <w:r w:rsidRPr="0072600F">
        <w:rPr>
          <w:sz w:val="26"/>
          <w:szCs w:val="26"/>
        </w:rPr>
        <w:t xml:space="preserve">  We clarify that the instant reform does not require transmission providers to develop new base cases for each interconnecting electric storage resource to reflect when that resource intends to charge.  Rather, the reform requires transmission providers to reflect whether an electric storage resource will or will not charge in any studies of peak load conditions in the interconnection process.  Transmission providers regularly evaluate the impact of an interconnecting generating facility on the transmission system during anticipated peak load conditions as part of their interconnection studies, and we note that some transmission providers already assume in their interconnection studies that electric storage resources will not charge during peak load conditions.</w:t>
      </w:r>
      <w:r>
        <w:rPr>
          <w:rStyle w:val="FootnoteReference"/>
        </w:rPr>
        <w:footnoteReference w:id="1076"/>
      </w:r>
      <w:r w:rsidRPr="0072600F">
        <w:rPr>
          <w:sz w:val="26"/>
          <w:szCs w:val="26"/>
        </w:rPr>
        <w:t xml:space="preserve">  Further, we agree with commenters in this record that, when transmission providers’ interconnection studies rely on the assumption that all electric storage resources will withdraw power at their maximum capacity during peak load conditions (i.e., modeling the charging of electric storage resources equivalently to firm end-use customer demand), this practice fails to recognize the real-time attributes of electric storage resources, such as the ability to respond within seconds to dispatch signals from the transmission provider.</w:t>
      </w:r>
      <w:r>
        <w:rPr>
          <w:rStyle w:val="FootnoteReference"/>
        </w:rPr>
        <w:footnoteReference w:id="1077"/>
      </w:r>
      <w:r w:rsidRPr="0072600F">
        <w:rPr>
          <w:sz w:val="26"/>
          <w:szCs w:val="26"/>
        </w:rPr>
        <w:t xml:space="preserve"> </w:t>
      </w:r>
    </w:p>
    <w:p w:rsidR="00760048" w:rsidRPr="0072600F" w14:paraId="4EAA84B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PJM and Joint RTOs that this requirement will compromise reliability because, they argue, transmission providers are unable to monitor and enforce interconnection customer-provided operating assumptions.  We continue to maintain that this reform will ensure the reliable operation of the transmission system because:  (1) control devices are able to prevent electric storage resources from charging during peak load conditions; (2) modern electric storage resources are able to respond to signals from the transmission provider within seconds; (3) electric storage resources generally do not have an economic incentive to charge during peak load conditions; and (4) the consequence of being considered in breach of the LGIA provides an additional incentive for electric storage resources to follow the agreed-upon operating assumptions memorialized in their LGIA, unless otherwise directed by the transmission provider.  Further, we believe that ensuring that an electric storage resource adheres to the operating assumptions memorialized in its LGIA presents substantially similar concerns to ensuring that any generating facility stays within its interconnection service level (e.g., a generating facility that requests interconnection service less than its full generating facility capacity).  We emphasize again that, irrespective of these changes to operating assumptions, all electric storage resources must continue to meet all requirements in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LGIA, as well as all applicable reliability standards.</w:t>
      </w:r>
    </w:p>
    <w:p w:rsidR="00760048" w:rsidRPr="0072600F" w14:paraId="7EB18ECE" w14:textId="77777777">
      <w:pPr>
        <w:pStyle w:val="FERCparanumber"/>
        <w:widowControl/>
        <w:numPr>
          <w:ilvl w:val="0"/>
          <w:numId w:val="25"/>
        </w:numPr>
        <w:autoSpaceDE/>
        <w:autoSpaceDN/>
        <w:adjustRightInd/>
        <w:spacing w:line="480" w:lineRule="auto"/>
        <w:rPr>
          <w:sz w:val="26"/>
          <w:szCs w:val="26"/>
        </w:rPr>
      </w:pPr>
      <w:r w:rsidRPr="0072600F">
        <w:rPr>
          <w:sz w:val="26"/>
          <w:szCs w:val="26"/>
        </w:rPr>
        <w:t>We disagree with Joint RTOs and PJM that</w:t>
      </w:r>
      <w:r w:rsidR="00C5685D">
        <w:rPr>
          <w:sz w:val="26"/>
          <w:szCs w:val="26"/>
        </w:rPr>
        <w:t>,</w:t>
      </w:r>
      <w:r w:rsidRPr="0072600F">
        <w:rPr>
          <w:sz w:val="26"/>
          <w:szCs w:val="26"/>
        </w:rPr>
        <w:t xml:space="preserve"> if an electric storage resource fails to adhere to its operating assumptions during real-time operations, load will be required to bear the costs of network upgrades needed to maintain deliverability of the electric storage resource over its lifetime.  As the Commission stated in Order No. 2023, if an interconnection customer fails to operate its electric storage resource in accordance with the operating assumptions memorialized in the interconnection customer’s LGIA (absent instructions from the transmission provider to the contrary), the transmission provider may consider the electric storage resource to be in breach and may pursue termination of the LGIA pursuant to article 17 of the LGIA.</w:t>
      </w:r>
      <w:r>
        <w:rPr>
          <w:rStyle w:val="FootnoteReference"/>
        </w:rPr>
        <w:footnoteReference w:id="1078"/>
      </w:r>
      <w:r w:rsidRPr="0072600F">
        <w:rPr>
          <w:sz w:val="26"/>
          <w:szCs w:val="26"/>
        </w:rPr>
        <w:t xml:space="preserve"> </w:t>
      </w:r>
    </w:p>
    <w:p w:rsidR="00760048" w:rsidRPr="0072600F" w14:paraId="7CC0757C"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Regarding Joint RTOs’ and PJM’s argument that this reform will add administrative burdens for transmission providers, we continue to find that the benefits of this reform – reducing unduly discriminatory or preferential barriers to the interconnection of electric storage resources – outweigh the added burden to transmission providers.  We decline to grant Joint RTOs’ </w:t>
      </w:r>
      <w:r w:rsidR="00882C5E">
        <w:rPr>
          <w:sz w:val="26"/>
          <w:szCs w:val="26"/>
        </w:rPr>
        <w:t>request for</w:t>
      </w:r>
      <w:r w:rsidRPr="0072600F">
        <w:rPr>
          <w:sz w:val="26"/>
          <w:szCs w:val="26"/>
        </w:rPr>
        <w:t xml:space="preserve"> clarification that the Joint RTOs are entitled to an independent entity variation to develop generally applicable procedures for addressing storage charging assumptions rather than the reform as constructed in Order No. 2023.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w:t>
      </w:r>
    </w:p>
    <w:p w:rsidR="00760048" w:rsidRPr="0072600F" w14:paraId="7E68119A"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NYISO’s arguments on rehearing.  We note that NYISO’s arguments relate to NYISO’s specific market rules and do not necessarily apply to the reform more broadly.  In Order No. 2023, the Commission clarified that, if done so at the direction of the transmission provider to maintain the reliable and efficient operation of the transmission system, an electric storage resource that operates contrary to the operating assumptions specified in its LGIA must not be considered in breach of its LGIA by the transmission provider.</w:t>
      </w:r>
      <w:r>
        <w:rPr>
          <w:rStyle w:val="FootnoteReference"/>
        </w:rPr>
        <w:footnoteReference w:id="1079"/>
      </w:r>
      <w:r w:rsidRPr="0072600F">
        <w:rPr>
          <w:rStyle w:val="FootnoteReference"/>
        </w:rPr>
        <w:t xml:space="preserve"> </w:t>
      </w:r>
      <w:r w:rsidRPr="0072600F">
        <w:rPr>
          <w:sz w:val="26"/>
          <w:szCs w:val="26"/>
        </w:rPr>
        <w:t xml:space="preserve">  We believe this clarification ensures that the instant reform will work in concert with RTOs’/ISOs’ existing congestion management practices.  Additionally, we reiterate the clarification above that the instant reform does not require transmission providers to develop new base cases for each interconnecting electric storage resource to reflect when that resource intends to charge, as NYISO suggests.  Rather, the reform requires transmission providers to reflect whether an electric storage resource will or will not charge in any studies of peak load conditions in the interconnection process.  However, if NYISO continues to believe the instant reform conflicts with its market rules, NYISO may explain the specific circumstances on compliance and justify why any deviations merit an independent entity variation.</w:t>
      </w:r>
    </w:p>
    <w:p w:rsidR="00760048" w:rsidRPr="0072600F" w14:paraId="79782F03"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Public Interest Organizations’ arguments on rehearing that the Commission should extend this reform to apply to operating assumptions for injections of power from electric storage resources and other technologies.  Although several commenters urged the use of more accurate operating assumptions for injections of power from certain types of generating facilities, we believe that the current record does not sufficiently support extending the instant reform to injections of power from all types of generating facilities and does not provide sufficient information on the incremental burden that such a reform could place on transmission providers’ study methods and timelines.  Further, we are concerned that extending the reform to apply to operating assumptions for injections of power from only some types of generating facilities and not all types of generating facilities that are capable of injecting power could potentially be unduly discriminatory or preferential.  We continue to encourage transmission providers to examine on an individual basis what operating assumptions used to study the injection of power from generating facilities may be appropriate to render the study process more accurate.  Similarly, we continue to acknowledge that fuel-based dispatch assumptions may be able to address some of the identified challenges associated with inaccurate modeling assumptions for all generating facility types and encourage transmission providers to evaluate the merits of adopting them.</w:t>
      </w:r>
      <w:r>
        <w:rPr>
          <w:rStyle w:val="FootnoteReference"/>
        </w:rPr>
        <w:footnoteReference w:id="1080"/>
      </w:r>
      <w:r w:rsidRPr="0072600F">
        <w:rPr>
          <w:sz w:val="26"/>
          <w:szCs w:val="26"/>
        </w:rPr>
        <w:t xml:space="preserve"> </w:t>
      </w:r>
    </w:p>
    <w:p w:rsidR="00760048" w:rsidRPr="0072600F" w14:paraId="12B07FD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decline to grant Clean Energy Associations’ requested clarification that the </w:t>
      </w:r>
      <w:r w:rsidRPr="0072600F">
        <w:rPr>
          <w:i/>
          <w:iCs/>
          <w:sz w:val="26"/>
          <w:szCs w:val="26"/>
        </w:rPr>
        <w:t>pro forma</w:t>
      </w:r>
      <w:r w:rsidRPr="0072600F">
        <w:rPr>
          <w:i/>
          <w:sz w:val="26"/>
          <w:szCs w:val="26"/>
        </w:rPr>
        <w:t xml:space="preserve"> </w:t>
      </w:r>
      <w:r w:rsidRPr="0072600F">
        <w:rPr>
          <w:sz w:val="26"/>
          <w:szCs w:val="26"/>
        </w:rPr>
        <w:t>LGIP requires the interconnection customer and transmission provider to mutually agree in the cluster study agreement as to (1) which loading cases are applied to storage charging and discharging and (2) what power level or % output or % charging is applied to each case.  The instant reform is directed specifically and exclusively at how transmission providers study the withdrawal of power from electric storage resources within the generator interconnection process (namely, whether an electric storage resource will or will not charge during peak load conditions).  The Commission did not require transmission providers to revise how they study injections of power from electric storage resources, and we decline to do so now.  For the same reason, we are unpersuaded by Clean Energy Associations’ rehearing request on the same issue.</w:t>
      </w:r>
    </w:p>
    <w:p w:rsidR="00760048" w:rsidRPr="0072600F" w14:paraId="1825881E"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decline to grant Clean Energy Associations</w:t>
      </w:r>
      <w:r w:rsidR="00975B7D">
        <w:rPr>
          <w:sz w:val="26"/>
          <w:szCs w:val="26"/>
        </w:rPr>
        <w:t>’</w:t>
      </w:r>
      <w:r w:rsidRPr="0072600F">
        <w:rPr>
          <w:sz w:val="26"/>
          <w:szCs w:val="26"/>
        </w:rPr>
        <w:t xml:space="preserve"> requested clarification that, in situations in which the interconnection customer and transmission provider disagree about operating assumptions, the interconnection customers may request to file the applicable study agreement with the Commission unexecuted, with a request that the Commission determine which operating assumptions should be used in the applicable study.  In such a situation, we find it more appropriate for the interconnection customer to instead use the dispute resolution procedures in section 13.5 of the </w:t>
      </w:r>
      <w:r w:rsidRPr="0072600F">
        <w:rPr>
          <w:i/>
          <w:iCs/>
          <w:sz w:val="26"/>
          <w:szCs w:val="26"/>
        </w:rPr>
        <w:t xml:space="preserve">pro forma </w:t>
      </w:r>
      <w:r w:rsidRPr="0072600F">
        <w:rPr>
          <w:sz w:val="26"/>
          <w:szCs w:val="26"/>
        </w:rPr>
        <w:t>LGIP.  For the same reason, we are unpersuaded by Clean Energy Associations’ rehearing request on the same issue.</w:t>
      </w:r>
    </w:p>
    <w:p w:rsidR="00760048" w:rsidRPr="0072600F" w14:paraId="72E3AA08" w14:textId="77777777">
      <w:pPr>
        <w:pStyle w:val="FERCparanumber"/>
        <w:widowControl/>
        <w:numPr>
          <w:ilvl w:val="0"/>
          <w:numId w:val="25"/>
        </w:numPr>
        <w:autoSpaceDE/>
        <w:autoSpaceDN/>
        <w:adjustRightInd/>
        <w:spacing w:line="480" w:lineRule="auto"/>
        <w:rPr>
          <w:rStyle w:val="FootnoteReference"/>
        </w:rPr>
      </w:pPr>
      <w:r w:rsidRPr="0072600F">
        <w:rPr>
          <w:sz w:val="26"/>
          <w:szCs w:val="26"/>
        </w:rPr>
        <w:t>We decline to grant Clean Energy Associations</w:t>
      </w:r>
      <w:r w:rsidR="00975B7D">
        <w:rPr>
          <w:sz w:val="26"/>
          <w:szCs w:val="26"/>
        </w:rPr>
        <w:t>’</w:t>
      </w:r>
      <w:r w:rsidRPr="0072600F">
        <w:rPr>
          <w:sz w:val="26"/>
          <w:szCs w:val="26"/>
        </w:rPr>
        <w:t xml:space="preserve"> requested clarification that the planned operating assumptions of electric storage resources must be considered as part of the interconnection process and in transmission service requests.  In Order No. 2023, the Commission explained that the instant reform does not require transmission providers to study charging as part of the interconnection process if they do not already do so, and we decline to require so now.</w:t>
      </w:r>
      <w:r>
        <w:rPr>
          <w:rStyle w:val="FootnoteReference"/>
        </w:rPr>
        <w:footnoteReference w:id="1081"/>
      </w:r>
      <w:r w:rsidRPr="0072600F">
        <w:rPr>
          <w:sz w:val="26"/>
          <w:szCs w:val="26"/>
        </w:rPr>
        <w:t xml:space="preserve">  We reiterate that, if a transmission provider does not determine the network upgrades needed to accommodate the charging of an electric storage resource through the interconnection process (e.g., the transmission provider determines such upgrades as part of the transmission service request process), then the transmission provider must demonstrate on compliance why this reform does not apply to that particular transmission provider.  Additionally, the Commission clarified in Order No. 2023 that the instant reform does not apply to transmission service requests, and Order No. 2023 does not modify the process for requesting transmission service.</w:t>
      </w:r>
      <w:r w:rsidRPr="0072600F">
        <w:rPr>
          <w:rStyle w:val="FootnoteReference"/>
        </w:rPr>
        <w:t xml:space="preserve"> </w:t>
      </w:r>
    </w:p>
    <w:p w:rsidR="00760048" w:rsidRPr="0072600F" w14:paraId="22FEEB85" w14:textId="77777777">
      <w:pPr>
        <w:pStyle w:val="FERCparanumber"/>
        <w:widowControl/>
        <w:numPr>
          <w:ilvl w:val="0"/>
          <w:numId w:val="25"/>
        </w:numPr>
        <w:autoSpaceDE/>
        <w:autoSpaceDN/>
        <w:adjustRightInd/>
        <w:spacing w:line="480" w:lineRule="auto"/>
        <w:rPr>
          <w:sz w:val="26"/>
          <w:szCs w:val="26"/>
        </w:rPr>
      </w:pPr>
      <w:bookmarkStart w:id="95" w:name="_Hlk156822360"/>
      <w:r w:rsidRPr="0072600F">
        <w:rPr>
          <w:sz w:val="26"/>
          <w:szCs w:val="26"/>
        </w:rPr>
        <w:t>In response to Clean Energy Associations</w:t>
      </w:r>
      <w:r w:rsidR="00975B7D">
        <w:rPr>
          <w:sz w:val="26"/>
          <w:szCs w:val="26"/>
        </w:rPr>
        <w:t>’</w:t>
      </w:r>
      <w:r w:rsidRPr="0072600F">
        <w:rPr>
          <w:sz w:val="26"/>
          <w:szCs w:val="26"/>
        </w:rPr>
        <w:t xml:space="preserve"> requested clarification that all aspects of the operating assumption reform of Order No. 2023</w:t>
      </w:r>
      <w:r>
        <w:rPr>
          <w:rStyle w:val="FootnoteReference"/>
        </w:rPr>
        <w:footnoteReference w:id="1082"/>
      </w:r>
      <w:r w:rsidRPr="0072600F">
        <w:rPr>
          <w:sz w:val="26"/>
          <w:szCs w:val="26"/>
        </w:rPr>
        <w:t xml:space="preserve"> apply not just to standalone storage, but also to hybrid and co-located generating facilities that contain an electric storage resource, we reiterate the clarification the Commission made in Order No. 2023: “For clarity, we note that the reforms described in this determination section and the related sections of the </w:t>
      </w:r>
      <w:r w:rsidRPr="0072600F">
        <w:rPr>
          <w:i/>
          <w:iCs/>
          <w:sz w:val="26"/>
          <w:szCs w:val="26"/>
        </w:rPr>
        <w:t xml:space="preserve">pro forma </w:t>
      </w:r>
      <w:r w:rsidRPr="0072600F">
        <w:rPr>
          <w:sz w:val="26"/>
          <w:szCs w:val="26"/>
        </w:rPr>
        <w:t>LGIP apply to all interconnecting electric storage resources, whether they are standalone, co-located generating facilities, or part of a hybrid generating facility.”</w:t>
      </w:r>
      <w:r>
        <w:rPr>
          <w:rStyle w:val="FootnoteReference"/>
        </w:rPr>
        <w:footnoteReference w:id="1083"/>
      </w:r>
    </w:p>
    <w:bookmarkEnd w:id="95"/>
    <w:p w:rsidR="00760048" w:rsidRPr="0072600F" w14:paraId="289E1579" w14:textId="77777777">
      <w:pPr>
        <w:pStyle w:val="FERCparanumber"/>
        <w:widowControl/>
        <w:numPr>
          <w:ilvl w:val="0"/>
          <w:numId w:val="25"/>
        </w:numPr>
        <w:autoSpaceDE/>
        <w:autoSpaceDN/>
        <w:adjustRightInd/>
        <w:spacing w:line="480" w:lineRule="auto"/>
        <w:rPr>
          <w:sz w:val="26"/>
          <w:szCs w:val="26"/>
        </w:rPr>
      </w:pPr>
      <w:r w:rsidRPr="0072600F">
        <w:rPr>
          <w:sz w:val="26"/>
          <w:szCs w:val="26"/>
        </w:rPr>
        <w:t>We decline to grant Clean Energy Associations</w:t>
      </w:r>
      <w:r w:rsidR="00975B7D">
        <w:rPr>
          <w:sz w:val="26"/>
          <w:szCs w:val="26"/>
        </w:rPr>
        <w:t>’</w:t>
      </w:r>
      <w:r w:rsidRPr="0072600F">
        <w:rPr>
          <w:sz w:val="26"/>
          <w:szCs w:val="26"/>
        </w:rPr>
        <w:t xml:space="preserve"> requested clarification that modeling the charging of an electric storage resource equivalently to firm customer end-use load for purposes of determining network upgrades is inconsistent with good utility practice.  We reiterate our finding that, for purposes of determining any network upgrades necessary to accommodate the reliable interconnection of electric storage resources, the charging of electric storage resources should not be modeled equivalently to firm customer end-use load in interconnection studies if the interconnection customer agrees to memorialize its operating assumptions in the LGIA and installs control technologies, if required by the transmission provider, to limit its operations as specified.</w:t>
      </w:r>
      <w:r>
        <w:rPr>
          <w:rStyle w:val="FootnoteReference"/>
        </w:rPr>
        <w:footnoteReference w:id="1084"/>
      </w:r>
      <w:r w:rsidRPr="0072600F">
        <w:rPr>
          <w:sz w:val="26"/>
          <w:szCs w:val="26"/>
        </w:rPr>
        <w:t xml:space="preserve">  However, there are still situations in which we believe it is acceptable, and Order No. 2023 allows, for a transmission provider to continue to model an electric storage resource in interconnection studies as charging during peak load conditions, for example:  (1) if the interconnection customer does not request during the interconnection process that the transmission provider study the electric storage resource as not charging during peak load conditions; (2) if the interconnection customer declines the transmission provider’s request to install or demonstrate that it has installed control technologies sufficient to prevent it from charging during peak load conditions unless otherwise directed by the transmission provider; or (3) if the interconnection customer declines the transmission provider’s request to memorialize the requested operating assumptions in its LGIA.  </w:t>
      </w:r>
    </w:p>
    <w:p w:rsidR="00760048" w:rsidRPr="00663161" w14:paraId="53AA99B9"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96" w:name="_bmk23"/>
      <w:bookmarkStart w:id="97" w:name="_Toc138973274"/>
      <w:bookmarkStart w:id="98" w:name="_Toc138973613"/>
      <w:bookmarkStart w:id="99" w:name="_Hlk134694500"/>
      <w:r w:rsidRPr="00663161">
        <w:rPr>
          <w:b/>
          <w:bCs/>
          <w:sz w:val="26"/>
          <w:u w:val="single"/>
        </w:rPr>
        <w:t>I</w:t>
      </w:r>
      <w:bookmarkEnd w:id="96"/>
      <w:r w:rsidRPr="00663161">
        <w:rPr>
          <w:b/>
          <w:bCs/>
          <w:sz w:val="26"/>
          <w:u w:val="single"/>
        </w:rPr>
        <w:t>ncorporating the Enumerated Alternative Transmission Technologies into the Generator Interconnection Process</w:t>
      </w:r>
      <w:bookmarkEnd w:id="97"/>
      <w:bookmarkEnd w:id="98"/>
      <w:r w:rsidRPr="00663161">
        <w:rPr>
          <w:b/>
          <w:bCs/>
          <w:sz w:val="26"/>
          <w:u w:val="single"/>
        </w:rPr>
        <w:t xml:space="preserve"> </w:t>
      </w:r>
    </w:p>
    <w:bookmarkEnd w:id="99"/>
    <w:p w:rsidR="00760048" w:rsidRPr="00663161" w14:paraId="52D83515"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Consideration of the Enumerated Alternative Transmission Technologies in Interconnection Studies Upon Request of the Interconnection Customer</w:t>
      </w:r>
    </w:p>
    <w:p w:rsidR="00760048" w:rsidRPr="00663161" w14:paraId="4B794F87"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07ECD34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section 7.3 of the </w:t>
      </w:r>
      <w:r w:rsidRPr="0072600F">
        <w:rPr>
          <w:i/>
          <w:iCs/>
          <w:sz w:val="26"/>
          <w:szCs w:val="26"/>
        </w:rPr>
        <w:t xml:space="preserve">pro forma </w:t>
      </w:r>
      <w:r w:rsidRPr="0072600F">
        <w:rPr>
          <w:sz w:val="26"/>
          <w:szCs w:val="26"/>
        </w:rPr>
        <w:t xml:space="preserve">LGIP, and sections 3.3.6 and 3.4.10 of the </w:t>
      </w:r>
      <w:r w:rsidRPr="0072600F">
        <w:rPr>
          <w:i/>
          <w:iCs/>
          <w:sz w:val="26"/>
          <w:szCs w:val="26"/>
        </w:rPr>
        <w:t xml:space="preserve">pro forma </w:t>
      </w:r>
      <w:r w:rsidRPr="0072600F">
        <w:rPr>
          <w:sz w:val="26"/>
          <w:szCs w:val="26"/>
        </w:rPr>
        <w:t>SGIP.</w:t>
      </w:r>
      <w:r>
        <w:rPr>
          <w:rStyle w:val="FootnoteReference"/>
        </w:rPr>
        <w:footnoteReference w:id="1085"/>
      </w:r>
      <w:r w:rsidRPr="0072600F">
        <w:rPr>
          <w:sz w:val="26"/>
          <w:szCs w:val="26"/>
        </w:rPr>
        <w:t xml:space="preserve">  The Commission required transmission providers to evaluate the following enumerated list </w:t>
      </w:r>
      <w:r w:rsidRPr="0072600F">
        <w:rPr>
          <w:sz w:val="26"/>
          <w:szCs w:val="26"/>
        </w:rPr>
        <w:t>of</w:t>
      </w:r>
      <w:r w:rsidRPr="0072600F">
        <w:rPr>
          <w:sz w:val="26"/>
          <w:szCs w:val="26"/>
        </w:rPr>
        <w:t xml:space="preserve"> alternative transmission technologies:  static synchronous compensators, static VAR compensators, advanced power flow control devices, transmission switching, synchronous condensers, voltage source converters, advanced conductors, and tower lifting.  The Commission revised </w:t>
      </w:r>
      <w:r w:rsidRPr="0072600F">
        <w:rPr>
          <w:i/>
          <w:iCs/>
          <w:sz w:val="26"/>
          <w:szCs w:val="26"/>
        </w:rPr>
        <w:t>pro forma</w:t>
      </w:r>
      <w:r w:rsidRPr="0072600F">
        <w:rPr>
          <w:sz w:val="26"/>
          <w:szCs w:val="26"/>
        </w:rPr>
        <w:t xml:space="preserve"> LGIP section 7.3 to require transmission providers to evaluate the list of alternative transmission technologies enumerated in Order No. 2023 during the cluster study, including any restudies, of the generator interconnection process in all instances (i.e., for all interconnection customers in a cluster), without the need for a request from an interconnection customer.  The Commission required transmission providers to evaluate each alternative transmission technology listed in </w:t>
      </w:r>
      <w:r w:rsidRPr="0072600F">
        <w:rPr>
          <w:i/>
          <w:iCs/>
          <w:sz w:val="26"/>
          <w:szCs w:val="26"/>
        </w:rPr>
        <w:t>pro forma</w:t>
      </w:r>
      <w:r w:rsidRPr="0072600F">
        <w:rPr>
          <w:sz w:val="26"/>
          <w:szCs w:val="26"/>
        </w:rPr>
        <w:t xml:space="preserve"> LGIP section 7.3 and</w:t>
      </w:r>
      <w:r w:rsidRPr="0072600F">
        <w:rPr>
          <w:sz w:val="26"/>
          <w:szCs w:val="26"/>
        </w:rPr>
        <w:t xml:space="preserve"> </w:t>
      </w:r>
      <w:r w:rsidRPr="0072600F">
        <w:rPr>
          <w:sz w:val="26"/>
          <w:szCs w:val="26"/>
        </w:rPr>
        <w:t xml:space="preserve">to determine, in the transmission provider’s sole discretion, whether it should be used, consistent with good utility practice, applicable reliability standards, and other applicable regulatory requirements.  Finally, the Commission required transmission providers to include, in the </w:t>
      </w:r>
      <w:r w:rsidRPr="0072600F">
        <w:rPr>
          <w:i/>
          <w:iCs/>
          <w:sz w:val="26"/>
          <w:szCs w:val="26"/>
        </w:rPr>
        <w:t xml:space="preserve">pro forma </w:t>
      </w:r>
      <w:r w:rsidRPr="0072600F">
        <w:rPr>
          <w:sz w:val="26"/>
          <w:szCs w:val="26"/>
        </w:rPr>
        <w:t>LGIP cluster study report, an explanation of the results of the evaluation of the</w:t>
      </w:r>
      <w:r w:rsidRPr="0072600F">
        <w:rPr>
          <w:sz w:val="26"/>
          <w:szCs w:val="26"/>
        </w:rPr>
        <w:t xml:space="preserve"> </w:t>
      </w:r>
      <w:r w:rsidRPr="0072600F">
        <w:rPr>
          <w:sz w:val="26"/>
          <w:szCs w:val="26"/>
        </w:rPr>
        <w:t xml:space="preserve">enumerated alternative transmission technologies for feasibility, cost, and time savings as an alternative to a traditional network upgrade. </w:t>
      </w:r>
    </w:p>
    <w:p w:rsidR="00760048" w:rsidRPr="0072600F" w14:paraId="2371E71E"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modified the enumerated list of alternative transmission technologies from the NOPR proposal to:  (1) retain synchronous, static VAR compensators, advanced power flow control, and transmission switching in the list; (2) add synchronous condensers, voltage source converters, advanced conductors, and tower lifting to the list; and (3) remove dynamic line ratings from the list.</w:t>
      </w:r>
      <w:bookmarkStart w:id="100" w:name="_Hlk150338157"/>
      <w:r>
        <w:rPr>
          <w:rStyle w:val="FootnoteReference"/>
        </w:rPr>
        <w:footnoteReference w:id="1086"/>
      </w:r>
      <w:bookmarkEnd w:id="100"/>
      <w:r w:rsidRPr="0072600F">
        <w:rPr>
          <w:sz w:val="26"/>
          <w:szCs w:val="26"/>
        </w:rPr>
        <w:t xml:space="preserve">  Generally, the Commission found that these enumerated alternative transmission technologies are those with the most potential to be useful to reduce interconnection costs by providing lower cost network upgrades to interconnect new generating facilities and thus required transmission providers to evaluate these technologies in the interconnection process for their feasibility, cost, and time savings potential. </w:t>
      </w:r>
    </w:p>
    <w:p w:rsidR="00760048" w:rsidRPr="0072600F" w14:paraId="63BC36B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revised sections 3.3.6 and 3.4.10 of the </w:t>
      </w:r>
      <w:r w:rsidRPr="0072600F">
        <w:rPr>
          <w:i/>
          <w:iCs/>
          <w:sz w:val="26"/>
          <w:szCs w:val="26"/>
        </w:rPr>
        <w:t xml:space="preserve">pro forma </w:t>
      </w:r>
      <w:r w:rsidRPr="0072600F">
        <w:rPr>
          <w:sz w:val="26"/>
          <w:szCs w:val="26"/>
        </w:rPr>
        <w:t xml:space="preserve">SGIP, consistent with the </w:t>
      </w:r>
      <w:r w:rsidRPr="0072600F">
        <w:rPr>
          <w:i/>
          <w:iCs/>
          <w:sz w:val="26"/>
          <w:szCs w:val="26"/>
        </w:rPr>
        <w:t xml:space="preserve">pro forma </w:t>
      </w:r>
      <w:r w:rsidRPr="0072600F">
        <w:rPr>
          <w:sz w:val="26"/>
          <w:szCs w:val="26"/>
        </w:rPr>
        <w:t>LGIP requirement, to require transmission providers to evaluate the enumerated alternative transmission technologies when performing interconnection studies for small generating facilities, without the need for a request from an interconnection customer.</w:t>
      </w:r>
      <w:r>
        <w:rPr>
          <w:rStyle w:val="FootnoteReference"/>
        </w:rPr>
        <w:footnoteReference w:id="1087"/>
      </w:r>
      <w:r w:rsidRPr="0072600F">
        <w:rPr>
          <w:sz w:val="26"/>
          <w:szCs w:val="26"/>
        </w:rPr>
        <w:t xml:space="preserve">  The Commission required such evaluations to occur during the </w:t>
      </w:r>
      <w:r w:rsidRPr="0072600F">
        <w:rPr>
          <w:i/>
          <w:iCs/>
          <w:sz w:val="26"/>
          <w:szCs w:val="26"/>
        </w:rPr>
        <w:t xml:space="preserve">pro forma </w:t>
      </w:r>
      <w:r w:rsidRPr="0072600F">
        <w:rPr>
          <w:sz w:val="26"/>
          <w:szCs w:val="26"/>
        </w:rPr>
        <w:t xml:space="preserve">SGIP feasibility study and system impact study of the generator interconnection process.  The Commission found that it is appropriate for these evaluations to occur during the relevant </w:t>
      </w:r>
      <w:r w:rsidRPr="0072600F">
        <w:rPr>
          <w:i/>
          <w:iCs/>
          <w:sz w:val="26"/>
          <w:szCs w:val="26"/>
        </w:rPr>
        <w:t xml:space="preserve">pro forma </w:t>
      </w:r>
      <w:r w:rsidRPr="0072600F">
        <w:rPr>
          <w:sz w:val="26"/>
          <w:szCs w:val="26"/>
        </w:rPr>
        <w:t xml:space="preserve">SGIP studies where network upgrades are identified, consistent with the </w:t>
      </w:r>
      <w:r w:rsidRPr="0072600F">
        <w:rPr>
          <w:i/>
          <w:iCs/>
          <w:sz w:val="26"/>
          <w:szCs w:val="26"/>
        </w:rPr>
        <w:t xml:space="preserve">pro forma </w:t>
      </w:r>
      <w:r w:rsidRPr="0072600F">
        <w:rPr>
          <w:sz w:val="26"/>
          <w:szCs w:val="26"/>
        </w:rPr>
        <w:t xml:space="preserve">LGIP requirement.  The Commission required transmission providers to evaluate each alternative transmission technology listed in </w:t>
      </w:r>
      <w:r w:rsidRPr="0072600F">
        <w:rPr>
          <w:i/>
          <w:iCs/>
          <w:sz w:val="26"/>
          <w:szCs w:val="26"/>
        </w:rPr>
        <w:t xml:space="preserve">pro forma </w:t>
      </w:r>
      <w:r w:rsidRPr="0072600F">
        <w:rPr>
          <w:sz w:val="26"/>
          <w:szCs w:val="26"/>
        </w:rPr>
        <w:t xml:space="preserve">SGIP sections 3.3.6 and 3.4.10 and determine, in the transmission provider’s sole discretion, whether it should be used, consistent with good utility practice, applicable reliability standards, and other applicable regulatory requirements.  </w:t>
      </w:r>
    </w:p>
    <w:p w:rsidR="00760048" w:rsidRPr="0072600F" w14:paraId="468B51D6" w14:textId="77777777">
      <w:pPr>
        <w:pStyle w:val="FERCparanumber"/>
        <w:widowControl/>
        <w:numPr>
          <w:ilvl w:val="0"/>
          <w:numId w:val="25"/>
        </w:numPr>
        <w:autoSpaceDE/>
        <w:autoSpaceDN/>
        <w:adjustRightInd/>
        <w:spacing w:line="480" w:lineRule="auto"/>
        <w:rPr>
          <w:sz w:val="26"/>
          <w:szCs w:val="26"/>
        </w:rPr>
      </w:pPr>
      <w:r w:rsidRPr="0072600F">
        <w:rPr>
          <w:sz w:val="26"/>
          <w:szCs w:val="26"/>
        </w:rPr>
        <w:t>Finally, the Commission required transmission providers to include, in the feasibility study report and system impact study report, an explanation</w:t>
      </w:r>
      <w:r w:rsidRPr="0072600F">
        <w:rPr>
          <w:sz w:val="26"/>
          <w:szCs w:val="26"/>
        </w:rPr>
        <w:t xml:space="preserve"> </w:t>
      </w:r>
      <w:r w:rsidRPr="0072600F">
        <w:rPr>
          <w:sz w:val="26"/>
          <w:szCs w:val="26"/>
        </w:rPr>
        <w:t>of the results of the evaluation of the enumerated alternative transmission technologies for feasibility, cost, and time savings as an alternative to a traditional network upgrade.</w:t>
      </w:r>
      <w:r>
        <w:rPr>
          <w:rStyle w:val="FootnoteReference"/>
        </w:rPr>
        <w:footnoteReference w:id="1088"/>
      </w:r>
      <w:r w:rsidRPr="0072600F">
        <w:rPr>
          <w:sz w:val="26"/>
          <w:szCs w:val="26"/>
        </w:rPr>
        <w:t xml:space="preserve">  The Commission noted that this reform is one of the few reforms in Order No. 2023 that applies to small generating facilities, in addition to large generating facilities.  The Commission found that the enumerated alternative transmission technologies that it required transmission providers to evaluate in their interconnection studies are appropriate for evaluation in the </w:t>
      </w:r>
      <w:r w:rsidRPr="0072600F">
        <w:rPr>
          <w:i/>
          <w:iCs/>
          <w:sz w:val="26"/>
          <w:szCs w:val="26"/>
        </w:rPr>
        <w:t xml:space="preserve">pro forma </w:t>
      </w:r>
      <w:r w:rsidRPr="0072600F">
        <w:rPr>
          <w:sz w:val="26"/>
          <w:szCs w:val="26"/>
        </w:rPr>
        <w:t>SGIP context because they are scalable and</w:t>
      </w:r>
      <w:r w:rsidRPr="0072600F">
        <w:rPr>
          <w:sz w:val="26"/>
          <w:szCs w:val="26"/>
        </w:rPr>
        <w:t xml:space="preserve"> </w:t>
      </w:r>
      <w:r w:rsidRPr="0072600F">
        <w:rPr>
          <w:sz w:val="26"/>
          <w:szCs w:val="26"/>
        </w:rPr>
        <w:t xml:space="preserve">that the enumerated alternative transmission technologies have the potential to provide similar benefits in the context of both small and large generating facilities, including cost and time savings.  </w:t>
      </w:r>
    </w:p>
    <w:p w:rsidR="00760048" w:rsidRPr="0072600F" w14:paraId="69CF4C4A" w14:textId="77777777">
      <w:pPr>
        <w:pStyle w:val="FERCparanumber"/>
        <w:widowControl/>
        <w:numPr>
          <w:ilvl w:val="0"/>
          <w:numId w:val="25"/>
        </w:numPr>
        <w:autoSpaceDE/>
        <w:autoSpaceDN/>
        <w:adjustRightInd/>
        <w:spacing w:line="480" w:lineRule="auto"/>
        <w:rPr>
          <w:sz w:val="26"/>
          <w:szCs w:val="26"/>
        </w:rPr>
      </w:pPr>
      <w:r w:rsidRPr="0072600F">
        <w:rPr>
          <w:sz w:val="26"/>
          <w:szCs w:val="26"/>
        </w:rPr>
        <w:t>Based on the record, the Commission found that alternative transmission technologies have the potential to provide benefits to optimize the transmission system in specific scenarios.</w:t>
      </w:r>
      <w:r>
        <w:rPr>
          <w:rStyle w:val="FootnoteReference"/>
        </w:rPr>
        <w:footnoteReference w:id="1089"/>
      </w:r>
      <w:r w:rsidRPr="0072600F">
        <w:rPr>
          <w:sz w:val="26"/>
          <w:szCs w:val="26"/>
        </w:rPr>
        <w:t xml:space="preserve">  The Commission found that failing to evaluate the enumerated alternative transmission technologies renders Commission-jurisdictional rates unjust and unreasonable and fails to ensure that interconnection customers are able to interconnect in a reliable, efficient, transparent, and timely manner.</w:t>
      </w:r>
      <w:r>
        <w:rPr>
          <w:rStyle w:val="FootnoteReference"/>
        </w:rPr>
        <w:footnoteReference w:id="1090"/>
      </w:r>
      <w:r w:rsidRPr="0072600F">
        <w:rPr>
          <w:sz w:val="26"/>
          <w:szCs w:val="26"/>
        </w:rPr>
        <w:t xml:space="preserve">  </w:t>
      </w:r>
    </w:p>
    <w:p w:rsidR="00760048" w:rsidRPr="0072600F" w14:paraId="50AEB302"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found that the record demonstrated that the requirements adopted in Order No. 2023 will not overly burden transmission providers.</w:t>
      </w:r>
      <w:r>
        <w:rPr>
          <w:rStyle w:val="FootnoteReference"/>
        </w:rPr>
        <w:footnoteReference w:id="1091"/>
      </w:r>
      <w:r w:rsidRPr="0072600F">
        <w:rPr>
          <w:sz w:val="26"/>
          <w:szCs w:val="26"/>
        </w:rPr>
        <w:t xml:space="preserve">  The Commission also maintained that the requirement that transmission providers evaluate the enumerated alternative transmission technologies for an entire cluster—rather than on an individual interconnection customer-request basis—and the modifications to the enumerated list of alternative transmission technologies will ease the burden on transmission providers, thereby lessening the risk that they are unable to complete studies by the required deadlines.</w:t>
      </w:r>
      <w:r>
        <w:rPr>
          <w:rStyle w:val="FootnoteReference"/>
        </w:rPr>
        <w:footnoteReference w:id="1092"/>
      </w:r>
      <w:r w:rsidRPr="0072600F">
        <w:rPr>
          <w:sz w:val="26"/>
          <w:szCs w:val="26"/>
        </w:rPr>
        <w:t xml:space="preserve">  The Commission noted that it was not dictating how a transmission provider must evaluate each enumerated alternative transmission technology on the list in each instance</w:t>
      </w:r>
      <w:r w:rsidR="00BD508A">
        <w:rPr>
          <w:sz w:val="26"/>
          <w:szCs w:val="26"/>
        </w:rPr>
        <w:t>.</w:t>
      </w:r>
      <w:r w:rsidR="00F953B9">
        <w:rPr>
          <w:sz w:val="26"/>
          <w:szCs w:val="26"/>
        </w:rPr>
        <w:t xml:space="preserve"> </w:t>
      </w:r>
      <w:r w:rsidR="00B376F1">
        <w:rPr>
          <w:sz w:val="26"/>
          <w:szCs w:val="26"/>
        </w:rPr>
        <w:t xml:space="preserve"> </w:t>
      </w:r>
      <w:r w:rsidR="00BD508A">
        <w:rPr>
          <w:sz w:val="26"/>
          <w:szCs w:val="26"/>
        </w:rPr>
        <w:t>T</w:t>
      </w:r>
      <w:r w:rsidRPr="0072600F">
        <w:rPr>
          <w:sz w:val="26"/>
          <w:szCs w:val="26"/>
        </w:rPr>
        <w:t xml:space="preserve">he Commission recognized that in some cases transmission providers may be able to rapidly determine if a certain enumerated alternative transmission technology is inappropriate for further study.  </w:t>
      </w:r>
    </w:p>
    <w:p w:rsidR="00760048" w:rsidRPr="0072600F" w14:paraId="591644CB"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also found that the benefits of evaluating and implementing the enumerated alternative transmission technologies outweigh any potential burden or the potential of increased study times.</w:t>
      </w:r>
      <w:r>
        <w:rPr>
          <w:rStyle w:val="FootnoteReference"/>
        </w:rPr>
        <w:footnoteReference w:id="1093"/>
      </w:r>
      <w:r w:rsidRPr="0072600F">
        <w:rPr>
          <w:sz w:val="26"/>
          <w:szCs w:val="26"/>
        </w:rPr>
        <w:t xml:space="preserve">  The Commission stated that, as recognized by commenters and explained earlier in Order No. 2023, the evaluation and use, at the transmission provider’s sole discretion, of the enumerated alternative transmission technologies could decrease network upgrade costs, withdrawals, and restudies, thereby increasing the efficiency of the interconnection process overall.  For these reasons, the Commission disagreed with commenters who argued that requiring transmission providers to evaluate the enumerated alternative transmission technologies is contrary to the NOPR’s goal of increasing the speed of interconnection queue processing.</w:t>
      </w:r>
    </w:p>
    <w:p w:rsidR="00760048" w:rsidRPr="0072600F" w14:paraId="4659FD42"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explained</w:t>
      </w:r>
      <w:r w:rsidRPr="0072600F">
        <w:rPr>
          <w:sz w:val="26"/>
          <w:szCs w:val="26"/>
        </w:rPr>
        <w:t xml:space="preserve"> that Order No. 2023 did not create a presumption in favor of substituting alternative transmission technologies for necessary traditional network upgrades, either categorically or in specific cases.</w:t>
      </w:r>
      <w:r>
        <w:rPr>
          <w:rStyle w:val="FootnoteReference"/>
        </w:rPr>
        <w:footnoteReference w:id="1094"/>
      </w:r>
      <w:r w:rsidRPr="0072600F">
        <w:rPr>
          <w:sz w:val="26"/>
          <w:szCs w:val="26"/>
        </w:rPr>
        <w:t xml:space="preserve">  The Commission stated that Order No. 2023 is agnostic as to whether, in a specific case, an alternative transmission technology is an acceptable alternative to a traditional network upgrade</w:t>
      </w:r>
      <w:r w:rsidR="00765321">
        <w:rPr>
          <w:sz w:val="26"/>
          <w:szCs w:val="26"/>
        </w:rPr>
        <w:t>.</w:t>
      </w:r>
      <w:r>
        <w:rPr>
          <w:rStyle w:val="FootnoteReference"/>
        </w:rPr>
        <w:footnoteReference w:id="1095"/>
      </w:r>
      <w:r w:rsidRPr="0072600F">
        <w:rPr>
          <w:sz w:val="26"/>
          <w:szCs w:val="26"/>
        </w:rPr>
        <w:t xml:space="preserve"> </w:t>
      </w:r>
      <w:r w:rsidR="003D5CBD">
        <w:rPr>
          <w:sz w:val="26"/>
          <w:szCs w:val="26"/>
        </w:rPr>
        <w:t xml:space="preserve"> </w:t>
      </w:r>
      <w:r w:rsidRPr="0072600F">
        <w:rPr>
          <w:sz w:val="26"/>
          <w:szCs w:val="26"/>
        </w:rPr>
        <w:t xml:space="preserve">The Commission explained that the rule mandates a </w:t>
      </w:r>
      <w:r w:rsidRPr="0072600F">
        <w:rPr>
          <w:i/>
          <w:sz w:val="26"/>
          <w:szCs w:val="26"/>
        </w:rPr>
        <w:t>process</w:t>
      </w:r>
      <w:r w:rsidRPr="0072600F">
        <w:rPr>
          <w:sz w:val="26"/>
          <w:szCs w:val="26"/>
        </w:rPr>
        <w:t xml:space="preserve"> of evaluation of alternatives to traditional network upgrades, not outcomes in specific cases.</w:t>
      </w:r>
      <w:r>
        <w:rPr>
          <w:rStyle w:val="FootnoteReference"/>
        </w:rPr>
        <w:footnoteReference w:id="1096"/>
      </w:r>
    </w:p>
    <w:p w:rsidR="00760048" w:rsidRPr="0072600F" w14:paraId="05559AD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w:t>
      </w:r>
      <w:r w:rsidRPr="0072600F">
        <w:rPr>
          <w:sz w:val="26"/>
          <w:szCs w:val="26"/>
        </w:rPr>
        <w:t>stated that the requirement is to evaluate the enumerated alternative transmission technologies in the interconnection process for feasibility, cost, and time savings and to determine whether, in the transmission provider’s sole discretion, an alternative transmission technology should be used as a solution — consistent with good utility practice, applicable reliability standards, and other applicable regulatory requirements.</w:t>
      </w:r>
      <w:r>
        <w:rPr>
          <w:rStyle w:val="FootnoteReference"/>
        </w:rPr>
        <w:footnoteReference w:id="1097"/>
      </w:r>
      <w:r w:rsidRPr="0072600F">
        <w:rPr>
          <w:sz w:val="26"/>
          <w:szCs w:val="26"/>
        </w:rPr>
        <w:t xml:space="preserve">  The Commission found that it is appropriate to continue to rely on transmission providers to use good utility practice, applicable reliability standards, and other applicable regulatory requirements, in their evaluations of alternative transmission technologies, including the enumerated list, because the specific evaluation may depend on the transmission provider’s individual transmission system, cluster makeup, and other factors.</w:t>
      </w:r>
      <w:r>
        <w:rPr>
          <w:rStyle w:val="FootnoteReference"/>
        </w:rPr>
        <w:footnoteReference w:id="1098"/>
      </w:r>
      <w:r w:rsidRPr="0072600F">
        <w:rPr>
          <w:sz w:val="26"/>
          <w:szCs w:val="26"/>
        </w:rPr>
        <w:t xml:space="preserve">      </w:t>
      </w:r>
    </w:p>
    <w:p w:rsidR="00760048" w:rsidRPr="0072600F" w14:paraId="4021864A"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explained that the transmission provider must determine whether using any of the enumerated alternative transmission technologies is an appropriate and reliable</w:t>
      </w:r>
      <w:r w:rsidRPr="0072600F">
        <w:rPr>
          <w:sz w:val="26"/>
          <w:szCs w:val="26"/>
        </w:rPr>
        <w:t xml:space="preserve"> </w:t>
      </w:r>
      <w:r w:rsidRPr="0072600F">
        <w:rPr>
          <w:sz w:val="26"/>
          <w:szCs w:val="26"/>
        </w:rPr>
        <w:t>network upgrade “that would allow the interconnection customer to flow the output of its generating facility onto the transmission provider's transmission system in a safe and reliable manner.”</w:t>
      </w:r>
      <w:r>
        <w:rPr>
          <w:rStyle w:val="FootnoteReference"/>
        </w:rPr>
        <w:footnoteReference w:id="1099"/>
      </w:r>
      <w:r w:rsidRPr="0072600F">
        <w:rPr>
          <w:sz w:val="26"/>
          <w:szCs w:val="26"/>
        </w:rPr>
        <w:t xml:space="preserve">  The Commission further explained that the requirement to make such a determination before allowing for the use of the enumerated alternative transmission technologies addresses concerns that their use may impinge on reliability, delay network upgrades instead of reducing the need for them or obviating the need for them altogether, or fail to address all transmission system issues that a traditional network upgrade would address.  The Commission recognized the need to avoid time-consuming delays and costly disputes or litigation over interconnection costs that could arise as a result of this reform.</w:t>
      </w:r>
      <w:r>
        <w:rPr>
          <w:rStyle w:val="FootnoteReference"/>
        </w:rPr>
        <w:footnoteReference w:id="1100"/>
      </w:r>
      <w:r w:rsidRPr="0072600F">
        <w:rPr>
          <w:sz w:val="26"/>
          <w:szCs w:val="26"/>
        </w:rPr>
        <w:t xml:space="preserve">  Therefore, the Commission found that, if a transmission provider evaluates the enumerated alternative transmission technologies as required herein and, in its sole discretion, determines not to use any enumerated alternative transmission technologies as an alternative to a traditional network upgrade, the transmission provider has complied with Order No. 2023, including tariffs filed pursuant thereto. </w:t>
      </w:r>
    </w:p>
    <w:p w:rsidR="00760048" w:rsidRPr="0072600F" w14:paraId="6129A577"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explained that transmission providers are required to include an explanation of the results of the evaluation of the required alternative transmission technologies for feasibility, cost, and time savings as an alternative to a traditional network upgrade in the applicable study report.</w:t>
      </w:r>
      <w:r>
        <w:rPr>
          <w:rStyle w:val="FootnoteReference"/>
        </w:rPr>
        <w:footnoteReference w:id="1101"/>
      </w:r>
      <w:r w:rsidRPr="0072600F">
        <w:rPr>
          <w:sz w:val="26"/>
          <w:szCs w:val="26"/>
        </w:rPr>
        <w:t xml:space="preserve">  The Commission found the required explanation of the results of the transmission provider’s evaluation included in the applicable study report provides sufficient transparency without placing a further burden on transmission providers that would delay the processing of interconnection requests. </w:t>
      </w:r>
    </w:p>
    <w:p w:rsidR="00760048" w:rsidRPr="00663161" w14:paraId="15BDA53E"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2778FB4A" w14:textId="77777777">
      <w:pPr>
        <w:pStyle w:val="FERCparanumber"/>
        <w:widowControl/>
        <w:numPr>
          <w:ilvl w:val="0"/>
          <w:numId w:val="25"/>
        </w:numPr>
        <w:autoSpaceDE/>
        <w:autoSpaceDN/>
        <w:adjustRightInd/>
        <w:spacing w:line="480" w:lineRule="auto"/>
        <w:rPr>
          <w:sz w:val="26"/>
          <w:szCs w:val="26"/>
        </w:rPr>
      </w:pPr>
      <w:bookmarkStart w:id="101" w:name="_Hlk155626575"/>
      <w:r w:rsidRPr="0072600F">
        <w:rPr>
          <w:sz w:val="26"/>
          <w:szCs w:val="26"/>
        </w:rPr>
        <w:t>SPP seeks rehearing of the requirement for transmission providers to evaluate certain enumerated alternative transmission technologies in the interconnection study process because</w:t>
      </w:r>
      <w:r w:rsidR="00481F85">
        <w:rPr>
          <w:sz w:val="26"/>
          <w:szCs w:val="26"/>
        </w:rPr>
        <w:t xml:space="preserve"> SPP argues</w:t>
      </w:r>
      <w:r w:rsidR="00523EF1">
        <w:rPr>
          <w:sz w:val="26"/>
          <w:szCs w:val="26"/>
        </w:rPr>
        <w:t xml:space="preserve"> that</w:t>
      </w:r>
      <w:r w:rsidRPr="0072600F">
        <w:rPr>
          <w:sz w:val="26"/>
          <w:szCs w:val="26"/>
        </w:rPr>
        <w:t xml:space="preserve"> this requirement will burden transmission providers and lengthen the interconnection process.</w:t>
      </w:r>
      <w:r>
        <w:rPr>
          <w:rStyle w:val="FootnoteReference"/>
        </w:rPr>
        <w:footnoteReference w:id="1102"/>
      </w:r>
      <w:r w:rsidRPr="0072600F">
        <w:rPr>
          <w:sz w:val="26"/>
          <w:szCs w:val="26"/>
        </w:rPr>
        <w:t xml:space="preserve">  SPP also asserts that the Commission does not provide adequate guidance on what metrics would be sufficient to support the use or non-use of a specific alternative technology, which SPP contends will invite litigation from interconnection customers and further lengthen the interconnection process.  WATT Coalition also contends that, to comply with the FPA, the Commission must grant rehearing to set a meaningful standard for evaluation and </w:t>
      </w:r>
      <w:bookmarkStart w:id="102" w:name="_Hlk155716588"/>
      <w:r w:rsidRPr="0072600F">
        <w:rPr>
          <w:sz w:val="26"/>
          <w:szCs w:val="26"/>
        </w:rPr>
        <w:t>ensure that alternative transmission technologies are used if they are the most cost-effective and fastest interconnection upgrade solution</w:t>
      </w:r>
      <w:bookmarkEnd w:id="102"/>
      <w:r w:rsidRPr="0072600F">
        <w:rPr>
          <w:sz w:val="26"/>
          <w:szCs w:val="26"/>
        </w:rPr>
        <w:t>.</w:t>
      </w:r>
      <w:r>
        <w:rPr>
          <w:rStyle w:val="FootnoteReference"/>
        </w:rPr>
        <w:footnoteReference w:id="1103"/>
      </w:r>
      <w:r w:rsidRPr="0072600F">
        <w:rPr>
          <w:sz w:val="26"/>
          <w:szCs w:val="26"/>
        </w:rPr>
        <w:t xml:space="preserve"> </w:t>
      </w:r>
    </w:p>
    <w:p w:rsidR="00760048" w:rsidRPr="0072600F" w14:paraId="674D0F7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PJM </w:t>
      </w:r>
      <w:r w:rsidR="00363AE8">
        <w:rPr>
          <w:sz w:val="26"/>
          <w:szCs w:val="26"/>
        </w:rPr>
        <w:t>asks</w:t>
      </w:r>
      <w:r w:rsidRPr="0072600F">
        <w:rPr>
          <w:sz w:val="26"/>
          <w:szCs w:val="26"/>
        </w:rPr>
        <w:t xml:space="preserve"> the Commission </w:t>
      </w:r>
      <w:r w:rsidR="00363AE8">
        <w:rPr>
          <w:sz w:val="26"/>
          <w:szCs w:val="26"/>
        </w:rPr>
        <w:t xml:space="preserve">to </w:t>
      </w:r>
      <w:r w:rsidRPr="0072600F">
        <w:rPr>
          <w:sz w:val="26"/>
          <w:szCs w:val="26"/>
        </w:rPr>
        <w:t>clarify that Order No. 2023’s requirement for transmission providers to explain their evaluation of the enumerated alternative transmission technologies in their cluster study reports does not apply when a transmission provider already includes all the enumerated technologies in its studies</w:t>
      </w:r>
      <w:bookmarkEnd w:id="101"/>
      <w:r w:rsidRPr="0072600F">
        <w:rPr>
          <w:sz w:val="26"/>
          <w:szCs w:val="26"/>
        </w:rPr>
        <w:t>.</w:t>
      </w:r>
      <w:r>
        <w:rPr>
          <w:rStyle w:val="FootnoteReference"/>
        </w:rPr>
        <w:footnoteReference w:id="1104"/>
      </w:r>
      <w:r w:rsidRPr="0072600F">
        <w:rPr>
          <w:sz w:val="26"/>
          <w:szCs w:val="26"/>
        </w:rPr>
        <w:t xml:space="preserve">  PJM argues that this reporting requirement is administratively burdensome with no corresponding benefit because PJM already studies all of the enumerated technologies in its interconnection process.  PJM also asserts that Order No. 2023’s requirement that transmission providers evaluate the enumerated alternative transmission technologies will be burdensome because interconnection customers are likely to demand re-evaluation of the technologies. </w:t>
      </w:r>
    </w:p>
    <w:p w:rsidR="00760048" w:rsidRPr="0072600F" w14:paraId="125709F2"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Public Interest Organizations, and WATT Coalition request rehearing of Order No. 2023’s requirement that transmission providers have sole discretion over the evaluation and use of an enumerated alternative transmission technologies.</w:t>
      </w:r>
      <w:r>
        <w:rPr>
          <w:rStyle w:val="FootnoteReference"/>
        </w:rPr>
        <w:footnoteReference w:id="1105"/>
      </w:r>
      <w:r w:rsidRPr="0072600F">
        <w:rPr>
          <w:sz w:val="26"/>
          <w:szCs w:val="26"/>
        </w:rPr>
        <w:t xml:space="preserve">  Public Interest Organizations argue that Order No. 2023’s requirement that transmission providers’ decisions be consistent with good utility practice, applicable reliability standards, and other applicable regulatory requirements is vague and will allow transmission providers to reject the enumerated alternative transmission technologies, even when studies demonstrate them to be lower cost and faster than traditional network upgrades.</w:t>
      </w:r>
      <w:r>
        <w:rPr>
          <w:rStyle w:val="FootnoteReference"/>
        </w:rPr>
        <w:footnoteReference w:id="1106"/>
      </w:r>
      <w:r w:rsidRPr="0072600F">
        <w:rPr>
          <w:sz w:val="26"/>
          <w:szCs w:val="26"/>
        </w:rPr>
        <w:t xml:space="preserve">  Public Interest Organizations further argue that, because transmission providers have sole discretion over implementing the enumerated alternative transmission technologies, the study process will be a mere formality that allows the transmission provider to reject an enumerated alternative transmission technology, even if its own studies have demonstrated that they are the least cost and/or fastest solutions.  Public Interest Organizations contend that requiring traditional network upgrades when a transmission provider’s own study has found that an enumerated alternative transmission technology would be cheaper and/or faster imposes excessive costs on consumers, leading to unjust and unreasonable rates, and unduly discriminates against providers of alternative transmission technologies. </w:t>
      </w:r>
    </w:p>
    <w:p w:rsidR="00760048" w:rsidRPr="0072600F" w14:paraId="302547D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 Clean Energy Associations contend that giving transmission providers sole discretion insulates transmission providers from challenges to inadequate evaluations or unjustified adoption decisions.</w:t>
      </w:r>
      <w:r>
        <w:rPr>
          <w:rStyle w:val="FootnoteReference"/>
        </w:rPr>
        <w:footnoteReference w:id="1107"/>
      </w:r>
      <w:r w:rsidRPr="0072600F">
        <w:rPr>
          <w:sz w:val="26"/>
          <w:szCs w:val="26"/>
        </w:rPr>
        <w:t xml:space="preserve">  Clean Energy Associations assert that, absent some form of review and recourse, transmission providers might only cursorily evaluate alternative transmission technologies and interconnection customers will have no opportunity to respond to unjust and unreasonable charges.  Clean Energy Associations argue that the FPA requires a more nuanced analysis than Order No. 2023’s requirement that determinations be consistent with good utility practice, applicable reliability standards, and other applicable regulatory requirements.  Clean Energy Associations ask the Commission to allow challenges to the transmission provider’s evaluation of the enumerated alternative transmission technologies as a means to ensure meaningful consideration of these technologies.   </w:t>
      </w:r>
    </w:p>
    <w:p w:rsidR="00760048" w:rsidRPr="0072600F" w14:paraId="2142663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 WATT Coalition argues that Order No. 2023 unlawfully gives transmission providers unfettered discretion to disregard and disadvantage alternative transmission technologies as network upgrades.</w:t>
      </w:r>
      <w:r>
        <w:rPr>
          <w:rStyle w:val="FootnoteReference"/>
        </w:rPr>
        <w:footnoteReference w:id="1108"/>
      </w:r>
      <w:r w:rsidRPr="0072600F">
        <w:rPr>
          <w:sz w:val="26"/>
          <w:szCs w:val="26"/>
        </w:rPr>
        <w:t xml:space="preserve">  WATT Coalition argues that the Commission undermined its decision to provide a pre-defined list of alternative transmission technologies evaluated as a matter of course in every cluster study by failing to require meaningful consideration of alternative transmission technologies and by placing alternative transmission technologies at an artificial disadvantage to “traditional” network upgrades.</w:t>
      </w:r>
      <w:r>
        <w:rPr>
          <w:rStyle w:val="FootnoteReference"/>
        </w:rPr>
        <w:footnoteReference w:id="1109"/>
      </w:r>
      <w:r w:rsidRPr="0072600F">
        <w:rPr>
          <w:sz w:val="26"/>
          <w:szCs w:val="26"/>
        </w:rPr>
        <w:t xml:space="preserve">  WATT Coalition asserts that enshrining a preferential advantage for more expensive and longer lead-time traditional network upgrades, at the expense of more efficient, cost-effective, and quicker solutions, will increase rates and slow down the interconnection process.  WATT Coalition points to dynamic line ratings’ ability to resolve a thermal overload, rather than spending $50 million on a line rebuild, to demonstrate that requiring a traditional network upgrade would unduly discriminate against interconnection customers and in favor of transmission providers, impose excessive costs on interconnection customers (and ultimately consumers), and work against Order No. 2023’s goal of making the interconnection process more efficient.  WATT Coalition argues that, contrary to the FPA, the Commission has deprived interconnection customers of the opportunity to interconnect at a just and reasonable rate and unduly discriminates against interconnection customers to the benefit of transmission providers.  </w:t>
      </w:r>
    </w:p>
    <w:p w:rsidR="00760048" w:rsidRPr="0072600F" w14:paraId="0B5814AA" w14:textId="77777777">
      <w:pPr>
        <w:pStyle w:val="FERCparanumber"/>
        <w:widowControl/>
        <w:numPr>
          <w:ilvl w:val="0"/>
          <w:numId w:val="25"/>
        </w:numPr>
        <w:autoSpaceDE/>
        <w:autoSpaceDN/>
        <w:adjustRightInd/>
        <w:spacing w:line="480" w:lineRule="auto"/>
        <w:rPr>
          <w:sz w:val="26"/>
          <w:szCs w:val="26"/>
        </w:rPr>
      </w:pPr>
      <w:r w:rsidRPr="0072600F">
        <w:rPr>
          <w:sz w:val="26"/>
          <w:szCs w:val="26"/>
        </w:rPr>
        <w:t>WATT Coalition questions the Commission’s reliance on MISO’s initial comments as ground for allowing transmission providers to use their sole discretion consistent with “good utility practice” and “applicable regulatory standards.”</w:t>
      </w:r>
      <w:bookmarkStart w:id="104" w:name="_Hlk158746244"/>
      <w:r>
        <w:rPr>
          <w:rStyle w:val="FootnoteReference"/>
        </w:rPr>
        <w:footnoteReference w:id="1110"/>
      </w:r>
      <w:bookmarkEnd w:id="104"/>
      <w:r w:rsidRPr="0072600F">
        <w:rPr>
          <w:sz w:val="26"/>
          <w:szCs w:val="26"/>
        </w:rPr>
        <w:t xml:space="preserve">  WATT Coalition argues that MISO’s comments merely quoted the NOPR, which suggested that the use of alternative transmission technologies may not meet these standards, without providing justification.  WATT Coalition contends that requiring transmission providers to “use good utility practice, applicable reliability standards, and other applicable regulatory requirements” is insufficient because making such a determination is not the same as determining whether that decision is consistent with the FPA, which is a transmission provider’s most fundamental responsibility.</w:t>
      </w:r>
      <w:r>
        <w:rPr>
          <w:rStyle w:val="FootnoteReference"/>
        </w:rPr>
        <w:footnoteReference w:id="1111"/>
      </w:r>
      <w:r w:rsidRPr="0072600F">
        <w:rPr>
          <w:sz w:val="26"/>
          <w:szCs w:val="26"/>
        </w:rPr>
        <w:t xml:space="preserve">  WATT Coalition argues that the Commission made no attempt to explain whether it believes satisfying those standards will, in all cases, produce a lawful result under the FPA.</w:t>
      </w:r>
      <w:r>
        <w:rPr>
          <w:rStyle w:val="FootnoteReference"/>
        </w:rPr>
        <w:footnoteReference w:id="1112"/>
      </w:r>
      <w:r w:rsidRPr="0072600F">
        <w:rPr>
          <w:sz w:val="26"/>
          <w:szCs w:val="26"/>
        </w:rPr>
        <w:t xml:space="preserve">  WATT Coalition argues that the Commission has no authority to grant transmission providers the ability to unduly discriminate or implement a rate that is unjust and unreasonable.</w:t>
      </w:r>
      <w:r>
        <w:rPr>
          <w:rStyle w:val="FootnoteReference"/>
        </w:rPr>
        <w:footnoteReference w:id="1113"/>
      </w:r>
      <w:r w:rsidRPr="0072600F">
        <w:rPr>
          <w:sz w:val="26"/>
          <w:szCs w:val="26"/>
        </w:rPr>
        <w:t xml:space="preserve">  WATT Coalition asserts that the Commission’s failure to explain and support that decision violates the APA.</w:t>
      </w:r>
      <w:r>
        <w:rPr>
          <w:rStyle w:val="FootnoteReference"/>
        </w:rPr>
        <w:footnoteReference w:id="1114"/>
      </w:r>
      <w:r w:rsidRPr="0072600F">
        <w:rPr>
          <w:sz w:val="26"/>
          <w:szCs w:val="26"/>
        </w:rPr>
        <w:t xml:space="preserve"> </w:t>
      </w:r>
    </w:p>
    <w:p w:rsidR="00760048" w:rsidRPr="0072600F" w14:paraId="4D1D7893" w14:textId="77777777">
      <w:pPr>
        <w:pStyle w:val="FERCparanumber"/>
        <w:widowControl/>
        <w:numPr>
          <w:ilvl w:val="0"/>
          <w:numId w:val="25"/>
        </w:numPr>
        <w:autoSpaceDE/>
        <w:autoSpaceDN/>
        <w:adjustRightInd/>
        <w:spacing w:line="480" w:lineRule="auto"/>
        <w:rPr>
          <w:sz w:val="26"/>
          <w:szCs w:val="26"/>
        </w:rPr>
      </w:pPr>
      <w:r w:rsidRPr="0072600F">
        <w:rPr>
          <w:sz w:val="26"/>
          <w:szCs w:val="26"/>
        </w:rPr>
        <w:t>WATT Coalition adds that Order No. 2023 deprives interconnection customers of a meaningful opportunity to inform the evaluations and appears to close off any input or challenge to transmission provider evaluation.</w:t>
      </w:r>
      <w:r>
        <w:rPr>
          <w:rStyle w:val="FootnoteReference"/>
        </w:rPr>
        <w:footnoteReference w:id="1115"/>
      </w:r>
      <w:r w:rsidRPr="0072600F">
        <w:rPr>
          <w:sz w:val="26"/>
          <w:szCs w:val="26"/>
        </w:rPr>
        <w:t xml:space="preserve">  WATT Coalition asks the Commission to grant rehearing to allow interconnection customers to engage in the transmission provider’s alternative transmission technologies evaluations and ensure that they are both technically sound and consistent with the FPA.  </w:t>
      </w:r>
      <w:r w:rsidRPr="0072600F">
        <w:rPr>
          <w:sz w:val="26"/>
          <w:szCs w:val="26"/>
        </w:rPr>
        <w:t>WATT Coalition</w:t>
      </w:r>
      <w:r w:rsidRPr="0072600F">
        <w:rPr>
          <w:sz w:val="26"/>
          <w:szCs w:val="26"/>
        </w:rPr>
        <w:t xml:space="preserve"> suggests</w:t>
      </w:r>
      <w:r w:rsidRPr="0072600F">
        <w:rPr>
          <w:sz w:val="26"/>
          <w:szCs w:val="26"/>
        </w:rPr>
        <w:t xml:space="preserve"> </w:t>
      </w:r>
      <w:r w:rsidRPr="0072600F">
        <w:rPr>
          <w:sz w:val="26"/>
          <w:szCs w:val="26"/>
        </w:rPr>
        <w:t>allowing</w:t>
      </w:r>
      <w:r w:rsidRPr="0072600F">
        <w:rPr>
          <w:sz w:val="26"/>
          <w:szCs w:val="26"/>
        </w:rPr>
        <w:t xml:space="preserve"> either the interconnection customer or the transmission provider to request such an evaluation at any point during the interconnection study process as more information becomes available.  </w:t>
      </w:r>
      <w:r w:rsidRPr="0072600F">
        <w:rPr>
          <w:sz w:val="26"/>
          <w:szCs w:val="26"/>
        </w:rPr>
        <w:t xml:space="preserve">WATT Coalition asks the Commission to allow developers to conduct their own analysis in response to an initial interconnection study result to demonstrate that a FERC-enumerated technology, or another technology, can reduce interconnection costs or timelines and require transmission providers to evaluate those solutions.  </w:t>
      </w:r>
      <w:bookmarkStart w:id="106" w:name="_Hlk158816189"/>
      <w:r w:rsidRPr="0072600F">
        <w:rPr>
          <w:sz w:val="26"/>
          <w:szCs w:val="26"/>
        </w:rPr>
        <w:t>WATT Coalition states that interconnection customers’ right to register objections and identify deficiencies in a transmission provider’s identification of network upgrades in interconnection studies must extend to an interconnection study’s evaluation of alternative transmission technologies, not just traditional network upgrades</w:t>
      </w:r>
      <w:bookmarkEnd w:id="106"/>
      <w:r w:rsidRPr="0072600F">
        <w:rPr>
          <w:sz w:val="26"/>
          <w:szCs w:val="26"/>
        </w:rPr>
        <w:t>.</w:t>
      </w:r>
      <w:r>
        <w:rPr>
          <w:rStyle w:val="FootnoteReference"/>
        </w:rPr>
        <w:footnoteReference w:id="1116"/>
      </w:r>
      <w:r w:rsidRPr="0072600F">
        <w:rPr>
          <w:sz w:val="26"/>
          <w:szCs w:val="26"/>
        </w:rPr>
        <w:t xml:space="preserve">  </w:t>
      </w:r>
      <w:r w:rsidRPr="0072600F">
        <w:rPr>
          <w:sz w:val="26"/>
          <w:szCs w:val="26"/>
        </w:rPr>
        <w:t>WATT Coalition asserts that including interconnection customer input on the evaluation of alternative transmission technologies after the initial phase of the cluster study, with a requirement for the transmission provider’s decision regarding deployment to be in line with the FPA, would achieve just and reasonable rates.</w:t>
      </w:r>
      <w:r>
        <w:rPr>
          <w:rStyle w:val="FootnoteReference"/>
        </w:rPr>
        <w:footnoteReference w:id="1117"/>
      </w:r>
      <w:r w:rsidRPr="0072600F">
        <w:rPr>
          <w:sz w:val="26"/>
          <w:szCs w:val="26"/>
        </w:rPr>
        <w:t xml:space="preserve"> </w:t>
      </w:r>
    </w:p>
    <w:p w:rsidR="00760048" w:rsidRPr="0072600F" w14:paraId="7EA78FCB" w14:textId="77777777">
      <w:pPr>
        <w:pStyle w:val="FERCparanumber"/>
        <w:widowControl/>
        <w:numPr>
          <w:ilvl w:val="0"/>
          <w:numId w:val="25"/>
        </w:numPr>
        <w:autoSpaceDE/>
        <w:autoSpaceDN/>
        <w:adjustRightInd/>
        <w:spacing w:line="480" w:lineRule="auto"/>
        <w:rPr>
          <w:sz w:val="26"/>
          <w:szCs w:val="26"/>
        </w:rPr>
      </w:pPr>
      <w:r w:rsidRPr="0072600F">
        <w:rPr>
          <w:sz w:val="26"/>
          <w:szCs w:val="26"/>
        </w:rPr>
        <w:t>If the Commission does not grant rehearing, WATT Coalition requests that the Commission make two clarifications.</w:t>
      </w:r>
      <w:r>
        <w:rPr>
          <w:rStyle w:val="FootnoteReference"/>
        </w:rPr>
        <w:footnoteReference w:id="1118"/>
      </w:r>
      <w:r w:rsidRPr="0072600F">
        <w:rPr>
          <w:sz w:val="26"/>
          <w:szCs w:val="26"/>
        </w:rPr>
        <w:t xml:space="preserve">  First, WATT Coalition asks the Commission to clarify that interconnection customers have the right and opportunity to identify potential deficiencies and errors in a transmission provider’s evaluation of alternative transmission technologies in a cluster study, and the transmission provider must address those potential deficiencies and errors in its cluster study report.  WATT Coalition states that the Commission must correct the implication that a transmission provider’s evaluation and determination to deploy or not deploy alternative transmission technologies are immune from challenge</w:t>
      </w:r>
      <w:r w:rsidRPr="0072600F">
        <w:rPr>
          <w:sz w:val="26"/>
          <w:szCs w:val="26"/>
        </w:rPr>
        <w:t xml:space="preserve"> by allowing interconnection customers </w:t>
      </w:r>
      <w:r w:rsidRPr="0072600F">
        <w:rPr>
          <w:sz w:val="26"/>
          <w:szCs w:val="26"/>
        </w:rPr>
        <w:t xml:space="preserve">to </w:t>
      </w:r>
      <w:r w:rsidRPr="0072600F">
        <w:rPr>
          <w:sz w:val="26"/>
          <w:szCs w:val="26"/>
        </w:rPr>
        <w:t xml:space="preserve">review the initial evaluation and </w:t>
      </w:r>
      <w:r w:rsidRPr="0072600F">
        <w:rPr>
          <w:sz w:val="26"/>
          <w:szCs w:val="26"/>
        </w:rPr>
        <w:t>provide</w:t>
      </w:r>
      <w:r w:rsidRPr="0072600F">
        <w:rPr>
          <w:sz w:val="26"/>
          <w:szCs w:val="26"/>
        </w:rPr>
        <w:t xml:space="preserve"> their own analysis to inform the transmission provider’s decision</w:t>
      </w:r>
      <w:r w:rsidRPr="0072600F">
        <w:rPr>
          <w:sz w:val="26"/>
          <w:szCs w:val="26"/>
        </w:rPr>
        <w:t xml:space="preserve">.  Second, WATT Coalition asks the Commission to clarify that it did not intend to exempt transmission providers’ consideration of, and determinations regarding, the use of alternative transmission technologies in a cluster study from compliance with the FPA, making clear that complying with “good utility practice” does not supersede the foundational requirements of the FPA. </w:t>
      </w:r>
    </w:p>
    <w:p w:rsidR="00760048" w:rsidRPr="0072600F" w14:paraId="7D444A44"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parties seek rehearing or clarification regarding the technologies included in the list of the enumerated alternative transmission technologies that transmission providers are required to evaluate.  SPP asks the Commission to reconsider the inclusion of transmission switching in the list of enumerated alternative transmission technologies, arguing that it is a short-term operational tool that is inappropriate for use in long-term planning applications.</w:t>
      </w:r>
      <w:r>
        <w:rPr>
          <w:rStyle w:val="FootnoteReference"/>
        </w:rPr>
        <w:footnoteReference w:id="1119"/>
      </w:r>
      <w:r w:rsidRPr="0072600F">
        <w:rPr>
          <w:sz w:val="26"/>
          <w:szCs w:val="26"/>
        </w:rPr>
        <w:t xml:space="preserve">  VEIR asks the Commission to clarify the scope of the technologies that are considered advanced conductors under Order No. 2023.</w:t>
      </w:r>
      <w:r>
        <w:rPr>
          <w:rStyle w:val="FootnoteReference"/>
        </w:rPr>
        <w:footnoteReference w:id="1120"/>
      </w:r>
      <w:r w:rsidRPr="0072600F">
        <w:rPr>
          <w:sz w:val="26"/>
          <w:szCs w:val="26"/>
        </w:rPr>
        <w:t xml:space="preserve">  VEIR argues that, although Order No. 2023 does not describe the advanced conductors that must be studied, it is consistent with the Commission’s intent and the intent of the Energy Policy Act of 2005 for the Commission to clarify that there are a range of permissible present and future technologies that “significantly increase transmission capacity and allow for the interconnection of new generating facilities without the construction of new network upgrades.”</w:t>
      </w:r>
      <w:r>
        <w:rPr>
          <w:rStyle w:val="FootnoteReference"/>
        </w:rPr>
        <w:footnoteReference w:id="1121"/>
      </w:r>
      <w:r w:rsidRPr="0072600F">
        <w:rPr>
          <w:sz w:val="26"/>
          <w:szCs w:val="26"/>
        </w:rPr>
        <w:t xml:space="preserve">  VEIR contends that this clarification will help ensure that Commission regulations will help stimulate innovation -- rather than freeze it within the confines of an existing set of technologies -- consistent with the Commission’s overall mandate that alternative transmission technologies be considered by transmission providers seeking to provide reliable transmission solutions in the most cost effective manner.  VEIR adds that this clarification will ensure that the term “advanced conductors” contemplates a wide-range of present and future transmission line technologies, such as VEIR’s technology, whose power flow capacities exceed the power flow capacities of conventional transmission line technologies, thus achieving the Commission’s objectives for transmission providers to evaluate technologies that are deployed more quickly and at a lower cost than other network upgrades.</w:t>
      </w:r>
      <w:r>
        <w:rPr>
          <w:rStyle w:val="FootnoteReference"/>
        </w:rPr>
        <w:footnoteReference w:id="1122"/>
      </w:r>
      <w:r w:rsidRPr="0072600F">
        <w:rPr>
          <w:sz w:val="26"/>
          <w:szCs w:val="26"/>
        </w:rPr>
        <w:t xml:space="preserve">     </w:t>
      </w:r>
    </w:p>
    <w:p w:rsidR="00760048" w:rsidRPr="0072600F" w14:paraId="3FE205B8" w14:textId="77777777">
      <w:pPr>
        <w:pStyle w:val="FERCparanumber"/>
        <w:widowControl/>
        <w:numPr>
          <w:ilvl w:val="0"/>
          <w:numId w:val="25"/>
        </w:numPr>
        <w:autoSpaceDE/>
        <w:autoSpaceDN/>
        <w:adjustRightInd/>
        <w:spacing w:line="480" w:lineRule="auto"/>
        <w:rPr>
          <w:sz w:val="26"/>
          <w:szCs w:val="26"/>
        </w:rPr>
      </w:pPr>
      <w:r w:rsidRPr="0072600F">
        <w:rPr>
          <w:sz w:val="26"/>
          <w:szCs w:val="26"/>
        </w:rPr>
        <w:t>Clean Energy Associations and WATT Coalition request rehearing of Order No. 2023’s exclusion of dynamic line ratings from the enumerated list of alternative transmission technologies.</w:t>
      </w:r>
      <w:bookmarkStart w:id="107" w:name="_Ref161763337"/>
      <w:r>
        <w:rPr>
          <w:rStyle w:val="FootnoteReference"/>
        </w:rPr>
        <w:footnoteReference w:id="1123"/>
      </w:r>
      <w:bookmarkEnd w:id="107"/>
      <w:r w:rsidRPr="0072600F">
        <w:rPr>
          <w:sz w:val="26"/>
          <w:szCs w:val="26"/>
        </w:rPr>
        <w:t xml:space="preserve">  WATT Coalition claims that the Commission excluded dynamic line ratings, while retaining four other technologies in the NOPR and adding four that were not included in the NOPR, without a reasoned basis for why dynamic line ratings provided less relative potential to be useful in reducing interconnection costs.</w:t>
      </w:r>
      <w:r>
        <w:rPr>
          <w:rStyle w:val="FootnoteReference"/>
        </w:rPr>
        <w:footnoteReference w:id="1124"/>
      </w:r>
      <w:r w:rsidRPr="0072600F">
        <w:rPr>
          <w:sz w:val="26"/>
          <w:szCs w:val="26"/>
        </w:rPr>
        <w:t xml:space="preserve">  WATT Coalition argues that it is arbitrary and capricious and contrary to law to exclude dynamic line ratings on the basis that they “may” not be as beneficial, while at the same time conceding that other technologies that were included on the list have certain limitations that render them no more or less useful than dynamic line ratings.  WATT Coalition states that dynamic line ratings are regularly a cost-effective solution in generator interconnection.  WATT Coalition claims that its comments on the value of dynamic line ratings in planning, including interconnection, and statements in support of dynamic line ratings are not addressed in the Commission’s reasoning.</w:t>
      </w:r>
      <w:r>
        <w:rPr>
          <w:rStyle w:val="FootnoteReference"/>
        </w:rPr>
        <w:footnoteReference w:id="1125"/>
      </w:r>
      <w:r w:rsidRPr="0072600F">
        <w:rPr>
          <w:sz w:val="26"/>
          <w:szCs w:val="26"/>
        </w:rPr>
        <w:t xml:space="preserve">  WATT Coalition states that the only citation the Commission provided to support its determination to exclude dynamic line ratings refers only to the few adverse comments submitted by PJM Transmission Owners, ISO-NE, </w:t>
      </w:r>
      <w:r w:rsidR="00E157ED">
        <w:rPr>
          <w:sz w:val="26"/>
          <w:szCs w:val="26"/>
        </w:rPr>
        <w:t>NYTOs</w:t>
      </w:r>
      <w:r w:rsidRPr="0072600F">
        <w:rPr>
          <w:sz w:val="26"/>
          <w:szCs w:val="26"/>
        </w:rPr>
        <w:t>, PacifiCorp, Tri-State, and the Chamber of Commerce.</w:t>
      </w:r>
      <w:r>
        <w:rPr>
          <w:rStyle w:val="FootnoteReference"/>
        </w:rPr>
        <w:footnoteReference w:id="1126"/>
      </w:r>
      <w:r w:rsidRPr="0072600F">
        <w:rPr>
          <w:sz w:val="26"/>
          <w:szCs w:val="26"/>
        </w:rPr>
        <w:t xml:space="preserve">  WATT Coalition argues that the Commission did not address the Environmental Defense Fund’s argument that excluding dynamic line ratings is not consistent with transmission providers’ least-cost obligation and concerns about technology implementation do not warrant failing to consider alternative transmission technologies.</w:t>
      </w:r>
      <w:r>
        <w:rPr>
          <w:rStyle w:val="FootnoteReference"/>
        </w:rPr>
        <w:footnoteReference w:id="1127"/>
      </w:r>
      <w:r w:rsidRPr="0072600F">
        <w:rPr>
          <w:sz w:val="26"/>
          <w:szCs w:val="26"/>
        </w:rPr>
        <w:t xml:space="preserve">  Clean Energy Associations assert that the Commission’s general justification that alternative transmission technology could decrease network upgrade costs, withdrawals, and restudies, which increases the efficiency of the interconnection process, applies to dynamic line ratings, arguing that the Commission acknowledges that dynamic line ratings could be beneficial to the interconnection process.</w:t>
      </w:r>
      <w:r>
        <w:rPr>
          <w:rStyle w:val="FootnoteReference"/>
        </w:rPr>
        <w:footnoteReference w:id="1128"/>
      </w:r>
      <w:r w:rsidRPr="0072600F">
        <w:rPr>
          <w:sz w:val="26"/>
          <w:szCs w:val="26"/>
        </w:rPr>
        <w:t xml:space="preserve">  </w:t>
      </w:r>
    </w:p>
    <w:p w:rsidR="00760048" w:rsidRPr="0072600F" w14:paraId="5D0236CA" w14:textId="77777777">
      <w:pPr>
        <w:pStyle w:val="FERCparanumber"/>
        <w:widowControl/>
        <w:numPr>
          <w:ilvl w:val="0"/>
          <w:numId w:val="25"/>
        </w:numPr>
        <w:autoSpaceDE/>
        <w:autoSpaceDN/>
        <w:adjustRightInd/>
        <w:spacing w:line="480" w:lineRule="auto"/>
        <w:rPr>
          <w:sz w:val="26"/>
          <w:szCs w:val="26"/>
        </w:rPr>
      </w:pPr>
      <w:bookmarkStart w:id="110" w:name="_Ref160729131"/>
      <w:r w:rsidRPr="0072600F">
        <w:rPr>
          <w:sz w:val="26"/>
          <w:szCs w:val="26"/>
        </w:rPr>
        <w:t>Clean Energy Associations and WATT Coalition contend that the Commission did not address the benefits of dynamic line ratings set forth in the record.</w:t>
      </w:r>
      <w:bookmarkStart w:id="111" w:name="_Ref161764077"/>
      <w:r>
        <w:rPr>
          <w:rStyle w:val="FootnoteReference"/>
        </w:rPr>
        <w:footnoteReference w:id="1129"/>
      </w:r>
      <w:bookmarkEnd w:id="111"/>
      <w:r w:rsidRPr="0072600F">
        <w:rPr>
          <w:sz w:val="26"/>
          <w:szCs w:val="26"/>
        </w:rPr>
        <w:t xml:space="preserve">  WATT Coalition notes the Commission previously recognized</w:t>
      </w:r>
      <w:r w:rsidRPr="0072600F">
        <w:rPr>
          <w:sz w:val="26"/>
          <w:szCs w:val="26"/>
        </w:rPr>
        <w:t xml:space="preserve"> </w:t>
      </w:r>
      <w:r w:rsidRPr="0072600F">
        <w:rPr>
          <w:sz w:val="26"/>
          <w:szCs w:val="26"/>
        </w:rPr>
        <w:t>the potential of dynamic line ratings to provide benefits to the interconnection process.</w:t>
      </w:r>
      <w:r>
        <w:rPr>
          <w:rStyle w:val="FootnoteReference"/>
        </w:rPr>
        <w:footnoteReference w:id="1130"/>
      </w:r>
      <w:r w:rsidRPr="0072600F">
        <w:rPr>
          <w:sz w:val="26"/>
          <w:szCs w:val="26"/>
        </w:rPr>
        <w:t xml:space="preserve">  WATT Coalition further notes that, in Order No. 881, the Commission took initial steps to reduce barriers to operational deployment by requiring RTO/ISOs to “establish and implement the systems and procedures necessary to allow transmission owners to electronically update transmission line ratings at least hourly.”</w:t>
      </w:r>
      <w:r>
        <w:rPr>
          <w:rStyle w:val="FootnoteReference"/>
        </w:rPr>
        <w:footnoteReference w:id="1131"/>
      </w:r>
      <w:r w:rsidRPr="0072600F">
        <w:rPr>
          <w:sz w:val="26"/>
          <w:szCs w:val="26"/>
        </w:rPr>
        <w:t xml:space="preserve">  WATT Coalition argues that dynamic line ratings is a solution that could bring projects into viability if permitted by the transmission owner.</w:t>
      </w:r>
      <w:bookmarkStart w:id="113" w:name="_Hlk148105391"/>
      <w:r>
        <w:rPr>
          <w:rStyle w:val="FootnoteReference"/>
        </w:rPr>
        <w:footnoteReference w:id="1132"/>
      </w:r>
      <w:bookmarkEnd w:id="110"/>
      <w:bookmarkEnd w:id="113"/>
      <w:r w:rsidRPr="0072600F">
        <w:rPr>
          <w:sz w:val="26"/>
          <w:szCs w:val="26"/>
        </w:rPr>
        <w:t xml:space="preserve">  </w:t>
      </w:r>
    </w:p>
    <w:p w:rsidR="00760048" w:rsidRPr="0072600F" w14:paraId="38FCC025" w14:textId="77777777">
      <w:pPr>
        <w:pStyle w:val="FERCparanumber"/>
        <w:widowControl/>
        <w:numPr>
          <w:ilvl w:val="0"/>
          <w:numId w:val="25"/>
        </w:numPr>
        <w:autoSpaceDE/>
        <w:autoSpaceDN/>
        <w:adjustRightInd/>
        <w:spacing w:line="480" w:lineRule="auto"/>
        <w:rPr>
          <w:sz w:val="26"/>
          <w:szCs w:val="26"/>
        </w:rPr>
      </w:pPr>
      <w:r w:rsidRPr="0072600F">
        <w:rPr>
          <w:sz w:val="26"/>
          <w:szCs w:val="26"/>
        </w:rPr>
        <w:t>WATT Coalition contends that the Commission has failed to meet its burden to provide an explanation supported by evidence in the record for its suggestion that dynamic line ratings are better applied in operations and planning.</w:t>
      </w:r>
      <w:r>
        <w:rPr>
          <w:rStyle w:val="FootnoteReference"/>
        </w:rPr>
        <w:footnoteReference w:id="1133"/>
      </w:r>
      <w:r w:rsidRPr="0072600F">
        <w:rPr>
          <w:sz w:val="26"/>
          <w:szCs w:val="26"/>
        </w:rPr>
        <w:t xml:space="preserve">  WATT Coalition adds that, because transmission planning and interconnection processes typically use similar or identical study processes (for example, steady state, short circuit, and stability analysis) and share common models of the transmission system representing expected future system conditions such as Summer Peak or High Wind Low Load, it is not logical to expect the consideration of dynamic line ratings to benefit transmission planning and interconnection in a demonstrably different manner. </w:t>
      </w:r>
    </w:p>
    <w:p w:rsidR="00760048" w:rsidRPr="0072600F" w14:paraId="53642056" w14:textId="77777777">
      <w:pPr>
        <w:pStyle w:val="FERCparanumber"/>
        <w:widowControl/>
        <w:numPr>
          <w:ilvl w:val="0"/>
          <w:numId w:val="25"/>
        </w:numPr>
        <w:autoSpaceDE/>
        <w:autoSpaceDN/>
        <w:adjustRightInd/>
        <w:spacing w:line="480" w:lineRule="auto"/>
        <w:rPr>
          <w:sz w:val="26"/>
          <w:szCs w:val="26"/>
        </w:rPr>
      </w:pPr>
      <w:r w:rsidRPr="0072600F">
        <w:rPr>
          <w:sz w:val="26"/>
          <w:szCs w:val="26"/>
        </w:rPr>
        <w:t>However, WATT Coalition argues that the relative value of dynamic line ratings in interconnection versus transmission planning is irrelevant.</w:t>
      </w:r>
      <w:bookmarkStart w:id="114" w:name="_Hlk158793226"/>
      <w:r>
        <w:rPr>
          <w:rStyle w:val="FootnoteReference"/>
        </w:rPr>
        <w:footnoteReference w:id="1134"/>
      </w:r>
      <w:bookmarkEnd w:id="114"/>
      <w:r w:rsidRPr="0072600F">
        <w:rPr>
          <w:sz w:val="26"/>
          <w:szCs w:val="26"/>
        </w:rPr>
        <w:t xml:space="preserve">  WATT Coalition contends that the Commission made no determination as to the absolute value of dynamic line ratings in the interconnection context, which it argues is the relevant inquiry in determining whether the interconnection reforms are just and reasonable.</w:t>
      </w:r>
      <w:r>
        <w:rPr>
          <w:rStyle w:val="FootnoteReference"/>
        </w:rPr>
        <w:footnoteReference w:id="1135"/>
      </w:r>
      <w:r w:rsidRPr="0072600F">
        <w:rPr>
          <w:sz w:val="26"/>
          <w:szCs w:val="26"/>
        </w:rPr>
        <w:t xml:space="preserve">  WATT Coalition argues that, if dynamic line ratings are highly beneficial in one and extremely beneficial in the other, it should be adopted in both, not excluded from the former.</w:t>
      </w:r>
      <w:r>
        <w:rPr>
          <w:rStyle w:val="FootnoteReference"/>
        </w:rPr>
        <w:footnoteReference w:id="1136"/>
      </w:r>
      <w:r w:rsidRPr="0072600F">
        <w:rPr>
          <w:sz w:val="26"/>
          <w:szCs w:val="26"/>
        </w:rPr>
        <w:t xml:space="preserve"> </w:t>
      </w:r>
      <w:r w:rsidRPr="0072600F">
        <w:rPr>
          <w:sz w:val="26"/>
          <w:szCs w:val="26"/>
        </w:rPr>
        <w:t xml:space="preserve"> </w:t>
      </w:r>
      <w:r w:rsidRPr="0072600F">
        <w:rPr>
          <w:sz w:val="26"/>
          <w:szCs w:val="26"/>
        </w:rPr>
        <w:t xml:space="preserve">WATT Coalition adds that the example the Commission gave for why dynamic line ratings may be less beneficial in the interconnection context is flawed.  WATT Coalition argues that the assertion that its value “depends on favorable weather and congestion parameters” is wrong.  WATT Coalition explains that many lines are chronically underrated, regardless of weather and congestion parameters, “congestion parameters” themselves are often inaccurate precisely because dynamic line ratings are not used on a line.  </w:t>
      </w:r>
    </w:p>
    <w:p w:rsidR="00760048" w:rsidRPr="0072600F" w14:paraId="4339555D" w14:textId="77777777">
      <w:pPr>
        <w:pStyle w:val="FERCparanumber"/>
        <w:widowControl/>
        <w:numPr>
          <w:ilvl w:val="0"/>
          <w:numId w:val="25"/>
        </w:numPr>
        <w:autoSpaceDE/>
        <w:autoSpaceDN/>
        <w:adjustRightInd/>
        <w:spacing w:line="480" w:lineRule="auto"/>
        <w:rPr>
          <w:sz w:val="26"/>
          <w:szCs w:val="26"/>
        </w:rPr>
      </w:pPr>
      <w:r w:rsidRPr="0072600F">
        <w:rPr>
          <w:sz w:val="26"/>
          <w:szCs w:val="26"/>
        </w:rPr>
        <w:t>WATT Coalition claims that the following statement in Order No. 2023 is inaccurate and does not reflect the record:</w:t>
      </w:r>
    </w:p>
    <w:p w:rsidR="00760048" w:rsidRPr="0072600F" w:rsidP="00071614" w14:paraId="098CADA0" w14:textId="77777777">
      <w:pPr>
        <w:spacing w:after="240"/>
        <w:ind w:left="1440" w:right="1440"/>
        <w:jc w:val="both"/>
        <w:rPr>
          <w:rFonts w:ascii="Times New Roman" w:hAnsi="Times New Roman" w:cs="Times New Roman"/>
          <w:sz w:val="26"/>
          <w:szCs w:val="26"/>
        </w:rPr>
      </w:pPr>
      <w:r w:rsidRPr="0072600F">
        <w:rPr>
          <w:rFonts w:ascii="Times New Roman" w:hAnsi="Times New Roman" w:cs="Times New Roman"/>
          <w:sz w:val="26"/>
          <w:szCs w:val="26"/>
        </w:rPr>
        <w:t>[W]</w:t>
      </w:r>
      <w:r w:rsidRPr="0072600F">
        <w:rPr>
          <w:rFonts w:ascii="Times New Roman" w:hAnsi="Times New Roman" w:cs="Times New Roman"/>
          <w:sz w:val="26"/>
          <w:szCs w:val="26"/>
        </w:rPr>
        <w:t>hile</w:t>
      </w:r>
      <w:r w:rsidRPr="0072600F">
        <w:rPr>
          <w:rFonts w:ascii="Times New Roman" w:hAnsi="Times New Roman" w:cs="Times New Roman"/>
          <w:sz w:val="26"/>
          <w:szCs w:val="26"/>
        </w:rPr>
        <w:t xml:space="preserve"> dynamic line ratings may relieve congestion to increase available interconnection service temporarily or in the short-term, they may not be an adequate substitute for building interconnection facilities and/or traditional network upgrades identified through the interconnection study process that are needed to reliably interconnect a generating facility to the transmission system during all hours.</w:t>
      </w:r>
      <w:r>
        <w:rPr>
          <w:rStyle w:val="FootnoteReference"/>
        </w:rPr>
        <w:footnoteReference w:id="1137"/>
      </w:r>
    </w:p>
    <w:p w:rsidR="00760048" w:rsidRPr="0072600F" w:rsidP="006A72F0" w14:paraId="74ED889F" w14:textId="77777777">
      <w:pPr>
        <w:pStyle w:val="FERCparanumber"/>
        <w:numPr>
          <w:ilvl w:val="0"/>
          <w:numId w:val="0"/>
        </w:numPr>
        <w:spacing w:line="480" w:lineRule="auto"/>
        <w:rPr>
          <w:sz w:val="26"/>
          <w:szCs w:val="26"/>
        </w:rPr>
      </w:pPr>
      <w:r w:rsidRPr="0072600F">
        <w:rPr>
          <w:sz w:val="26"/>
          <w:szCs w:val="26"/>
        </w:rPr>
        <w:t xml:space="preserve">WATT Coalition states that dynamic line ratings are not a temporary or short-term fix; they are a long-term fix for the specific parameters of the cluster study.  WATT Coalition explains that, if system conditions change subsequent to the cluster study such that additional investment in the transmission system is needed, that does not mean that the value of dynamic line ratings is diminished.  WATT Coalition states that any other alternative transmission technology or even traditional upgrade could see its value change based on system conditions in the same way.  WATT Coalition argues that implementing network upgrades when dynamic line ratings would satisfy the identified need will cause overbuilding the system and saddling interconnection customers and consumers with unnecessary costs. </w:t>
      </w:r>
    </w:p>
    <w:p w:rsidR="00760048" w:rsidRPr="0072600F" w14:paraId="579F3020" w14:textId="77777777">
      <w:pPr>
        <w:pStyle w:val="FERCparanumber"/>
        <w:widowControl/>
        <w:numPr>
          <w:ilvl w:val="0"/>
          <w:numId w:val="25"/>
        </w:numPr>
        <w:autoSpaceDE/>
        <w:autoSpaceDN/>
        <w:adjustRightInd/>
        <w:spacing w:line="480" w:lineRule="auto"/>
        <w:rPr>
          <w:sz w:val="26"/>
          <w:szCs w:val="26"/>
        </w:rPr>
      </w:pPr>
      <w:r w:rsidRPr="0072600F">
        <w:rPr>
          <w:sz w:val="26"/>
          <w:szCs w:val="26"/>
        </w:rPr>
        <w:t>WATT Coalition contends that these unnecessary costs mean that the Commission’s decision is also contrary to the FPA.</w:t>
      </w:r>
      <w:bookmarkStart w:id="116" w:name="_Hlk148112115"/>
      <w:r>
        <w:rPr>
          <w:rStyle w:val="FootnoteReference"/>
        </w:rPr>
        <w:footnoteReference w:id="1138"/>
      </w:r>
      <w:bookmarkEnd w:id="116"/>
      <w:r w:rsidRPr="0072600F">
        <w:rPr>
          <w:sz w:val="26"/>
          <w:szCs w:val="26"/>
        </w:rPr>
        <w:t xml:space="preserve">  WATT Coalition argues that the Commission has failed to demonstrate that the rates established through this order will be just and reasonable because it lacks justification for the exclusion of dynamic line ratings and fails to respond to the comments arguing that including dynamic line ratings would reduce costs to consumers.  WATT Coalition claims that, if the Commission included dynamic line ratings in all studies, all generators would potentially see their interconnection costs reduced and timelines shortened.  WATT Coalition argues that, by excluding dynamic line ratings, generators in windy regions especially will be disadvantaged because one of the core solutions for increasing transmission capacity rapidly will not be evaluated in their interconnection studies.  WATT Coalition notes </w:t>
      </w:r>
      <w:r w:rsidRPr="009A763C" w:rsidR="009A763C">
        <w:rPr>
          <w:sz w:val="26"/>
          <w:szCs w:val="26"/>
        </w:rPr>
        <w:t>Advanced Energy Economy</w:t>
      </w:r>
      <w:r w:rsidR="00E401FE">
        <w:rPr>
          <w:sz w:val="26"/>
          <w:szCs w:val="26"/>
        </w:rPr>
        <w:t>’s</w:t>
      </w:r>
      <w:r w:rsidRPr="0072600F">
        <w:rPr>
          <w:sz w:val="26"/>
          <w:szCs w:val="26"/>
        </w:rPr>
        <w:t xml:space="preserve"> comment that, “[w]</w:t>
      </w:r>
      <w:r w:rsidRPr="0072600F">
        <w:rPr>
          <w:sz w:val="26"/>
          <w:szCs w:val="26"/>
        </w:rPr>
        <w:t>hile</w:t>
      </w:r>
      <w:r w:rsidRPr="0072600F">
        <w:rPr>
          <w:sz w:val="26"/>
          <w:szCs w:val="26"/>
        </w:rPr>
        <w:t xml:space="preserve"> not all interconnections may benefit from [grid enhancing technologies], evaluating their use at every opportunity ensures that their contributions and savings will not be lost.”</w:t>
      </w:r>
      <w:r>
        <w:rPr>
          <w:rStyle w:val="FootnoteReference"/>
        </w:rPr>
        <w:footnoteReference w:id="1139"/>
      </w:r>
      <w:r w:rsidRPr="0072600F">
        <w:rPr>
          <w:sz w:val="26"/>
          <w:szCs w:val="26"/>
        </w:rPr>
        <w:t xml:space="preserve">  </w:t>
      </w:r>
      <w:r w:rsidRPr="0072600F">
        <w:rPr>
          <w:sz w:val="26"/>
          <w:szCs w:val="26"/>
        </w:rPr>
        <w:t>WATT Coalition contends that the Commission erred by instead ensuring that dynamic line ratings’ contributions and savings will be lost, interconnection customers will pay vastly higher costs for network upgrades, and consumers ultimately will pay higher rates as a result.</w:t>
      </w:r>
      <w:r>
        <w:rPr>
          <w:rStyle w:val="FootnoteReference"/>
        </w:rPr>
        <w:footnoteReference w:id="1140"/>
      </w:r>
    </w:p>
    <w:p w:rsidR="00760048" w:rsidRPr="0072600F" w14:paraId="110618EA" w14:textId="77777777">
      <w:pPr>
        <w:pStyle w:val="FERCparanumber"/>
        <w:widowControl/>
        <w:numPr>
          <w:ilvl w:val="0"/>
          <w:numId w:val="25"/>
        </w:numPr>
        <w:autoSpaceDE/>
        <w:autoSpaceDN/>
        <w:adjustRightInd/>
        <w:spacing w:line="480" w:lineRule="auto"/>
        <w:rPr>
          <w:sz w:val="26"/>
          <w:szCs w:val="26"/>
        </w:rPr>
      </w:pPr>
      <w:bookmarkStart w:id="117" w:name="_Hlk155604972"/>
      <w:bookmarkStart w:id="118" w:name="_Hlk148961159"/>
      <w:r w:rsidRPr="0072600F">
        <w:rPr>
          <w:sz w:val="26"/>
          <w:szCs w:val="26"/>
        </w:rPr>
        <w:t xml:space="preserve"> Clean Energy Associations request rehearing of Order No. 2023’s exclusion of energy storage serving as a transmission asset from the enumerated list of alternative transmission technologies.</w:t>
      </w:r>
      <w:bookmarkEnd w:id="117"/>
      <w:r>
        <w:rPr>
          <w:rStyle w:val="FootnoteReference"/>
        </w:rPr>
        <w:footnoteReference w:id="1141"/>
      </w:r>
      <w:r w:rsidRPr="0072600F">
        <w:rPr>
          <w:sz w:val="26"/>
          <w:szCs w:val="26"/>
        </w:rPr>
        <w:t xml:space="preserve">  Clean Energy Associations argue that excluding storage resources because “the evaluation of whether a storage resource performs a transmission function requires a case-by-case analysis” does not constitute reasoned decision-making because the Commission directs the transmission providers to conduct a case-by-case evaluation of the alternative transmission technologies included in Order No. 2023’s list of enumerated technologies.</w:t>
      </w:r>
      <w:r>
        <w:rPr>
          <w:rStyle w:val="FootnoteReference"/>
        </w:rPr>
        <w:footnoteReference w:id="1142"/>
      </w:r>
      <w:r w:rsidRPr="0072600F">
        <w:rPr>
          <w:sz w:val="26"/>
          <w:szCs w:val="26"/>
        </w:rPr>
        <w:t xml:space="preserve">  Clean Energy Associations assert that, without a specific requirement to evaluate dynamic line ratings and energy storage, these technologies will be excluded from the interconnection process despite the record demonstrating that these technologies can improve interconnection process efficiency.</w:t>
      </w:r>
      <w:r>
        <w:rPr>
          <w:rStyle w:val="FootnoteReference"/>
        </w:rPr>
        <w:footnoteReference w:id="1143"/>
      </w:r>
      <w:bookmarkEnd w:id="118"/>
    </w:p>
    <w:p w:rsidR="00760048" w:rsidRPr="00663161" w14:paraId="31F681F4"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58E44947"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not persuaded by SPP’s request to revisit the requirement to evaluate the enumerated list of alternative transmission technologies, which SPP argues will burden transmission providers and lengthen the interconnection process.  As explained in Order No. 2023, the Commission found that the record supported a finding that these alternative transmission technologies can provide benefits to optimize the transmission system in specific scenarios.</w:t>
      </w:r>
      <w:r>
        <w:rPr>
          <w:rStyle w:val="FootnoteReference"/>
        </w:rPr>
        <w:footnoteReference w:id="1144"/>
      </w:r>
      <w:r w:rsidRPr="0072600F">
        <w:rPr>
          <w:sz w:val="26"/>
          <w:szCs w:val="26"/>
        </w:rPr>
        <w:t xml:space="preserve">  SPP has not convinced us otherwise.  We also find it unnecessary to provide metrics for determining what would support the use, or non-use of, an alternative transmission technology to avoid litigation and lengthening the interconnection process, as SPP requests.  In Order No. 2023, the Commission recognized the need to avoid time-consuming delays and costly disputes or litigation over interconnection costs that could arise as a result of this reform.</w:t>
      </w:r>
      <w:r>
        <w:rPr>
          <w:rStyle w:val="FootnoteReference"/>
        </w:rPr>
        <w:footnoteReference w:id="1145"/>
      </w:r>
      <w:r w:rsidRPr="0072600F">
        <w:rPr>
          <w:sz w:val="26"/>
          <w:szCs w:val="26"/>
        </w:rPr>
        <w:t xml:space="preserve">  Consequently, the Commission found that, if a transmission provider evaluates the enumerated alternative transmission technologies as required herein and, in its sole discretion, determines not to use any enumerated alternative transmission technologies as an alternative to a traditional network upgrade, the transmission provider has complied with Order No. 2023, including tariffs filed pursuant to Order No. 2023.  Similarly, we disagree with WATT’s contention that Order No. 2023 does not set a standard for evaluation and does not ensure that alternative transmission technologies are used if they are the most cost-effective and fastest interconnection upgrade solution.  In Order No. 2023, as modified below, the Commission set forth the standard for evaluation, explaining that the requirement is to evaluate the enumerated alternative transmission technologies in the interconnection process for feasibility, cost, and time savings and to determine whether, in the transmission provider’s sole discretion, an alternative transmission technology should be used as a solution — consistent with </w:t>
      </w:r>
      <w:bookmarkStart w:id="119" w:name="_Hlk155721943"/>
      <w:r w:rsidRPr="0072600F">
        <w:rPr>
          <w:sz w:val="26"/>
          <w:szCs w:val="26"/>
        </w:rPr>
        <w:t xml:space="preserve">good utility practice, applicable reliability standards, and </w:t>
      </w:r>
      <w:r w:rsidRPr="0072600F">
        <w:rPr>
          <w:bCs/>
          <w:sz w:val="26"/>
          <w:szCs w:val="26"/>
        </w:rPr>
        <w:t>applicable laws and regulations</w:t>
      </w:r>
      <w:r w:rsidRPr="0072600F">
        <w:rPr>
          <w:sz w:val="26"/>
          <w:szCs w:val="26"/>
        </w:rPr>
        <w:t>.</w:t>
      </w:r>
      <w:r>
        <w:rPr>
          <w:rStyle w:val="FootnoteReference"/>
        </w:rPr>
        <w:footnoteReference w:id="1146"/>
      </w:r>
      <w:bookmarkEnd w:id="119"/>
      <w:r w:rsidRPr="0072600F">
        <w:rPr>
          <w:sz w:val="26"/>
          <w:szCs w:val="26"/>
        </w:rPr>
        <w:t xml:space="preserve">  This standard will ensure transmission providers identify network upgrades in a manner that ensures just and reasonable rates.  </w:t>
      </w:r>
    </w:p>
    <w:p w:rsidR="00760048" w:rsidRPr="0072600F" w14:paraId="48DC0840" w14:textId="77777777">
      <w:pPr>
        <w:pStyle w:val="FERCparanumber"/>
        <w:widowControl/>
        <w:numPr>
          <w:ilvl w:val="0"/>
          <w:numId w:val="25"/>
        </w:numPr>
        <w:autoSpaceDE/>
        <w:autoSpaceDN/>
        <w:adjustRightInd/>
        <w:spacing w:line="480" w:lineRule="auto"/>
        <w:rPr>
          <w:sz w:val="26"/>
          <w:szCs w:val="26"/>
        </w:rPr>
      </w:pPr>
      <w:r w:rsidRPr="0072600F">
        <w:rPr>
          <w:sz w:val="26"/>
          <w:szCs w:val="26"/>
        </w:rPr>
        <w:t>We deny PJM’s requested clarification about whether Order No. 2023 requires</w:t>
      </w:r>
      <w:r w:rsidRPr="0072600F">
        <w:rPr>
          <w:sz w:val="26"/>
          <w:szCs w:val="26"/>
        </w:rPr>
        <w:t xml:space="preserve"> </w:t>
      </w:r>
      <w:r w:rsidRPr="0072600F">
        <w:rPr>
          <w:sz w:val="26"/>
          <w:szCs w:val="26"/>
        </w:rPr>
        <w:t xml:space="preserve">transmission providers that already include all the enumerated technologies in its studies to explain their evaluation of the enumerated alternative transmission technologies in their cluster study reports.  Consistent with the Commission’s statements in Order No. 2023,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w:t>
      </w:r>
      <w:r>
        <w:rPr>
          <w:rStyle w:val="FootnoteReference"/>
        </w:rPr>
        <w:footnoteReference w:id="1147"/>
      </w:r>
      <w:r w:rsidRPr="0072600F">
        <w:rPr>
          <w:sz w:val="26"/>
          <w:szCs w:val="26"/>
        </w:rPr>
        <w:t xml:space="preserve">  </w:t>
      </w:r>
      <w:r w:rsidRPr="0072600F">
        <w:rPr>
          <w:b/>
          <w:sz w:val="26"/>
          <w:szCs w:val="26"/>
          <w:vertAlign w:val="superscript"/>
        </w:rPr>
        <w:t xml:space="preserve"> </w:t>
      </w:r>
      <w:r w:rsidRPr="0072600F">
        <w:rPr>
          <w:sz w:val="26"/>
          <w:szCs w:val="26"/>
        </w:rPr>
        <w:t xml:space="preserve"> </w:t>
      </w:r>
    </w:p>
    <w:p w:rsidR="00760048" w:rsidRPr="0072600F" w14:paraId="3C3568D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PJM that the requirement in Order No. 2023 for transmission providers to evaluate the </w:t>
      </w:r>
      <w:bookmarkStart w:id="120" w:name="_Hlk156999717"/>
      <w:r w:rsidRPr="0072600F">
        <w:rPr>
          <w:sz w:val="26"/>
          <w:szCs w:val="26"/>
        </w:rPr>
        <w:t xml:space="preserve">enumerated alternative transmission technologies </w:t>
      </w:r>
      <w:bookmarkEnd w:id="120"/>
      <w:r w:rsidRPr="0072600F">
        <w:rPr>
          <w:sz w:val="26"/>
          <w:szCs w:val="26"/>
        </w:rPr>
        <w:t xml:space="preserve">will be burdensome because interconnection customers are likely to demand re-evaluation of the technologies.  The Commission determined that, if a transmission provider evaluates the enumerated alternative transmission technologies as required herein and, in its sole discretion, determines not to use any enumerated alternative transmission technologies as an alternative to a traditional network upgrade, and explains its evaluation of the enumerated alternative transmission technologies in </w:t>
      </w:r>
      <w:r w:rsidR="005A1D9E">
        <w:rPr>
          <w:sz w:val="26"/>
          <w:szCs w:val="26"/>
        </w:rPr>
        <w:t>the applicable</w:t>
      </w:r>
      <w:r w:rsidRPr="0072600F">
        <w:rPr>
          <w:sz w:val="26"/>
          <w:szCs w:val="26"/>
        </w:rPr>
        <w:t xml:space="preserve"> study report</w:t>
      </w:r>
      <w:r w:rsidR="005A1D9E">
        <w:rPr>
          <w:sz w:val="26"/>
          <w:szCs w:val="26"/>
        </w:rPr>
        <w:t>(</w:t>
      </w:r>
      <w:r w:rsidRPr="0072600F">
        <w:rPr>
          <w:sz w:val="26"/>
          <w:szCs w:val="26"/>
        </w:rPr>
        <w:t>s</w:t>
      </w:r>
      <w:r w:rsidR="005A1D9E">
        <w:rPr>
          <w:sz w:val="26"/>
          <w:szCs w:val="26"/>
        </w:rPr>
        <w:t>)</w:t>
      </w:r>
      <w:r w:rsidRPr="0072600F">
        <w:rPr>
          <w:sz w:val="26"/>
          <w:szCs w:val="26"/>
        </w:rPr>
        <w:t>, the transmission provider has complied with Order No. 2023, including tariffs filed pursuant thereto.  We continue to find that these limitations on review address concerns about time-consuming delays and costly disputes or litigation.</w:t>
      </w:r>
    </w:p>
    <w:p w:rsidR="00760048" w:rsidRPr="0072600F" w14:paraId="68033DDE" w14:textId="77777777">
      <w:pPr>
        <w:pStyle w:val="FERCparanumber"/>
        <w:widowControl/>
        <w:numPr>
          <w:ilvl w:val="0"/>
          <w:numId w:val="25"/>
        </w:numPr>
        <w:autoSpaceDE/>
        <w:autoSpaceDN/>
        <w:adjustRightInd/>
        <w:spacing w:line="480" w:lineRule="auto"/>
        <w:rPr>
          <w:sz w:val="26"/>
          <w:szCs w:val="26"/>
        </w:rPr>
      </w:pPr>
      <w:r w:rsidRPr="0072600F">
        <w:rPr>
          <w:sz w:val="26"/>
          <w:szCs w:val="26"/>
        </w:rPr>
        <w:t>In response to Clean Energy Associations’, Public Interest Organizations’, and WATT Coalition’s requests for rehearing regarding transmission provider discretion, we sustain the discretion that Order No. 2023 affords transmission providers in determining whether to use an alternative transmission technology for several reasons.  First, we continue to find that this level of discretion is justified because (1) the transmission provider is responsible for determining whether using any of the enumerated alternative transmission technologies is an appropriate and reliable network upgrade that allows the interconnection customer to flow the output of its generating facility onto the transmission provider's transmission system in a safe and reliable manner</w:t>
      </w:r>
      <w:r w:rsidR="00560191">
        <w:rPr>
          <w:sz w:val="26"/>
          <w:szCs w:val="26"/>
        </w:rPr>
        <w:t>;</w:t>
      </w:r>
      <w:r>
        <w:rPr>
          <w:rStyle w:val="FootnoteReference"/>
        </w:rPr>
        <w:footnoteReference w:id="1148"/>
      </w:r>
      <w:r w:rsidRPr="0072600F">
        <w:rPr>
          <w:sz w:val="26"/>
          <w:szCs w:val="26"/>
        </w:rPr>
        <w:t xml:space="preserve"> (2) the requirement to make such a determination before allowing for the use of the enumerated alternative transmission technologies addresses concerns that their use may impinge on reliability, delay network upgrades instead of reducing the need for them or obviating the need for them altogether, or fail to address all transmission system issues that a traditional network upgrade would address</w:t>
      </w:r>
      <w:r w:rsidR="00560191">
        <w:rPr>
          <w:sz w:val="26"/>
          <w:szCs w:val="26"/>
        </w:rPr>
        <w:t>;</w:t>
      </w:r>
      <w:r>
        <w:rPr>
          <w:rStyle w:val="FootnoteReference"/>
        </w:rPr>
        <w:footnoteReference w:id="1149"/>
      </w:r>
      <w:r w:rsidRPr="0072600F">
        <w:rPr>
          <w:sz w:val="26"/>
          <w:szCs w:val="26"/>
        </w:rPr>
        <w:t xml:space="preserve"> and (3) there is a need to avoid time-consuming delays and costly disputes or litigation over interconnection costs that could arise as a result of this reform.</w:t>
      </w:r>
      <w:r>
        <w:rPr>
          <w:rStyle w:val="FootnoteReference"/>
        </w:rPr>
        <w:footnoteReference w:id="1150"/>
      </w:r>
    </w:p>
    <w:p w:rsidR="00760048" w:rsidRPr="0072600F" w14:paraId="5F6957F8" w14:textId="77777777">
      <w:pPr>
        <w:pStyle w:val="FERCparanumber"/>
        <w:widowControl/>
        <w:numPr>
          <w:ilvl w:val="0"/>
          <w:numId w:val="25"/>
        </w:numPr>
        <w:autoSpaceDE/>
        <w:autoSpaceDN/>
        <w:adjustRightInd/>
        <w:spacing w:line="480" w:lineRule="auto"/>
        <w:rPr>
          <w:sz w:val="26"/>
          <w:szCs w:val="26"/>
        </w:rPr>
      </w:pPr>
      <w:bookmarkStart w:id="121" w:name="_Ref160729824"/>
      <w:bookmarkStart w:id="122" w:name="_Ref161763236"/>
      <w:r w:rsidRPr="0072600F">
        <w:rPr>
          <w:sz w:val="26"/>
          <w:szCs w:val="26"/>
        </w:rPr>
        <w:t>Second, contrary to WATT Coalition’s and Clean Energy Associations’ assertion</w:t>
      </w:r>
      <w:r w:rsidR="00E6480F">
        <w:rPr>
          <w:sz w:val="26"/>
          <w:szCs w:val="26"/>
        </w:rPr>
        <w:t>s</w:t>
      </w:r>
      <w:r w:rsidRPr="0072600F">
        <w:rPr>
          <w:sz w:val="26"/>
          <w:szCs w:val="26"/>
        </w:rPr>
        <w:t xml:space="preserve">, Order No. 2023 does not give transmission providers unfettered discretion to disregard alternative transmission technologies.  In spite of the discretion provided to transmission providers, </w:t>
      </w:r>
      <w:bookmarkStart w:id="123" w:name="_Hlk158795500"/>
      <w:r w:rsidRPr="0072600F">
        <w:rPr>
          <w:sz w:val="26"/>
          <w:szCs w:val="26"/>
        </w:rPr>
        <w:t>they must explain their evaluation of the enumerated alternative transmission technologies f</w:t>
      </w:r>
      <w:r w:rsidRPr="0072600F">
        <w:rPr>
          <w:iCs/>
          <w:sz w:val="26"/>
          <w:szCs w:val="26"/>
        </w:rPr>
        <w:t>or feasibility, cost, and time savings as an alternative to a traditional network upgrade</w:t>
      </w:r>
      <w:r w:rsidRPr="0072600F">
        <w:rPr>
          <w:sz w:val="26"/>
          <w:szCs w:val="26"/>
        </w:rPr>
        <w:t xml:space="preserve"> in their </w:t>
      </w:r>
      <w:r w:rsidR="005A1D9E">
        <w:rPr>
          <w:sz w:val="26"/>
          <w:szCs w:val="26"/>
        </w:rPr>
        <w:t>applicable</w:t>
      </w:r>
      <w:r w:rsidRPr="0072600F" w:rsidR="005A1D9E">
        <w:rPr>
          <w:sz w:val="26"/>
          <w:szCs w:val="26"/>
        </w:rPr>
        <w:t xml:space="preserve"> </w:t>
      </w:r>
      <w:r w:rsidRPr="0072600F">
        <w:rPr>
          <w:sz w:val="26"/>
          <w:szCs w:val="26"/>
        </w:rPr>
        <w:t>study report</w:t>
      </w:r>
      <w:r w:rsidR="005A1D9E">
        <w:rPr>
          <w:sz w:val="26"/>
          <w:szCs w:val="26"/>
        </w:rPr>
        <w:t>(</w:t>
      </w:r>
      <w:r w:rsidRPr="0072600F">
        <w:rPr>
          <w:sz w:val="26"/>
          <w:szCs w:val="26"/>
        </w:rPr>
        <w:t>s</w:t>
      </w:r>
      <w:r w:rsidR="005A1D9E">
        <w:rPr>
          <w:sz w:val="26"/>
          <w:szCs w:val="26"/>
        </w:rPr>
        <w:t>)</w:t>
      </w:r>
      <w:r w:rsidR="009E3856">
        <w:rPr>
          <w:sz w:val="26"/>
          <w:szCs w:val="26"/>
        </w:rPr>
        <w:t>,</w:t>
      </w:r>
      <w:r w:rsidRPr="0072600F">
        <w:rPr>
          <w:sz w:val="26"/>
          <w:szCs w:val="26"/>
        </w:rPr>
        <w:t xml:space="preserve"> and</w:t>
      </w:r>
      <w:bookmarkEnd w:id="123"/>
      <w:r w:rsidRPr="0072600F">
        <w:rPr>
          <w:sz w:val="26"/>
          <w:szCs w:val="26"/>
        </w:rPr>
        <w:t xml:space="preserve"> </w:t>
      </w:r>
      <w:bookmarkStart w:id="124" w:name="_Hlk158795619"/>
      <w:r w:rsidRPr="0072600F">
        <w:rPr>
          <w:sz w:val="26"/>
          <w:szCs w:val="26"/>
        </w:rPr>
        <w:t xml:space="preserve">their use determinations must be consistent with good utility practice, applicable reliability standards, and </w:t>
      </w:r>
      <w:bookmarkStart w:id="125" w:name="_Hlk157438045"/>
      <w:r w:rsidRPr="0072600F">
        <w:rPr>
          <w:sz w:val="26"/>
          <w:szCs w:val="26"/>
        </w:rPr>
        <w:t>applicable laws and regulations</w:t>
      </w:r>
      <w:bookmarkEnd w:id="124"/>
      <w:bookmarkEnd w:id="125"/>
      <w:r w:rsidRPr="0072600F">
        <w:rPr>
          <w:sz w:val="26"/>
          <w:szCs w:val="26"/>
        </w:rPr>
        <w:t>.</w:t>
      </w:r>
      <w:r>
        <w:rPr>
          <w:rStyle w:val="FootnoteReference"/>
        </w:rPr>
        <w:footnoteReference w:id="1151"/>
      </w:r>
      <w:r w:rsidRPr="0072600F">
        <w:rPr>
          <w:sz w:val="26"/>
          <w:szCs w:val="26"/>
        </w:rPr>
        <w:t xml:space="preserve">  </w:t>
      </w:r>
      <w:r w:rsidR="005A1D9E">
        <w:rPr>
          <w:sz w:val="26"/>
          <w:szCs w:val="26"/>
        </w:rPr>
        <w:t>An</w:t>
      </w:r>
      <w:r w:rsidRPr="0072600F">
        <w:rPr>
          <w:sz w:val="26"/>
          <w:szCs w:val="26"/>
        </w:rPr>
        <w:t xml:space="preserve"> interconnection customer</w:t>
      </w:r>
      <w:r w:rsidR="005A1D9E">
        <w:rPr>
          <w:sz w:val="26"/>
          <w:szCs w:val="26"/>
        </w:rPr>
        <w:t xml:space="preserve"> may contest a transmission provider</w:t>
      </w:r>
      <w:r w:rsidRPr="0072600F">
        <w:rPr>
          <w:sz w:val="26"/>
          <w:szCs w:val="26"/>
        </w:rPr>
        <w:t>’s</w:t>
      </w:r>
      <w:r w:rsidR="005A1D9E">
        <w:rPr>
          <w:sz w:val="26"/>
          <w:szCs w:val="26"/>
        </w:rPr>
        <w:t xml:space="preserve"> evaluation and use determination, just as it does with respect to traditional network upgrades.</w:t>
      </w:r>
      <w:r>
        <w:rPr>
          <w:rStyle w:val="FootnoteReference"/>
        </w:rPr>
        <w:footnoteReference w:id="1152"/>
      </w:r>
      <w:r w:rsidR="009E3856">
        <w:rPr>
          <w:sz w:val="26"/>
          <w:szCs w:val="26"/>
        </w:rPr>
        <w:t xml:space="preserve"> </w:t>
      </w:r>
      <w:r w:rsidRPr="0072600F">
        <w:rPr>
          <w:sz w:val="26"/>
          <w:szCs w:val="26"/>
        </w:rPr>
        <w:t xml:space="preserve"> </w:t>
      </w:r>
      <w:r w:rsidR="005A1D9E">
        <w:rPr>
          <w:sz w:val="26"/>
          <w:szCs w:val="26"/>
        </w:rPr>
        <w:t xml:space="preserve">This ensures </w:t>
      </w:r>
      <w:r w:rsidRPr="0072600F">
        <w:rPr>
          <w:sz w:val="26"/>
          <w:szCs w:val="26"/>
        </w:rPr>
        <w:t xml:space="preserve">that the transmission provider’s explanation of its evaluation of the enumerated alternative transmission technologies for feasibility, cost, and time savings as an alternative to a traditional network upgrade in its </w:t>
      </w:r>
      <w:r w:rsidR="005A1D9E">
        <w:rPr>
          <w:sz w:val="26"/>
          <w:szCs w:val="26"/>
        </w:rPr>
        <w:t>applicable</w:t>
      </w:r>
      <w:r w:rsidRPr="0072600F" w:rsidR="005A1D9E">
        <w:rPr>
          <w:sz w:val="26"/>
          <w:szCs w:val="26"/>
        </w:rPr>
        <w:t xml:space="preserve"> </w:t>
      </w:r>
      <w:r w:rsidRPr="0072600F">
        <w:rPr>
          <w:sz w:val="26"/>
          <w:szCs w:val="26"/>
        </w:rPr>
        <w:t>study report</w:t>
      </w:r>
      <w:r w:rsidR="005A1D9E">
        <w:rPr>
          <w:sz w:val="26"/>
          <w:szCs w:val="26"/>
        </w:rPr>
        <w:t>(s) as well as</w:t>
      </w:r>
      <w:r w:rsidRPr="0072600F">
        <w:rPr>
          <w:sz w:val="26"/>
          <w:szCs w:val="26"/>
        </w:rPr>
        <w:t xml:space="preserve"> its determinations regarding the use of a network upgrade</w:t>
      </w:r>
      <w:r w:rsidR="005A1D9E">
        <w:rPr>
          <w:sz w:val="26"/>
          <w:szCs w:val="26"/>
        </w:rPr>
        <w:t xml:space="preserve"> and/or</w:t>
      </w:r>
      <w:r w:rsidRPr="0072600F">
        <w:rPr>
          <w:sz w:val="26"/>
          <w:szCs w:val="26"/>
        </w:rPr>
        <w:t xml:space="preserve"> an alternative transmission technology are consistent with the FPA</w:t>
      </w:r>
      <w:r w:rsidR="005A1D9E">
        <w:rPr>
          <w:sz w:val="26"/>
          <w:szCs w:val="26"/>
        </w:rPr>
        <w:t xml:space="preserve"> and the transmission provider</w:t>
      </w:r>
      <w:r w:rsidRPr="0072600F">
        <w:rPr>
          <w:sz w:val="26"/>
          <w:szCs w:val="26"/>
        </w:rPr>
        <w:t>’s</w:t>
      </w:r>
      <w:r w:rsidR="005A1D9E">
        <w:rPr>
          <w:sz w:val="26"/>
          <w:szCs w:val="26"/>
        </w:rPr>
        <w:t xml:space="preserve"> tariff</w:t>
      </w:r>
      <w:r w:rsidRPr="0072600F">
        <w:rPr>
          <w:sz w:val="26"/>
          <w:szCs w:val="26"/>
        </w:rPr>
        <w:t>.</w:t>
      </w:r>
      <w:bookmarkEnd w:id="121"/>
      <w:r w:rsidRPr="0072600F">
        <w:rPr>
          <w:sz w:val="26"/>
          <w:szCs w:val="26"/>
        </w:rPr>
        <w:t xml:space="preserve"> </w:t>
      </w:r>
      <w:bookmarkEnd w:id="122"/>
    </w:p>
    <w:p w:rsidR="00760048" w:rsidRPr="0072600F" w14:paraId="6760BBA1" w14:textId="77777777">
      <w:pPr>
        <w:pStyle w:val="FERCparanumber"/>
        <w:widowControl/>
        <w:numPr>
          <w:ilvl w:val="0"/>
          <w:numId w:val="25"/>
        </w:numPr>
        <w:autoSpaceDE/>
        <w:autoSpaceDN/>
        <w:adjustRightInd/>
        <w:spacing w:line="480" w:lineRule="auto"/>
        <w:rPr>
          <w:sz w:val="26"/>
          <w:szCs w:val="26"/>
        </w:rPr>
      </w:pPr>
      <w:r w:rsidRPr="0072600F">
        <w:rPr>
          <w:sz w:val="26"/>
          <w:szCs w:val="26"/>
        </w:rPr>
        <w:t>Finally, the level of discretion that Order No. 2023 affords transmission providers is consistent with the general discretion the Commission affords transmission providers to maintain a reliable system.</w:t>
      </w:r>
      <w:r>
        <w:rPr>
          <w:rStyle w:val="FootnoteReference"/>
        </w:rPr>
        <w:footnoteReference w:id="1153"/>
      </w:r>
      <w:r w:rsidRPr="0072600F">
        <w:rPr>
          <w:sz w:val="26"/>
          <w:szCs w:val="26"/>
        </w:rPr>
        <w:t xml:space="preserve">  The transmission provider is the only entity responsible for determining appropriate and reliable network upgrades for its transmission system.  Applying this general interconnection </w:t>
      </w:r>
      <w:r w:rsidRPr="0072600F">
        <w:rPr>
          <w:i/>
          <w:sz w:val="26"/>
          <w:szCs w:val="26"/>
        </w:rPr>
        <w:t>status quo ante</w:t>
      </w:r>
      <w:r w:rsidRPr="0072600F">
        <w:rPr>
          <w:sz w:val="26"/>
          <w:szCs w:val="26"/>
        </w:rPr>
        <w:t xml:space="preserve"> to the determination of whether an alternative transmission technology could serve as a network upgrade inevitably means that the transmission provider is the only entity responsible for determining “whether using any of the enumerated alternative transmission technologies is an appropriate and reliable network upgrade ‘that would allow the interconnection customer to flow the output of its generating facility onto the transmission provider's transmission system in a safe and reliable manner.’”</w:t>
      </w:r>
      <w:r>
        <w:rPr>
          <w:rStyle w:val="FootnoteReference"/>
        </w:rPr>
        <w:footnoteReference w:id="1154"/>
      </w:r>
      <w:r w:rsidRPr="0072600F">
        <w:rPr>
          <w:sz w:val="26"/>
          <w:szCs w:val="26"/>
        </w:rPr>
        <w:t xml:space="preserve">  In fact, the transmission provider may be subject to penalties if its transmission system does not function in a reliable manner as required by the provisions of the Reliability Standards.</w:t>
      </w:r>
      <w:r>
        <w:rPr>
          <w:rStyle w:val="FootnoteReference"/>
        </w:rPr>
        <w:footnoteReference w:id="1155"/>
      </w:r>
      <w:r w:rsidRPr="0072600F">
        <w:rPr>
          <w:sz w:val="26"/>
          <w:szCs w:val="26"/>
        </w:rPr>
        <w:t xml:space="preserve">   Thus, Commission precedent supports a finding that the transmission provider is the entity with sole discretion as to which network upgrades must be constructed to ensure the safe and reliable operation of the transmission system as a new generating facility interconnects.</w:t>
      </w:r>
      <w:r>
        <w:rPr>
          <w:rStyle w:val="FootnoteReference"/>
        </w:rPr>
        <w:footnoteReference w:id="1156"/>
      </w:r>
      <w:r w:rsidRPr="0072600F">
        <w:rPr>
          <w:sz w:val="26"/>
          <w:szCs w:val="26"/>
        </w:rPr>
        <w:t xml:space="preserve">  The term “sole discretion” does not absolve the transmission provider from making a </w:t>
      </w:r>
      <w:r w:rsidR="00A859A4">
        <w:rPr>
          <w:sz w:val="26"/>
          <w:szCs w:val="26"/>
        </w:rPr>
        <w:t xml:space="preserve">use determination that is consistent with the FPA and its tariff. </w:t>
      </w:r>
    </w:p>
    <w:p w:rsidR="00760048" w:rsidRPr="0072600F" w14:paraId="050AF6F8" w14:textId="77777777">
      <w:pPr>
        <w:pStyle w:val="FERCparanumber"/>
        <w:widowControl/>
        <w:numPr>
          <w:ilvl w:val="0"/>
          <w:numId w:val="25"/>
        </w:numPr>
        <w:autoSpaceDE/>
        <w:autoSpaceDN/>
        <w:adjustRightInd/>
        <w:spacing w:line="480" w:lineRule="auto"/>
        <w:rPr>
          <w:sz w:val="26"/>
          <w:szCs w:val="26"/>
        </w:rPr>
      </w:pPr>
      <w:bookmarkStart w:id="126" w:name="_Ref161764354"/>
      <w:r w:rsidRPr="0072600F">
        <w:rPr>
          <w:sz w:val="26"/>
          <w:szCs w:val="26"/>
        </w:rPr>
        <w:t xml:space="preserve">We sustain the performance </w:t>
      </w:r>
      <w:r w:rsidRPr="0072600F">
        <w:rPr>
          <w:sz w:val="26"/>
          <w:szCs w:val="26"/>
        </w:rPr>
        <w:t xml:space="preserve">standards </w:t>
      </w:r>
      <w:r w:rsidRPr="0072600F">
        <w:rPr>
          <w:sz w:val="26"/>
          <w:szCs w:val="26"/>
        </w:rPr>
        <w:t xml:space="preserve">that Order No. 2023 applies to a transmission provider’s evaluation of each alternative transmission technology listed in </w:t>
      </w:r>
      <w:r w:rsidRPr="0072600F">
        <w:rPr>
          <w:i/>
          <w:sz w:val="26"/>
          <w:szCs w:val="26"/>
        </w:rPr>
        <w:t>pro forma</w:t>
      </w:r>
      <w:r w:rsidRPr="0072600F">
        <w:rPr>
          <w:sz w:val="26"/>
          <w:szCs w:val="26"/>
        </w:rPr>
        <w:t xml:space="preserve"> LGIP section 7.3 and </w:t>
      </w:r>
      <w:r w:rsidRPr="0072600F">
        <w:rPr>
          <w:i/>
          <w:sz w:val="26"/>
          <w:szCs w:val="26"/>
        </w:rPr>
        <w:t>pro forma</w:t>
      </w:r>
      <w:r w:rsidRPr="0072600F">
        <w:rPr>
          <w:sz w:val="26"/>
          <w:szCs w:val="26"/>
        </w:rPr>
        <w:t xml:space="preserve"> SGIP sections 3.3.6 and 3.4.10 and to its determination whether it should be used.</w:t>
      </w:r>
      <w:r w:rsidRPr="0072600F">
        <w:rPr>
          <w:b/>
          <w:sz w:val="26"/>
          <w:szCs w:val="26"/>
          <w:vertAlign w:val="superscript"/>
        </w:rPr>
        <w:t xml:space="preserve"> </w:t>
      </w:r>
      <w:r w:rsidRPr="0072600F">
        <w:rPr>
          <w:sz w:val="26"/>
          <w:szCs w:val="26"/>
        </w:rPr>
        <w:t xml:space="preserve"> </w:t>
      </w:r>
      <w:r w:rsidR="009D55A6">
        <w:rPr>
          <w:sz w:val="26"/>
          <w:szCs w:val="26"/>
        </w:rPr>
        <w:t xml:space="preserve">Specifically, </w:t>
      </w:r>
      <w:r w:rsidRPr="0072600F">
        <w:rPr>
          <w:sz w:val="26"/>
          <w:szCs w:val="26"/>
        </w:rPr>
        <w:t xml:space="preserve">Order No. 2023 requires that a transmission provider evaluate each alternative transmission technology listed in </w:t>
      </w:r>
      <w:r w:rsidRPr="0072600F">
        <w:rPr>
          <w:i/>
          <w:sz w:val="26"/>
          <w:szCs w:val="26"/>
        </w:rPr>
        <w:t>pro forma</w:t>
      </w:r>
      <w:r w:rsidRPr="0072600F">
        <w:rPr>
          <w:sz w:val="26"/>
          <w:szCs w:val="26"/>
        </w:rPr>
        <w:t xml:space="preserve"> LGIP section 7.3 and </w:t>
      </w:r>
      <w:r w:rsidRPr="0072600F">
        <w:rPr>
          <w:i/>
          <w:sz w:val="26"/>
          <w:szCs w:val="26"/>
        </w:rPr>
        <w:t xml:space="preserve">pro forma </w:t>
      </w:r>
      <w:r w:rsidRPr="0072600F">
        <w:rPr>
          <w:sz w:val="26"/>
          <w:szCs w:val="26"/>
        </w:rPr>
        <w:t>SGIP sections 3.3.6 and 3.4.10 and</w:t>
      </w:r>
      <w:r w:rsidRPr="0072600F">
        <w:rPr>
          <w:sz w:val="26"/>
          <w:szCs w:val="26"/>
        </w:rPr>
        <w:t xml:space="preserve"> </w:t>
      </w:r>
      <w:r w:rsidRPr="0072600F">
        <w:rPr>
          <w:sz w:val="26"/>
          <w:szCs w:val="26"/>
        </w:rPr>
        <w:t>determine whether it should be used “consistent with good utility practice, applicable reliability standards, and other applicable regulatory requirements.”</w:t>
      </w:r>
      <w:r>
        <w:rPr>
          <w:rStyle w:val="FootnoteReference"/>
        </w:rPr>
        <w:footnoteReference w:id="1157"/>
      </w:r>
      <w:r w:rsidRPr="0072600F">
        <w:rPr>
          <w:sz w:val="26"/>
          <w:szCs w:val="26"/>
        </w:rPr>
        <w:t xml:space="preserve">  Order No. 2023 also adopted corresponding modifications to the </w:t>
      </w:r>
      <w:r w:rsidRPr="0072600F">
        <w:rPr>
          <w:i/>
          <w:sz w:val="26"/>
          <w:szCs w:val="26"/>
        </w:rPr>
        <w:t>pro forma</w:t>
      </w:r>
      <w:r w:rsidRPr="0072600F">
        <w:rPr>
          <w:sz w:val="26"/>
          <w:szCs w:val="26"/>
        </w:rPr>
        <w:t xml:space="preserve"> LGIP and </w:t>
      </w:r>
      <w:r w:rsidRPr="0072600F">
        <w:rPr>
          <w:i/>
          <w:sz w:val="26"/>
          <w:szCs w:val="26"/>
        </w:rPr>
        <w:t>pro forma</w:t>
      </w:r>
      <w:r w:rsidRPr="0072600F">
        <w:rPr>
          <w:sz w:val="26"/>
          <w:szCs w:val="26"/>
        </w:rPr>
        <w:t xml:space="preserve"> SGIP.  Below, we discuss further modifications to these </w:t>
      </w:r>
      <w:r w:rsidRPr="0072600F">
        <w:rPr>
          <w:i/>
          <w:sz w:val="26"/>
          <w:szCs w:val="26"/>
        </w:rPr>
        <w:t>pro forma</w:t>
      </w:r>
      <w:r w:rsidRPr="0072600F">
        <w:rPr>
          <w:sz w:val="26"/>
          <w:szCs w:val="26"/>
        </w:rPr>
        <w:t xml:space="preserve"> documents.</w:t>
      </w:r>
      <w:bookmarkEnd w:id="126"/>
    </w:p>
    <w:p w:rsidR="00760048" w:rsidRPr="0072600F" w14:paraId="10B135A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As discussed above, Order No. 2023 requires transmission providers to conduct their alternative transmission technology evaluations and use determinations consistent with good utility practice, applicable reliability standards, and other applicable regulatory requirements.  We address each performance standard </w:t>
      </w:r>
      <w:r w:rsidRPr="0072600F">
        <w:rPr>
          <w:bCs/>
          <w:sz w:val="26"/>
          <w:szCs w:val="26"/>
        </w:rPr>
        <w:t>in turn.</w:t>
      </w:r>
      <w:r w:rsidRPr="0072600F">
        <w:rPr>
          <w:sz w:val="26"/>
          <w:szCs w:val="26"/>
        </w:rPr>
        <w:t xml:space="preserve">  First, we disagree with Public Interest Organizations that “good utility practice” is vague or ambiguous because that term is defined in the </w:t>
      </w:r>
      <w:r w:rsidRPr="0072600F">
        <w:rPr>
          <w:i/>
          <w:sz w:val="26"/>
          <w:szCs w:val="26"/>
        </w:rPr>
        <w:t>pro forma</w:t>
      </w:r>
      <w:r w:rsidRPr="0072600F">
        <w:rPr>
          <w:sz w:val="26"/>
          <w:szCs w:val="26"/>
        </w:rPr>
        <w:t xml:space="preserve"> LGIP</w:t>
      </w:r>
      <w:r>
        <w:rPr>
          <w:rStyle w:val="FootnoteReference"/>
        </w:rPr>
        <w:footnoteReference w:id="1158"/>
      </w:r>
      <w:r w:rsidRPr="0072600F">
        <w:rPr>
          <w:sz w:val="26"/>
          <w:szCs w:val="26"/>
        </w:rPr>
        <w:t xml:space="preserve"> and the </w:t>
      </w:r>
      <w:r w:rsidRPr="0072600F">
        <w:rPr>
          <w:i/>
          <w:sz w:val="26"/>
          <w:szCs w:val="26"/>
        </w:rPr>
        <w:t>pro forma</w:t>
      </w:r>
      <w:r w:rsidRPr="0072600F">
        <w:rPr>
          <w:sz w:val="26"/>
          <w:szCs w:val="26"/>
        </w:rPr>
        <w:t xml:space="preserve"> SGIP.</w:t>
      </w:r>
      <w:r>
        <w:rPr>
          <w:rStyle w:val="FootnoteReference"/>
        </w:rPr>
        <w:footnoteReference w:id="1159"/>
      </w:r>
    </w:p>
    <w:p w:rsidR="00760048" w:rsidRPr="0072600F" w14:paraId="79640BE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Second, we disagree with Public Interest Organizations that “applicable reliability standards” is vague or ambiguous </w:t>
      </w:r>
      <w:bookmarkStart w:id="127" w:name="_Hlk158807910"/>
      <w:r w:rsidRPr="0072600F">
        <w:rPr>
          <w:sz w:val="26"/>
          <w:szCs w:val="26"/>
        </w:rPr>
        <w:t xml:space="preserve">because that term is defined in the </w:t>
      </w:r>
      <w:r w:rsidRPr="0072600F">
        <w:rPr>
          <w:i/>
          <w:sz w:val="26"/>
          <w:szCs w:val="26"/>
        </w:rPr>
        <w:t>pro forma</w:t>
      </w:r>
      <w:r w:rsidRPr="0072600F">
        <w:rPr>
          <w:sz w:val="26"/>
          <w:szCs w:val="26"/>
        </w:rPr>
        <w:t xml:space="preserve"> LGIP.</w:t>
      </w:r>
      <w:r>
        <w:rPr>
          <w:rStyle w:val="FootnoteReference"/>
        </w:rPr>
        <w:footnoteReference w:id="1160"/>
      </w:r>
      <w:bookmarkEnd w:id="127"/>
      <w:r w:rsidRPr="0072600F">
        <w:rPr>
          <w:sz w:val="26"/>
          <w:szCs w:val="26"/>
        </w:rPr>
        <w:t xml:space="preserve">  </w:t>
      </w:r>
      <w:bookmarkStart w:id="128" w:name="_Hlk158809760"/>
      <w:r w:rsidRPr="0072600F">
        <w:rPr>
          <w:sz w:val="26"/>
          <w:szCs w:val="26"/>
        </w:rPr>
        <w:t xml:space="preserve">We note, however, that, unlike the </w:t>
      </w:r>
      <w:r w:rsidRPr="0072600F">
        <w:rPr>
          <w:i/>
          <w:sz w:val="26"/>
          <w:szCs w:val="26"/>
        </w:rPr>
        <w:t>pro forma</w:t>
      </w:r>
      <w:r w:rsidRPr="0072600F">
        <w:rPr>
          <w:sz w:val="26"/>
          <w:szCs w:val="26"/>
        </w:rPr>
        <w:t xml:space="preserve"> LGIP, “applicable reliability standards” is not defined in the </w:t>
      </w:r>
      <w:r w:rsidRPr="0072600F">
        <w:rPr>
          <w:i/>
          <w:sz w:val="26"/>
          <w:szCs w:val="26"/>
        </w:rPr>
        <w:t>pro forma</w:t>
      </w:r>
      <w:r w:rsidRPr="0072600F">
        <w:rPr>
          <w:sz w:val="26"/>
          <w:szCs w:val="26"/>
        </w:rPr>
        <w:t xml:space="preserve"> SGIP.  Therefore, consistent with the definition in the </w:t>
      </w:r>
      <w:r w:rsidRPr="0072600F">
        <w:rPr>
          <w:i/>
          <w:sz w:val="26"/>
          <w:szCs w:val="26"/>
        </w:rPr>
        <w:t>pro forma</w:t>
      </w:r>
      <w:r w:rsidRPr="0072600F">
        <w:rPr>
          <w:sz w:val="26"/>
          <w:szCs w:val="26"/>
        </w:rPr>
        <w:t xml:space="preserve"> LGIP and Order No. 2023, we modify the </w:t>
      </w:r>
      <w:r w:rsidRPr="0072600F">
        <w:rPr>
          <w:i/>
          <w:sz w:val="26"/>
          <w:szCs w:val="26"/>
        </w:rPr>
        <w:t>pro forma</w:t>
      </w:r>
      <w:r w:rsidRPr="0072600F">
        <w:rPr>
          <w:sz w:val="26"/>
          <w:szCs w:val="26"/>
        </w:rPr>
        <w:t xml:space="preserve"> SGIP to define “Applicable Reliability Standards” as “the requirements and guidelines of the Electric Reliability Organization and the Balancing Authority Area of the Transmission System to which the Generating Facility is directly interconnected.”</w:t>
      </w:r>
      <w:r>
        <w:rPr>
          <w:rStyle w:val="FootnoteReference"/>
        </w:rPr>
        <w:footnoteReference w:id="1161"/>
      </w:r>
      <w:bookmarkEnd w:id="128"/>
      <w:r w:rsidRPr="0072600F">
        <w:rPr>
          <w:sz w:val="26"/>
          <w:szCs w:val="26"/>
        </w:rPr>
        <w:t xml:space="preserve">  We also find that the words “applicable reliability standards” were inadvertently not </w:t>
      </w:r>
      <w:r w:rsidRPr="0072600F">
        <w:rPr>
          <w:bCs/>
          <w:iCs/>
          <w:sz w:val="26"/>
          <w:szCs w:val="26"/>
        </w:rPr>
        <w:t>included</w:t>
      </w:r>
      <w:r w:rsidRPr="0072600F">
        <w:rPr>
          <w:sz w:val="26"/>
          <w:szCs w:val="26"/>
        </w:rPr>
        <w:t xml:space="preserve"> in the performance standards that Order No. 2023 added to </w:t>
      </w:r>
      <w:r w:rsidRPr="0072600F">
        <w:rPr>
          <w:i/>
          <w:sz w:val="26"/>
          <w:szCs w:val="26"/>
        </w:rPr>
        <w:t>pro forma</w:t>
      </w:r>
      <w:r w:rsidRPr="0072600F">
        <w:rPr>
          <w:sz w:val="26"/>
          <w:szCs w:val="26"/>
        </w:rPr>
        <w:t xml:space="preserve"> LGIP section 7.3 and </w:t>
      </w:r>
      <w:r w:rsidRPr="0072600F">
        <w:rPr>
          <w:i/>
          <w:sz w:val="26"/>
          <w:szCs w:val="26"/>
        </w:rPr>
        <w:t>pro forma</w:t>
      </w:r>
      <w:r w:rsidRPr="0072600F">
        <w:rPr>
          <w:sz w:val="26"/>
          <w:szCs w:val="26"/>
        </w:rPr>
        <w:t xml:space="preserve"> SGIP sections 3.3.6 and 3.4.10.  Therefore, we include that term in those </w:t>
      </w:r>
      <w:r w:rsidRPr="0072600F">
        <w:rPr>
          <w:i/>
          <w:sz w:val="26"/>
          <w:szCs w:val="26"/>
        </w:rPr>
        <w:t>pro forma</w:t>
      </w:r>
      <w:r w:rsidRPr="0072600F">
        <w:rPr>
          <w:sz w:val="26"/>
          <w:szCs w:val="26"/>
        </w:rPr>
        <w:t xml:space="preserve"> sections now.    </w:t>
      </w:r>
    </w:p>
    <w:p w:rsidR="00760048" w:rsidRPr="0072600F" w14:paraId="0E2A6F26" w14:textId="77777777">
      <w:pPr>
        <w:pStyle w:val="FERCparanumber"/>
        <w:widowControl/>
        <w:numPr>
          <w:ilvl w:val="0"/>
          <w:numId w:val="25"/>
        </w:numPr>
        <w:autoSpaceDE/>
        <w:autoSpaceDN/>
        <w:adjustRightInd/>
        <w:spacing w:line="480" w:lineRule="auto"/>
        <w:rPr>
          <w:bCs/>
          <w:sz w:val="26"/>
          <w:szCs w:val="26"/>
        </w:rPr>
      </w:pPr>
      <w:bookmarkStart w:id="129" w:name="_Ref160729885"/>
      <w:bookmarkStart w:id="130" w:name="_Hlk156822476"/>
      <w:r w:rsidRPr="0072600F">
        <w:rPr>
          <w:sz w:val="26"/>
          <w:szCs w:val="26"/>
        </w:rPr>
        <w:t>Finally, we find that the use of the catchall phrase “</w:t>
      </w:r>
      <w:r w:rsidRPr="0072600F">
        <w:rPr>
          <w:i/>
          <w:sz w:val="26"/>
          <w:szCs w:val="26"/>
        </w:rPr>
        <w:t>other applicable regulatory requirements</w:t>
      </w:r>
      <w:r w:rsidRPr="0072600F">
        <w:rPr>
          <w:sz w:val="26"/>
          <w:szCs w:val="26"/>
        </w:rPr>
        <w:t xml:space="preserve">” is vague or ambiguous.  Unlike the two standards discussed above, this phrase is not defined in either the </w:t>
      </w:r>
      <w:r w:rsidRPr="0072600F">
        <w:rPr>
          <w:i/>
          <w:sz w:val="26"/>
          <w:szCs w:val="26"/>
        </w:rPr>
        <w:t>pro forma</w:t>
      </w:r>
      <w:r w:rsidRPr="0072600F">
        <w:rPr>
          <w:sz w:val="26"/>
          <w:szCs w:val="26"/>
        </w:rPr>
        <w:t xml:space="preserve"> LGIP or </w:t>
      </w:r>
      <w:r w:rsidR="00AA5F57">
        <w:rPr>
          <w:sz w:val="26"/>
          <w:szCs w:val="26"/>
        </w:rPr>
        <w:t xml:space="preserve">the </w:t>
      </w:r>
      <w:r w:rsidRPr="0072600F">
        <w:rPr>
          <w:i/>
          <w:sz w:val="26"/>
          <w:szCs w:val="26"/>
        </w:rPr>
        <w:t>pro forma</w:t>
      </w:r>
      <w:r w:rsidRPr="0072600F">
        <w:rPr>
          <w:sz w:val="26"/>
          <w:szCs w:val="26"/>
        </w:rPr>
        <w:t xml:space="preserve"> SGIP.  In order to remedy this deficiency, we modify Order No. 2023 to replace “other applicable regulatory requirements” with the term “</w:t>
      </w:r>
      <w:bookmarkStart w:id="131" w:name="_Hlk157453960"/>
      <w:r w:rsidRPr="0072600F">
        <w:rPr>
          <w:sz w:val="26"/>
          <w:szCs w:val="26"/>
        </w:rPr>
        <w:t xml:space="preserve">applicable laws and </w:t>
      </w:r>
      <w:bookmarkEnd w:id="131"/>
      <w:r w:rsidRPr="0072600F">
        <w:rPr>
          <w:sz w:val="26"/>
          <w:szCs w:val="26"/>
        </w:rPr>
        <w:t xml:space="preserve">regulations,” which is a defined term in the </w:t>
      </w:r>
      <w:r w:rsidRPr="0072600F">
        <w:rPr>
          <w:i/>
          <w:sz w:val="26"/>
          <w:szCs w:val="26"/>
        </w:rPr>
        <w:t>pro forma</w:t>
      </w:r>
      <w:r w:rsidRPr="0072600F">
        <w:rPr>
          <w:sz w:val="26"/>
          <w:szCs w:val="26"/>
        </w:rPr>
        <w:t xml:space="preserve"> LGIP.  We note, however, that, unlike the </w:t>
      </w:r>
      <w:r w:rsidRPr="0072600F">
        <w:rPr>
          <w:i/>
          <w:sz w:val="26"/>
          <w:szCs w:val="26"/>
        </w:rPr>
        <w:t>pro forma</w:t>
      </w:r>
      <w:r w:rsidRPr="0072600F">
        <w:rPr>
          <w:sz w:val="26"/>
          <w:szCs w:val="26"/>
        </w:rPr>
        <w:t xml:space="preserve"> LGIP, “applicable laws and regulations” is not defined in the </w:t>
      </w:r>
      <w:r w:rsidRPr="0072600F">
        <w:rPr>
          <w:i/>
          <w:sz w:val="26"/>
          <w:szCs w:val="26"/>
        </w:rPr>
        <w:t>pro forma</w:t>
      </w:r>
      <w:r w:rsidRPr="0072600F">
        <w:rPr>
          <w:sz w:val="26"/>
          <w:szCs w:val="26"/>
        </w:rPr>
        <w:t xml:space="preserve"> SGIP.  Therefore, consistent with the definition in the </w:t>
      </w:r>
      <w:r w:rsidRPr="0072600F">
        <w:rPr>
          <w:i/>
          <w:sz w:val="26"/>
          <w:szCs w:val="26"/>
        </w:rPr>
        <w:t>pro forma</w:t>
      </w:r>
      <w:r w:rsidRPr="0072600F">
        <w:rPr>
          <w:sz w:val="26"/>
          <w:szCs w:val="26"/>
        </w:rPr>
        <w:t xml:space="preserve"> LGIP and Order No. 2023, we modify the </w:t>
      </w:r>
      <w:r w:rsidRPr="0072600F">
        <w:rPr>
          <w:i/>
          <w:sz w:val="26"/>
          <w:szCs w:val="26"/>
        </w:rPr>
        <w:t>pro forma</w:t>
      </w:r>
      <w:r w:rsidRPr="0072600F">
        <w:rPr>
          <w:sz w:val="26"/>
          <w:szCs w:val="26"/>
        </w:rPr>
        <w:t xml:space="preserve"> SGIP to define “applicable laws and regulations” as “all duly promulgated applicable federal, state and local laws, regulations, rules, ordinances, codes, decrees, judgments, directives, or judicial or administrative orders, permits and other duly authorized actions of any Governmental Authority.”</w:t>
      </w:r>
      <w:r>
        <w:rPr>
          <w:rStyle w:val="FootnoteReference"/>
        </w:rPr>
        <w:footnoteReference w:id="1162"/>
      </w:r>
      <w:r w:rsidRPr="0072600F">
        <w:rPr>
          <w:sz w:val="26"/>
          <w:szCs w:val="26"/>
        </w:rPr>
        <w:t xml:space="preserve">  We also modify </w:t>
      </w:r>
      <w:r w:rsidRPr="0072600F">
        <w:rPr>
          <w:i/>
          <w:sz w:val="26"/>
          <w:szCs w:val="26"/>
        </w:rPr>
        <w:t>pro forma</w:t>
      </w:r>
      <w:r w:rsidRPr="0072600F">
        <w:rPr>
          <w:sz w:val="26"/>
          <w:szCs w:val="26"/>
        </w:rPr>
        <w:t xml:space="preserve"> LGIP section 7.3 and </w:t>
      </w:r>
      <w:r w:rsidRPr="0072600F">
        <w:rPr>
          <w:i/>
          <w:sz w:val="26"/>
          <w:szCs w:val="26"/>
        </w:rPr>
        <w:t>pro forma</w:t>
      </w:r>
      <w:r w:rsidRPr="0072600F">
        <w:rPr>
          <w:sz w:val="26"/>
          <w:szCs w:val="26"/>
        </w:rPr>
        <w:t xml:space="preserve"> SGIP sections 3.3.6 and 3.4.10 to reflect this change in terminology.</w:t>
      </w:r>
      <w:bookmarkEnd w:id="129"/>
      <w:r w:rsidRPr="0072600F">
        <w:rPr>
          <w:bCs/>
          <w:iCs/>
          <w:sz w:val="26"/>
          <w:szCs w:val="26"/>
        </w:rPr>
        <w:t xml:space="preserve">  </w:t>
      </w:r>
    </w:p>
    <w:p w:rsidR="00760048" w:rsidRPr="0072600F" w14:paraId="0CF6B596" w14:textId="77777777">
      <w:pPr>
        <w:pStyle w:val="FERCparanumber"/>
        <w:widowControl/>
        <w:numPr>
          <w:ilvl w:val="0"/>
          <w:numId w:val="25"/>
        </w:numPr>
        <w:autoSpaceDE/>
        <w:autoSpaceDN/>
        <w:adjustRightInd/>
        <w:spacing w:line="480" w:lineRule="auto"/>
        <w:rPr>
          <w:bCs/>
          <w:sz w:val="26"/>
          <w:szCs w:val="26"/>
        </w:rPr>
      </w:pPr>
      <w:bookmarkStart w:id="132" w:name="_Ref160729859"/>
      <w:r w:rsidRPr="0072600F">
        <w:rPr>
          <w:bCs/>
          <w:sz w:val="26"/>
          <w:szCs w:val="26"/>
        </w:rPr>
        <w:t xml:space="preserve">Finally, we find that, although Order No. 2023 applies the performance standards to both the transmission provider’s evaluation of the enumerated alternative transmission technologies </w:t>
      </w:r>
      <w:r w:rsidRPr="0072600F">
        <w:rPr>
          <w:bCs/>
          <w:i/>
          <w:iCs/>
          <w:sz w:val="26"/>
          <w:szCs w:val="26"/>
        </w:rPr>
        <w:t>and</w:t>
      </w:r>
      <w:r w:rsidRPr="0072600F">
        <w:rPr>
          <w:bCs/>
          <w:sz w:val="26"/>
          <w:szCs w:val="26"/>
        </w:rPr>
        <w:t xml:space="preserve"> the determination to use the technology,</w:t>
      </w:r>
      <w:r>
        <w:rPr>
          <w:rStyle w:val="FootnoteReference"/>
        </w:rPr>
        <w:footnoteReference w:id="1163"/>
      </w:r>
      <w:r w:rsidRPr="0072600F">
        <w:rPr>
          <w:bCs/>
          <w:sz w:val="26"/>
          <w:szCs w:val="26"/>
        </w:rPr>
        <w:t xml:space="preserve"> </w:t>
      </w:r>
      <w:r w:rsidRPr="0072600F">
        <w:rPr>
          <w:bCs/>
          <w:i/>
          <w:iCs/>
          <w:sz w:val="26"/>
          <w:szCs w:val="26"/>
        </w:rPr>
        <w:t>pro forma</w:t>
      </w:r>
      <w:r w:rsidRPr="0072600F">
        <w:rPr>
          <w:bCs/>
          <w:sz w:val="26"/>
          <w:szCs w:val="26"/>
        </w:rPr>
        <w:t xml:space="preserve"> LGIP section 7.3 does not apply the standards to the former.  We therefore modify </w:t>
      </w:r>
      <w:r w:rsidRPr="0072600F">
        <w:rPr>
          <w:bCs/>
          <w:i/>
          <w:iCs/>
          <w:sz w:val="26"/>
          <w:szCs w:val="26"/>
        </w:rPr>
        <w:t>pro forma</w:t>
      </w:r>
      <w:r w:rsidRPr="0072600F">
        <w:rPr>
          <w:bCs/>
          <w:sz w:val="26"/>
          <w:szCs w:val="26"/>
        </w:rPr>
        <w:t xml:space="preserve"> LGIP section 7.3 to remedy this deficiency.</w:t>
      </w:r>
      <w:bookmarkEnd w:id="132"/>
      <w:r w:rsidRPr="0072600F">
        <w:rPr>
          <w:bCs/>
          <w:sz w:val="26"/>
          <w:szCs w:val="26"/>
        </w:rPr>
        <w:t xml:space="preserve"> </w:t>
      </w:r>
    </w:p>
    <w:p w:rsidR="00760048" w:rsidRPr="0072600F" w:rsidP="008B26D3" w14:paraId="6FA0F87B" w14:textId="77777777">
      <w:pPr>
        <w:pStyle w:val="FERCparanumber"/>
        <w:widowControl/>
        <w:numPr>
          <w:ilvl w:val="0"/>
          <w:numId w:val="25"/>
        </w:numPr>
        <w:autoSpaceDE/>
        <w:autoSpaceDN/>
        <w:adjustRightInd/>
        <w:spacing w:line="480" w:lineRule="auto"/>
        <w:ind w:right="-90"/>
        <w:rPr>
          <w:sz w:val="26"/>
          <w:szCs w:val="26"/>
        </w:rPr>
      </w:pPr>
      <w:bookmarkStart w:id="133" w:name="_Ref161764487"/>
      <w:bookmarkStart w:id="134" w:name="_Hlk156822485"/>
      <w:bookmarkEnd w:id="130"/>
      <w:r w:rsidRPr="0072600F">
        <w:rPr>
          <w:bCs/>
          <w:sz w:val="26"/>
          <w:szCs w:val="26"/>
        </w:rPr>
        <w:t xml:space="preserve">Based on these findings, we modify </w:t>
      </w:r>
      <w:r w:rsidRPr="0072600F">
        <w:rPr>
          <w:bCs/>
          <w:i/>
          <w:iCs/>
          <w:sz w:val="26"/>
          <w:szCs w:val="26"/>
        </w:rPr>
        <w:t>pro forma</w:t>
      </w:r>
      <w:r w:rsidRPr="0072600F">
        <w:rPr>
          <w:bCs/>
          <w:sz w:val="26"/>
          <w:szCs w:val="26"/>
        </w:rPr>
        <w:t xml:space="preserve"> LGIP section 7.3, in relevant part, as follows:  “Transmission Provider shall </w:t>
      </w:r>
      <w:r w:rsidRPr="0072600F">
        <w:rPr>
          <w:bCs/>
          <w:i/>
          <w:iCs/>
          <w:sz w:val="26"/>
          <w:szCs w:val="26"/>
        </w:rPr>
        <w:t>evaluate each identified alternative transmission technology and</w:t>
      </w:r>
      <w:r w:rsidRPr="0072600F">
        <w:rPr>
          <w:bCs/>
          <w:sz w:val="26"/>
          <w:szCs w:val="26"/>
        </w:rPr>
        <w:t xml:space="preserve"> </w:t>
      </w:r>
      <w:r w:rsidRPr="0072600F">
        <w:rPr>
          <w:bCs/>
          <w:sz w:val="26"/>
          <w:szCs w:val="26"/>
        </w:rPr>
        <w:t xml:space="preserve">determine whether the above technologies should be used, consistent with </w:t>
      </w:r>
      <w:bookmarkStart w:id="135" w:name="_Hlk158796840"/>
      <w:r w:rsidRPr="0072600F">
        <w:rPr>
          <w:bCs/>
          <w:sz w:val="26"/>
          <w:szCs w:val="26"/>
        </w:rPr>
        <w:t>Good Utility Practice</w:t>
      </w:r>
      <w:r w:rsidRPr="0072600F">
        <w:rPr>
          <w:bCs/>
          <w:i/>
          <w:iCs/>
          <w:sz w:val="26"/>
          <w:szCs w:val="26"/>
        </w:rPr>
        <w:t>,</w:t>
      </w:r>
      <w:r w:rsidRPr="0072600F">
        <w:rPr>
          <w:bCs/>
          <w:iCs/>
          <w:sz w:val="26"/>
          <w:szCs w:val="26"/>
        </w:rPr>
        <w:t xml:space="preserve"> </w:t>
      </w:r>
      <w:r w:rsidRPr="0072600F">
        <w:rPr>
          <w:bCs/>
          <w:i/>
          <w:iCs/>
          <w:sz w:val="26"/>
          <w:szCs w:val="26"/>
        </w:rPr>
        <w:t>Applicable Reliability Standards,</w:t>
      </w:r>
      <w:r w:rsidRPr="0072600F">
        <w:rPr>
          <w:bCs/>
          <w:sz w:val="26"/>
          <w:szCs w:val="26"/>
        </w:rPr>
        <w:t xml:space="preserve"> and [other applicable regulatory requirements]</w:t>
      </w:r>
      <w:bookmarkStart w:id="136" w:name="_Hlk155901067"/>
      <w:r w:rsidRPr="0072600F">
        <w:rPr>
          <w:bCs/>
          <w:i/>
          <w:iCs/>
          <w:sz w:val="26"/>
          <w:szCs w:val="26"/>
        </w:rPr>
        <w:t>Applicable Laws and Regulations</w:t>
      </w:r>
      <w:bookmarkEnd w:id="136"/>
      <w:r w:rsidRPr="0072600F">
        <w:rPr>
          <w:bCs/>
          <w:sz w:val="26"/>
          <w:szCs w:val="26"/>
        </w:rPr>
        <w:t>.”</w:t>
      </w:r>
      <w:bookmarkEnd w:id="133"/>
      <w:bookmarkEnd w:id="135"/>
    </w:p>
    <w:p w:rsidR="00760048" w:rsidRPr="0072600F" w:rsidP="008B26D3" w14:paraId="0D698158" w14:textId="77777777">
      <w:pPr>
        <w:pStyle w:val="FERCparanumber"/>
        <w:widowControl/>
        <w:numPr>
          <w:ilvl w:val="0"/>
          <w:numId w:val="25"/>
        </w:numPr>
        <w:autoSpaceDE/>
        <w:autoSpaceDN/>
        <w:adjustRightInd/>
        <w:spacing w:line="480" w:lineRule="auto"/>
        <w:ind w:right="-180"/>
        <w:rPr>
          <w:bCs/>
          <w:sz w:val="26"/>
          <w:szCs w:val="26"/>
        </w:rPr>
      </w:pPr>
      <w:bookmarkStart w:id="137" w:name="_Ref161764360"/>
      <w:r w:rsidRPr="0072600F">
        <w:rPr>
          <w:bCs/>
          <w:sz w:val="26"/>
          <w:szCs w:val="26"/>
        </w:rPr>
        <w:t xml:space="preserve">We also modify </w:t>
      </w:r>
      <w:r w:rsidRPr="0072600F">
        <w:rPr>
          <w:bCs/>
          <w:i/>
          <w:iCs/>
          <w:sz w:val="26"/>
          <w:szCs w:val="26"/>
        </w:rPr>
        <w:t>pro forma</w:t>
      </w:r>
      <w:r w:rsidRPr="0072600F">
        <w:rPr>
          <w:bCs/>
          <w:sz w:val="26"/>
          <w:szCs w:val="26"/>
        </w:rPr>
        <w:t xml:space="preserve"> SGIP sections 3.3.6 and 3.4.10, in relevant part, as follows: </w:t>
      </w:r>
      <w:r w:rsidR="008B26D3">
        <w:rPr>
          <w:bCs/>
          <w:sz w:val="26"/>
          <w:szCs w:val="26"/>
        </w:rPr>
        <w:t xml:space="preserve"> </w:t>
      </w:r>
      <w:r w:rsidRPr="0072600F">
        <w:rPr>
          <w:bCs/>
          <w:sz w:val="26"/>
          <w:szCs w:val="26"/>
        </w:rPr>
        <w:t>“Transmission Provider shall evaluate each identified alternative transmission technology and determine whether it should be used, consistent with Good Utility Practice</w:t>
      </w:r>
      <w:r w:rsidRPr="008B26D3">
        <w:rPr>
          <w:bCs/>
          <w:sz w:val="26"/>
          <w:szCs w:val="26"/>
        </w:rPr>
        <w:t>,</w:t>
      </w:r>
      <w:r w:rsidRPr="0072600F">
        <w:rPr>
          <w:bCs/>
          <w:i/>
          <w:iCs/>
          <w:sz w:val="26"/>
          <w:szCs w:val="26"/>
        </w:rPr>
        <w:t xml:space="preserve"> Applicable Reliability Standards,</w:t>
      </w:r>
      <w:r w:rsidRPr="0072600F">
        <w:rPr>
          <w:bCs/>
          <w:sz w:val="26"/>
          <w:szCs w:val="26"/>
        </w:rPr>
        <w:t xml:space="preserve"> and [other applicable regulatory requirements]</w:t>
      </w:r>
      <w:r w:rsidRPr="0072600F">
        <w:rPr>
          <w:bCs/>
          <w:i/>
          <w:iCs/>
          <w:sz w:val="26"/>
          <w:szCs w:val="26"/>
        </w:rPr>
        <w:t>Applicable Laws and Regulations</w:t>
      </w:r>
      <w:r w:rsidRPr="0072600F">
        <w:rPr>
          <w:bCs/>
          <w:sz w:val="26"/>
          <w:szCs w:val="26"/>
        </w:rPr>
        <w:t>.”</w:t>
      </w:r>
      <w:bookmarkEnd w:id="137"/>
      <w:r w:rsidRPr="0072600F">
        <w:rPr>
          <w:bCs/>
          <w:sz w:val="26"/>
          <w:szCs w:val="26"/>
        </w:rPr>
        <w:t xml:space="preserve"> </w:t>
      </w:r>
    </w:p>
    <w:bookmarkEnd w:id="134"/>
    <w:p w:rsidR="00760048" w:rsidRPr="0072600F" w14:paraId="2393CDC9" w14:textId="77777777">
      <w:pPr>
        <w:pStyle w:val="FERCparanumber"/>
        <w:widowControl/>
        <w:numPr>
          <w:ilvl w:val="0"/>
          <w:numId w:val="25"/>
        </w:numPr>
        <w:autoSpaceDE/>
        <w:autoSpaceDN/>
        <w:adjustRightInd/>
        <w:spacing w:line="480" w:lineRule="auto"/>
        <w:rPr>
          <w:iCs/>
          <w:sz w:val="26"/>
          <w:szCs w:val="26"/>
        </w:rPr>
      </w:pPr>
      <w:r w:rsidRPr="0072600F">
        <w:rPr>
          <w:bCs/>
          <w:sz w:val="26"/>
          <w:szCs w:val="26"/>
        </w:rPr>
        <w:t>We disagree with</w:t>
      </w:r>
      <w:r w:rsidRPr="0072600F">
        <w:rPr>
          <w:bCs/>
          <w:sz w:val="26"/>
          <w:szCs w:val="26"/>
        </w:rPr>
        <w:t xml:space="preserve"> </w:t>
      </w:r>
      <w:r w:rsidRPr="0072600F">
        <w:rPr>
          <w:bCs/>
          <w:sz w:val="26"/>
          <w:szCs w:val="26"/>
        </w:rPr>
        <w:t xml:space="preserve">Clean Energy Associations, Public Interest Organizations and WATT Coalition that requiring a transmission provider to evaluate the list of enumerated alternative transmission technologies and determine the use of those technologies consistent with these performance standards will negatively impact an interconnection customer’s ability to challenge a transmission provider’s actions.  As explained above, the performance standards applied in this context are the same as, or similar to, those that apply to other sections of the </w:t>
      </w:r>
      <w:r w:rsidRPr="0072600F">
        <w:rPr>
          <w:bCs/>
          <w:i/>
          <w:iCs/>
          <w:sz w:val="26"/>
          <w:szCs w:val="26"/>
        </w:rPr>
        <w:t>pro forma</w:t>
      </w:r>
      <w:r w:rsidRPr="0072600F">
        <w:rPr>
          <w:bCs/>
          <w:sz w:val="26"/>
          <w:szCs w:val="26"/>
        </w:rPr>
        <w:t xml:space="preserve"> LGIP and </w:t>
      </w:r>
      <w:r w:rsidRPr="0072600F">
        <w:rPr>
          <w:bCs/>
          <w:i/>
          <w:iCs/>
          <w:sz w:val="26"/>
          <w:szCs w:val="26"/>
        </w:rPr>
        <w:t>pro forma</w:t>
      </w:r>
      <w:r w:rsidRPr="0072600F">
        <w:rPr>
          <w:bCs/>
          <w:sz w:val="26"/>
          <w:szCs w:val="26"/>
        </w:rPr>
        <w:t xml:space="preserve"> SGIP.  </w:t>
      </w:r>
      <w:r w:rsidRPr="0072600F">
        <w:rPr>
          <w:sz w:val="26"/>
          <w:szCs w:val="26"/>
        </w:rPr>
        <w:t xml:space="preserve">Therefore, the use of these performance standards in this context does not in and of itself change an interconnection customer’s ability to challenge a transmission provider’s conduct.  </w:t>
      </w:r>
      <w:r w:rsidR="00194B86">
        <w:rPr>
          <w:sz w:val="26"/>
          <w:szCs w:val="26"/>
        </w:rPr>
        <w:t>As discussed above, a</w:t>
      </w:r>
      <w:r w:rsidRPr="0072600F">
        <w:rPr>
          <w:sz w:val="26"/>
          <w:szCs w:val="26"/>
        </w:rPr>
        <w:t xml:space="preserve">n interconnection customer </w:t>
      </w:r>
      <w:r w:rsidR="00194B86">
        <w:rPr>
          <w:sz w:val="26"/>
          <w:szCs w:val="26"/>
        </w:rPr>
        <w:t xml:space="preserve">may </w:t>
      </w:r>
      <w:r w:rsidRPr="0072600F">
        <w:rPr>
          <w:sz w:val="26"/>
          <w:szCs w:val="26"/>
        </w:rPr>
        <w:t xml:space="preserve">challenge a transmission provider’s evaluation of the enumerated alternative transmission technologies and its determination </w:t>
      </w:r>
      <w:r w:rsidR="00557156">
        <w:rPr>
          <w:sz w:val="26"/>
          <w:szCs w:val="26"/>
        </w:rPr>
        <w:t xml:space="preserve">about </w:t>
      </w:r>
      <w:r w:rsidRPr="0072600F">
        <w:rPr>
          <w:sz w:val="26"/>
          <w:szCs w:val="26"/>
        </w:rPr>
        <w:t xml:space="preserve">whether to use alternative transmission technologies as it can challenge other conduct in the </w:t>
      </w:r>
      <w:r w:rsidRPr="0072600F">
        <w:rPr>
          <w:i/>
          <w:iCs/>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SGIP that is allegedly inconsistent with the performance standards.</w:t>
      </w:r>
      <w:r>
        <w:rPr>
          <w:rStyle w:val="FootnoteReference"/>
        </w:rPr>
        <w:footnoteReference w:id="1164"/>
      </w:r>
      <w:r w:rsidRPr="0072600F">
        <w:rPr>
          <w:sz w:val="26"/>
          <w:szCs w:val="26"/>
        </w:rPr>
        <w:t xml:space="preserve">  </w:t>
      </w:r>
    </w:p>
    <w:p w:rsidR="00760048" w:rsidRPr="0072600F" w14:paraId="784A5010"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do not believe </w:t>
      </w:r>
      <w:r w:rsidR="00244DAE">
        <w:rPr>
          <w:sz w:val="26"/>
          <w:szCs w:val="26"/>
        </w:rPr>
        <w:t>that</w:t>
      </w:r>
      <w:r w:rsidRPr="0072600F">
        <w:rPr>
          <w:sz w:val="26"/>
          <w:szCs w:val="26"/>
        </w:rPr>
        <w:t xml:space="preserve"> WATT’s suggestion to allow an interconnection customer to provide input on the evaluation of alternative transmission technologies after the initial phase of the cluster study</w:t>
      </w:r>
      <w:r w:rsidR="00492661">
        <w:rPr>
          <w:sz w:val="26"/>
          <w:szCs w:val="26"/>
        </w:rPr>
        <w:t xml:space="preserve"> within the </w:t>
      </w:r>
      <w:r w:rsidR="00492661">
        <w:rPr>
          <w:i/>
          <w:iCs/>
          <w:sz w:val="26"/>
          <w:szCs w:val="26"/>
        </w:rPr>
        <w:t xml:space="preserve">pro forma </w:t>
      </w:r>
      <w:r w:rsidR="00492661">
        <w:rPr>
          <w:sz w:val="26"/>
          <w:szCs w:val="26"/>
        </w:rPr>
        <w:t>LGIP</w:t>
      </w:r>
      <w:r w:rsidRPr="0072600F">
        <w:rPr>
          <w:sz w:val="26"/>
          <w:szCs w:val="26"/>
        </w:rPr>
        <w:t xml:space="preserve"> is necessary.  The existing interconnection procedures already provide the opportunity for interconnection customer input with respect to all aspects of a cluster study after the cluster study report is completed, which necessarily provides an opportunity for input as to the evaluation of the enumerated alternative transmission technologies.  Specifically, </w:t>
      </w:r>
      <w:r w:rsidRPr="0072600F">
        <w:rPr>
          <w:i/>
          <w:iCs/>
          <w:sz w:val="26"/>
          <w:szCs w:val="26"/>
        </w:rPr>
        <w:t>pro forma</w:t>
      </w:r>
      <w:r w:rsidRPr="0072600F">
        <w:rPr>
          <w:sz w:val="26"/>
          <w:szCs w:val="26"/>
        </w:rPr>
        <w:t xml:space="preserve"> LGIP section 7.4 provides that, “[w]</w:t>
      </w:r>
      <w:r w:rsidRPr="0072600F">
        <w:rPr>
          <w:sz w:val="26"/>
          <w:szCs w:val="26"/>
        </w:rPr>
        <w:t>ithin</w:t>
      </w:r>
      <w:r w:rsidRPr="0072600F">
        <w:rPr>
          <w:sz w:val="26"/>
          <w:szCs w:val="26"/>
        </w:rPr>
        <w:t xml:space="preserve"> ten (10) Business Days of simultaneously furnishing a Cluster Study Report to each Interconnection Customer within the Cluster and posting such report on OASIS, Transmission Provider shall convene a Cluster Study Report Meeting.”  </w:t>
      </w:r>
      <w:r w:rsidRPr="0072600F">
        <w:rPr>
          <w:i/>
          <w:iCs/>
          <w:sz w:val="26"/>
          <w:szCs w:val="26"/>
        </w:rPr>
        <w:t>Pro forma</w:t>
      </w:r>
      <w:r w:rsidRPr="0072600F">
        <w:rPr>
          <w:sz w:val="26"/>
          <w:szCs w:val="26"/>
        </w:rPr>
        <w:t xml:space="preserve"> LGIP section 7.5 provides a similar opportunity for input after the completion of a cluster restudy report.  WATT Coalition does not explain how an additional opportunity to provide input after the initial phase of a cluster study would be beneficial and ensure just and reasonable rates.  We find that, to the contrary, WATT’s request for an additional opportunity to provide input would slow down the interconnection process, which would undermine the Commission’s efforts to ensure a reliable, efficient, transparent, and timely interconnection process. </w:t>
      </w:r>
    </w:p>
    <w:p w:rsidR="00760048" w:rsidRPr="0072600F" w14:paraId="55EE70EB" w14:textId="77777777">
      <w:pPr>
        <w:pStyle w:val="FERCparanumber"/>
        <w:widowControl/>
        <w:numPr>
          <w:ilvl w:val="0"/>
          <w:numId w:val="25"/>
        </w:numPr>
        <w:autoSpaceDE/>
        <w:autoSpaceDN/>
        <w:adjustRightInd/>
        <w:spacing w:line="480" w:lineRule="auto"/>
        <w:rPr>
          <w:sz w:val="26"/>
          <w:szCs w:val="26"/>
        </w:rPr>
      </w:pPr>
      <w:bookmarkStart w:id="138" w:name="_Hlk149147439"/>
      <w:r w:rsidRPr="0072600F">
        <w:rPr>
          <w:sz w:val="26"/>
          <w:szCs w:val="26"/>
        </w:rPr>
        <w:t>We address in turn</w:t>
      </w:r>
      <w:r w:rsidRPr="0072600F">
        <w:rPr>
          <w:sz w:val="26"/>
          <w:szCs w:val="26"/>
        </w:rPr>
        <w:t xml:space="preserve"> </w:t>
      </w:r>
      <w:r w:rsidRPr="0072600F">
        <w:rPr>
          <w:sz w:val="26"/>
          <w:szCs w:val="26"/>
        </w:rPr>
        <w:t>rehearing</w:t>
      </w:r>
      <w:r w:rsidRPr="0072600F">
        <w:rPr>
          <w:sz w:val="26"/>
          <w:szCs w:val="26"/>
        </w:rPr>
        <w:t xml:space="preserve"> </w:t>
      </w:r>
      <w:r w:rsidRPr="0072600F">
        <w:rPr>
          <w:sz w:val="26"/>
          <w:szCs w:val="26"/>
        </w:rPr>
        <w:t xml:space="preserve">parties’ requests for rehearing and/or clarification related to the list of enumerated alternative transmission technologies in Order No. 2023.  We are not persuaded by SPP’s request to reconsider the inclusion of transmission switching in the list of enumerated alternative transmission technologies.  </w:t>
      </w:r>
      <w:bookmarkEnd w:id="138"/>
      <w:r w:rsidRPr="0072600F">
        <w:rPr>
          <w:sz w:val="26"/>
          <w:szCs w:val="26"/>
        </w:rPr>
        <w:t>While transmission switching may be used more often in short-term, operational timeframes, we continue to find that it is just and reasonable to include transmission switching on the list of technologies that transmission providers are required to evaluate because it could provide topology solutions that relieve transmission constraints for the duration of the requested interconnection service and does not rely only on transient conditions.  As discussed above, Order No. 2023 did not create a presumption in favor of substituting alternative transmission technologies for necessary traditional network upgrades, either categorically or in specific cases.</w:t>
      </w:r>
      <w:r>
        <w:rPr>
          <w:rStyle w:val="FootnoteReference"/>
        </w:rPr>
        <w:footnoteReference w:id="1165"/>
      </w:r>
      <w:r w:rsidRPr="0072600F">
        <w:rPr>
          <w:sz w:val="26"/>
          <w:szCs w:val="26"/>
        </w:rPr>
        <w:t xml:space="preserve">  </w:t>
      </w:r>
    </w:p>
    <w:p w:rsidR="00760048" w:rsidRPr="0072600F" w14:paraId="376ED1FF" w14:textId="77777777">
      <w:pPr>
        <w:pStyle w:val="FERCparanumber"/>
        <w:widowControl/>
        <w:numPr>
          <w:ilvl w:val="0"/>
          <w:numId w:val="25"/>
        </w:numPr>
        <w:autoSpaceDE/>
        <w:autoSpaceDN/>
        <w:adjustRightInd/>
        <w:spacing w:line="480" w:lineRule="auto"/>
        <w:rPr>
          <w:sz w:val="26"/>
          <w:szCs w:val="26"/>
        </w:rPr>
      </w:pPr>
      <w:bookmarkStart w:id="139" w:name="_Hlk156822511"/>
      <w:r w:rsidRPr="0072600F">
        <w:rPr>
          <w:sz w:val="26"/>
          <w:szCs w:val="26"/>
        </w:rPr>
        <w:t xml:space="preserve">We are persuaded by VEIR’s arguments raised on rehearing and clarify that there are a range of permissible present and future advanced conductor technologies that fall within this class of technologies that transmission providers are required to evaluate pursuant to Order No. 2023.  We agree that this clarification will ensure that the term </w:t>
      </w:r>
      <w:r w:rsidR="00CB45B2">
        <w:rPr>
          <w:sz w:val="26"/>
          <w:szCs w:val="26"/>
        </w:rPr>
        <w:t>“</w:t>
      </w:r>
      <w:r w:rsidRPr="0072600F">
        <w:rPr>
          <w:sz w:val="26"/>
          <w:szCs w:val="26"/>
        </w:rPr>
        <w:t>advanced conductors</w:t>
      </w:r>
      <w:r w:rsidR="00CB45B2">
        <w:rPr>
          <w:sz w:val="26"/>
          <w:szCs w:val="26"/>
        </w:rPr>
        <w:t>”</w:t>
      </w:r>
      <w:r w:rsidRPr="0072600F">
        <w:rPr>
          <w:sz w:val="26"/>
          <w:szCs w:val="26"/>
        </w:rPr>
        <w:t xml:space="preserve"> includes present and future transmission line technologies whose power flow capacities exceed the power flow capacities of conventional transmission line technologies, thus achieving the Commission’s objectives in Order No. 2023.  Consistent with VEIR’s request for clarification, we further clarify that advanced conductors are advanced relative to conventional aluminum conductor steel reinforced conductors and include, but are not limited to, superconducting cables, advanced composite conductors, high temperature low-sag conductors, fiber optic temperature sensing conductors, and advanced overhead conductors.</w:t>
      </w:r>
      <w:r>
        <w:rPr>
          <w:rStyle w:val="FootnoteReference"/>
        </w:rPr>
        <w:footnoteReference w:id="1166"/>
      </w:r>
    </w:p>
    <w:bookmarkEnd w:id="139"/>
    <w:p w:rsidR="00760048" w:rsidRPr="0072600F" w14:paraId="317AE952" w14:textId="77777777">
      <w:pPr>
        <w:pStyle w:val="FERCparanumber"/>
        <w:widowControl/>
        <w:numPr>
          <w:ilvl w:val="0"/>
          <w:numId w:val="25"/>
        </w:numPr>
        <w:autoSpaceDE/>
        <w:autoSpaceDN/>
        <w:adjustRightInd/>
        <w:spacing w:line="480" w:lineRule="auto"/>
        <w:rPr>
          <w:sz w:val="26"/>
          <w:szCs w:val="26"/>
        </w:rPr>
      </w:pPr>
      <w:r w:rsidRPr="0072600F">
        <w:rPr>
          <w:sz w:val="26"/>
          <w:szCs w:val="26"/>
        </w:rPr>
        <w:t>We sustain the Commission’s decision in Order No. 2023 not to include dynamic line ratings in the enumerated list of alternative transmission technologies that a transmission provider must evaluate.  In Order No. 2023, the Commission properly exercised its discretion to determine just and reasonable rates and balanced various factors to establish a list of alternative transmission technologies that transmission providers are required to evaluate.</w:t>
      </w:r>
      <w:r>
        <w:rPr>
          <w:rStyle w:val="FootnoteReference"/>
        </w:rPr>
        <w:footnoteReference w:id="1167"/>
      </w:r>
      <w:r w:rsidRPr="0072600F">
        <w:rPr>
          <w:sz w:val="26"/>
          <w:szCs w:val="26"/>
        </w:rPr>
        <w:t xml:space="preserve">  Specifically, the Commission balanced two competing objectives in its effort to ensure just and reasonable rates: </w:t>
      </w:r>
      <w:r w:rsidR="008B26D3">
        <w:rPr>
          <w:sz w:val="26"/>
          <w:szCs w:val="26"/>
        </w:rPr>
        <w:t xml:space="preserve"> </w:t>
      </w:r>
      <w:r w:rsidR="00916277">
        <w:rPr>
          <w:sz w:val="26"/>
          <w:szCs w:val="26"/>
        </w:rPr>
        <w:t xml:space="preserve">(1) </w:t>
      </w:r>
      <w:r w:rsidRPr="0072600F">
        <w:rPr>
          <w:sz w:val="26"/>
          <w:szCs w:val="26"/>
        </w:rPr>
        <w:t>the speed of interconnection queue processing times</w:t>
      </w:r>
      <w:r w:rsidR="00916277">
        <w:rPr>
          <w:sz w:val="26"/>
          <w:szCs w:val="26"/>
        </w:rPr>
        <w:t xml:space="preserve"> and (2)</w:t>
      </w:r>
      <w:r w:rsidRPr="0072600F">
        <w:rPr>
          <w:sz w:val="26"/>
          <w:szCs w:val="26"/>
        </w:rPr>
        <w:t xml:space="preserve"> the cost and the speed at which network upgrades can be constructed.  In particular, the Commission recognized that evaluating the enumerated alternative transmission technologies in the cluster studies has the potential to identify network upgrade solutions that are cheaper and faster to construct but, all else equal, may also increase interconnection study processing times by increasing the scope and complexity of the cluster studies.</w:t>
      </w:r>
      <w:r>
        <w:rPr>
          <w:rStyle w:val="FootnoteReference"/>
        </w:rPr>
        <w:footnoteReference w:id="1168"/>
      </w:r>
      <w:r w:rsidRPr="0072600F">
        <w:rPr>
          <w:sz w:val="26"/>
          <w:szCs w:val="26"/>
        </w:rPr>
        <w:t xml:space="preserve">  </w:t>
      </w:r>
    </w:p>
    <w:p w:rsidR="00760048" w:rsidRPr="0072600F" w14:paraId="5355C5C8" w14:textId="77777777">
      <w:pPr>
        <w:pStyle w:val="FERCparanumber"/>
        <w:widowControl/>
        <w:numPr>
          <w:ilvl w:val="0"/>
          <w:numId w:val="25"/>
        </w:numPr>
        <w:autoSpaceDE/>
        <w:autoSpaceDN/>
        <w:adjustRightInd/>
        <w:spacing w:line="480" w:lineRule="auto"/>
        <w:rPr>
          <w:sz w:val="26"/>
          <w:szCs w:val="26"/>
        </w:rPr>
      </w:pPr>
      <w:r w:rsidRPr="0072600F">
        <w:rPr>
          <w:sz w:val="26"/>
          <w:szCs w:val="26"/>
        </w:rPr>
        <w:t>The list of alternative transmission technologies enumerated in Order No. 2023 that transmission providers must evaluate includes those technologies that can serve as network upgrade solutions even in high stress conditions and scenarios in which weather conditions are less favorable.  Unlike the alternative transmission technologies on the list, dynamic line ratings are dependent on weather conditions (e.g., wind speed and direction and solar irradiance level).  If weather conditions change, the interconnection customer and the load reliant on that interconnection customer are both at risk of the interconnection customer’s energy not being deliverable during real-time operations.  Given that interconnection studies for NRIS incorporate a range of simulations assuming worst-case conditions,</w:t>
      </w:r>
      <w:r>
        <w:rPr>
          <w:rStyle w:val="FootnoteReference"/>
        </w:rPr>
        <w:footnoteReference w:id="1169"/>
      </w:r>
      <w:r w:rsidRPr="0072600F">
        <w:rPr>
          <w:sz w:val="26"/>
          <w:szCs w:val="26"/>
        </w:rPr>
        <w:t xml:space="preserve"> worst-case line rating input assumptions are appropriate in this context as inputs to interconnection studies, as explained further below.  Because dynamic line ratings use non-worst case scenario input assumptions, it is not arbitrary and capricious to exempt dynamic line ratings from the enumerated list of technologies that must be considered in interconnection studies.    </w:t>
      </w:r>
    </w:p>
    <w:p w:rsidR="00760048" w:rsidRPr="0072600F" w14:paraId="1C915F14" w14:textId="77777777">
      <w:pPr>
        <w:pStyle w:val="FERCparanumber"/>
        <w:widowControl/>
        <w:numPr>
          <w:ilvl w:val="0"/>
          <w:numId w:val="25"/>
        </w:numPr>
        <w:autoSpaceDE/>
        <w:autoSpaceDN/>
        <w:adjustRightInd/>
        <w:spacing w:line="480" w:lineRule="auto"/>
        <w:rPr>
          <w:sz w:val="26"/>
          <w:szCs w:val="26"/>
        </w:rPr>
      </w:pPr>
      <w:r w:rsidRPr="0072600F">
        <w:rPr>
          <w:sz w:val="26"/>
          <w:szCs w:val="26"/>
        </w:rPr>
        <w:t>WATT Coalition further asserts</w:t>
      </w:r>
      <w:r w:rsidRPr="0072600F">
        <w:rPr>
          <w:sz w:val="26"/>
          <w:szCs w:val="26"/>
        </w:rPr>
        <w:t xml:space="preserve"> </w:t>
      </w:r>
      <w:r w:rsidRPr="0072600F">
        <w:rPr>
          <w:sz w:val="26"/>
          <w:szCs w:val="26"/>
        </w:rPr>
        <w:t>that line ratings in interconnection studies are chronically underrated, and that, without dynamic line ratings, lower wind assumptions are used, causing transmission lines to be rated lower in planning studies.  This assertion does not properly address how transmission providers conduct interconnection studies.  Under the current approach to interconnection studies, which the Commission did not fundamentally change in Order No. 2023, transmission providers study requests for NRIS using line ratings that assume worst case inputs in order to ensure reliability under the most restrictive operating conditions anticipated to occur.</w:t>
      </w:r>
      <w:r>
        <w:rPr>
          <w:rStyle w:val="FootnoteReference"/>
        </w:rPr>
        <w:footnoteReference w:id="1170"/>
      </w:r>
      <w:r w:rsidRPr="0072600F">
        <w:rPr>
          <w:sz w:val="26"/>
          <w:szCs w:val="26"/>
        </w:rPr>
        <w:t xml:space="preserve">  </w:t>
      </w:r>
    </w:p>
    <w:p w:rsidR="00760048" w:rsidRPr="0072600F" w14:paraId="0FF93871" w14:textId="77777777">
      <w:pPr>
        <w:pStyle w:val="FERCparanumber"/>
        <w:widowControl/>
        <w:numPr>
          <w:ilvl w:val="0"/>
          <w:numId w:val="25"/>
        </w:numPr>
        <w:autoSpaceDE/>
        <w:autoSpaceDN/>
        <w:adjustRightInd/>
        <w:spacing w:line="480" w:lineRule="auto"/>
        <w:rPr>
          <w:sz w:val="26"/>
          <w:szCs w:val="26"/>
        </w:rPr>
      </w:pPr>
      <w:r w:rsidRPr="0072600F">
        <w:rPr>
          <w:sz w:val="26"/>
          <w:szCs w:val="26"/>
        </w:rPr>
        <w:t>We also disagree that the evaluation of potential benefits of dynamic line ratings in transmission planning and interconnection should be analogous.  Operational studies, transmission planning studies, and interconnection studies have distinct goals.  The objective of an interconnection study, which is inherently a type of reliability study, is to identify interconnection facilities and/or traditional network upgrades that are needed to safely and reliably interconnect a generating facility to the transmission system.</w:t>
      </w:r>
      <w:r>
        <w:rPr>
          <w:rStyle w:val="FootnoteReference"/>
        </w:rPr>
        <w:footnoteReference w:id="1171"/>
      </w:r>
      <w:r w:rsidRPr="0072600F">
        <w:rPr>
          <w:sz w:val="26"/>
          <w:szCs w:val="26"/>
        </w:rPr>
        <w:t xml:space="preserve">  Contrary to WATT Coalition’s assertion, there is limited record evidence that dynamic line ratings are well-suited to meeting the reliability goals of interconnection studies, and several commenters express concerns that dynamic line ratings cannot reliably serve as network upgrades.</w:t>
      </w:r>
      <w:r>
        <w:rPr>
          <w:rStyle w:val="FootnoteReference"/>
        </w:rPr>
        <w:footnoteReference w:id="1172"/>
      </w:r>
      <w:r w:rsidRPr="0072600F">
        <w:rPr>
          <w:sz w:val="26"/>
          <w:szCs w:val="26"/>
        </w:rPr>
        <w:t xml:space="preserve"> </w:t>
      </w:r>
      <w:r w:rsidRPr="0072600F">
        <w:rPr>
          <w:sz w:val="26"/>
          <w:szCs w:val="26"/>
        </w:rPr>
        <w:t xml:space="preserve"> In particular, dynamic line ratings only alter line ratings as operational conditions, such as wind speed and direction or solar irradiance level, warrant as forecasted over a particular timeframe.  Therefore, dynamic line ratings cannot guarantee that an increased line rating will be available at any particular time, including times of system stress such as those studied to evaluate the reliability impact of an interconnection request.</w:t>
      </w:r>
    </w:p>
    <w:p w:rsidR="00760048" w:rsidRPr="0072600F" w14:paraId="66F7070A" w14:textId="77777777">
      <w:pPr>
        <w:pStyle w:val="FERCparanumber"/>
        <w:widowControl/>
        <w:numPr>
          <w:ilvl w:val="0"/>
          <w:numId w:val="25"/>
        </w:numPr>
        <w:autoSpaceDE/>
        <w:autoSpaceDN/>
        <w:adjustRightInd/>
        <w:spacing w:line="480" w:lineRule="auto"/>
        <w:rPr>
          <w:sz w:val="26"/>
          <w:szCs w:val="26"/>
        </w:rPr>
      </w:pPr>
      <w:r w:rsidRPr="0072600F">
        <w:rPr>
          <w:sz w:val="26"/>
          <w:szCs w:val="26"/>
        </w:rPr>
        <w:t>In terms of evidence, WATT Coalition provides instances in which dynamic line ratings have been studied as a pilot project or have been used in operations and some theoretical examples of how dynamic line ratings can raise line ratings and thus could be helpful in interconnection; however, WATT Coalition does not provide evidence that interconnection studies have relied upon dynamic line ratings in the place of a network upgrade to resolve potential reliability violations.  We are not persuaded by the examples that WATT Coalition uses as the basis for its rehearing request for both procedural and substantive reasons.  First, WATT Coalition provides a few examples for the first time on rehearing that could have been provided earlier in the proceeding, which is impermissible under the Commission’s precedent.</w:t>
      </w:r>
      <w:r>
        <w:rPr>
          <w:rStyle w:val="FootnoteReference"/>
        </w:rPr>
        <w:footnoteReference w:id="1173"/>
      </w:r>
      <w:r w:rsidRPr="0072600F">
        <w:rPr>
          <w:sz w:val="26"/>
          <w:szCs w:val="26"/>
        </w:rPr>
        <w:t xml:space="preserve">  </w:t>
      </w:r>
    </w:p>
    <w:p w:rsidR="00760048" w:rsidRPr="0072600F" w14:paraId="2DD5E91E"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Second, substantively, WATT Coalition’s reliance on the scenarios is also misplaced.  In particular, in the case of high-wind scenarios cited by WATT Coalition, </w:t>
      </w:r>
      <w:r w:rsidR="00116DCE">
        <w:rPr>
          <w:sz w:val="26"/>
          <w:szCs w:val="26"/>
        </w:rPr>
        <w:t xml:space="preserve">it is possible that </w:t>
      </w:r>
      <w:r w:rsidRPr="0072600F">
        <w:rPr>
          <w:sz w:val="26"/>
          <w:szCs w:val="26"/>
        </w:rPr>
        <w:t xml:space="preserve">a </w:t>
      </w:r>
      <w:r w:rsidR="00116DCE">
        <w:rPr>
          <w:sz w:val="26"/>
          <w:szCs w:val="26"/>
        </w:rPr>
        <w:t>dynamic line rating</w:t>
      </w:r>
      <w:r w:rsidRPr="0072600F">
        <w:rPr>
          <w:sz w:val="26"/>
          <w:szCs w:val="26"/>
        </w:rPr>
        <w:t xml:space="preserve"> studied in lieu of a traditional network upgrade </w:t>
      </w:r>
      <w:r w:rsidR="00116DCE">
        <w:rPr>
          <w:sz w:val="26"/>
          <w:szCs w:val="26"/>
        </w:rPr>
        <w:t>would be</w:t>
      </w:r>
      <w:r w:rsidRPr="0072600F">
        <w:rPr>
          <w:sz w:val="26"/>
          <w:szCs w:val="26"/>
        </w:rPr>
        <w:t xml:space="preserve"> able to resolve a thermal overload in a high-wind scenario</w:t>
      </w:r>
      <w:r w:rsidR="00116DCE">
        <w:rPr>
          <w:sz w:val="26"/>
          <w:szCs w:val="26"/>
        </w:rPr>
        <w:t>.  However</w:t>
      </w:r>
      <w:r w:rsidRPr="0072600F">
        <w:rPr>
          <w:sz w:val="26"/>
          <w:szCs w:val="26"/>
        </w:rPr>
        <w:t xml:space="preserve">, under NRIS, </w:t>
      </w:r>
      <w:r w:rsidR="004E1F06">
        <w:rPr>
          <w:sz w:val="26"/>
          <w:szCs w:val="26"/>
        </w:rPr>
        <w:t>“</w:t>
      </w:r>
      <w:r w:rsidR="004940A8">
        <w:rPr>
          <w:sz w:val="26"/>
          <w:szCs w:val="26"/>
        </w:rPr>
        <w:t>[</w:t>
      </w:r>
      <w:r w:rsidRPr="0072600F">
        <w:rPr>
          <w:sz w:val="26"/>
          <w:szCs w:val="26"/>
        </w:rPr>
        <w:t>t</w:t>
      </w:r>
      <w:r w:rsidR="004940A8">
        <w:rPr>
          <w:sz w:val="26"/>
          <w:szCs w:val="26"/>
        </w:rPr>
        <w:t>]</w:t>
      </w:r>
      <w:r w:rsidRPr="0072600F">
        <w:rPr>
          <w:sz w:val="26"/>
          <w:szCs w:val="26"/>
        </w:rPr>
        <w:t>ransmission</w:t>
      </w:r>
      <w:r w:rsidRPr="0072600F">
        <w:rPr>
          <w:sz w:val="26"/>
          <w:szCs w:val="26"/>
        </w:rPr>
        <w:t xml:space="preserve"> </w:t>
      </w:r>
      <w:r w:rsidR="004940A8">
        <w:rPr>
          <w:sz w:val="26"/>
          <w:szCs w:val="26"/>
        </w:rPr>
        <w:t>[</w:t>
      </w:r>
      <w:r w:rsidRPr="0072600F">
        <w:rPr>
          <w:sz w:val="26"/>
          <w:szCs w:val="26"/>
        </w:rPr>
        <w:t>p</w:t>
      </w:r>
      <w:r w:rsidR="004940A8">
        <w:rPr>
          <w:sz w:val="26"/>
          <w:szCs w:val="26"/>
        </w:rPr>
        <w:t>]</w:t>
      </w:r>
      <w:r w:rsidRPr="0072600F">
        <w:rPr>
          <w:sz w:val="26"/>
          <w:szCs w:val="26"/>
        </w:rPr>
        <w:t>roviders</w:t>
      </w:r>
      <w:r w:rsidRPr="0072600F">
        <w:rPr>
          <w:sz w:val="26"/>
          <w:szCs w:val="26"/>
        </w:rPr>
        <w:t xml:space="preserve"> must study the </w:t>
      </w:r>
      <w:r w:rsidR="006F565E">
        <w:rPr>
          <w:sz w:val="26"/>
          <w:szCs w:val="26"/>
        </w:rPr>
        <w:t>[</w:t>
      </w:r>
      <w:r w:rsidR="00B27129">
        <w:rPr>
          <w:sz w:val="26"/>
          <w:szCs w:val="26"/>
        </w:rPr>
        <w:t>t</w:t>
      </w:r>
      <w:r w:rsidR="006F565E">
        <w:rPr>
          <w:sz w:val="26"/>
          <w:szCs w:val="26"/>
        </w:rPr>
        <w:t>]</w:t>
      </w:r>
      <w:r w:rsidRPr="0072600F">
        <w:rPr>
          <w:sz w:val="26"/>
          <w:szCs w:val="26"/>
        </w:rPr>
        <w:t>ransmission</w:t>
      </w:r>
      <w:r w:rsidRPr="0072600F">
        <w:rPr>
          <w:sz w:val="26"/>
          <w:szCs w:val="26"/>
        </w:rPr>
        <w:t xml:space="preserve"> </w:t>
      </w:r>
      <w:r w:rsidR="006F565E">
        <w:rPr>
          <w:sz w:val="26"/>
          <w:szCs w:val="26"/>
        </w:rPr>
        <w:t>[</w:t>
      </w:r>
      <w:r w:rsidR="00B27129">
        <w:rPr>
          <w:sz w:val="26"/>
          <w:szCs w:val="26"/>
        </w:rPr>
        <w:t>s</w:t>
      </w:r>
      <w:r w:rsidR="006F565E">
        <w:rPr>
          <w:sz w:val="26"/>
          <w:szCs w:val="26"/>
        </w:rPr>
        <w:t>]</w:t>
      </w:r>
      <w:r w:rsidRPr="0072600F">
        <w:rPr>
          <w:sz w:val="26"/>
          <w:szCs w:val="26"/>
        </w:rPr>
        <w:t>ystem</w:t>
      </w:r>
      <w:r w:rsidRPr="0072600F">
        <w:rPr>
          <w:sz w:val="26"/>
          <w:szCs w:val="26"/>
        </w:rPr>
        <w:t xml:space="preserve"> at peak load, under a variety of severely stressed conditions </w:t>
      </w:r>
      <w:r w:rsidRPr="0072600F" w:rsidR="00CE225D">
        <w:rPr>
          <w:sz w:val="26"/>
          <w:szCs w:val="26"/>
        </w:rPr>
        <w:t>to</w:t>
      </w:r>
      <w:r w:rsidRPr="00CE225D" w:rsidR="00CE225D">
        <w:rPr>
          <w:sz w:val="26"/>
          <w:szCs w:val="26"/>
        </w:rPr>
        <w:t xml:space="preserve"> determine whether, with the </w:t>
      </w:r>
      <w:r w:rsidR="006F565E">
        <w:rPr>
          <w:sz w:val="26"/>
          <w:szCs w:val="26"/>
        </w:rPr>
        <w:t>[</w:t>
      </w:r>
      <w:r w:rsidR="00B27129">
        <w:rPr>
          <w:sz w:val="26"/>
          <w:szCs w:val="26"/>
        </w:rPr>
        <w:t>g</w:t>
      </w:r>
      <w:r w:rsidR="006F565E">
        <w:rPr>
          <w:sz w:val="26"/>
          <w:szCs w:val="26"/>
        </w:rPr>
        <w:t>]</w:t>
      </w:r>
      <w:r w:rsidRPr="00CE225D" w:rsidR="00CE225D">
        <w:rPr>
          <w:sz w:val="26"/>
          <w:szCs w:val="26"/>
        </w:rPr>
        <w:t>enerating</w:t>
      </w:r>
      <w:r w:rsidRPr="00CE225D" w:rsidR="00CE225D">
        <w:rPr>
          <w:sz w:val="26"/>
          <w:szCs w:val="26"/>
        </w:rPr>
        <w:t xml:space="preserve"> </w:t>
      </w:r>
      <w:r w:rsidR="006F565E">
        <w:rPr>
          <w:sz w:val="26"/>
          <w:szCs w:val="26"/>
        </w:rPr>
        <w:t>[</w:t>
      </w:r>
      <w:r w:rsidR="00B27129">
        <w:rPr>
          <w:sz w:val="26"/>
          <w:szCs w:val="26"/>
        </w:rPr>
        <w:t>f</w:t>
      </w:r>
      <w:r w:rsidR="006F565E">
        <w:rPr>
          <w:sz w:val="26"/>
          <w:szCs w:val="26"/>
        </w:rPr>
        <w:t>]</w:t>
      </w:r>
      <w:r w:rsidRPr="00CE225D" w:rsidR="00CE225D">
        <w:rPr>
          <w:sz w:val="26"/>
          <w:szCs w:val="26"/>
        </w:rPr>
        <w:t>acility</w:t>
      </w:r>
      <w:r w:rsidRPr="00CE225D" w:rsidR="00CE225D">
        <w:rPr>
          <w:sz w:val="26"/>
          <w:szCs w:val="26"/>
        </w:rPr>
        <w:t xml:space="preserve"> at full output, the aggregate of generation in the local area can be delivered to the aggregate of load</w:t>
      </w:r>
      <w:r w:rsidR="001045F8">
        <w:rPr>
          <w:sz w:val="26"/>
          <w:szCs w:val="26"/>
        </w:rPr>
        <w:t xml:space="preserve">, consistent with </w:t>
      </w:r>
      <w:r w:rsidR="004940A8">
        <w:rPr>
          <w:sz w:val="26"/>
          <w:szCs w:val="26"/>
        </w:rPr>
        <w:t>[</w:t>
      </w:r>
      <w:r w:rsidR="001045F8">
        <w:rPr>
          <w:sz w:val="26"/>
          <w:szCs w:val="26"/>
        </w:rPr>
        <w:t>t</w:t>
      </w:r>
      <w:r w:rsidR="004940A8">
        <w:rPr>
          <w:sz w:val="26"/>
          <w:szCs w:val="26"/>
        </w:rPr>
        <w:t>]</w:t>
      </w:r>
      <w:r w:rsidR="001045F8">
        <w:rPr>
          <w:sz w:val="26"/>
          <w:szCs w:val="26"/>
        </w:rPr>
        <w:t>ransmission</w:t>
      </w:r>
      <w:r w:rsidR="001045F8">
        <w:rPr>
          <w:sz w:val="26"/>
          <w:szCs w:val="26"/>
        </w:rPr>
        <w:t xml:space="preserve"> </w:t>
      </w:r>
      <w:r w:rsidR="004940A8">
        <w:rPr>
          <w:sz w:val="26"/>
          <w:szCs w:val="26"/>
        </w:rPr>
        <w:t>[</w:t>
      </w:r>
      <w:r w:rsidR="001045F8">
        <w:rPr>
          <w:sz w:val="26"/>
          <w:szCs w:val="26"/>
        </w:rPr>
        <w:t>p</w:t>
      </w:r>
      <w:r w:rsidR="004940A8">
        <w:rPr>
          <w:sz w:val="26"/>
          <w:szCs w:val="26"/>
        </w:rPr>
        <w:t>]</w:t>
      </w:r>
      <w:r w:rsidR="001045F8">
        <w:rPr>
          <w:sz w:val="26"/>
          <w:szCs w:val="26"/>
        </w:rPr>
        <w:t>rovider</w:t>
      </w:r>
      <w:r w:rsidR="00BA2819">
        <w:rPr>
          <w:sz w:val="26"/>
          <w:szCs w:val="26"/>
        </w:rPr>
        <w:t>’s</w:t>
      </w:r>
      <w:r w:rsidR="00BA2819">
        <w:rPr>
          <w:sz w:val="26"/>
          <w:szCs w:val="26"/>
        </w:rPr>
        <w:t xml:space="preserve"> reliability criteria and procedures</w:t>
      </w:r>
      <w:r w:rsidR="006C1778">
        <w:rPr>
          <w:sz w:val="26"/>
          <w:szCs w:val="26"/>
        </w:rPr>
        <w:t>.</w:t>
      </w:r>
      <w:r w:rsidR="00E049C5">
        <w:rPr>
          <w:sz w:val="26"/>
          <w:szCs w:val="26"/>
        </w:rPr>
        <w:t>”</w:t>
      </w:r>
      <w:bookmarkStart w:id="141" w:name="_Ref161819499"/>
      <w:r>
        <w:rPr>
          <w:rStyle w:val="FootnoteReference"/>
        </w:rPr>
        <w:footnoteReference w:id="1174"/>
      </w:r>
      <w:bookmarkEnd w:id="141"/>
      <w:r w:rsidRPr="0072600F">
        <w:rPr>
          <w:sz w:val="26"/>
          <w:szCs w:val="26"/>
        </w:rPr>
        <w:t xml:space="preserve">  As a weather dependent technology, </w:t>
      </w:r>
      <w:r w:rsidR="00116DCE">
        <w:rPr>
          <w:sz w:val="26"/>
          <w:szCs w:val="26"/>
        </w:rPr>
        <w:t xml:space="preserve">if there are thermal overloads or other contingencies not connected to a high-wind scenario, </w:t>
      </w:r>
      <w:r w:rsidRPr="0072600F">
        <w:rPr>
          <w:sz w:val="26"/>
          <w:szCs w:val="26"/>
        </w:rPr>
        <w:t xml:space="preserve">dynamic line ratings cannot </w:t>
      </w:r>
      <w:r w:rsidR="00116DCE">
        <w:rPr>
          <w:sz w:val="26"/>
          <w:szCs w:val="26"/>
        </w:rPr>
        <w:t xml:space="preserve">necessarily </w:t>
      </w:r>
      <w:r w:rsidRPr="0072600F">
        <w:rPr>
          <w:sz w:val="26"/>
          <w:szCs w:val="26"/>
        </w:rPr>
        <w:t xml:space="preserve">ensure </w:t>
      </w:r>
      <w:r w:rsidR="00FA494F">
        <w:rPr>
          <w:sz w:val="26"/>
          <w:szCs w:val="26"/>
        </w:rPr>
        <w:t xml:space="preserve">the </w:t>
      </w:r>
      <w:r w:rsidR="001247EA">
        <w:rPr>
          <w:sz w:val="26"/>
          <w:szCs w:val="26"/>
        </w:rPr>
        <w:t>needed</w:t>
      </w:r>
      <w:r w:rsidRPr="0072600F">
        <w:rPr>
          <w:sz w:val="26"/>
          <w:szCs w:val="26"/>
        </w:rPr>
        <w:t xml:space="preserve"> </w:t>
      </w:r>
      <w:r w:rsidR="006E26D2">
        <w:rPr>
          <w:sz w:val="26"/>
          <w:szCs w:val="26"/>
        </w:rPr>
        <w:t xml:space="preserve">local area </w:t>
      </w:r>
      <w:r w:rsidRPr="00DC2616">
        <w:rPr>
          <w:sz w:val="26"/>
          <w:szCs w:val="26"/>
        </w:rPr>
        <w:t>deliverability</w:t>
      </w:r>
      <w:r w:rsidR="00FA494F">
        <w:rPr>
          <w:sz w:val="26"/>
          <w:szCs w:val="26"/>
        </w:rPr>
        <w:t xml:space="preserve"> to the aggregate of load</w:t>
      </w:r>
      <w:r w:rsidRPr="0072600F">
        <w:rPr>
          <w:sz w:val="26"/>
          <w:szCs w:val="26"/>
        </w:rPr>
        <w:t>.</w:t>
      </w:r>
      <w:bookmarkStart w:id="142" w:name="_Ref161818706"/>
      <w:r>
        <w:rPr>
          <w:rStyle w:val="FootnoteReference"/>
        </w:rPr>
        <w:footnoteReference w:id="1175"/>
      </w:r>
      <w:bookmarkEnd w:id="142"/>
      <w:r w:rsidRPr="0072600F">
        <w:rPr>
          <w:sz w:val="26"/>
          <w:szCs w:val="26"/>
        </w:rPr>
        <w:t xml:space="preserve">  </w:t>
      </w:r>
    </w:p>
    <w:p w:rsidR="00760048" w:rsidRPr="0072600F" w14:paraId="025CFF9D" w14:textId="66DF69F4">
      <w:pPr>
        <w:pStyle w:val="FERCparanumber"/>
        <w:widowControl/>
        <w:numPr>
          <w:ilvl w:val="0"/>
          <w:numId w:val="25"/>
        </w:numPr>
        <w:autoSpaceDE/>
        <w:autoSpaceDN/>
        <w:adjustRightInd/>
        <w:spacing w:line="480" w:lineRule="auto"/>
        <w:rPr>
          <w:sz w:val="26"/>
          <w:szCs w:val="26"/>
        </w:rPr>
      </w:pPr>
      <w:r w:rsidRPr="0072600F">
        <w:rPr>
          <w:sz w:val="26"/>
          <w:szCs w:val="26"/>
        </w:rPr>
        <w:t>We are also not persuaded by WATT Coalition’s contention that Order No. 2023’s statements that dynamic line ratings may relieve congestion by increasing available interconnection capacity only temporarily or in the short-term are incorrect and that, instead, dynamic line ratings are a long-term solution for the specific parameter of the cluster study.  The issue is not whether dynamic line ratings can provide additional transmission capacity at a specific point in time; rather, the issue is whether</w:t>
      </w:r>
      <w:r w:rsidR="00531316">
        <w:rPr>
          <w:sz w:val="26"/>
          <w:szCs w:val="26"/>
        </w:rPr>
        <w:t>, as a weather dependent technology,</w:t>
      </w:r>
      <w:r w:rsidRPr="0072600F">
        <w:rPr>
          <w:sz w:val="26"/>
          <w:szCs w:val="26"/>
        </w:rPr>
        <w:t xml:space="preserve"> they can be relied upon to </w:t>
      </w:r>
      <w:r w:rsidRPr="0072600F" w:rsidR="00EF5A00">
        <w:rPr>
          <w:sz w:val="26"/>
          <w:szCs w:val="26"/>
        </w:rPr>
        <w:t>replace the need for a different network upgrade</w:t>
      </w:r>
      <w:r w:rsidRPr="0072600F">
        <w:rPr>
          <w:sz w:val="26"/>
          <w:szCs w:val="26"/>
        </w:rPr>
        <w:t xml:space="preserve"> </w:t>
      </w:r>
      <w:r w:rsidR="001B15E9">
        <w:rPr>
          <w:sz w:val="26"/>
          <w:szCs w:val="26"/>
        </w:rPr>
        <w:t xml:space="preserve">by </w:t>
      </w:r>
      <w:r w:rsidRPr="00A235B3" w:rsidR="00A235B3">
        <w:rPr>
          <w:sz w:val="26"/>
          <w:szCs w:val="26"/>
        </w:rPr>
        <w:t>ensur</w:t>
      </w:r>
      <w:r w:rsidR="001B15E9">
        <w:rPr>
          <w:sz w:val="26"/>
          <w:szCs w:val="26"/>
        </w:rPr>
        <w:t>ing</w:t>
      </w:r>
      <w:r w:rsidRPr="00A235B3" w:rsidR="00A235B3">
        <w:rPr>
          <w:sz w:val="26"/>
          <w:szCs w:val="26"/>
        </w:rPr>
        <w:t xml:space="preserve"> the necessary local area deliverability to the aggregate of load </w:t>
      </w:r>
      <w:r w:rsidRPr="00BA702B" w:rsidR="00BA702B">
        <w:rPr>
          <w:sz w:val="26"/>
          <w:szCs w:val="26"/>
        </w:rPr>
        <w:t>if there are thermal overloads or other contingencies not connected to a high-wind scenario</w:t>
      </w:r>
      <w:r w:rsidR="00556375">
        <w:rPr>
          <w:sz w:val="26"/>
          <w:szCs w:val="26"/>
        </w:rPr>
        <w:t>.</w:t>
      </w:r>
      <w:r w:rsidRPr="0072600F">
        <w:rPr>
          <w:sz w:val="26"/>
          <w:szCs w:val="26"/>
        </w:rPr>
        <w:t xml:space="preserve">  Moreover, because transmission providers generally consider worst-case scenarios in interconnection studies, such transmission providers would still have to use worst-case line rating input assumptions, which are typically the seasonal line rating (assuming high air temperature, full sun, and low or no wind) on a system using dynamic line ratings, not the highest dynamic rating that would apply in more favorable conditions (e.g., low air temperature, no sun, strong sustained winds).  For these reasons, WATT Coalition’s rehearing arguments do not refute Order No. 2023’s finding that dynamic line ratings “may be less beneficial in the interconnection context.”</w:t>
      </w:r>
      <w:r>
        <w:rPr>
          <w:rStyle w:val="FootnoteReference"/>
        </w:rPr>
        <w:footnoteReference w:id="1176"/>
      </w:r>
      <w:r w:rsidRPr="0072600F">
        <w:rPr>
          <w:sz w:val="26"/>
          <w:szCs w:val="26"/>
        </w:rPr>
        <w:t xml:space="preserve">  As explained above, in Order No. 2023, the Commission balanced various factors (i.e., the potential benefits of studying the technology with the burden on the transmission provider and the increase in study times) and established a list of alternative transmission technologies that are most likely to ensure just and reasonable rates.</w:t>
      </w:r>
      <w:r>
        <w:rPr>
          <w:rStyle w:val="FootnoteReference"/>
        </w:rPr>
        <w:footnoteReference w:id="1177"/>
      </w:r>
      <w:r w:rsidRPr="0072600F">
        <w:rPr>
          <w:sz w:val="26"/>
          <w:szCs w:val="26"/>
        </w:rPr>
        <w:t xml:space="preserve">  </w:t>
      </w:r>
    </w:p>
    <w:p w:rsidR="00760048" w:rsidRPr="0072600F" w14:paraId="44C6EA1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WATT Coalition’s assertion that the Commission did not engage in reasoned decision-making by excluding dynamic line ratings from this enumerated list of alternative transmission technologies.  In Order No. 2023, the Commission explained that, because the benefits of evaluating dynamic line ratings did not outweigh the burden and the potential increase in study times, dynamic line ratings were less beneficial than other alternative transmission technologies in the interconnection context and did not include it on the final enumerated list. </w:t>
      </w:r>
      <w:r w:rsidRPr="00417D77" w:rsidR="00417D77">
        <w:rPr>
          <w:rFonts w:ascii="Segoe UI" w:hAnsi="Segoe UI" w:eastAsiaTheme="minorHAnsi" w:cs="Segoe UI"/>
          <w:sz w:val="18"/>
          <w:szCs w:val="18"/>
        </w:rPr>
        <w:t xml:space="preserve"> </w:t>
      </w:r>
      <w:r w:rsidRPr="00417D77" w:rsidR="00417D77">
        <w:rPr>
          <w:sz w:val="26"/>
          <w:szCs w:val="26"/>
        </w:rPr>
        <w:t xml:space="preserve">Regarding the burden, for example, both MISO and the MISO TOs highlighted the additional studies and requirements </w:t>
      </w:r>
      <w:r w:rsidR="00C62923">
        <w:rPr>
          <w:sz w:val="26"/>
          <w:szCs w:val="26"/>
        </w:rPr>
        <w:t xml:space="preserve">that </w:t>
      </w:r>
      <w:r w:rsidRPr="00417D77" w:rsidR="00417D77">
        <w:rPr>
          <w:sz w:val="26"/>
          <w:szCs w:val="26"/>
        </w:rPr>
        <w:t>an obligation to evaluate dynamic line ratings would impose on the first phase of the interconnection study process.</w:t>
      </w:r>
      <w:r>
        <w:rPr>
          <w:rStyle w:val="FootnoteReference"/>
        </w:rPr>
        <w:footnoteReference w:id="1178"/>
      </w:r>
      <w:r w:rsidRPr="00417D77" w:rsidR="00417D77">
        <w:rPr>
          <w:sz w:val="26"/>
          <w:szCs w:val="26"/>
        </w:rPr>
        <w:t xml:space="preserve">  These entities further highlighted that these additional obligations could also necessitate further debate about the impact </w:t>
      </w:r>
      <w:r w:rsidR="00C31588">
        <w:rPr>
          <w:sz w:val="26"/>
          <w:szCs w:val="26"/>
        </w:rPr>
        <w:t>that such</w:t>
      </w:r>
      <w:r w:rsidRPr="00417D77" w:rsidR="00417D77">
        <w:rPr>
          <w:sz w:val="26"/>
          <w:szCs w:val="26"/>
        </w:rPr>
        <w:t xml:space="preserve"> dynamic line rating</w:t>
      </w:r>
      <w:r w:rsidR="005348CC">
        <w:rPr>
          <w:sz w:val="26"/>
          <w:szCs w:val="26"/>
        </w:rPr>
        <w:t>s</w:t>
      </w:r>
      <w:r w:rsidRPr="00417D77" w:rsidR="00417D77">
        <w:rPr>
          <w:sz w:val="26"/>
          <w:szCs w:val="26"/>
        </w:rPr>
        <w:t xml:space="preserve"> may have on the rest of the transmission system and were in contrast to the need to accelerate the interconnection process</w:t>
      </w:r>
      <w:r w:rsidR="00C87635">
        <w:rPr>
          <w:sz w:val="26"/>
          <w:szCs w:val="26"/>
        </w:rPr>
        <w:t xml:space="preserve">.  </w:t>
      </w:r>
      <w:r w:rsidRPr="0072600F">
        <w:rPr>
          <w:sz w:val="26"/>
          <w:szCs w:val="26"/>
        </w:rPr>
        <w:t xml:space="preserve">After having determined that the existing </w:t>
      </w:r>
      <w:r w:rsidRPr="0072600F">
        <w:rPr>
          <w:i/>
          <w:sz w:val="26"/>
          <w:szCs w:val="26"/>
        </w:rPr>
        <w:t>pro forma</w:t>
      </w:r>
      <w:r w:rsidRPr="0072600F">
        <w:rPr>
          <w:sz w:val="26"/>
          <w:szCs w:val="26"/>
        </w:rPr>
        <w:t xml:space="preserve"> LGIP and </w:t>
      </w:r>
      <w:r w:rsidRPr="0072600F">
        <w:rPr>
          <w:i/>
          <w:sz w:val="26"/>
          <w:szCs w:val="26"/>
        </w:rPr>
        <w:t xml:space="preserve">pro forma </w:t>
      </w:r>
      <w:r w:rsidRPr="0072600F">
        <w:rPr>
          <w:sz w:val="26"/>
          <w:szCs w:val="26"/>
        </w:rPr>
        <w:t>SGIP</w:t>
      </w:r>
      <w:r w:rsidRPr="0072600F">
        <w:rPr>
          <w:i/>
          <w:sz w:val="26"/>
          <w:szCs w:val="26"/>
        </w:rPr>
        <w:t xml:space="preserve"> </w:t>
      </w:r>
      <w:r w:rsidRPr="0072600F">
        <w:rPr>
          <w:sz w:val="26"/>
          <w:szCs w:val="26"/>
        </w:rPr>
        <w:t>are not just and reasonable, the Commission must determine, based on substantial evidence, a replacement rate that is just, reasonable and not unduly preferential.</w:t>
      </w:r>
      <w:r>
        <w:rPr>
          <w:rStyle w:val="FootnoteReference"/>
        </w:rPr>
        <w:footnoteReference w:id="1179"/>
      </w:r>
      <w:r w:rsidRPr="0072600F">
        <w:rPr>
          <w:sz w:val="26"/>
          <w:szCs w:val="26"/>
        </w:rPr>
        <w:t xml:space="preserve">  Thus, the Commission both provided a reasoned explanation for excluding dynamic line ratings from the final enumerated list of alternative transmission technologies and established a just and reasonable replacement rate.  Further, we note, that the Commission did not “exclude” dynamic line ratings from consideration in cluster studies, as WATT Coalition claims.  Order No. 2023 specifically provided that transmission providers are permitted to go beyond the enumerated list and can do so without changing their tariffs.</w:t>
      </w:r>
      <w:r>
        <w:rPr>
          <w:rStyle w:val="FootnoteReference"/>
        </w:rPr>
        <w:footnoteReference w:id="1180"/>
      </w:r>
    </w:p>
    <w:p w:rsidR="00760048" w:rsidRPr="0072600F" w14:paraId="1E0FA68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not persuaded by Clean Energy Associations’ arguments </w:t>
      </w:r>
      <w:r w:rsidR="007E034D">
        <w:rPr>
          <w:sz w:val="26"/>
          <w:szCs w:val="26"/>
        </w:rPr>
        <w:t>that</w:t>
      </w:r>
      <w:r w:rsidRPr="0072600F">
        <w:rPr>
          <w:sz w:val="26"/>
          <w:szCs w:val="26"/>
        </w:rPr>
        <w:t xml:space="preserve"> energy storage serving as a transmission asset </w:t>
      </w:r>
      <w:r w:rsidR="00DE7678">
        <w:rPr>
          <w:sz w:val="26"/>
          <w:szCs w:val="26"/>
        </w:rPr>
        <w:t xml:space="preserve">should be included </w:t>
      </w:r>
      <w:r w:rsidRPr="0072600F">
        <w:rPr>
          <w:sz w:val="26"/>
          <w:szCs w:val="26"/>
        </w:rPr>
        <w:t xml:space="preserve">in the enumerated list of alternative transmission technologies.  We agree with Clean Energy Associations that energy storage, like other alternative transmission technologies on the list, would need to be evaluated on a case-by-case basis to determine if the technology can serve in the place of a network upgrade.  However, we continue to find that, as discussed in Order No. 2023, energy storage requires an </w:t>
      </w:r>
      <w:r w:rsidRPr="0072600F">
        <w:rPr>
          <w:i/>
          <w:iCs/>
          <w:sz w:val="26"/>
          <w:szCs w:val="26"/>
        </w:rPr>
        <w:t>additional</w:t>
      </w:r>
      <w:r w:rsidRPr="0072600F">
        <w:rPr>
          <w:sz w:val="26"/>
          <w:szCs w:val="26"/>
        </w:rPr>
        <w:t xml:space="preserve"> case-by-case analysis that distinguishes it from the enumerated list of alternative transmission technologies:  storage resources must also be evaluated to determine whether a storage</w:t>
      </w:r>
      <w:r w:rsidRPr="0072600F">
        <w:rPr>
          <w:sz w:val="26"/>
          <w:szCs w:val="26"/>
        </w:rPr>
        <w:t xml:space="preserve"> </w:t>
      </w:r>
      <w:r w:rsidRPr="0072600F">
        <w:rPr>
          <w:sz w:val="26"/>
          <w:szCs w:val="26"/>
        </w:rPr>
        <w:t>resource performs a transmission function through a case-by-case analysis of either how a particular storage resource would be operated or the requirements set forth in a tariff governing selection of such storage resources.</w:t>
      </w:r>
      <w:r>
        <w:rPr>
          <w:rStyle w:val="FootnoteReference"/>
        </w:rPr>
        <w:footnoteReference w:id="1181"/>
      </w:r>
      <w:r w:rsidRPr="0072600F">
        <w:rPr>
          <w:sz w:val="26"/>
          <w:szCs w:val="26"/>
        </w:rPr>
        <w:t xml:space="preserve">  That analysis would determine whether the storage resource’s cost can be recovered in transmission rate base or as a network upgrade.  This additional analysis distinguishes energy storage from the other technologies on the enumerated list of alternative transmission technologies and is the basis for its exclusion from the list.  We reiterate, however, that Order No. 2023 does not </w:t>
      </w:r>
      <w:r w:rsidRPr="0072600F">
        <w:rPr>
          <w:sz w:val="26"/>
          <w:szCs w:val="26"/>
        </w:rPr>
        <w:t>preclud</w:t>
      </w:r>
      <w:r w:rsidRPr="0072600F">
        <w:rPr>
          <w:sz w:val="26"/>
          <w:szCs w:val="26"/>
        </w:rPr>
        <w:t>e a transmission provider from studying or evaluating any technology that was not included in the enumerated list of alternative transmission technologies.</w:t>
      </w:r>
      <w:r>
        <w:rPr>
          <w:rStyle w:val="FootnoteReference"/>
        </w:rPr>
        <w:footnoteReference w:id="1182"/>
      </w:r>
    </w:p>
    <w:p w:rsidR="00760048" w:rsidRPr="00663161" w14:paraId="5974C45D"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44" w:name="_bmk24"/>
      <w:bookmarkStart w:id="145" w:name="_Toc138973275"/>
      <w:bookmarkStart w:id="146" w:name="_Toc138973614"/>
      <w:r w:rsidRPr="00663161">
        <w:rPr>
          <w:b/>
          <w:bCs/>
          <w:sz w:val="26"/>
          <w:u w:val="single"/>
        </w:rPr>
        <w:t>M</w:t>
      </w:r>
      <w:bookmarkEnd w:id="144"/>
      <w:r w:rsidRPr="00663161">
        <w:rPr>
          <w:b/>
          <w:bCs/>
          <w:sz w:val="26"/>
          <w:u w:val="single"/>
        </w:rPr>
        <w:t>odeling and Ride Through Requirements for Non-Synchronous Generating Facilities</w:t>
      </w:r>
      <w:bookmarkEnd w:id="145"/>
      <w:bookmarkEnd w:id="146"/>
    </w:p>
    <w:p w:rsidR="00760048" w:rsidRPr="00663161" w14:paraId="6F9E0185"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Modeling Requirements</w:t>
      </w:r>
    </w:p>
    <w:p w:rsidR="00760048" w:rsidRPr="00663161" w14:paraId="1BAD2E13"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5DCD51F6"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 Order No. 2023, the Commission revised Attachment A to Appendix 1 of the </w:t>
      </w:r>
      <w:r w:rsidRPr="0072600F">
        <w:rPr>
          <w:i/>
          <w:iCs/>
          <w:sz w:val="26"/>
          <w:szCs w:val="26"/>
        </w:rPr>
        <w:t xml:space="preserve">pro forma </w:t>
      </w:r>
      <w:r w:rsidRPr="0072600F">
        <w:rPr>
          <w:sz w:val="26"/>
          <w:szCs w:val="26"/>
        </w:rPr>
        <w:t xml:space="preserve">LGIP and Attachment 2 of the </w:t>
      </w:r>
      <w:r w:rsidRPr="0072600F">
        <w:rPr>
          <w:i/>
          <w:iCs/>
          <w:sz w:val="26"/>
          <w:szCs w:val="26"/>
        </w:rPr>
        <w:t xml:space="preserve">pro forma </w:t>
      </w:r>
      <w:r w:rsidRPr="0072600F">
        <w:rPr>
          <w:sz w:val="26"/>
          <w:szCs w:val="26"/>
        </w:rPr>
        <w:t>SGIP to require each interconnection customer requesting to interconnect a non-synchronous generating facility to submit to the transmission provider:  (1) a validated user-defined root mean square (RMS) positive sequence dynamic model; (2) an appropriately parameterized generic library RMS positive sequence dynamic model, including a model block diagram of the inverter control system and plant control system, that corresponds to a model listed in a new table of acceptable models or a model otherwise approved by the Western Electricity Coordinating Council (WECC); and (3) a validated electromagnetic transient (EMT) model, if the transmission provider performs an EMT study as part of the interconnection study process.</w:t>
      </w:r>
      <w:r>
        <w:rPr>
          <w:rStyle w:val="FootnoteReference"/>
        </w:rPr>
        <w:footnoteReference w:id="1183"/>
      </w:r>
      <w:r w:rsidRPr="0072600F">
        <w:rPr>
          <w:sz w:val="26"/>
          <w:szCs w:val="26"/>
        </w:rPr>
        <w:t xml:space="preserve">  </w:t>
      </w:r>
    </w:p>
    <w:p w:rsidR="00760048" w:rsidRPr="0072600F" w14:paraId="28CE3A03"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also adopted the NOPR proposals to:  (1) define a user-defined model as any set of programming code created by equipment manufacturers or developers that captures the latest features of controllers that are mainly software-based and represent the entities’ control strategies but does not necessarily correspond to any particular generic library model, as contained in Attachment A to Appendix 1 of the </w:t>
      </w:r>
      <w:r w:rsidRPr="0072600F">
        <w:rPr>
          <w:i/>
          <w:iCs/>
          <w:sz w:val="26"/>
          <w:szCs w:val="26"/>
        </w:rPr>
        <w:t xml:space="preserve">pro forma </w:t>
      </w:r>
      <w:r w:rsidRPr="0072600F">
        <w:rPr>
          <w:sz w:val="26"/>
          <w:szCs w:val="26"/>
        </w:rPr>
        <w:t xml:space="preserve">LGIP and Attachment 2 of the </w:t>
      </w:r>
      <w:r w:rsidRPr="0072600F">
        <w:rPr>
          <w:i/>
          <w:iCs/>
          <w:sz w:val="26"/>
          <w:szCs w:val="26"/>
        </w:rPr>
        <w:t xml:space="preserve">pro forma </w:t>
      </w:r>
      <w:r w:rsidRPr="0072600F">
        <w:rPr>
          <w:sz w:val="26"/>
          <w:szCs w:val="26"/>
        </w:rPr>
        <w:t xml:space="preserve">SGIP; (2) revise Attachment A to Appendix 1 of the </w:t>
      </w:r>
      <w:r w:rsidRPr="0072600F">
        <w:rPr>
          <w:i/>
          <w:iCs/>
          <w:sz w:val="26"/>
          <w:szCs w:val="26"/>
        </w:rPr>
        <w:t xml:space="preserve">pro forma </w:t>
      </w:r>
      <w:r w:rsidRPr="0072600F">
        <w:rPr>
          <w:sz w:val="26"/>
          <w:szCs w:val="26"/>
        </w:rPr>
        <w:t xml:space="preserve">LGIP and Attachment 2 of the </w:t>
      </w:r>
      <w:r w:rsidRPr="0072600F">
        <w:rPr>
          <w:i/>
          <w:iCs/>
          <w:sz w:val="26"/>
          <w:szCs w:val="26"/>
        </w:rPr>
        <w:t xml:space="preserve">pro forma </w:t>
      </w:r>
      <w:r w:rsidRPr="0072600F">
        <w:rPr>
          <w:sz w:val="26"/>
          <w:szCs w:val="26"/>
        </w:rPr>
        <w:t xml:space="preserve">SGIP to add a table of acceptable generic library models, based on the current WECC list of approved dynamic models for renewable energy generating facilities; and (3) revise section 4.4.4 of the </w:t>
      </w:r>
      <w:r w:rsidRPr="0072600F">
        <w:rPr>
          <w:i/>
          <w:iCs/>
          <w:sz w:val="26"/>
          <w:szCs w:val="26"/>
        </w:rPr>
        <w:t xml:space="preserve">pro forma </w:t>
      </w:r>
      <w:r w:rsidRPr="0072600F">
        <w:rPr>
          <w:sz w:val="26"/>
          <w:szCs w:val="26"/>
        </w:rPr>
        <w:t xml:space="preserve">LGIP and section 1.4 of the </w:t>
      </w:r>
      <w:r w:rsidRPr="0072600F">
        <w:rPr>
          <w:i/>
          <w:iCs/>
          <w:sz w:val="26"/>
          <w:szCs w:val="26"/>
        </w:rPr>
        <w:t xml:space="preserve">pro forma </w:t>
      </w:r>
      <w:r w:rsidRPr="0072600F">
        <w:rPr>
          <w:sz w:val="26"/>
          <w:szCs w:val="26"/>
        </w:rPr>
        <w:t>SGIP to require that any proposed modification of the interconnection request be accompanied by updated models of the proposed generating facility.</w:t>
      </w:r>
      <w:r>
        <w:rPr>
          <w:rStyle w:val="FootnoteReference"/>
        </w:rPr>
        <w:footnoteReference w:id="1184"/>
      </w:r>
    </w:p>
    <w:p w:rsidR="00760048" w:rsidRPr="00663161" w14:paraId="0A94514C"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76FF79A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Invenergy asks the Commission to modify the </w:t>
      </w:r>
      <w:r w:rsidRPr="0072600F">
        <w:rPr>
          <w:i/>
          <w:iCs/>
          <w:sz w:val="26"/>
          <w:szCs w:val="26"/>
        </w:rPr>
        <w:t>pro forma</w:t>
      </w:r>
      <w:r w:rsidRPr="0072600F">
        <w:rPr>
          <w:sz w:val="26"/>
          <w:szCs w:val="26"/>
        </w:rPr>
        <w:t xml:space="preserve"> LGIP, Appendix 1, Attachment A to state that, if a validated EMT model is not available, a preliminary EMT model may be provided, and, if a validated EMT model is determined to be necessary, the interconnection customer shall submit the validated EMT model no later than needed for the cluster restudy.</w:t>
      </w:r>
      <w:r>
        <w:rPr>
          <w:rStyle w:val="FootnoteReference"/>
        </w:rPr>
        <w:footnoteReference w:id="1185"/>
      </w:r>
      <w:r w:rsidRPr="0072600F">
        <w:rPr>
          <w:sz w:val="26"/>
          <w:szCs w:val="26"/>
        </w:rPr>
        <w:t xml:space="preserve">  Invenergy argues that requiring validation of EMT models at the time of the interconnection application will impede an interconnection customer’s ability to use an advanced product with higher annual energy production values because such products will not be validated.</w:t>
      </w:r>
      <w:r>
        <w:rPr>
          <w:rStyle w:val="FootnoteReference"/>
        </w:rPr>
        <w:footnoteReference w:id="1186"/>
      </w:r>
      <w:r w:rsidRPr="0072600F">
        <w:rPr>
          <w:sz w:val="26"/>
          <w:szCs w:val="26"/>
        </w:rPr>
        <w:t xml:space="preserve">  Invenergy explains that the only equipment with an available, validated EMT model is equipment that has been in the market for some years, and it is unreasonable to require an interconnection customer to submit a validated EMT model at the time of interconnection application even if the proposed commercial operation date may be in five or six years.  Invenergy asserts that it is unclear whether a project developer might be able to provide EMT models for different equipment later in the process as newer equipment becomes field tested without the transmission provider determining that it is a material modification, leading some developers to forego using state-of-the-art technology otherwise available under the commercial operation deadline.</w:t>
      </w:r>
      <w:r w:rsidRPr="0072600F">
        <w:rPr>
          <w:b/>
          <w:sz w:val="26"/>
          <w:szCs w:val="26"/>
          <w:vertAlign w:val="superscript"/>
        </w:rPr>
        <w:t xml:space="preserve"> </w:t>
      </w:r>
    </w:p>
    <w:p w:rsidR="00760048" w:rsidRPr="0072600F" w14:paraId="41EB83A4" w14:textId="77777777">
      <w:pPr>
        <w:pStyle w:val="FERCparanumber"/>
        <w:widowControl/>
        <w:numPr>
          <w:ilvl w:val="0"/>
          <w:numId w:val="25"/>
        </w:numPr>
        <w:autoSpaceDE/>
        <w:autoSpaceDN/>
        <w:adjustRightInd/>
        <w:spacing w:line="480" w:lineRule="auto"/>
        <w:rPr>
          <w:sz w:val="26"/>
          <w:szCs w:val="26"/>
        </w:rPr>
      </w:pPr>
      <w:r w:rsidRPr="0072600F">
        <w:rPr>
          <w:sz w:val="26"/>
          <w:szCs w:val="26"/>
        </w:rPr>
        <w:t>Invenergy contends that the Commission’s alternative to a validated EMT model that the customer could pursue is not accurate.</w:t>
      </w:r>
      <w:r>
        <w:rPr>
          <w:rStyle w:val="FootnoteReference"/>
        </w:rPr>
        <w:footnoteReference w:id="1187"/>
      </w:r>
      <w:r w:rsidRPr="0072600F">
        <w:rPr>
          <w:sz w:val="26"/>
          <w:szCs w:val="26"/>
        </w:rPr>
        <w:t xml:space="preserve">  Invenergy asserts that the interconnection customer cannot attest to the accuracy of model information because model information is provided by the manufacturer, and equipment manufacturers will not attest to model data until the field test is done, which is later in the process.</w:t>
      </w:r>
      <w:r w:rsidRPr="0072600F">
        <w:rPr>
          <w:b/>
          <w:sz w:val="26"/>
          <w:szCs w:val="26"/>
          <w:vertAlign w:val="superscript"/>
        </w:rPr>
        <w:t xml:space="preserve"> </w:t>
      </w:r>
      <w:r w:rsidRPr="0072600F">
        <w:rPr>
          <w:b/>
          <w:sz w:val="26"/>
          <w:szCs w:val="26"/>
          <w:vertAlign w:val="superscript"/>
        </w:rPr>
        <w:t xml:space="preserve">  </w:t>
      </w:r>
      <w:r w:rsidRPr="0072600F">
        <w:rPr>
          <w:sz w:val="26"/>
          <w:szCs w:val="26"/>
        </w:rPr>
        <w:t xml:space="preserve">Invenergy argues that requiring validation is not necessary to achieve the Commission’s goal of ensuring that accurate information is used in studies.  In particular, Invenergy notes that preliminary models contain the same information as a validated model and are developed based on real design codes but have not been field tested.  </w:t>
      </w:r>
    </w:p>
    <w:p w:rsidR="00760048" w:rsidRPr="0072600F" w14:paraId="0326016D" w14:textId="77777777">
      <w:pPr>
        <w:pStyle w:val="FERCparanumber"/>
        <w:widowControl/>
        <w:numPr>
          <w:ilvl w:val="0"/>
          <w:numId w:val="25"/>
        </w:numPr>
        <w:autoSpaceDE/>
        <w:autoSpaceDN/>
        <w:adjustRightInd/>
        <w:spacing w:line="480" w:lineRule="auto"/>
        <w:rPr>
          <w:sz w:val="26"/>
          <w:szCs w:val="26"/>
        </w:rPr>
      </w:pPr>
      <w:r w:rsidRPr="0072600F">
        <w:rPr>
          <w:sz w:val="26"/>
          <w:szCs w:val="26"/>
        </w:rPr>
        <w:t>Invenergy contends that, much like EMT models, requiring validated RMS models at the beginning of the interconnection process will force developers to use older technology and thus stifle innovation and waste time and resources.</w:t>
      </w:r>
      <w:r>
        <w:rPr>
          <w:rStyle w:val="FootnoteReference"/>
        </w:rPr>
        <w:footnoteReference w:id="1188"/>
      </w:r>
      <w:r w:rsidRPr="0072600F">
        <w:rPr>
          <w:sz w:val="26"/>
          <w:szCs w:val="26"/>
        </w:rPr>
        <w:t xml:space="preserve">  Invenergy also argues that the Commission’s requirement is not necessary to ensure accurate model information. </w:t>
      </w:r>
      <w:r w:rsidR="00E968B7">
        <w:rPr>
          <w:sz w:val="26"/>
          <w:szCs w:val="26"/>
        </w:rPr>
        <w:t xml:space="preserve"> </w:t>
      </w:r>
      <w:r w:rsidRPr="0072600F">
        <w:rPr>
          <w:sz w:val="26"/>
          <w:szCs w:val="26"/>
        </w:rPr>
        <w:t xml:space="preserve">Therefore, Invenergy asks the Commission to modify the </w:t>
      </w:r>
      <w:r w:rsidRPr="0072600F">
        <w:rPr>
          <w:i/>
          <w:iCs/>
          <w:sz w:val="26"/>
          <w:szCs w:val="26"/>
        </w:rPr>
        <w:t>pro forma</w:t>
      </w:r>
      <w:r w:rsidRPr="0072600F">
        <w:rPr>
          <w:sz w:val="26"/>
          <w:szCs w:val="26"/>
        </w:rPr>
        <w:t xml:space="preserve"> LGIP, Appendix 1, Attachment A and </w:t>
      </w:r>
      <w:r w:rsidRPr="0072600F">
        <w:rPr>
          <w:i/>
          <w:iCs/>
          <w:sz w:val="26"/>
          <w:szCs w:val="26"/>
        </w:rPr>
        <w:t>pro forma</w:t>
      </w:r>
      <w:r w:rsidRPr="0072600F">
        <w:rPr>
          <w:sz w:val="26"/>
          <w:szCs w:val="26"/>
        </w:rPr>
        <w:t xml:space="preserve"> SGIP, Attachment 2, to state that, if a validated RMS model is not available, a preliminary RMS model may be provided and the interconnection customer shall submit the validated RMS model no later than needed for the cluster restudy.</w:t>
      </w:r>
      <w:r w:rsidRPr="0072600F">
        <w:rPr>
          <w:b/>
          <w:sz w:val="26"/>
          <w:szCs w:val="26"/>
          <w:vertAlign w:val="superscript"/>
        </w:rPr>
        <w:t xml:space="preserve"> </w:t>
      </w:r>
    </w:p>
    <w:p w:rsidR="00760048" w:rsidRPr="0072600F" w14:paraId="641153B7" w14:textId="77777777">
      <w:pPr>
        <w:pStyle w:val="FERCparanumber"/>
        <w:widowControl/>
        <w:numPr>
          <w:ilvl w:val="0"/>
          <w:numId w:val="25"/>
        </w:numPr>
        <w:autoSpaceDE/>
        <w:autoSpaceDN/>
        <w:adjustRightInd/>
        <w:spacing w:line="480" w:lineRule="auto"/>
        <w:rPr>
          <w:sz w:val="26"/>
          <w:szCs w:val="26"/>
        </w:rPr>
      </w:pPr>
      <w:r w:rsidRPr="0072600F">
        <w:rPr>
          <w:sz w:val="26"/>
          <w:szCs w:val="26"/>
        </w:rPr>
        <w:t>Ørsted</w:t>
      </w:r>
      <w:r w:rsidRPr="0072600F">
        <w:rPr>
          <w:sz w:val="26"/>
          <w:szCs w:val="26"/>
        </w:rPr>
        <w:t xml:space="preserve"> argues that the Commission’s decision to require a validated EMT model when seeking to interconnect is arbitrary and capricious and not supported by reasoned decision-making.</w:t>
      </w:r>
      <w:r>
        <w:rPr>
          <w:rStyle w:val="FootnoteReference"/>
        </w:rPr>
        <w:footnoteReference w:id="1189"/>
      </w:r>
      <w:r w:rsidRPr="0072600F">
        <w:rPr>
          <w:sz w:val="26"/>
          <w:szCs w:val="26"/>
        </w:rPr>
        <w:t xml:space="preserve">  </w:t>
      </w:r>
      <w:r w:rsidRPr="0072600F">
        <w:rPr>
          <w:sz w:val="26"/>
          <w:szCs w:val="26"/>
        </w:rPr>
        <w:t>Ørsted</w:t>
      </w:r>
      <w:r w:rsidRPr="0072600F">
        <w:rPr>
          <w:sz w:val="26"/>
          <w:szCs w:val="26"/>
        </w:rPr>
        <w:t xml:space="preserve"> contends that accurate models for nonsynchronous resources may not be available early in the interconnection process due to rapid advances in inverter and control technologies and that some resources may need customization requiring interconnection customers to make decisions about specific types of technology they may use later in the interconnection process.  </w:t>
      </w:r>
      <w:r w:rsidRPr="0072600F">
        <w:rPr>
          <w:sz w:val="26"/>
          <w:szCs w:val="26"/>
        </w:rPr>
        <w:t>Ørsted</w:t>
      </w:r>
      <w:r w:rsidRPr="0072600F">
        <w:rPr>
          <w:sz w:val="26"/>
          <w:szCs w:val="26"/>
        </w:rPr>
        <w:t xml:space="preserve"> claims that the Commission’s requirement does not provide a path forward for such resources and could deter the use of new and more efficient technologies or delay interconnection of needed resources.</w:t>
      </w:r>
      <w:r w:rsidRPr="0072600F">
        <w:rPr>
          <w:b/>
          <w:sz w:val="26"/>
          <w:szCs w:val="26"/>
          <w:vertAlign w:val="superscript"/>
        </w:rPr>
        <w:t xml:space="preserve"> </w:t>
      </w:r>
    </w:p>
    <w:p w:rsidR="00760048" w:rsidRPr="0072600F" w14:paraId="07C57844" w14:textId="77777777">
      <w:pPr>
        <w:pStyle w:val="FERCparanumber"/>
        <w:widowControl/>
        <w:numPr>
          <w:ilvl w:val="0"/>
          <w:numId w:val="25"/>
        </w:numPr>
        <w:autoSpaceDE/>
        <w:autoSpaceDN/>
        <w:adjustRightInd/>
        <w:spacing w:line="480" w:lineRule="auto"/>
        <w:rPr>
          <w:sz w:val="26"/>
          <w:szCs w:val="26"/>
        </w:rPr>
      </w:pPr>
      <w:r w:rsidRPr="0072600F">
        <w:rPr>
          <w:sz w:val="26"/>
          <w:szCs w:val="26"/>
        </w:rPr>
        <w:t>Ørsted</w:t>
      </w:r>
      <w:r w:rsidRPr="0072600F">
        <w:rPr>
          <w:sz w:val="26"/>
          <w:szCs w:val="26"/>
        </w:rPr>
        <w:t xml:space="preserve"> also argues that transmission providers generally do not conduct EMT studies until much later in the interconnection process, resulting in minimal value in the interconnection customer providing and subsequently updating EMT models at the time of interconnection application.</w:t>
      </w:r>
      <w:r>
        <w:rPr>
          <w:rStyle w:val="FootnoteReference"/>
        </w:rPr>
        <w:footnoteReference w:id="1190"/>
      </w:r>
      <w:r w:rsidRPr="0072600F">
        <w:rPr>
          <w:sz w:val="26"/>
          <w:szCs w:val="26"/>
        </w:rPr>
        <w:t xml:space="preserve">  </w:t>
      </w:r>
      <w:r w:rsidRPr="0072600F">
        <w:rPr>
          <w:sz w:val="26"/>
          <w:szCs w:val="26"/>
        </w:rPr>
        <w:t>Ørsted</w:t>
      </w:r>
      <w:r w:rsidRPr="0072600F">
        <w:rPr>
          <w:sz w:val="26"/>
          <w:szCs w:val="26"/>
        </w:rPr>
        <w:t xml:space="preserve"> asserts that EMT study results typically reveal the need for items such as control tuning rather than additional transmission system upgrades, but this requires an EMT model that accurately represents how the plant is installed and configured as well as transmission system data that can only be provided by the transmission provider, so the Commission’s requirement is not likely to provide information that is useful for reliability studies and will waste time and resources for both the interconnection customer and the transmission provider.</w:t>
      </w:r>
      <w:r>
        <w:rPr>
          <w:rStyle w:val="FootnoteReference"/>
        </w:rPr>
        <w:footnoteReference w:id="1191"/>
      </w:r>
    </w:p>
    <w:p w:rsidR="00760048" w:rsidRPr="0072600F" w14:paraId="3DA37895" w14:textId="77777777">
      <w:pPr>
        <w:pStyle w:val="FERCparanumber"/>
        <w:widowControl/>
        <w:numPr>
          <w:ilvl w:val="0"/>
          <w:numId w:val="25"/>
        </w:numPr>
        <w:autoSpaceDE/>
        <w:autoSpaceDN/>
        <w:adjustRightInd/>
        <w:spacing w:line="480" w:lineRule="auto"/>
        <w:rPr>
          <w:sz w:val="26"/>
          <w:szCs w:val="26"/>
        </w:rPr>
      </w:pPr>
      <w:r w:rsidRPr="0072600F">
        <w:rPr>
          <w:sz w:val="26"/>
          <w:szCs w:val="26"/>
        </w:rPr>
        <w:t>Ørsted</w:t>
      </w:r>
      <w:r w:rsidRPr="0072600F">
        <w:rPr>
          <w:sz w:val="26"/>
          <w:szCs w:val="26"/>
        </w:rPr>
        <w:t xml:space="preserve"> asks the Commission to clarify how to provide a validated model for equipment that does not yet exist.</w:t>
      </w:r>
      <w:r>
        <w:rPr>
          <w:rStyle w:val="FootnoteReference"/>
        </w:rPr>
        <w:footnoteReference w:id="1192"/>
      </w:r>
      <w:r w:rsidRPr="0072600F">
        <w:rPr>
          <w:sz w:val="26"/>
          <w:szCs w:val="26"/>
        </w:rPr>
        <w:t xml:space="preserve">  </w:t>
      </w:r>
      <w:r w:rsidRPr="0072600F">
        <w:rPr>
          <w:sz w:val="26"/>
          <w:szCs w:val="26"/>
        </w:rPr>
        <w:t>Ørsted</w:t>
      </w:r>
      <w:r w:rsidRPr="0072600F">
        <w:rPr>
          <w:sz w:val="26"/>
          <w:szCs w:val="26"/>
        </w:rPr>
        <w:t xml:space="preserve"> suggests, as example, that the interconnection customer or vendor could self-attest that, to the best of their knowledge, the equipment response is expected to be consistent with the RMS and the EMT models provided at the time of interconnection study.</w:t>
      </w:r>
      <w:r w:rsidRPr="0072600F">
        <w:rPr>
          <w:b/>
          <w:sz w:val="26"/>
          <w:szCs w:val="26"/>
          <w:vertAlign w:val="superscript"/>
        </w:rPr>
        <w:t xml:space="preserve"> </w:t>
      </w:r>
    </w:p>
    <w:p w:rsidR="00760048" w:rsidRPr="0072600F" w14:paraId="4355C897" w14:textId="77777777">
      <w:pPr>
        <w:pStyle w:val="FERCparanumber"/>
        <w:widowControl/>
        <w:numPr>
          <w:ilvl w:val="0"/>
          <w:numId w:val="25"/>
        </w:numPr>
        <w:autoSpaceDE/>
        <w:autoSpaceDN/>
        <w:adjustRightInd/>
        <w:spacing w:line="480" w:lineRule="auto"/>
        <w:rPr>
          <w:sz w:val="26"/>
          <w:szCs w:val="26"/>
        </w:rPr>
      </w:pPr>
      <w:r w:rsidRPr="0072600F">
        <w:rPr>
          <w:sz w:val="26"/>
          <w:szCs w:val="26"/>
        </w:rPr>
        <w:t>PacifiCorp asks the Commission to add two models to the table of acceptable models that are approved by WECC and relate to ride through requirements.</w:t>
      </w:r>
      <w:r>
        <w:rPr>
          <w:rStyle w:val="FootnoteReference"/>
        </w:rPr>
        <w:footnoteReference w:id="1193"/>
      </w:r>
      <w:r w:rsidRPr="0072600F">
        <w:rPr>
          <w:sz w:val="26"/>
          <w:szCs w:val="26"/>
        </w:rPr>
        <w:t xml:space="preserve">  PacifiCorp states that these qualify as validated user-defined root mean squared positive sequency dynamic models and their inclusion will allow transmission providers to accurately model the ride through characteristics of these resources and help understand if the resource will be tripped for any transmission related event away from the resource.</w:t>
      </w:r>
    </w:p>
    <w:p w:rsidR="00760048" w:rsidRPr="00663161" w14:paraId="4CFD283D"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26FD8EC5"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Invenergy’s request for rehearing regarding potential barriers to validation of EMT models at the time of the interconnection application.  Pursuant to Order No. 2023’s definition of a validated model, the interconnection customer has a number of options that do not require field data, such as an attestation that the models accurately reflect the expected behavior of a proposed generating facility based on the interconnection customer’s best understanding at the time of the interconnection request.</w:t>
      </w:r>
      <w:r>
        <w:rPr>
          <w:rStyle w:val="FootnoteReference"/>
        </w:rPr>
        <w:footnoteReference w:id="1194"/>
      </w:r>
      <w:r w:rsidRPr="0072600F">
        <w:rPr>
          <w:sz w:val="26"/>
          <w:szCs w:val="26"/>
        </w:rPr>
        <w:t xml:space="preserve">  </w:t>
      </w:r>
      <w:r w:rsidR="00466F1C">
        <w:rPr>
          <w:sz w:val="26"/>
          <w:szCs w:val="26"/>
        </w:rPr>
        <w:t>Therefore, w</w:t>
      </w:r>
      <w:r w:rsidRPr="0072600F">
        <w:rPr>
          <w:sz w:val="26"/>
          <w:szCs w:val="26"/>
        </w:rPr>
        <w:t xml:space="preserve">e are not persuaded that the interconnection customer is unable to provide this attestation, even for advanced products.  </w:t>
      </w:r>
    </w:p>
    <w:p w:rsidR="00760048" w:rsidRPr="0072600F" w14:paraId="685AD08A"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also find it unnecessary to grant Invenergy’s request to modify the </w:t>
      </w:r>
      <w:r w:rsidRPr="0072600F">
        <w:rPr>
          <w:i/>
          <w:iCs/>
          <w:sz w:val="26"/>
          <w:szCs w:val="26"/>
        </w:rPr>
        <w:t>pro forma</w:t>
      </w:r>
      <w:r w:rsidRPr="0072600F">
        <w:rPr>
          <w:sz w:val="26"/>
          <w:szCs w:val="26"/>
        </w:rPr>
        <w:t xml:space="preserve"> LGIP, Appendix 1, Attachment A and </w:t>
      </w:r>
      <w:r w:rsidRPr="0072600F">
        <w:rPr>
          <w:i/>
          <w:iCs/>
          <w:sz w:val="26"/>
          <w:szCs w:val="26"/>
        </w:rPr>
        <w:t>pro forma</w:t>
      </w:r>
      <w:r w:rsidRPr="0072600F">
        <w:rPr>
          <w:sz w:val="26"/>
          <w:szCs w:val="26"/>
        </w:rPr>
        <w:t xml:space="preserve"> SGIP, Attachment 2, to state that, if a validated EMT or RMS model is not available, a preliminary model may be provided, and the interconnection customer shall submit the validated model no later than needed for the cluster restudy.  As noted above, such preliminary models are acceptable under Order No. 2023’s definition of a validated model, as long as it is based on the actual programming code used by the manufacturer to program equipment.</w:t>
      </w:r>
    </w:p>
    <w:p w:rsidR="00760048" w:rsidRPr="0072600F" w14:paraId="7EFF281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deny </w:t>
      </w:r>
      <w:r w:rsidRPr="0072600F">
        <w:rPr>
          <w:sz w:val="26"/>
          <w:szCs w:val="26"/>
        </w:rPr>
        <w:t>Ørsted’s</w:t>
      </w:r>
      <w:r w:rsidRPr="0072600F">
        <w:rPr>
          <w:sz w:val="26"/>
          <w:szCs w:val="26"/>
        </w:rPr>
        <w:t xml:space="preserve"> request for clarification regarding how to provide a validated model for equipment that does not yet exist.  An interconnection request that fails to specify the equipment to be used, including, for example, the inverter manufacturer, model name, number, and version, is not a complete application.</w:t>
      </w:r>
      <w:r>
        <w:rPr>
          <w:rStyle w:val="FootnoteReference"/>
        </w:rPr>
        <w:footnoteReference w:id="1195"/>
      </w:r>
      <w:r w:rsidRPr="0072600F">
        <w:rPr>
          <w:sz w:val="26"/>
          <w:szCs w:val="26"/>
        </w:rPr>
        <w:t xml:space="preserve">  However, we acknowledge that equipment, including inverters, may advance over the period of time an interconnection customer proceeds through the queue.  We note that section 4.6 of the </w:t>
      </w:r>
      <w:r w:rsidRPr="0072600F">
        <w:rPr>
          <w:i/>
          <w:iCs/>
          <w:sz w:val="26"/>
          <w:szCs w:val="26"/>
        </w:rPr>
        <w:t xml:space="preserve">pro forma </w:t>
      </w:r>
      <w:r w:rsidRPr="0072600F">
        <w:rPr>
          <w:sz w:val="26"/>
          <w:szCs w:val="26"/>
        </w:rPr>
        <w:t>LGIP contains the transmission provider’s technological change procedure, which is designed to allow transmission providers to evaluate equipment changes to an interconnection request.</w:t>
      </w:r>
      <w:r>
        <w:rPr>
          <w:rStyle w:val="FootnoteReference"/>
        </w:rPr>
        <w:footnoteReference w:id="1196"/>
      </w:r>
      <w:r w:rsidRPr="0072600F">
        <w:rPr>
          <w:sz w:val="26"/>
          <w:szCs w:val="26"/>
        </w:rPr>
        <w:t xml:space="preserve">  </w:t>
      </w:r>
    </w:p>
    <w:p w:rsidR="00760048" w:rsidRPr="0072600F" w14:paraId="1DB1815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unpersuaded by Invenergy’s request for rehearing regarding whether a project developer might be able to provide EMT models for different equipment later in the process as newer equipment becomes field tested without the transmission provider determining that it is a material modification.  Order No. 2023 was clear that section 4.4 of the </w:t>
      </w:r>
      <w:r w:rsidRPr="0072600F">
        <w:rPr>
          <w:i/>
          <w:iCs/>
          <w:sz w:val="26"/>
          <w:szCs w:val="26"/>
        </w:rPr>
        <w:t>pro forma</w:t>
      </w:r>
      <w:r w:rsidRPr="0072600F">
        <w:rPr>
          <w:sz w:val="26"/>
          <w:szCs w:val="26"/>
        </w:rPr>
        <w:t xml:space="preserve"> LGIP and section 1.4 of the </w:t>
      </w:r>
      <w:r w:rsidRPr="0072600F">
        <w:rPr>
          <w:i/>
          <w:iCs/>
          <w:sz w:val="26"/>
          <w:szCs w:val="26"/>
        </w:rPr>
        <w:t>pro forma</w:t>
      </w:r>
      <w:r w:rsidRPr="0072600F">
        <w:rPr>
          <w:sz w:val="26"/>
          <w:szCs w:val="26"/>
        </w:rPr>
        <w:t xml:space="preserve"> SGIP set forth procedures for modifications to an interconnection request, including the evaluation of technical changes to a request, and such changes may be determined to be a material modification.</w:t>
      </w:r>
      <w:r>
        <w:rPr>
          <w:rStyle w:val="FootnoteReference"/>
        </w:rPr>
        <w:footnoteReference w:id="1197"/>
      </w:r>
      <w:r w:rsidRPr="0072600F">
        <w:rPr>
          <w:sz w:val="26"/>
          <w:szCs w:val="26"/>
        </w:rPr>
        <w:t xml:space="preserve">  Furthermore, as noted above, section 4.6 of the </w:t>
      </w:r>
      <w:r w:rsidRPr="0072600F">
        <w:rPr>
          <w:i/>
          <w:iCs/>
          <w:sz w:val="26"/>
          <w:szCs w:val="26"/>
        </w:rPr>
        <w:t xml:space="preserve">pro forma </w:t>
      </w:r>
      <w:r w:rsidRPr="0072600F">
        <w:rPr>
          <w:sz w:val="26"/>
          <w:szCs w:val="26"/>
        </w:rPr>
        <w:t xml:space="preserve">LGIP contains the transmission provider’s technological change procedure, which is designed to allow transmission providers to evaluate equipment changes to an interconnection request.  </w:t>
      </w:r>
    </w:p>
    <w:p w:rsidR="00760048" w:rsidRPr="0072600F" w14:paraId="3DBB22F2"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unpersuaded by </w:t>
      </w:r>
      <w:r w:rsidRPr="0072600F">
        <w:rPr>
          <w:sz w:val="26"/>
          <w:szCs w:val="26"/>
        </w:rPr>
        <w:t>Ørsted’s</w:t>
      </w:r>
      <w:r w:rsidRPr="0072600F">
        <w:rPr>
          <w:sz w:val="26"/>
          <w:szCs w:val="26"/>
        </w:rPr>
        <w:t xml:space="preserve"> rehearing request regarding the timing of EMT model availability.  While the Commission has approved proposals to perform an EMT study following execution of the LGIA, the </w:t>
      </w:r>
      <w:r w:rsidRPr="0072600F">
        <w:rPr>
          <w:i/>
          <w:iCs/>
          <w:sz w:val="26"/>
          <w:szCs w:val="26"/>
        </w:rPr>
        <w:t xml:space="preserve">pro forma </w:t>
      </w:r>
      <w:r w:rsidRPr="0072600F">
        <w:rPr>
          <w:sz w:val="26"/>
          <w:szCs w:val="26"/>
        </w:rPr>
        <w:t xml:space="preserve">LGIP and </w:t>
      </w:r>
      <w:r w:rsidRPr="0072600F">
        <w:rPr>
          <w:i/>
          <w:iCs/>
          <w:sz w:val="26"/>
          <w:szCs w:val="26"/>
        </w:rPr>
        <w:t>pro forma</w:t>
      </w:r>
      <w:r w:rsidRPr="0072600F">
        <w:rPr>
          <w:sz w:val="26"/>
          <w:szCs w:val="26"/>
        </w:rPr>
        <w:t xml:space="preserve"> SGIP contain no such study.</w:t>
      </w:r>
      <w:r>
        <w:rPr>
          <w:rStyle w:val="FootnoteReference"/>
        </w:rPr>
        <w:footnoteReference w:id="1198"/>
      </w:r>
      <w:r w:rsidRPr="0072600F">
        <w:rPr>
          <w:sz w:val="26"/>
          <w:szCs w:val="26"/>
        </w:rPr>
        <w:t xml:space="preserve">  We sustain the finding in Order No. 2023 that requiring models to be submitted with the interconnection request is consistent with the principles underpinning other requirements in the </w:t>
      </w:r>
      <w:r w:rsidRPr="0072600F">
        <w:rPr>
          <w:i/>
          <w:iCs/>
          <w:sz w:val="26"/>
          <w:szCs w:val="26"/>
        </w:rPr>
        <w:t xml:space="preserve">pro forma </w:t>
      </w:r>
      <w:r w:rsidRPr="0072600F">
        <w:rPr>
          <w:sz w:val="26"/>
          <w:szCs w:val="26"/>
        </w:rPr>
        <w:t xml:space="preserve">LGIP and </w:t>
      </w:r>
      <w:r w:rsidRPr="0072600F">
        <w:rPr>
          <w:i/>
          <w:iCs/>
          <w:sz w:val="26"/>
          <w:szCs w:val="26"/>
        </w:rPr>
        <w:t xml:space="preserve">pro forma </w:t>
      </w:r>
      <w:r w:rsidRPr="0072600F">
        <w:rPr>
          <w:sz w:val="26"/>
          <w:szCs w:val="26"/>
        </w:rPr>
        <w:t xml:space="preserve">SGIP.  Allowing model validation at a point further into the interconnection </w:t>
      </w:r>
      <w:r w:rsidRPr="0072600F">
        <w:rPr>
          <w:sz w:val="26"/>
          <w:szCs w:val="26"/>
        </w:rPr>
        <w:t>process</w:t>
      </w:r>
      <w:r w:rsidRPr="0072600F">
        <w:rPr>
          <w:sz w:val="26"/>
          <w:szCs w:val="26"/>
        </w:rPr>
        <w:t xml:space="preserve"> could lead to restudies and subsequent delays that would frustrate the efficiency gained by </w:t>
      </w:r>
      <w:r w:rsidR="00466F1C">
        <w:rPr>
          <w:sz w:val="26"/>
          <w:szCs w:val="26"/>
        </w:rPr>
        <w:t>the other reforms in Order No. 2023</w:t>
      </w:r>
      <w:r w:rsidRPr="0072600F">
        <w:rPr>
          <w:sz w:val="26"/>
          <w:szCs w:val="26"/>
        </w:rPr>
        <w:t>.</w:t>
      </w:r>
      <w:r>
        <w:rPr>
          <w:rStyle w:val="FootnoteReference"/>
        </w:rPr>
        <w:footnoteReference w:id="1199"/>
      </w:r>
    </w:p>
    <w:p w:rsidR="00760048" w:rsidRPr="0072600F" w14:paraId="4F3876EE" w14:textId="77777777">
      <w:pPr>
        <w:pStyle w:val="FERCparanumber"/>
        <w:widowControl/>
        <w:numPr>
          <w:ilvl w:val="0"/>
          <w:numId w:val="25"/>
        </w:numPr>
        <w:autoSpaceDE/>
        <w:autoSpaceDN/>
        <w:adjustRightInd/>
        <w:spacing w:line="480" w:lineRule="auto"/>
        <w:rPr>
          <w:sz w:val="26"/>
          <w:szCs w:val="26"/>
        </w:rPr>
      </w:pPr>
      <w:r w:rsidRPr="0072600F">
        <w:rPr>
          <w:sz w:val="26"/>
          <w:szCs w:val="26"/>
        </w:rPr>
        <w:t>We are unpersuaded by PacifiCorp’s request for the Commission to add two models to the table of acceptable models that are approved by WECC and relate to ride through requirements.</w:t>
      </w:r>
      <w:r>
        <w:rPr>
          <w:rStyle w:val="FootnoteReference"/>
        </w:rPr>
        <w:footnoteReference w:id="1200"/>
      </w:r>
      <w:r w:rsidRPr="0072600F">
        <w:rPr>
          <w:sz w:val="26"/>
          <w:szCs w:val="26"/>
        </w:rPr>
        <w:t xml:space="preserve">  PacifiCorp presents this issue for the first time in its rehearing request.  In general, we reject rehearing requests that raise a new issue, unless we find that the issue could not have been previously presented.</w:t>
      </w:r>
      <w:r>
        <w:rPr>
          <w:rStyle w:val="FootnoteReference"/>
        </w:rPr>
        <w:footnoteReference w:id="1201"/>
      </w:r>
      <w:r w:rsidRPr="0072600F">
        <w:rPr>
          <w:sz w:val="26"/>
          <w:szCs w:val="26"/>
        </w:rPr>
        <w:t xml:space="preserve">  We are not persuaded that PacifiCorp could not have raised this issue earlier in this proceeding.  However, we also note that transmission providers may explain specific circumstances on compliance and justify why any deviations are either consistent with or superior to the </w:t>
      </w:r>
      <w:r w:rsidRPr="0072600F">
        <w:rPr>
          <w:i/>
          <w:sz w:val="26"/>
          <w:szCs w:val="26"/>
        </w:rPr>
        <w:t>pro forma</w:t>
      </w:r>
      <w:r w:rsidRPr="0072600F">
        <w:rPr>
          <w:sz w:val="26"/>
          <w:szCs w:val="26"/>
        </w:rPr>
        <w:t xml:space="preserve"> LGIP or merit an independent entity variation in the context of RTOs/ISOs.</w:t>
      </w:r>
    </w:p>
    <w:p w:rsidR="00760048" w:rsidRPr="00663161" w14:paraId="44375A35" w14:textId="77777777">
      <w:pPr>
        <w:pStyle w:val="Heading4"/>
        <w:keepNext/>
        <w:keepLines/>
        <w:widowControl/>
        <w:numPr>
          <w:ilvl w:val="3"/>
          <w:numId w:val="24"/>
        </w:numPr>
        <w:tabs>
          <w:tab w:val="clear" w:pos="0"/>
          <w:tab w:val="clear" w:pos="720"/>
          <w:tab w:val="clear" w:pos="1440"/>
          <w:tab w:val="clear" w:pos="2160"/>
          <w:tab w:val="clear" w:pos="3600"/>
          <w:tab w:val="clear" w:pos="4320"/>
          <w:tab w:val="clear" w:pos="5040"/>
          <w:tab w:val="clear" w:pos="5760"/>
          <w:tab w:val="clear" w:pos="6120"/>
        </w:tabs>
        <w:autoSpaceDE/>
        <w:autoSpaceDN/>
        <w:adjustRightInd/>
        <w:spacing w:after="260"/>
        <w:rPr>
          <w:b/>
          <w:bCs/>
          <w:sz w:val="26"/>
          <w:u w:val="single"/>
        </w:rPr>
      </w:pPr>
      <w:r w:rsidRPr="00663161">
        <w:rPr>
          <w:b/>
          <w:bCs/>
          <w:sz w:val="26"/>
          <w:u w:val="single"/>
        </w:rPr>
        <w:t>Ride Through Requirements</w:t>
      </w:r>
    </w:p>
    <w:p w:rsidR="00760048" w:rsidRPr="00663161" w14:paraId="1A8C839D"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Order No. 2023 Requirements</w:t>
      </w:r>
    </w:p>
    <w:p w:rsidR="00760048" w:rsidRPr="0072600F" w14:paraId="1BA1E824"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revised article 9.7.3 of the </w:t>
      </w:r>
      <w:r w:rsidRPr="0072600F">
        <w:rPr>
          <w:i/>
          <w:iCs/>
          <w:sz w:val="26"/>
          <w:szCs w:val="26"/>
        </w:rPr>
        <w:t>pro forma</w:t>
      </w:r>
      <w:r w:rsidRPr="0072600F">
        <w:rPr>
          <w:sz w:val="26"/>
          <w:szCs w:val="26"/>
        </w:rPr>
        <w:t xml:space="preserve"> LGIA and article 1.5.7 of the </w:t>
      </w:r>
      <w:r w:rsidRPr="0072600F">
        <w:rPr>
          <w:i/>
          <w:iCs/>
          <w:sz w:val="26"/>
          <w:szCs w:val="26"/>
        </w:rPr>
        <w:t>pro forma</w:t>
      </w:r>
      <w:r w:rsidRPr="0072600F">
        <w:rPr>
          <w:sz w:val="26"/>
          <w:szCs w:val="26"/>
        </w:rPr>
        <w:t xml:space="preserve"> SGIA to require that, during abnormal frequency conditions and voltage conditions within the “no trip zone” defined by Reliability Standard PRC-024-3 or successor mandatory ride through reliability standards, the non-synchronous generating facility must ensure that, within any physical limitations of the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r>
        <w:rPr>
          <w:rStyle w:val="FootnoteReference"/>
        </w:rPr>
        <w:footnoteReference w:id="1202"/>
      </w:r>
    </w:p>
    <w:p w:rsidR="00760048" w:rsidRPr="00663161" w14:paraId="2D537935"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Requests for Rehearing and Clarification</w:t>
      </w:r>
    </w:p>
    <w:p w:rsidR="00760048" w:rsidRPr="0072600F" w14:paraId="765DAEB5" w14:textId="77777777">
      <w:pPr>
        <w:pStyle w:val="FERCparanumber"/>
        <w:widowControl/>
        <w:numPr>
          <w:ilvl w:val="0"/>
          <w:numId w:val="25"/>
        </w:numPr>
        <w:autoSpaceDE/>
        <w:autoSpaceDN/>
        <w:adjustRightInd/>
        <w:spacing w:line="480" w:lineRule="auto"/>
        <w:rPr>
          <w:sz w:val="26"/>
          <w:szCs w:val="26"/>
        </w:rPr>
      </w:pPr>
      <w:r w:rsidRPr="0072600F">
        <w:rPr>
          <w:sz w:val="26"/>
          <w:szCs w:val="26"/>
        </w:rPr>
        <w:t>Invenergy argues that the proposed ride through requirements impose requirements on non-synchronous generators that they may not be able to meet because the generator can only maintain active current, not power, and may not have a choice to choose between reactive and real power output during a disturbance due to equipment limitations.</w:t>
      </w:r>
      <w:r>
        <w:rPr>
          <w:rStyle w:val="FootnoteReference"/>
        </w:rPr>
        <w:footnoteReference w:id="1203"/>
      </w:r>
      <w:r w:rsidRPr="0072600F">
        <w:rPr>
          <w:sz w:val="26"/>
          <w:szCs w:val="26"/>
        </w:rPr>
        <w:t xml:space="preserve">  Invenergy asserts that requiring a non-synchronous generator to produce active power instead of providing reactive support is very likely to exacerbate, rather than alleviate, the disturbance.  Therefore, Invenergy asks the Commission to modify section 9.7.3 of the </w:t>
      </w:r>
      <w:r w:rsidRPr="0072600F">
        <w:rPr>
          <w:i/>
          <w:iCs/>
          <w:sz w:val="26"/>
          <w:szCs w:val="26"/>
        </w:rPr>
        <w:t>pro forma</w:t>
      </w:r>
      <w:r w:rsidRPr="0072600F">
        <w:rPr>
          <w:sz w:val="26"/>
          <w:szCs w:val="26"/>
        </w:rPr>
        <w:t xml:space="preserve"> LGIA to limit the prioritization of active power to frequency response disturbances and clarify that the default ride-though rule for other disturbances can be prioritizing reactive power.  Invenergy also asks the Commission to consider establishing a technical conference to obtain information directly from the standards setting bodies, the companies that design and supply the equipment, and other engineering experts to support the Commission’s determinations.</w:t>
      </w:r>
      <w:r w:rsidRPr="0072600F">
        <w:rPr>
          <w:b/>
          <w:sz w:val="26"/>
          <w:szCs w:val="26"/>
          <w:vertAlign w:val="superscript"/>
        </w:rPr>
        <w:t xml:space="preserve"> </w:t>
      </w:r>
    </w:p>
    <w:p w:rsidR="00760048" w:rsidRPr="0072600F" w14:paraId="03044866" w14:textId="77777777">
      <w:pPr>
        <w:pStyle w:val="FERCparanumber"/>
        <w:widowControl/>
        <w:numPr>
          <w:ilvl w:val="0"/>
          <w:numId w:val="25"/>
        </w:numPr>
        <w:autoSpaceDE/>
        <w:autoSpaceDN/>
        <w:adjustRightInd/>
        <w:spacing w:line="480" w:lineRule="auto"/>
        <w:rPr>
          <w:sz w:val="26"/>
          <w:szCs w:val="26"/>
        </w:rPr>
      </w:pPr>
      <w:r w:rsidRPr="0072600F">
        <w:rPr>
          <w:sz w:val="26"/>
          <w:szCs w:val="26"/>
        </w:rPr>
        <w:t>Similarly, Clean Energy Associations ask the Commission to clarify that the text “within any physical limitations of the generating facility” allows a resource that is responding to a disturbance in reactive power priority mode to reduce its active power production if it does not have sufficient headroom to increase reactive power to provide required voltage support, without violating the requirement to continue active power production during disturbance and post disturbance periods at pre-disturbance levels.</w:t>
      </w:r>
      <w:r>
        <w:rPr>
          <w:rStyle w:val="FootnoteReference"/>
        </w:rPr>
        <w:footnoteReference w:id="1204"/>
      </w:r>
    </w:p>
    <w:p w:rsidR="00760048" w:rsidRPr="00663161" w14:paraId="565A213C" w14:textId="77777777">
      <w:pPr>
        <w:pStyle w:val="Heading5"/>
        <w:keepNext/>
        <w:keepLines/>
        <w:numPr>
          <w:ilvl w:val="4"/>
          <w:numId w:val="24"/>
        </w:numPr>
        <w:tabs>
          <w:tab w:val="clear" w:pos="720"/>
          <w:tab w:val="clear" w:pos="1440"/>
          <w:tab w:val="clear" w:pos="2160"/>
          <w:tab w:val="clear" w:pos="2880"/>
        </w:tabs>
        <w:spacing w:after="260" w:line="240" w:lineRule="auto"/>
        <w:rPr>
          <w:sz w:val="26"/>
          <w:szCs w:val="26"/>
          <w:u w:val="single"/>
        </w:rPr>
      </w:pPr>
      <w:r w:rsidRPr="00663161">
        <w:rPr>
          <w:sz w:val="26"/>
          <w:szCs w:val="26"/>
          <w:u w:val="single"/>
        </w:rPr>
        <w:t>Determination</w:t>
      </w:r>
    </w:p>
    <w:p w:rsidR="00760048" w:rsidRPr="0072600F" w14:paraId="5AB9CCC5"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are not persuaded by Invenergy’s request to modify section 9.7.3 of the </w:t>
      </w:r>
      <w:r w:rsidRPr="0072600F">
        <w:rPr>
          <w:i/>
          <w:iCs/>
          <w:sz w:val="26"/>
          <w:szCs w:val="26"/>
        </w:rPr>
        <w:t>pro forma</w:t>
      </w:r>
      <w:r w:rsidRPr="0072600F">
        <w:rPr>
          <w:sz w:val="26"/>
          <w:szCs w:val="26"/>
        </w:rPr>
        <w:t xml:space="preserve"> LGIA to limit the prioritization of active power to frequency response disturbances and clarify that the default ride-though rule for other disturbances can be prioritizing reactive power.  As further explained below, Order No. 2023 allows a non-synchronous generating facility with physical limitations to prioritize reactive power.  The extent to which a non-synchronous generating facility prioritizes real or reactive power is best handled on a case-by-case basis based on the transmission provider’s evaluation of the reliability needs of its system, </w:t>
      </w:r>
      <w:r w:rsidR="00EB19F8">
        <w:rPr>
          <w:sz w:val="26"/>
          <w:szCs w:val="26"/>
        </w:rPr>
        <w:t>because</w:t>
      </w:r>
      <w:r w:rsidRPr="0072600F" w:rsidR="00EB19F8">
        <w:rPr>
          <w:sz w:val="26"/>
          <w:szCs w:val="26"/>
        </w:rPr>
        <w:t xml:space="preserve"> </w:t>
      </w:r>
      <w:r w:rsidRPr="0072600F">
        <w:rPr>
          <w:sz w:val="26"/>
          <w:szCs w:val="26"/>
        </w:rPr>
        <w:t>different transmission systems and different operating conditions may require different responses from interconnected resources, as opposed to a default response</w:t>
      </w:r>
      <w:r w:rsidRPr="0072600F">
        <w:rPr>
          <w:sz w:val="26"/>
          <w:szCs w:val="26"/>
        </w:rPr>
        <w:t>.</w:t>
      </w:r>
      <w:r w:rsidRPr="0072600F">
        <w:rPr>
          <w:sz w:val="26"/>
          <w:szCs w:val="26"/>
        </w:rPr>
        <w:t xml:space="preserve"> </w:t>
      </w:r>
    </w:p>
    <w:p w:rsidR="00760048" w:rsidRPr="0072600F" w14:paraId="24F18779" w14:textId="77777777">
      <w:pPr>
        <w:pStyle w:val="FERCparanumber"/>
        <w:widowControl/>
        <w:numPr>
          <w:ilvl w:val="0"/>
          <w:numId w:val="25"/>
        </w:numPr>
        <w:autoSpaceDE/>
        <w:autoSpaceDN/>
        <w:adjustRightInd/>
        <w:spacing w:line="480" w:lineRule="auto"/>
        <w:rPr>
          <w:rFonts w:eastAsia="Calibri"/>
          <w:sz w:val="26"/>
          <w:szCs w:val="26"/>
        </w:rPr>
      </w:pPr>
      <w:bookmarkStart w:id="147" w:name="_Hlk156822560"/>
      <w:r w:rsidRPr="0072600F">
        <w:rPr>
          <w:sz w:val="26"/>
          <w:szCs w:val="26"/>
        </w:rPr>
        <w:t>We grant Clean Energy Associations’ request for clarification.  In Order No. 2023, the Commission noted that the modified reform accommodates existing technical capabilities and physical limitations of non-synchronous generating facilities by providing for reductions in active power to prioritize reactive power.</w:t>
      </w:r>
      <w:r>
        <w:rPr>
          <w:rStyle w:val="FootnoteReference"/>
        </w:rPr>
        <w:footnoteReference w:id="1205"/>
      </w:r>
      <w:r w:rsidRPr="0072600F">
        <w:rPr>
          <w:sz w:val="26"/>
          <w:szCs w:val="26"/>
        </w:rPr>
        <w:t xml:space="preserve">  A generating facility’s inability to prioritize reactive power without a reduction in active power is considered one of the “physical limitations of the generating facility” that provides an exception, albeit limited, to the requirement that the generating facility continue active power production during disturbance and post disturbance periods at pre-disturbance levels.  </w:t>
      </w:r>
    </w:p>
    <w:p w:rsidR="00760048" w:rsidRPr="0072600F" w14:paraId="60E6E1A1" w14:textId="77777777">
      <w:pPr>
        <w:pStyle w:val="FERCparanumber"/>
        <w:widowControl/>
        <w:numPr>
          <w:ilvl w:val="0"/>
          <w:numId w:val="25"/>
        </w:numPr>
        <w:autoSpaceDE/>
        <w:autoSpaceDN/>
        <w:adjustRightInd/>
        <w:spacing w:line="480" w:lineRule="auto"/>
        <w:rPr>
          <w:sz w:val="26"/>
          <w:szCs w:val="26"/>
        </w:rPr>
      </w:pPr>
      <w:bookmarkStart w:id="148" w:name="_Hlk156822569"/>
      <w:bookmarkEnd w:id="147"/>
      <w:r w:rsidRPr="0072600F">
        <w:rPr>
          <w:sz w:val="26"/>
          <w:szCs w:val="26"/>
        </w:rPr>
        <w:t xml:space="preserve">However, given the importance of prioritization of reactive power, we are persuaded that additional clarity is necessary.  Accordingly, we revise section 9.7.3 of the </w:t>
      </w:r>
      <w:r w:rsidRPr="0072600F">
        <w:rPr>
          <w:i/>
          <w:iCs/>
          <w:sz w:val="26"/>
          <w:szCs w:val="26"/>
        </w:rPr>
        <w:t xml:space="preserve">pro forma </w:t>
      </w:r>
      <w:r w:rsidRPr="0072600F">
        <w:rPr>
          <w:sz w:val="26"/>
          <w:szCs w:val="26"/>
        </w:rPr>
        <w:t xml:space="preserve">LGIA and article 1.5.7 of the </w:t>
      </w:r>
      <w:r w:rsidRPr="0072600F">
        <w:rPr>
          <w:i/>
          <w:iCs/>
          <w:sz w:val="26"/>
          <w:szCs w:val="26"/>
        </w:rPr>
        <w:t>pro forma</w:t>
      </w:r>
      <w:r w:rsidRPr="0072600F">
        <w:rPr>
          <w:sz w:val="26"/>
          <w:szCs w:val="26"/>
        </w:rPr>
        <w:t xml:space="preserve"> SGIA to state that a non-synchronous generating facility must ensure that, within any physical limitations of the generating facility:</w:t>
      </w:r>
    </w:p>
    <w:p w:rsidR="00760048" w:rsidRPr="0072600F" w:rsidP="00071614" w14:paraId="146AD1EE" w14:textId="77777777">
      <w:pPr>
        <w:pStyle w:val="FERCparanumber"/>
        <w:numPr>
          <w:ilvl w:val="0"/>
          <w:numId w:val="0"/>
        </w:numPr>
        <w:ind w:left="1440" w:right="1440"/>
        <w:jc w:val="both"/>
        <w:rPr>
          <w:sz w:val="26"/>
          <w:szCs w:val="26"/>
        </w:rPr>
      </w:pPr>
      <w:r w:rsidRPr="0072600F">
        <w:rPr>
          <w:sz w:val="26"/>
          <w:szCs w:val="26"/>
        </w:rPr>
        <w:t xml:space="preserve">. . . its control and protection settings are configured or set to (1) continue active power production during disturbance and post disturbance periods at pre-disturbance levels, </w:t>
      </w:r>
      <w:r w:rsidRPr="0072600F">
        <w:rPr>
          <w:i/>
          <w:sz w:val="26"/>
          <w:szCs w:val="26"/>
        </w:rPr>
        <w:t>unless reactive power priority mode is enabled</w:t>
      </w:r>
      <w:r w:rsidRPr="0072600F">
        <w:rPr>
          <w:sz w:val="26"/>
          <w:szCs w:val="26"/>
        </w:rPr>
        <w:t xml:space="preserve"> or unless providing primary frequency response or fast frequency response</w:t>
      </w:r>
      <w:r w:rsidRPr="0072600F">
        <w:rPr>
          <w:sz w:val="26"/>
          <w:szCs w:val="26"/>
        </w:rPr>
        <w:t>.</w:t>
      </w:r>
      <w:r w:rsidRPr="0072600F">
        <w:rPr>
          <w:sz w:val="26"/>
          <w:szCs w:val="26"/>
        </w:rPr>
        <w:t xml:space="preserve"> . . . </w:t>
      </w:r>
    </w:p>
    <w:bookmarkEnd w:id="148"/>
    <w:p w:rsidR="00760048" w:rsidRPr="0072600F" w:rsidP="00071614" w14:paraId="61045546" w14:textId="77777777">
      <w:pPr>
        <w:pStyle w:val="FERCparanumber"/>
        <w:numPr>
          <w:ilvl w:val="0"/>
          <w:numId w:val="0"/>
        </w:numPr>
        <w:ind w:left="1440" w:right="1440"/>
        <w:jc w:val="both"/>
        <w:rPr>
          <w:sz w:val="26"/>
          <w:szCs w:val="26"/>
        </w:rPr>
      </w:pPr>
    </w:p>
    <w:p w:rsidR="00760048" w:rsidRPr="0072600F" w:rsidP="00851BE9" w14:paraId="7E485902" w14:textId="77777777">
      <w:pPr>
        <w:pStyle w:val="FERCparanumber"/>
        <w:widowControl/>
        <w:numPr>
          <w:ilvl w:val="0"/>
          <w:numId w:val="25"/>
        </w:numPr>
        <w:autoSpaceDE/>
        <w:autoSpaceDN/>
        <w:adjustRightInd/>
        <w:spacing w:line="480" w:lineRule="auto"/>
        <w:rPr>
          <w:sz w:val="26"/>
          <w:szCs w:val="26"/>
        </w:rPr>
      </w:pPr>
      <w:r w:rsidRPr="0072600F">
        <w:rPr>
          <w:sz w:val="26"/>
          <w:szCs w:val="26"/>
        </w:rPr>
        <w:t>Given this modification, we do not believe a technical conference, as suggested by Invenergy, is necessary at this time.</w:t>
      </w:r>
    </w:p>
    <w:p w:rsidR="00760048" w:rsidRPr="00663161" w14:paraId="388BA839"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u w:val="single"/>
        </w:rPr>
      </w:pPr>
      <w:bookmarkStart w:id="149" w:name="_bmk25"/>
      <w:r w:rsidRPr="00663161">
        <w:rPr>
          <w:b/>
          <w:bCs/>
          <w:sz w:val="26"/>
          <w:szCs w:val="26"/>
          <w:u w:val="single"/>
        </w:rPr>
        <w:t>C</w:t>
      </w:r>
      <w:bookmarkEnd w:id="149"/>
      <w:r w:rsidRPr="00663161">
        <w:rPr>
          <w:b/>
          <w:bCs/>
          <w:sz w:val="26"/>
          <w:szCs w:val="26"/>
          <w:u w:val="single"/>
        </w:rPr>
        <w:t>ompliance Procedures</w:t>
      </w:r>
    </w:p>
    <w:p w:rsidR="00760048" w:rsidRPr="00663161" w14:paraId="60C16E58"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50" w:name="_bmk26"/>
      <w:r w:rsidRPr="00663161">
        <w:rPr>
          <w:b/>
          <w:bCs/>
          <w:sz w:val="26"/>
          <w:u w:val="single"/>
        </w:rPr>
        <w:t>O</w:t>
      </w:r>
      <w:bookmarkEnd w:id="150"/>
      <w:r w:rsidRPr="00663161">
        <w:rPr>
          <w:b/>
          <w:bCs/>
          <w:sz w:val="26"/>
          <w:u w:val="single"/>
        </w:rPr>
        <w:t>rder No. 2023 Requirements</w:t>
      </w:r>
    </w:p>
    <w:p w:rsidR="00760048" w:rsidRPr="0072600F" w14:paraId="77B3056D"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Commission required transmission providers to submit compliance filings within 90 calendar days of the publication date of Order No. 2023 in the </w:t>
      </w:r>
      <w:r w:rsidRPr="0072600F">
        <w:rPr>
          <w:i/>
          <w:iCs/>
          <w:sz w:val="26"/>
          <w:szCs w:val="26"/>
        </w:rPr>
        <w:t>Federal Register</w:t>
      </w:r>
      <w:r w:rsidRPr="0072600F">
        <w:rPr>
          <w:sz w:val="26"/>
          <w:szCs w:val="26"/>
        </w:rPr>
        <w:t xml:space="preserve">, rather than the proposed 180 days from the effective date of Order No. 2023.  </w:t>
      </w:r>
    </w:p>
    <w:p w:rsidR="00760048" w:rsidRPr="00663161" w14:paraId="29E4102C"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51" w:name="_bmk27"/>
      <w:r w:rsidRPr="00663161">
        <w:rPr>
          <w:b/>
          <w:bCs/>
          <w:sz w:val="26"/>
          <w:u w:val="single"/>
        </w:rPr>
        <w:t>R</w:t>
      </w:r>
      <w:bookmarkEnd w:id="151"/>
      <w:r w:rsidRPr="00663161">
        <w:rPr>
          <w:b/>
          <w:bCs/>
          <w:sz w:val="26"/>
          <w:u w:val="single"/>
        </w:rPr>
        <w:t>equests for Rehearing and Clarification</w:t>
      </w:r>
    </w:p>
    <w:p w:rsidR="00760048" w:rsidRPr="0072600F" w:rsidP="00A36830" w14:paraId="2D4D3F47" w14:textId="77777777">
      <w:pPr>
        <w:pStyle w:val="FERCparanumber"/>
        <w:widowControl/>
        <w:numPr>
          <w:ilvl w:val="0"/>
          <w:numId w:val="25"/>
        </w:numPr>
        <w:autoSpaceDE/>
        <w:autoSpaceDN/>
        <w:adjustRightInd/>
        <w:spacing w:line="480" w:lineRule="auto"/>
        <w:rPr>
          <w:sz w:val="26"/>
          <w:szCs w:val="26"/>
        </w:rPr>
      </w:pPr>
      <w:r w:rsidRPr="0072600F">
        <w:rPr>
          <w:sz w:val="26"/>
          <w:szCs w:val="26"/>
        </w:rPr>
        <w:t>A number of entities asked the Commission to extend the deadline for compliance established in Order No. 2023.</w:t>
      </w:r>
      <w:r>
        <w:rPr>
          <w:rStyle w:val="FootnoteReference"/>
        </w:rPr>
        <w:footnoteReference w:id="1206"/>
      </w:r>
    </w:p>
    <w:p w:rsidR="00760048" w:rsidRPr="0072600F" w:rsidP="00A36830" w14:paraId="078151BA" w14:textId="77777777">
      <w:pPr>
        <w:pStyle w:val="FERCparanumber"/>
        <w:widowControl/>
        <w:numPr>
          <w:ilvl w:val="0"/>
          <w:numId w:val="25"/>
        </w:numPr>
        <w:autoSpaceDE/>
        <w:autoSpaceDN/>
        <w:adjustRightInd/>
        <w:spacing w:line="480" w:lineRule="auto"/>
        <w:rPr>
          <w:sz w:val="26"/>
          <w:szCs w:val="26"/>
        </w:rPr>
      </w:pPr>
      <w:r w:rsidRPr="0072600F">
        <w:rPr>
          <w:sz w:val="26"/>
          <w:szCs w:val="26"/>
        </w:rPr>
        <w:t>Indicated PJM TOs argue that Order No. 2023 is unduly discriminatory and will inappropriately impose substantial administrative burdens on all transmission providers, even though transmission providers who have already adopted cluster study processes are not similarly situated to those transmission providers who have not adopted such processes.</w:t>
      </w:r>
      <w:r>
        <w:rPr>
          <w:rStyle w:val="FootnoteReference"/>
        </w:rPr>
        <w:footnoteReference w:id="1207"/>
      </w:r>
      <w:r w:rsidRPr="0072600F">
        <w:rPr>
          <w:sz w:val="26"/>
          <w:szCs w:val="26"/>
        </w:rPr>
        <w:t xml:space="preserve">  </w:t>
      </w:r>
    </w:p>
    <w:p w:rsidR="00760048" w:rsidRPr="0072600F" w14:paraId="0728F243" w14:textId="77777777">
      <w:pPr>
        <w:pStyle w:val="FERCparanumber"/>
        <w:widowControl/>
        <w:numPr>
          <w:ilvl w:val="0"/>
          <w:numId w:val="25"/>
        </w:numPr>
        <w:autoSpaceDE/>
        <w:autoSpaceDN/>
        <w:adjustRightInd/>
        <w:spacing w:line="480" w:lineRule="auto"/>
        <w:rPr>
          <w:sz w:val="26"/>
          <w:szCs w:val="26"/>
        </w:rPr>
      </w:pPr>
      <w:r w:rsidRPr="0072600F">
        <w:rPr>
          <w:sz w:val="26"/>
          <w:szCs w:val="26"/>
        </w:rPr>
        <w:t>Dominion states that it understands that the Commission intended tariff revisions made in compliance with Order No. 2023 to be prospective, but Dominion argues that the Commission did not provide guidance as to what effective date transmission providers should use for purposes of their compliance filing.</w:t>
      </w:r>
      <w:r>
        <w:rPr>
          <w:rStyle w:val="FootnoteReference"/>
        </w:rPr>
        <w:footnoteReference w:id="1208"/>
      </w:r>
      <w:r w:rsidRPr="0072600F">
        <w:rPr>
          <w:b/>
          <w:bCs/>
          <w:sz w:val="26"/>
          <w:szCs w:val="26"/>
        </w:rPr>
        <w:t xml:space="preserve">  </w:t>
      </w:r>
      <w:r w:rsidRPr="0072600F">
        <w:rPr>
          <w:sz w:val="26"/>
          <w:szCs w:val="26"/>
        </w:rPr>
        <w:t xml:space="preserve">Dominion </w:t>
      </w:r>
      <w:r w:rsidRPr="0072600F">
        <w:rPr>
          <w:sz w:val="26"/>
          <w:szCs w:val="26"/>
        </w:rPr>
        <w:t>asks</w:t>
      </w:r>
      <w:r w:rsidRPr="0072600F">
        <w:rPr>
          <w:sz w:val="26"/>
          <w:szCs w:val="26"/>
        </w:rPr>
        <w:t xml:space="preserve"> </w:t>
      </w:r>
      <w:r w:rsidRPr="0072600F">
        <w:rPr>
          <w:sz w:val="26"/>
          <w:szCs w:val="26"/>
        </w:rPr>
        <w:t>the Commission to clarify that any compliance filings can be made effective in a way that will align with cluster processing dates, such as the start of a new processing window.  Dominion asserts that such an effective date would allow the required revisions to be implemented on a going-forward and efficient basis and would not require any mid-process changes by requiring revisions to go into effect in the middle of a cluster window.</w:t>
      </w:r>
    </w:p>
    <w:p w:rsidR="00760048" w:rsidRPr="00663161" w14:paraId="48E2B5D4" w14:textId="77777777">
      <w:pPr>
        <w:pStyle w:val="Heading3"/>
        <w:keepNext/>
        <w:keepLines/>
        <w:widowControl/>
        <w:numPr>
          <w:ilvl w:val="2"/>
          <w:numId w:val="24"/>
        </w:numPr>
        <w:tabs>
          <w:tab w:val="clear" w:pos="0"/>
          <w:tab w:val="clear" w:pos="720"/>
          <w:tab w:val="clear" w:pos="1440"/>
          <w:tab w:val="clear" w:pos="2880"/>
          <w:tab w:val="clear" w:pos="3600"/>
          <w:tab w:val="clear" w:pos="4320"/>
          <w:tab w:val="clear" w:pos="5040"/>
          <w:tab w:val="clear" w:pos="5760"/>
          <w:tab w:val="clear" w:pos="6120"/>
        </w:tabs>
        <w:autoSpaceDE/>
        <w:autoSpaceDN/>
        <w:adjustRightInd/>
        <w:spacing w:after="260"/>
        <w:rPr>
          <w:b/>
          <w:bCs/>
          <w:sz w:val="26"/>
          <w:u w:val="single"/>
        </w:rPr>
      </w:pPr>
      <w:bookmarkStart w:id="152" w:name="_bmk28"/>
      <w:r w:rsidRPr="00663161">
        <w:rPr>
          <w:b/>
          <w:bCs/>
          <w:sz w:val="26"/>
          <w:u w:val="single"/>
        </w:rPr>
        <w:t>D</w:t>
      </w:r>
      <w:bookmarkEnd w:id="152"/>
      <w:r w:rsidRPr="00663161">
        <w:rPr>
          <w:b/>
          <w:bCs/>
          <w:sz w:val="26"/>
          <w:u w:val="single"/>
        </w:rPr>
        <w:t>etermination</w:t>
      </w:r>
    </w:p>
    <w:p w:rsidR="00760048" w:rsidRPr="0072600F" w:rsidP="002B32E4" w14:paraId="3C66566A" w14:textId="77777777">
      <w:pPr>
        <w:pStyle w:val="FERCparanumber"/>
        <w:widowControl/>
        <w:numPr>
          <w:ilvl w:val="0"/>
          <w:numId w:val="25"/>
        </w:numPr>
        <w:autoSpaceDE/>
        <w:autoSpaceDN/>
        <w:adjustRightInd/>
        <w:spacing w:line="480" w:lineRule="auto"/>
        <w:ind w:right="-180"/>
        <w:rPr>
          <w:sz w:val="26"/>
          <w:szCs w:val="26"/>
        </w:rPr>
      </w:pPr>
      <w:r w:rsidRPr="0072600F">
        <w:rPr>
          <w:sz w:val="26"/>
          <w:szCs w:val="26"/>
        </w:rPr>
        <w:t>On October 25, 2023, the Commission addressed arguments on rehearing regarding extending the deadline for compliance established in Order No. 2023.</w:t>
      </w:r>
      <w:r>
        <w:rPr>
          <w:rStyle w:val="FootnoteReference"/>
        </w:rPr>
        <w:footnoteReference w:id="1209"/>
      </w:r>
      <w:r w:rsidRPr="0072600F">
        <w:rPr>
          <w:sz w:val="26"/>
          <w:szCs w:val="26"/>
        </w:rPr>
        <w:t xml:space="preserve">  The Commission extended the compliance deadline to require compliance filings to be submitted within </w:t>
      </w:r>
      <w:r w:rsidR="002B32E4">
        <w:rPr>
          <w:sz w:val="26"/>
          <w:szCs w:val="26"/>
        </w:rPr>
        <w:t xml:space="preserve">   </w:t>
      </w:r>
      <w:r w:rsidRPr="0072600F">
        <w:rPr>
          <w:sz w:val="26"/>
          <w:szCs w:val="26"/>
        </w:rPr>
        <w:t>210 calendar days of the publication of Order No. 2023 in the Federal Register (i.e., within 149 calendar days of the effective date of Order No. 2023, or</w:t>
      </w:r>
      <w:r w:rsidR="002B32E4">
        <w:rPr>
          <w:sz w:val="26"/>
          <w:szCs w:val="26"/>
        </w:rPr>
        <w:t xml:space="preserve"> </w:t>
      </w:r>
      <w:r w:rsidRPr="0072600F">
        <w:rPr>
          <w:sz w:val="26"/>
          <w:szCs w:val="26"/>
        </w:rPr>
        <w:t xml:space="preserve">April 3, 2024).  To incorporate the changes made herein, we further extend the deadline </w:t>
      </w:r>
      <w:r w:rsidR="004E3E98">
        <w:rPr>
          <w:sz w:val="26"/>
          <w:szCs w:val="26"/>
        </w:rPr>
        <w:t>until the effective date of</w:t>
      </w:r>
      <w:r w:rsidR="00411F30">
        <w:rPr>
          <w:sz w:val="26"/>
          <w:szCs w:val="26"/>
        </w:rPr>
        <w:t xml:space="preserve"> this order</w:t>
      </w:r>
      <w:r w:rsidRPr="0072600F">
        <w:rPr>
          <w:sz w:val="26"/>
          <w:szCs w:val="26"/>
        </w:rPr>
        <w:t xml:space="preserve"> (i.e., the deadline for compliance with Order No. 2023 will be </w:t>
      </w:r>
      <w:r w:rsidR="00411F30">
        <w:rPr>
          <w:sz w:val="26"/>
          <w:szCs w:val="26"/>
        </w:rPr>
        <w:t>30 days after the publication of this order in the Federal Register</w:t>
      </w:r>
      <w:r w:rsidRPr="0072600F">
        <w:rPr>
          <w:sz w:val="26"/>
          <w:szCs w:val="26"/>
        </w:rPr>
        <w:t xml:space="preserve">, and </w:t>
      </w:r>
      <w:r w:rsidR="004F5E2A">
        <w:rPr>
          <w:sz w:val="26"/>
          <w:szCs w:val="26"/>
        </w:rPr>
        <w:t>must</w:t>
      </w:r>
      <w:r w:rsidRPr="0072600F">
        <w:rPr>
          <w:sz w:val="26"/>
          <w:szCs w:val="26"/>
        </w:rPr>
        <w:t xml:space="preserve"> include the further revisions </w:t>
      </w:r>
      <w:r w:rsidR="006A6851">
        <w:rPr>
          <w:sz w:val="26"/>
          <w:szCs w:val="26"/>
        </w:rPr>
        <w:t>reflected</w:t>
      </w:r>
      <w:r w:rsidRPr="0072600F" w:rsidR="006A6851">
        <w:rPr>
          <w:sz w:val="26"/>
          <w:szCs w:val="26"/>
        </w:rPr>
        <w:t xml:space="preserve"> </w:t>
      </w:r>
      <w:r w:rsidRPr="0072600F">
        <w:rPr>
          <w:sz w:val="26"/>
          <w:szCs w:val="26"/>
        </w:rPr>
        <w:t xml:space="preserve">in this order). </w:t>
      </w:r>
    </w:p>
    <w:p w:rsidR="00760048" w:rsidRPr="0072600F" w14:paraId="3D0DF687"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We disagree with arguments that Order No. 2023 imposes an inappropriately large compliance burden on regions already generally in accord with the approach adopted in Order No. 2023, or that it is unduly discriminatory to impose the same compliance obligations on both entities that have already adopted cluster study processes and those that have not.  We find that the compliance burden imposed by Order No. 2023 is appropriate given the scope of the problem at hand.  It is not unduly discriminatory to require all transmission providers subject to the Commission’s jurisdiction to comply with Commission rules.  </w:t>
      </w:r>
    </w:p>
    <w:p w:rsidR="00760048" w:rsidRPr="0072600F" w14:paraId="5BB76099"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Regarding Dominion’s request for clarification, </w:t>
      </w:r>
      <w:bookmarkStart w:id="154" w:name="_Hlk158883948"/>
      <w:r w:rsidRPr="0072600F">
        <w:rPr>
          <w:sz w:val="26"/>
          <w:szCs w:val="26"/>
        </w:rPr>
        <w:t xml:space="preserve">we confirm that transmission providers may propose effective dates in their compliance filings </w:t>
      </w:r>
      <w:bookmarkEnd w:id="154"/>
      <w:r w:rsidRPr="0072600F">
        <w:rPr>
          <w:sz w:val="26"/>
          <w:szCs w:val="26"/>
        </w:rPr>
        <w:t>that align with their existing queue processing dates, such as the start of a new processing window.  We will consider these requests on a case-by-case basis in each individual compliance filing.  To the extent Order No. 2023 suggested, by referencing MISO’s compliance filing, that transmission providers may not be granted an effective date that predates the Commission order on compliance,</w:t>
      </w:r>
      <w:r>
        <w:rPr>
          <w:rStyle w:val="FootnoteReference"/>
        </w:rPr>
        <w:footnoteReference w:id="1210"/>
      </w:r>
      <w:r w:rsidRPr="0072600F">
        <w:rPr>
          <w:sz w:val="26"/>
          <w:szCs w:val="26"/>
        </w:rPr>
        <w:t xml:space="preserve"> we clarify that the Commission will consider, and may grant, requests from transmission providers for an effective date that predates the Commission’s order on their compliance filing, on a case-by-case basis.</w:t>
      </w:r>
    </w:p>
    <w:p w:rsidR="00760048" w:rsidRPr="00663161" w14:paraId="2501B955" w14:textId="77777777">
      <w:pPr>
        <w:pStyle w:val="Heading1"/>
        <w:keepNext/>
        <w:keepLines/>
        <w:widowControl/>
        <w:numPr>
          <w:ilvl w:val="0"/>
          <w:numId w:val="24"/>
        </w:numPr>
        <w:autoSpaceDE/>
        <w:autoSpaceDN/>
        <w:adjustRightInd/>
        <w:spacing w:line="480" w:lineRule="auto"/>
        <w:rPr>
          <w:sz w:val="26"/>
          <w:szCs w:val="26"/>
          <w:u w:val="single"/>
        </w:rPr>
      </w:pPr>
      <w:bookmarkStart w:id="155" w:name="_bmk29"/>
      <w:r w:rsidRPr="00663161">
        <w:rPr>
          <w:sz w:val="26"/>
          <w:szCs w:val="26"/>
          <w:u w:val="single"/>
        </w:rPr>
        <w:t>I</w:t>
      </w:r>
      <w:bookmarkEnd w:id="155"/>
      <w:r w:rsidRPr="00663161">
        <w:rPr>
          <w:sz w:val="26"/>
          <w:szCs w:val="26"/>
          <w:u w:val="single"/>
        </w:rPr>
        <w:t>nformation Collection Statement</w:t>
      </w:r>
    </w:p>
    <w:p w:rsidR="00760048" w:rsidRPr="0072600F" w14:paraId="4E2FACFF" w14:textId="77777777">
      <w:pPr>
        <w:pStyle w:val="FERCparanumber"/>
        <w:widowControl/>
        <w:numPr>
          <w:ilvl w:val="0"/>
          <w:numId w:val="25"/>
        </w:numPr>
        <w:autoSpaceDE/>
        <w:autoSpaceDN/>
        <w:adjustRightInd/>
        <w:spacing w:line="480" w:lineRule="auto"/>
        <w:rPr>
          <w:sz w:val="26"/>
          <w:szCs w:val="26"/>
        </w:rPr>
      </w:pPr>
      <w:r w:rsidRPr="0072600F">
        <w:rPr>
          <w:sz w:val="26"/>
          <w:szCs w:val="26"/>
        </w:rPr>
        <w:t>The information collection requirements contained in this final rule are subject to review by the Office of Management and Budget (OMB) under section 3507(d) of the Paperwork Reduction Act of 1995.</w:t>
      </w:r>
      <w:r>
        <w:rPr>
          <w:rStyle w:val="FootnoteReference"/>
        </w:rPr>
        <w:footnoteReference w:id="1211"/>
      </w:r>
      <w:r w:rsidRPr="0072600F">
        <w:rPr>
          <w:sz w:val="26"/>
          <w:szCs w:val="26"/>
        </w:rPr>
        <w:t xml:space="preserve">  OMB’s regulations require approval of certain information collection requirements imposed by agency rules.</w:t>
      </w:r>
      <w:r>
        <w:rPr>
          <w:rStyle w:val="FootnoteReference"/>
        </w:rPr>
        <w:footnoteReference w:id="1212"/>
      </w:r>
      <w:r w:rsidRPr="0072600F">
        <w:rPr>
          <w:sz w:val="26"/>
          <w:szCs w:val="26"/>
        </w:rPr>
        <w:t xml:space="preserve">  Respondents subject to the filing requirements of this order on rehearing will not be penalized for failing to respond to the collection of information unless the collection of information displays a valid OMB control number.</w:t>
      </w:r>
    </w:p>
    <w:p w:rsidR="00760048" w:rsidRPr="0072600F" w14:paraId="160C988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Previously, the Commission submitted to OMB the information collection requirements arising from Order No. 2023 and OMB approved those requirements.  In this order on rehearing, the Commission makes no substantive changes to those requirements, but does make some modifications to the Commission’s standard large generator interconnection procedures and agreements (i.e., the </w:t>
      </w:r>
      <w:r w:rsidRPr="0072600F">
        <w:rPr>
          <w:i/>
          <w:iCs/>
          <w:sz w:val="26"/>
          <w:szCs w:val="26"/>
        </w:rPr>
        <w:t>pro forma</w:t>
      </w:r>
      <w:r w:rsidRPr="0072600F">
        <w:rPr>
          <w:sz w:val="26"/>
          <w:szCs w:val="26"/>
        </w:rPr>
        <w:t xml:space="preserve"> LGIP and </w:t>
      </w:r>
      <w:r w:rsidRPr="0072600F">
        <w:rPr>
          <w:i/>
          <w:iCs/>
          <w:sz w:val="26"/>
          <w:szCs w:val="26"/>
        </w:rPr>
        <w:t>pro forma</w:t>
      </w:r>
      <w:r w:rsidRPr="0072600F">
        <w:rPr>
          <w:sz w:val="26"/>
          <w:szCs w:val="26"/>
        </w:rPr>
        <w:t xml:space="preserve"> LGIA) and the Commission’s standard small generator interconnection procedures and agreement (i.e., the </w:t>
      </w:r>
      <w:r w:rsidRPr="0072600F">
        <w:rPr>
          <w:i/>
          <w:iCs/>
          <w:sz w:val="26"/>
          <w:szCs w:val="26"/>
        </w:rPr>
        <w:t>pro forma</w:t>
      </w:r>
      <w:r w:rsidRPr="0072600F">
        <w:rPr>
          <w:sz w:val="26"/>
          <w:szCs w:val="26"/>
        </w:rPr>
        <w:t xml:space="preserve"> SGIP and </w:t>
      </w:r>
      <w:r w:rsidRPr="0072600F">
        <w:rPr>
          <w:i/>
          <w:iCs/>
          <w:sz w:val="26"/>
          <w:szCs w:val="26"/>
        </w:rPr>
        <w:t>pro forma</w:t>
      </w:r>
      <w:r w:rsidRPr="0072600F">
        <w:rPr>
          <w:sz w:val="26"/>
          <w:szCs w:val="26"/>
        </w:rPr>
        <w:t xml:space="preserve"> SGIA) that every public utility transmission provider is required to include in their tariff under section 35.28 of the Commission’s regulations.</w:t>
      </w:r>
      <w:r>
        <w:rPr>
          <w:rStyle w:val="FootnoteReference"/>
        </w:rPr>
        <w:footnoteReference w:id="1213"/>
      </w:r>
      <w:r w:rsidRPr="0072600F">
        <w:rPr>
          <w:sz w:val="26"/>
          <w:szCs w:val="26"/>
        </w:rPr>
        <w:t xml:space="preserve">  This order on rehearing in Docket No. RM22-14-001 requires each transmission provider to amend its tariff to implement the modifications adopted in this order on rehearing and submit a compliance filing to the Commission for approval of those modifications. </w:t>
      </w:r>
      <w:r w:rsidR="002E0BFC">
        <w:rPr>
          <w:sz w:val="26"/>
          <w:szCs w:val="26"/>
        </w:rPr>
        <w:t xml:space="preserve"> </w:t>
      </w:r>
      <w:r w:rsidRPr="0072600F">
        <w:rPr>
          <w:sz w:val="26"/>
          <w:szCs w:val="26"/>
        </w:rPr>
        <w:t>Therefore, the Commission finds it necessary to make a formal submission to OMB for review and approval under section 3507(d) of the Paperwork Reduction Act of 1995.</w:t>
      </w:r>
      <w:r>
        <w:rPr>
          <w:rStyle w:val="FootnoteReference"/>
        </w:rPr>
        <w:footnoteReference w:id="1214"/>
      </w:r>
      <w:r w:rsidRPr="0072600F">
        <w:rPr>
          <w:sz w:val="26"/>
          <w:szCs w:val="26"/>
        </w:rPr>
        <w:t xml:space="preserve">  </w:t>
      </w:r>
    </w:p>
    <w:p w:rsidR="00760048" w:rsidRPr="0072600F" w14:paraId="7C44C12B"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 modifications in the Docket No. RM22-14-001 affect the following currently approved information collections: </w:t>
      </w:r>
      <w:r w:rsidRPr="0072600F">
        <w:rPr>
          <w:i/>
          <w:iCs/>
          <w:sz w:val="26"/>
          <w:szCs w:val="26"/>
        </w:rPr>
        <w:t xml:space="preserve">FERC-516, Electric Rate Schedules and Tariff Filings (Control No. 1902-0096); </w:t>
      </w:r>
      <w:r w:rsidRPr="0072600F">
        <w:rPr>
          <w:sz w:val="26"/>
          <w:szCs w:val="26"/>
        </w:rPr>
        <w:t>and</w:t>
      </w:r>
      <w:r w:rsidRPr="0072600F">
        <w:rPr>
          <w:i/>
          <w:iCs/>
          <w:sz w:val="26"/>
          <w:szCs w:val="26"/>
        </w:rPr>
        <w:t xml:space="preserve"> FERC-516A, Standardization of Small Generator Interconnection Agreements and Procedures (Control No. 1902-0203). </w:t>
      </w:r>
      <w:r w:rsidRPr="0072600F">
        <w:rPr>
          <w:sz w:val="26"/>
          <w:szCs w:val="26"/>
        </w:rPr>
        <w:t xml:space="preserve"> The Commission, in this order on rehearing, is updating the burden</w:t>
      </w:r>
      <w:r>
        <w:rPr>
          <w:rStyle w:val="FootnoteReference"/>
        </w:rPr>
        <w:footnoteReference w:id="1215"/>
      </w:r>
      <w:r w:rsidRPr="0072600F">
        <w:rPr>
          <w:sz w:val="26"/>
          <w:szCs w:val="26"/>
        </w:rPr>
        <w:t xml:space="preserve"> estimates associated with </w:t>
      </w:r>
      <w:r w:rsidRPr="0072600F">
        <w:rPr>
          <w:i/>
          <w:iCs/>
          <w:sz w:val="26"/>
          <w:szCs w:val="26"/>
        </w:rPr>
        <w:t>FERC-516</w:t>
      </w:r>
      <w:r w:rsidRPr="0072600F">
        <w:rPr>
          <w:sz w:val="26"/>
          <w:szCs w:val="26"/>
        </w:rPr>
        <w:t xml:space="preserve"> and </w:t>
      </w:r>
      <w:r w:rsidRPr="0072600F">
        <w:rPr>
          <w:i/>
          <w:iCs/>
          <w:sz w:val="26"/>
          <w:szCs w:val="26"/>
        </w:rPr>
        <w:t xml:space="preserve">FERC-516A </w:t>
      </w:r>
      <w:r w:rsidRPr="0072600F">
        <w:rPr>
          <w:sz w:val="26"/>
          <w:szCs w:val="26"/>
        </w:rPr>
        <w:t>information collections to reflect the incremental burden of complying with the new requirements set forth in this order.</w:t>
      </w:r>
    </w:p>
    <w:p w:rsidR="00760048" w:rsidRPr="0072600F" w14:paraId="74B3830F" w14:textId="77777777">
      <w:pPr>
        <w:pStyle w:val="FERCparanumber"/>
        <w:widowControl/>
        <w:numPr>
          <w:ilvl w:val="0"/>
          <w:numId w:val="25"/>
        </w:numPr>
        <w:autoSpaceDE/>
        <w:autoSpaceDN/>
        <w:adjustRightInd/>
        <w:spacing w:line="480" w:lineRule="auto"/>
        <w:rPr>
          <w:sz w:val="26"/>
          <w:szCs w:val="26"/>
          <w:u w:val="single"/>
        </w:rPr>
      </w:pPr>
      <w:r w:rsidRPr="0072600F">
        <w:rPr>
          <w:sz w:val="26"/>
          <w:szCs w:val="26"/>
          <w:u w:val="single"/>
        </w:rPr>
        <w:t>Summary of the Revisions to the Collection of Information due to the order on rehearing in Docket No. RM22-14-001:</w:t>
      </w:r>
    </w:p>
    <w:p w:rsidR="00760048" w:rsidRPr="0072600F" w14:paraId="25B7BAC8"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FERC-516</w:t>
      </w:r>
      <w:r w:rsidRPr="0072600F">
        <w:rPr>
          <w:sz w:val="26"/>
          <w:szCs w:val="26"/>
        </w:rPr>
        <w:t xml:space="preserve">:  This order on rehearing revises the Commission’s </w:t>
      </w:r>
      <w:r w:rsidRPr="0072600F">
        <w:rPr>
          <w:i/>
          <w:iCs/>
          <w:sz w:val="26"/>
          <w:szCs w:val="26"/>
        </w:rPr>
        <w:t>pro forma</w:t>
      </w:r>
      <w:r w:rsidRPr="0072600F">
        <w:rPr>
          <w:sz w:val="26"/>
          <w:szCs w:val="26"/>
        </w:rPr>
        <w:t xml:space="preserve"> LGIP and LGIA and requires each public utility to amend its LGIP and LGIA.  The amendments pertain to the first ready, first served cluster study process, withdrawal penalties, affected systems study process, the evaluation of alternative transmission technologies, and the maintenance of power production during abnormal frequency conditions and certain voltage conditions.  </w:t>
      </w:r>
    </w:p>
    <w:p w:rsidR="00760048" w:rsidRPr="0072600F" w14:paraId="14854687"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FERC-516A</w:t>
      </w:r>
      <w:r w:rsidRPr="0072600F">
        <w:rPr>
          <w:sz w:val="26"/>
          <w:szCs w:val="26"/>
        </w:rPr>
        <w:t>:  This order on rehearing amends the Commission’s standard small generator interconnection procedures and agreement (i.e.,</w:t>
      </w:r>
      <w:r w:rsidRPr="0072600F">
        <w:rPr>
          <w:i/>
          <w:iCs/>
          <w:sz w:val="26"/>
          <w:szCs w:val="26"/>
        </w:rPr>
        <w:t xml:space="preserve"> </w:t>
      </w:r>
      <w:r w:rsidRPr="0072600F">
        <w:rPr>
          <w:sz w:val="26"/>
          <w:szCs w:val="26"/>
        </w:rPr>
        <w:t xml:space="preserve">the </w:t>
      </w:r>
      <w:r w:rsidRPr="0072600F">
        <w:rPr>
          <w:i/>
          <w:iCs/>
          <w:sz w:val="26"/>
          <w:szCs w:val="26"/>
        </w:rPr>
        <w:t>pro forma</w:t>
      </w:r>
      <w:r w:rsidRPr="0072600F">
        <w:rPr>
          <w:sz w:val="26"/>
          <w:szCs w:val="26"/>
        </w:rPr>
        <w:t xml:space="preserve"> SGIP and </w:t>
      </w:r>
      <w:r w:rsidRPr="0072600F">
        <w:rPr>
          <w:i/>
          <w:iCs/>
          <w:sz w:val="26"/>
          <w:szCs w:val="26"/>
        </w:rPr>
        <w:t>pro forma</w:t>
      </w:r>
      <w:r w:rsidRPr="0072600F">
        <w:rPr>
          <w:sz w:val="26"/>
          <w:szCs w:val="26"/>
        </w:rPr>
        <w:t xml:space="preserve"> SGIA) regarding the evaluation of alternative transmission technologies and the maintenance of power production during abnormal frequency conditions and certain voltage conditions.</w:t>
      </w:r>
    </w:p>
    <w:p w:rsidR="00760048" w:rsidRPr="0072600F" w14:paraId="57EF618A"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Title</w:t>
      </w:r>
      <w:r w:rsidRPr="0072600F">
        <w:rPr>
          <w:sz w:val="26"/>
          <w:szCs w:val="26"/>
        </w:rPr>
        <w:t>:  Electric Rate Schedules and Tariff Filings (FERC-516), and Standardization of Small Generator Interconnection Agreements and Procedures (FERC-516A).</w:t>
      </w:r>
    </w:p>
    <w:p w:rsidR="00760048" w:rsidRPr="0072600F" w14:paraId="157DC354"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Action</w:t>
      </w:r>
      <w:r w:rsidRPr="0072600F">
        <w:rPr>
          <w:sz w:val="26"/>
          <w:szCs w:val="26"/>
        </w:rPr>
        <w:t>:  Revision of information collections in accordance with Docket No. RM22-14-001.</w:t>
      </w:r>
    </w:p>
    <w:p w:rsidR="00760048" w:rsidRPr="0072600F" w14:paraId="14BB18FA"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OMB Control Nos.</w:t>
      </w:r>
      <w:r w:rsidRPr="0072600F">
        <w:rPr>
          <w:sz w:val="26"/>
          <w:szCs w:val="26"/>
        </w:rPr>
        <w:t>:  1902-0096 (FERC-516) and 1902-0203 (FERC-516A).</w:t>
      </w:r>
    </w:p>
    <w:p w:rsidR="00760048" w:rsidRPr="0072600F" w14:paraId="68B9EFC8"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Respondents</w:t>
      </w:r>
      <w:r w:rsidRPr="0072600F">
        <w:rPr>
          <w:sz w:val="26"/>
          <w:szCs w:val="26"/>
        </w:rPr>
        <w:t>:  Public utility transmission providers, including RTOs/ISOs.</w:t>
      </w:r>
    </w:p>
    <w:p w:rsidR="00760048" w:rsidRPr="0072600F" w14:paraId="4030B801"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Frequency of Information Collection</w:t>
      </w:r>
      <w:r w:rsidRPr="0072600F">
        <w:rPr>
          <w:sz w:val="26"/>
          <w:szCs w:val="26"/>
        </w:rPr>
        <w:t xml:space="preserve">:  One time during Year 1.  </w:t>
      </w:r>
    </w:p>
    <w:p w:rsidR="00760048" w:rsidRPr="0072600F" w14:paraId="280FCADE"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Necessity of Information</w:t>
      </w:r>
      <w:r w:rsidRPr="0072600F">
        <w:rPr>
          <w:sz w:val="26"/>
          <w:szCs w:val="26"/>
        </w:rPr>
        <w:t>:  The LGIP, LGIA, SGIP, and SGIA modifications in this order on rehearing ensure that interconnection customers can interconnect to the transmission system in a reliable, efficient, transparent, and timely manner, and prevent undue discrimination.  The modifications are intended to ensure that the generator interconnection process is just, reasonable, and not unduly discriminatory or preferential.</w:t>
      </w:r>
    </w:p>
    <w:p w:rsidR="00760048" w:rsidRPr="0072600F" w14:paraId="00E66B96"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Internal Review</w:t>
      </w:r>
      <w:r w:rsidRPr="0072600F">
        <w:rPr>
          <w:sz w:val="26"/>
          <w:szCs w:val="26"/>
        </w:rPr>
        <w:t>:  We have reviewed the requirements set forth in this order on rehearing that impose information collection burdens and have determined that such requirements are necessary.  These requirements conform to the Commission’s need for efficient information collection, communication, and management within the energy industry.  We have specific, objective support for the burden estimates associated with the information collection requirements.</w:t>
      </w:r>
    </w:p>
    <w:p w:rsidR="00760048" w:rsidRPr="0072600F" w14:paraId="22BA112B" w14:textId="77777777">
      <w:pPr>
        <w:pStyle w:val="FERCparanumber"/>
        <w:widowControl/>
        <w:numPr>
          <w:ilvl w:val="0"/>
          <w:numId w:val="26"/>
        </w:numPr>
        <w:autoSpaceDE/>
        <w:autoSpaceDN/>
        <w:adjustRightInd/>
        <w:spacing w:line="480" w:lineRule="auto"/>
        <w:rPr>
          <w:sz w:val="26"/>
          <w:szCs w:val="26"/>
        </w:rPr>
      </w:pPr>
      <w:r w:rsidRPr="0072600F">
        <w:rPr>
          <w:sz w:val="26"/>
          <w:szCs w:val="26"/>
          <w:u w:val="single"/>
        </w:rPr>
        <w:t>Public Reporting Burden</w:t>
      </w:r>
      <w:r w:rsidRPr="0072600F">
        <w:rPr>
          <w:sz w:val="26"/>
          <w:szCs w:val="26"/>
        </w:rPr>
        <w:t>:  As with Order No. 2023, we estimate that 44 transmission providers, including RTOs/ISOs, will be subject to this order on rehearing.  The burden</w:t>
      </w:r>
      <w:bookmarkStart w:id="156" w:name="_Ref138164767"/>
      <w:r w:rsidRPr="0072600F">
        <w:rPr>
          <w:sz w:val="26"/>
          <w:szCs w:val="26"/>
        </w:rPr>
        <w:t xml:space="preserve"> </w:t>
      </w:r>
      <w:bookmarkEnd w:id="156"/>
      <w:r w:rsidRPr="0072600F">
        <w:rPr>
          <w:sz w:val="26"/>
          <w:szCs w:val="26"/>
        </w:rPr>
        <w:t xml:space="preserve">and cost estimates below reflect the incremental burden of complying with this order on rehearing, which will require a single compliance filing to be submitted to the Commission.  We estimate no ongoing information collection burden because there is either no information collection aspect of the requirement or the requirements would merely supplant existing ones.  The Commission estimates that the order on rehearing in Docket No. RM22-14-001 will adjust the burden and cost of FERC-516 and FERC-516A as follows: </w:t>
      </w:r>
    </w:p>
    <w:p w:rsidR="00760048" w:rsidRPr="0072600F" w:rsidP="00071614" w14:paraId="57315086" w14:textId="77777777">
      <w:pPr>
        <w:pStyle w:val="FERCparanumber"/>
        <w:numPr>
          <w:ilvl w:val="0"/>
          <w:numId w:val="0"/>
        </w:numPr>
        <w:jc w:val="center"/>
        <w:rPr>
          <w:iCs/>
          <w:sz w:val="26"/>
          <w:szCs w:val="26"/>
        </w:rPr>
      </w:pPr>
      <w:r w:rsidRPr="0072600F">
        <w:rPr>
          <w:iCs/>
          <w:sz w:val="26"/>
          <w:szCs w:val="26"/>
        </w:rPr>
        <w:t xml:space="preserve">Table </w:t>
      </w:r>
      <w:r w:rsidRPr="0072600F">
        <w:rPr>
          <w:iCs/>
          <w:sz w:val="26"/>
          <w:szCs w:val="26"/>
        </w:rPr>
        <w:fldChar w:fldCharType="begin"/>
      </w:r>
      <w:r w:rsidRPr="0072600F">
        <w:rPr>
          <w:iCs/>
          <w:sz w:val="26"/>
          <w:szCs w:val="26"/>
        </w:rPr>
        <w:instrText xml:space="preserve"> SEQ Table \* ARABIC </w:instrText>
      </w:r>
      <w:r w:rsidRPr="0072600F">
        <w:rPr>
          <w:iCs/>
          <w:sz w:val="26"/>
          <w:szCs w:val="26"/>
        </w:rPr>
        <w:fldChar w:fldCharType="separate"/>
      </w:r>
      <w:r w:rsidR="00C46123">
        <w:rPr>
          <w:iCs/>
          <w:noProof/>
          <w:sz w:val="26"/>
          <w:szCs w:val="26"/>
        </w:rPr>
        <w:t>1</w:t>
      </w:r>
      <w:r w:rsidRPr="0072600F">
        <w:rPr>
          <w:sz w:val="26"/>
          <w:szCs w:val="26"/>
        </w:rPr>
        <w:fldChar w:fldCharType="end"/>
      </w:r>
      <w:r w:rsidRPr="0072600F">
        <w:rPr>
          <w:iCs/>
          <w:sz w:val="26"/>
          <w:szCs w:val="26"/>
        </w:rPr>
        <w:t>: Information Collection Requirements</w:t>
      </w:r>
    </w:p>
    <w:tbl>
      <w:tblPr>
        <w:tblW w:w="995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777"/>
        <w:gridCol w:w="1527"/>
        <w:gridCol w:w="175"/>
        <w:gridCol w:w="1352"/>
        <w:gridCol w:w="158"/>
        <w:gridCol w:w="1370"/>
        <w:gridCol w:w="1710"/>
        <w:gridCol w:w="90"/>
        <w:gridCol w:w="1800"/>
      </w:tblGrid>
      <w:tr w14:paraId="68C403FC" w14:textId="77777777">
        <w:tblPrEx>
          <w:tblW w:w="9959"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Ex>
        <w:trPr>
          <w:cantSplit/>
          <w:tblHeader/>
        </w:trPr>
        <w:tc>
          <w:tcPr>
            <w:tcW w:w="9959" w:type="dxa"/>
            <w:gridSpan w:val="9"/>
            <w:shd w:val="clear" w:color="auto" w:fill="BFBFBF" w:themeFill="background1" w:themeFillShade="BF"/>
            <w:vAlign w:val="bottom"/>
          </w:tcPr>
          <w:p w:rsidR="00760048" w:rsidRPr="0072600F" w14:paraId="19EB08F9" w14:textId="77777777">
            <w:pPr>
              <w:keepNext/>
              <w:spacing w:line="480" w:lineRule="auto"/>
              <w:ind w:left="187"/>
              <w:jc w:val="center"/>
              <w:rPr>
                <w:rFonts w:ascii="Times New Roman" w:eastAsia="Symbol" w:hAnsi="Times New Roman" w:cs="Times New Roman"/>
                <w:b/>
                <w:kern w:val="32"/>
                <w:sz w:val="26"/>
                <w:szCs w:val="26"/>
              </w:rPr>
            </w:pPr>
            <w:r w:rsidRPr="0072600F">
              <w:rPr>
                <w:rFonts w:ascii="Times New Roman" w:eastAsia="Symbol" w:hAnsi="Times New Roman" w:cs="Times New Roman"/>
                <w:b/>
                <w:kern w:val="32"/>
                <w:sz w:val="26"/>
                <w:szCs w:val="26"/>
              </w:rPr>
              <w:t>Changes Due to Order on Rehearing in Docket No. RM22-14-001</w:t>
            </w:r>
          </w:p>
        </w:tc>
      </w:tr>
      <w:tr w14:paraId="05140522" w14:textId="77777777">
        <w:tblPrEx>
          <w:tblW w:w="9959" w:type="dxa"/>
          <w:tblInd w:w="23" w:type="dxa"/>
          <w:tblLayout w:type="fixed"/>
          <w:tblCellMar>
            <w:left w:w="0" w:type="dxa"/>
            <w:right w:w="0" w:type="dxa"/>
          </w:tblCellMar>
          <w:tblLook w:val="0020"/>
        </w:tblPrEx>
        <w:trPr>
          <w:cantSplit/>
          <w:tblHeader/>
        </w:trPr>
        <w:tc>
          <w:tcPr>
            <w:tcW w:w="1777" w:type="dxa"/>
            <w:shd w:val="clear" w:color="auto" w:fill="BFBFBF" w:themeFill="background1" w:themeFillShade="BF"/>
            <w:vAlign w:val="bottom"/>
          </w:tcPr>
          <w:p w:rsidR="00760048" w:rsidRPr="0072600F" w14:paraId="42D9B7FC"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Reforms</w:t>
            </w:r>
          </w:p>
        </w:tc>
        <w:tc>
          <w:tcPr>
            <w:tcW w:w="1702" w:type="dxa"/>
            <w:gridSpan w:val="2"/>
            <w:shd w:val="clear" w:color="auto" w:fill="BFBFBF" w:themeFill="background1" w:themeFillShade="BF"/>
            <w:vAlign w:val="bottom"/>
          </w:tcPr>
          <w:p w:rsidR="00760048" w:rsidRPr="0072600F" w14:paraId="3574056E"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Number of Respondents</w:t>
            </w:r>
          </w:p>
          <w:p w:rsidR="00760048" w:rsidRPr="0072600F" w14:paraId="3F01205B"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(1)</w:t>
            </w:r>
          </w:p>
        </w:tc>
        <w:tc>
          <w:tcPr>
            <w:tcW w:w="1510" w:type="dxa"/>
            <w:gridSpan w:val="2"/>
            <w:shd w:val="clear" w:color="auto" w:fill="BFBFBF" w:themeFill="background1" w:themeFillShade="BF"/>
            <w:vAlign w:val="bottom"/>
          </w:tcPr>
          <w:p w:rsidR="00760048" w:rsidRPr="0072600F" w14:paraId="29432345"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Annual Number of Responses Per Respondent</w:t>
            </w:r>
          </w:p>
          <w:p w:rsidR="00760048" w:rsidRPr="0072600F" w14:paraId="0FACCA3D"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(2)</w:t>
            </w:r>
          </w:p>
        </w:tc>
        <w:tc>
          <w:tcPr>
            <w:tcW w:w="1370" w:type="dxa"/>
            <w:shd w:val="clear" w:color="auto" w:fill="BFBFBF" w:themeFill="background1" w:themeFillShade="BF"/>
            <w:vAlign w:val="bottom"/>
          </w:tcPr>
          <w:p w:rsidR="00760048" w:rsidRPr="0072600F" w14:paraId="72D7342A"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Total Number of Responses (Rounded)</w:t>
            </w:r>
          </w:p>
          <w:p w:rsidR="00760048" w:rsidRPr="0072600F" w14:paraId="44F91D54"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(1) * (2) = (3)</w:t>
            </w:r>
          </w:p>
        </w:tc>
        <w:tc>
          <w:tcPr>
            <w:tcW w:w="1710" w:type="dxa"/>
            <w:shd w:val="clear" w:color="auto" w:fill="BFBFBF" w:themeFill="background1" w:themeFillShade="BF"/>
            <w:vAlign w:val="bottom"/>
          </w:tcPr>
          <w:p w:rsidR="00760048" w:rsidRPr="0072600F" w14:paraId="23E6F2EA"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bCs/>
                <w:color w:val="000000"/>
                <w:sz w:val="26"/>
                <w:szCs w:val="26"/>
              </w:rPr>
              <w:t>Average Burden (Hr.) &amp; Cost ($) Per Response</w:t>
            </w:r>
            <w:r>
              <w:rPr>
                <w:rStyle w:val="FootnoteReference"/>
              </w:rPr>
              <w:footnoteReference w:id="1216"/>
            </w:r>
          </w:p>
          <w:p w:rsidR="00760048" w:rsidRPr="0072600F" w14:paraId="6E01B4DA"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(4)</w:t>
            </w:r>
          </w:p>
        </w:tc>
        <w:tc>
          <w:tcPr>
            <w:tcW w:w="1890" w:type="dxa"/>
            <w:gridSpan w:val="2"/>
            <w:shd w:val="clear" w:color="auto" w:fill="BFBFBF" w:themeFill="background1" w:themeFillShade="BF"/>
            <w:vAlign w:val="bottom"/>
          </w:tcPr>
          <w:p w:rsidR="00760048" w:rsidRPr="0072600F" w14:paraId="5283F1BA"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Total Annual Burden Hours &amp; Total Annual Cost ($) (Rounded)</w:t>
            </w:r>
          </w:p>
          <w:p w:rsidR="00760048" w:rsidRPr="0072600F" w14:paraId="2ADD4104"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rPr>
              <w:t>(3) * (4) = (5)</w:t>
            </w:r>
          </w:p>
        </w:tc>
      </w:tr>
      <w:tr w14:paraId="1296150E" w14:textId="77777777">
        <w:tblPrEx>
          <w:tblW w:w="9959" w:type="dxa"/>
          <w:tblInd w:w="23" w:type="dxa"/>
          <w:tblLayout w:type="fixed"/>
          <w:tblCellMar>
            <w:left w:w="0" w:type="dxa"/>
            <w:right w:w="0" w:type="dxa"/>
          </w:tblCellMar>
          <w:tblLook w:val="0000"/>
        </w:tblPrEx>
        <w:trPr>
          <w:cantSplit/>
          <w:trHeight w:val="264"/>
        </w:trPr>
        <w:tc>
          <w:tcPr>
            <w:tcW w:w="9959" w:type="dxa"/>
            <w:gridSpan w:val="9"/>
            <w:shd w:val="clear" w:color="auto" w:fill="BFBFBF" w:themeFill="background1" w:themeFillShade="BF"/>
          </w:tcPr>
          <w:p w:rsidR="00760048" w:rsidRPr="0072600F" w14:paraId="6C15922F" w14:textId="77777777">
            <w:pPr>
              <w:keepNext/>
              <w:jc w:val="center"/>
              <w:rPr>
                <w:rFonts w:ascii="Times New Roman" w:eastAsia="Calibri Light" w:hAnsi="Times New Roman" w:cs="Times New Roman"/>
                <w:b/>
                <w:color w:val="000000"/>
                <w:sz w:val="26"/>
                <w:szCs w:val="26"/>
              </w:rPr>
            </w:pPr>
            <w:r w:rsidRPr="0072600F">
              <w:rPr>
                <w:rFonts w:ascii="Times New Roman" w:eastAsia="Calibri Light" w:hAnsi="Times New Roman" w:cs="Times New Roman"/>
                <w:b/>
                <w:color w:val="000000"/>
                <w:sz w:val="26"/>
                <w:szCs w:val="26"/>
                <w:shd w:val="clear" w:color="auto" w:fill="BFBFBF"/>
              </w:rPr>
              <w:t>FERC-516:</w:t>
            </w:r>
          </w:p>
        </w:tc>
      </w:tr>
      <w:tr w14:paraId="23158C15"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22B276DB"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 xml:space="preserve">First Ready, First Served Cluster Study </w:t>
            </w:r>
          </w:p>
        </w:tc>
        <w:tc>
          <w:tcPr>
            <w:tcW w:w="1702" w:type="dxa"/>
            <w:gridSpan w:val="2"/>
            <w:shd w:val="clear" w:color="auto" w:fill="auto"/>
            <w:vAlign w:val="bottom"/>
          </w:tcPr>
          <w:p w:rsidR="00760048" w:rsidRPr="0072600F" w14:paraId="33866E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475B2D61"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0FE8B88F"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6DFD0303"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1E698BB8"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5221CE9C"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2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$200</w:t>
            </w:r>
          </w:p>
          <w:p w:rsidR="00760048" w:rsidRPr="0072600F" w14:paraId="76001C6C"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7D4F4EB2"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Year 1: 88</w:t>
            </w:r>
            <w:r w:rsidR="00D50A3E">
              <w:rPr>
                <w:rFonts w:ascii="Times New Roman" w:eastAsia="Calibri Light" w:hAnsi="Times New Roman" w:cs="Times New Roman"/>
                <w:color w:val="000000"/>
                <w:sz w:val="26"/>
                <w:szCs w:val="26"/>
              </w:rPr>
              <w:t xml:space="preserve"> </w:t>
            </w:r>
            <w:r w:rsidR="00D50A3E">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w:t>
            </w:r>
          </w:p>
          <w:p w:rsidR="00760048" w:rsidRPr="0072600F" w14:paraId="668AFF6B"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$8,800</w:t>
            </w:r>
          </w:p>
          <w:p w:rsidR="00760048" w:rsidRPr="0072600F" w14:paraId="7D759657"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06AC2A82"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0CABBA81"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Allocation of Cluster Network Upgrade Costs</w:t>
            </w:r>
          </w:p>
        </w:tc>
        <w:tc>
          <w:tcPr>
            <w:tcW w:w="1702" w:type="dxa"/>
            <w:gridSpan w:val="2"/>
            <w:shd w:val="clear" w:color="auto" w:fill="auto"/>
            <w:vAlign w:val="bottom"/>
          </w:tcPr>
          <w:p w:rsidR="00760048" w:rsidRPr="0072600F" w14:paraId="331E95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374D7634"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31BC6BBA"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247D994F"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016F4445"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249AB301"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100</w:t>
            </w:r>
          </w:p>
          <w:p w:rsidR="00760048" w:rsidRPr="0072600F" w14:paraId="5DD20015"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5C5A1F59"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08718947"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11815658"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15E77C2B"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Affected System Study Process</w:t>
            </w:r>
          </w:p>
        </w:tc>
        <w:tc>
          <w:tcPr>
            <w:tcW w:w="1702" w:type="dxa"/>
            <w:gridSpan w:val="2"/>
            <w:shd w:val="clear" w:color="auto" w:fill="auto"/>
            <w:vAlign w:val="bottom"/>
          </w:tcPr>
          <w:p w:rsidR="00760048" w:rsidRPr="0072600F" w14:paraId="6C9347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69223779"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60B6FE4A"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674634D9"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0B664C1E"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themeColor="text1"/>
                <w:sz w:val="26"/>
                <w:szCs w:val="26"/>
              </w:rPr>
              <w:t>Ongoing: 0</w:t>
            </w:r>
            <w:r>
              <w:rPr>
                <w:rStyle w:val="FootnoteReference"/>
              </w:rPr>
              <w:footnoteReference w:id="1217"/>
            </w:r>
          </w:p>
        </w:tc>
        <w:tc>
          <w:tcPr>
            <w:tcW w:w="1710" w:type="dxa"/>
            <w:shd w:val="clear" w:color="auto" w:fill="auto"/>
            <w:vAlign w:val="bottom"/>
          </w:tcPr>
          <w:p w:rsidR="00760048" w:rsidRPr="0072600F" w14:paraId="6E82C1DC"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2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200</w:t>
            </w:r>
          </w:p>
          <w:p w:rsidR="00760048" w:rsidRPr="0072600F" w14:paraId="29540025"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16966296"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88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$8,800</w:t>
            </w:r>
          </w:p>
          <w:p w:rsidR="00760048" w:rsidRPr="0072600F" w14:paraId="2250D17C"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color w:val="000000"/>
                <w:sz w:val="26"/>
                <w:szCs w:val="26"/>
              </w:rPr>
              <w:t>Ongoing: 0</w:t>
            </w:r>
          </w:p>
        </w:tc>
      </w:tr>
      <w:tr w14:paraId="0A96D22C"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29DA2EB5"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Study Deposits and LGIA Deposit</w:t>
            </w:r>
          </w:p>
        </w:tc>
        <w:tc>
          <w:tcPr>
            <w:tcW w:w="1702" w:type="dxa"/>
            <w:gridSpan w:val="2"/>
            <w:shd w:val="clear" w:color="auto" w:fill="auto"/>
            <w:vAlign w:val="bottom"/>
          </w:tcPr>
          <w:p w:rsidR="00760048" w:rsidRPr="0072600F" w14:paraId="323EAD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29873008"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424A66B7"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3B536315"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090CE5FD"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4EDFC7B7"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w:t>
            </w:r>
          </w:p>
          <w:p w:rsidR="00760048" w:rsidRPr="0072600F" w14:paraId="79FDA925"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$100</w:t>
            </w:r>
          </w:p>
          <w:p w:rsidR="00760048" w:rsidRPr="0072600F" w14:paraId="134EDF57"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53DAB97D"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w:t>
            </w:r>
          </w:p>
          <w:p w:rsidR="00760048" w:rsidRPr="0072600F" w14:paraId="090AC2AF" w14:textId="77777777">
            <w:pPr>
              <w:keepNext/>
              <w:keepLines/>
              <w:jc w:val="right"/>
              <w:rPr>
                <w:rFonts w:ascii="Times New Roman" w:eastAsia="Calibri Light" w:hAnsi="Times New Roman" w:cs="Times New Roman"/>
                <w:color w:val="000000"/>
                <w:sz w:val="26"/>
                <w:szCs w:val="26"/>
              </w:rPr>
            </w:pPr>
            <w:r>
              <w:rPr>
                <w:rFonts w:ascii="Times New Roman" w:eastAsia="Calibri Light" w:hAnsi="Times New Roman" w:cs="Times New Roman"/>
                <w:color w:val="000000"/>
                <w:sz w:val="26"/>
                <w:szCs w:val="26"/>
              </w:rPr>
              <w:t>$</w:t>
            </w:r>
            <w:r w:rsidRPr="0072600F">
              <w:rPr>
                <w:rFonts w:ascii="Times New Roman" w:eastAsia="Calibri Light" w:hAnsi="Times New Roman" w:cs="Times New Roman"/>
                <w:color w:val="000000"/>
                <w:sz w:val="26"/>
                <w:szCs w:val="26"/>
              </w:rPr>
              <w:t>4,400</w:t>
            </w:r>
          </w:p>
          <w:p w:rsidR="00760048" w:rsidRPr="0072600F" w14:paraId="7CDB77FB"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00ECE978"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57098A5F"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Commercial Readiness</w:t>
            </w:r>
          </w:p>
        </w:tc>
        <w:tc>
          <w:tcPr>
            <w:tcW w:w="1702" w:type="dxa"/>
            <w:gridSpan w:val="2"/>
            <w:shd w:val="clear" w:color="auto" w:fill="auto"/>
            <w:vAlign w:val="bottom"/>
          </w:tcPr>
          <w:p w:rsidR="00760048" w:rsidRPr="0072600F" w14:paraId="240E34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5007CCB4"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5644F8E5"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2F0D4B6C"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2C134D18"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7B8169E8"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3 </w:t>
            </w:r>
            <w:r w:rsidRPr="0072600F">
              <w:rPr>
                <w:rFonts w:ascii="Times New Roman" w:eastAsia="Calibri Light" w:hAnsi="Times New Roman" w:cs="Times New Roman"/>
                <w:color w:val="000000"/>
                <w:sz w:val="26"/>
                <w:szCs w:val="26"/>
              </w:rPr>
              <w:t>hrs</w:t>
            </w:r>
            <w:r w:rsidRPr="0072600F">
              <w:rPr>
                <w:rFonts w:ascii="Times New Roman" w:eastAsia="Calibri Light" w:hAnsi="Times New Roman" w:cs="Times New Roman"/>
                <w:color w:val="000000"/>
                <w:sz w:val="26"/>
                <w:szCs w:val="26"/>
              </w:rPr>
              <w:t>;</w:t>
            </w:r>
          </w:p>
          <w:p w:rsidR="00760048" w:rsidRPr="0072600F" w14:paraId="2EC8E178"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$300</w:t>
            </w:r>
          </w:p>
          <w:p w:rsidR="00760048" w:rsidRPr="0072600F" w14:paraId="6B7E798E"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Ongoing: 0 </w:t>
            </w:r>
          </w:p>
        </w:tc>
        <w:tc>
          <w:tcPr>
            <w:tcW w:w="1890" w:type="dxa"/>
            <w:gridSpan w:val="2"/>
            <w:shd w:val="clear" w:color="auto" w:fill="auto"/>
            <w:vAlign w:val="bottom"/>
          </w:tcPr>
          <w:p w:rsidR="00760048" w:rsidRPr="0072600F" w14:paraId="6E0A28EE"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132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w:t>
            </w:r>
          </w:p>
          <w:p w:rsidR="00760048" w:rsidRPr="0072600F" w14:paraId="16D1257B"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$13</w:t>
            </w:r>
            <w:r w:rsidR="00502AB0">
              <w:rPr>
                <w:rFonts w:ascii="Times New Roman" w:eastAsia="Calibri Light" w:hAnsi="Times New Roman" w:cs="Times New Roman"/>
                <w:color w:val="000000"/>
                <w:sz w:val="26"/>
                <w:szCs w:val="26"/>
              </w:rPr>
              <w:t>,2</w:t>
            </w:r>
            <w:r w:rsidR="00C518CA">
              <w:rPr>
                <w:rFonts w:ascii="Times New Roman" w:eastAsia="Calibri Light" w:hAnsi="Times New Roman" w:cs="Times New Roman"/>
                <w:color w:val="000000"/>
                <w:sz w:val="26"/>
                <w:szCs w:val="26"/>
              </w:rPr>
              <w:t>0</w:t>
            </w:r>
            <w:r w:rsidRPr="0072600F">
              <w:rPr>
                <w:rFonts w:ascii="Times New Roman" w:eastAsia="Calibri Light" w:hAnsi="Times New Roman" w:cs="Times New Roman"/>
                <w:color w:val="000000"/>
                <w:sz w:val="26"/>
                <w:szCs w:val="26"/>
              </w:rPr>
              <w:t>0</w:t>
            </w:r>
          </w:p>
          <w:p w:rsidR="00760048" w:rsidRPr="0072600F" w14:paraId="70978C43"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5E1D89A8"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1BC54F47"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Withdrawal Penalties</w:t>
            </w:r>
          </w:p>
        </w:tc>
        <w:tc>
          <w:tcPr>
            <w:tcW w:w="1702" w:type="dxa"/>
            <w:gridSpan w:val="2"/>
            <w:shd w:val="clear" w:color="auto" w:fill="auto"/>
            <w:vAlign w:val="bottom"/>
          </w:tcPr>
          <w:p w:rsidR="00760048" w:rsidRPr="0072600F" w14:paraId="7B7F10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54A86B81"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5C311F3C"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638825CC"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791EFD9D"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34F46F90"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2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200</w:t>
            </w:r>
          </w:p>
          <w:p w:rsidR="00760048" w:rsidRPr="0072600F" w14:paraId="2068C726"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6EACBC7E"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88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$8,800</w:t>
            </w:r>
          </w:p>
          <w:p w:rsidR="00760048" w:rsidRPr="0072600F" w14:paraId="73C816BF"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5893B9C9"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2E36DE01"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Elimination of Reasonable Efforts Standard</w:t>
            </w:r>
          </w:p>
        </w:tc>
        <w:tc>
          <w:tcPr>
            <w:tcW w:w="1702" w:type="dxa"/>
            <w:gridSpan w:val="2"/>
            <w:shd w:val="clear" w:color="auto" w:fill="auto"/>
            <w:vAlign w:val="bottom"/>
          </w:tcPr>
          <w:p w:rsidR="00760048" w:rsidRPr="0072600F" w14:paraId="09EF9C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484F5B81"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27764007"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7E83100D"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050BB5D1"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2D4AC667"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100</w:t>
            </w:r>
          </w:p>
          <w:p w:rsidR="00760048" w:rsidRPr="0072600F" w14:paraId="28AA2F17"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23DD5EBF"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7E88939C"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4C72A716"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364B4670"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Transition Process</w:t>
            </w:r>
          </w:p>
        </w:tc>
        <w:tc>
          <w:tcPr>
            <w:tcW w:w="1702" w:type="dxa"/>
            <w:gridSpan w:val="2"/>
            <w:shd w:val="clear" w:color="auto" w:fill="auto"/>
            <w:vAlign w:val="bottom"/>
          </w:tcPr>
          <w:p w:rsidR="00760048" w:rsidRPr="0072600F" w14:paraId="00D9F8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4512A6BF"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7793C367"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7ABC3FCC"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22E87F34"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4C64BEBD"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100</w:t>
            </w:r>
          </w:p>
          <w:p w:rsidR="00760048" w:rsidRPr="0072600F" w14:paraId="4FF63220"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32EDCAD2"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678AA1EB"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3898787D" w14:textId="77777777">
        <w:tblPrEx>
          <w:tblW w:w="9959" w:type="dxa"/>
          <w:tblInd w:w="23" w:type="dxa"/>
          <w:tblLayout w:type="fixed"/>
          <w:tblCellMar>
            <w:left w:w="0" w:type="dxa"/>
            <w:right w:w="0" w:type="dxa"/>
          </w:tblCellMar>
          <w:tblLook w:val="0000"/>
        </w:tblPrEx>
        <w:trPr>
          <w:cantSplit/>
          <w:trHeight w:val="795"/>
        </w:trPr>
        <w:tc>
          <w:tcPr>
            <w:tcW w:w="1777" w:type="dxa"/>
          </w:tcPr>
          <w:p w:rsidR="00760048" w:rsidRPr="0072600F" w14:paraId="6580D45A"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Co-Located Generating Facilities Behind One Point of Interconnection with Shared Interconnection Requests</w:t>
            </w:r>
          </w:p>
        </w:tc>
        <w:tc>
          <w:tcPr>
            <w:tcW w:w="1702" w:type="dxa"/>
            <w:gridSpan w:val="2"/>
            <w:shd w:val="clear" w:color="auto" w:fill="auto"/>
            <w:vAlign w:val="bottom"/>
          </w:tcPr>
          <w:p w:rsidR="00760048" w:rsidRPr="0072600F" w14:paraId="1A5F66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58FE35F9"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2B69714B"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072C09F0"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3F85FECD"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128CC44F"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100</w:t>
            </w:r>
          </w:p>
          <w:p w:rsidR="00760048" w:rsidRPr="0072600F" w14:paraId="3D53C944"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525D02E1"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55444F06"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6984F23B"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4C532F0C"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Ride Through Requirements</w:t>
            </w:r>
          </w:p>
        </w:tc>
        <w:tc>
          <w:tcPr>
            <w:tcW w:w="1702" w:type="dxa"/>
            <w:gridSpan w:val="2"/>
            <w:shd w:val="clear" w:color="auto" w:fill="auto"/>
            <w:vAlign w:val="bottom"/>
          </w:tcPr>
          <w:p w:rsidR="00760048" w:rsidRPr="0072600F" w14:paraId="2E40BE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04E54181"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6A0EA2B7"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4E8530CE"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66AE1F02"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40E87734"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$100</w:t>
            </w:r>
          </w:p>
          <w:p w:rsidR="00760048" w:rsidRPr="0072600F" w14:paraId="3131D9D0"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607DC4D2"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53F49856"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4C47EC54"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2C4DBD37" w14:textId="77777777">
            <w:pPr>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Incorporating Enumerated Alternative Transmission Technologies into the Generator Interconnection Process</w:t>
            </w:r>
          </w:p>
        </w:tc>
        <w:tc>
          <w:tcPr>
            <w:tcW w:w="1702" w:type="dxa"/>
            <w:gridSpan w:val="2"/>
            <w:shd w:val="clear" w:color="auto" w:fill="auto"/>
            <w:vAlign w:val="bottom"/>
          </w:tcPr>
          <w:p w:rsidR="00760048" w:rsidRPr="0072600F" w14:paraId="3D60C3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44 (TPs)</w:t>
            </w:r>
          </w:p>
        </w:tc>
        <w:tc>
          <w:tcPr>
            <w:tcW w:w="1510" w:type="dxa"/>
            <w:gridSpan w:val="2"/>
            <w:shd w:val="clear" w:color="auto" w:fill="auto"/>
            <w:vAlign w:val="bottom"/>
          </w:tcPr>
          <w:p w:rsidR="00760048" w:rsidRPr="0072600F" w14:paraId="4439854E"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6DBBDFD1" w14:textId="77777777">
            <w:pPr>
              <w:keepNext/>
              <w:keepLines/>
              <w:jc w:val="right"/>
              <w:rPr>
                <w:rFonts w:ascii="Times New Roman" w:eastAsia="Calibri Light" w:hAnsi="Times New Roman" w:cs="Times New Roman"/>
                <w:sz w:val="26"/>
                <w:szCs w:val="26"/>
              </w:rPr>
            </w:pPr>
            <w:r w:rsidRPr="0072600F">
              <w:rPr>
                <w:rFonts w:ascii="Times New Roman" w:eastAsia="Calibri Light" w:hAnsi="Times New Roman" w:cs="Times New Roman"/>
                <w:sz w:val="26"/>
                <w:szCs w:val="26"/>
              </w:rPr>
              <w:t>Ongoing: 0</w:t>
            </w:r>
          </w:p>
        </w:tc>
        <w:tc>
          <w:tcPr>
            <w:tcW w:w="1370" w:type="dxa"/>
            <w:vAlign w:val="bottom"/>
          </w:tcPr>
          <w:p w:rsidR="00760048" w:rsidRPr="0072600F" w14:paraId="5B865700"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4BC4816D"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710" w:type="dxa"/>
            <w:shd w:val="clear" w:color="auto" w:fill="auto"/>
            <w:vAlign w:val="bottom"/>
          </w:tcPr>
          <w:p w:rsidR="00760048" w:rsidRPr="0072600F" w14:paraId="4CA6180D"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$100</w:t>
            </w:r>
          </w:p>
          <w:p w:rsidR="00760048" w:rsidRPr="0072600F" w14:paraId="1AF58251"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c>
          <w:tcPr>
            <w:tcW w:w="1890" w:type="dxa"/>
            <w:gridSpan w:val="2"/>
            <w:shd w:val="clear" w:color="auto" w:fill="auto"/>
            <w:vAlign w:val="bottom"/>
          </w:tcPr>
          <w:p w:rsidR="00760048" w:rsidRPr="0072600F" w14:paraId="57951DDD"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0EA78938"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Ongoing: 0</w:t>
            </w:r>
          </w:p>
        </w:tc>
      </w:tr>
      <w:tr w14:paraId="19295878"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7E423B30" w14:textId="77777777">
            <w:pPr>
              <w:rPr>
                <w:rFonts w:ascii="Times New Roman" w:eastAsia="Calibri Light" w:hAnsi="Times New Roman" w:cs="Times New Roman"/>
                <w:sz w:val="26"/>
                <w:szCs w:val="26"/>
              </w:rPr>
            </w:pPr>
            <w:r w:rsidRPr="0072600F">
              <w:rPr>
                <w:rFonts w:ascii="Times New Roman" w:eastAsia="Calibri Light" w:hAnsi="Times New Roman" w:cs="Times New Roman"/>
                <w:b/>
                <w:sz w:val="26"/>
                <w:szCs w:val="26"/>
              </w:rPr>
              <w:t>Total New Burden for FERC-516 (due to Docket No. RM22-14-001)</w:t>
            </w:r>
          </w:p>
        </w:tc>
        <w:tc>
          <w:tcPr>
            <w:tcW w:w="4582" w:type="dxa"/>
            <w:gridSpan w:val="5"/>
            <w:shd w:val="clear" w:color="auto" w:fill="auto"/>
            <w:vAlign w:val="bottom"/>
          </w:tcPr>
          <w:p w:rsidR="00760048" w:rsidRPr="0072600F" w14:paraId="4DE59720"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b/>
                <w:bCs/>
                <w:color w:val="000000" w:themeColor="text1"/>
                <w:sz w:val="26"/>
                <w:szCs w:val="26"/>
              </w:rPr>
              <w:t>Year 1: 4</w:t>
            </w:r>
            <w:r w:rsidR="006A0DD0">
              <w:rPr>
                <w:rFonts w:ascii="Times New Roman" w:eastAsia="Calibri Light" w:hAnsi="Times New Roman" w:cs="Times New Roman"/>
                <w:b/>
                <w:bCs/>
                <w:color w:val="000000" w:themeColor="text1"/>
                <w:sz w:val="26"/>
                <w:szCs w:val="26"/>
              </w:rPr>
              <w:t>84</w:t>
            </w:r>
            <w:r w:rsidRPr="0072600F">
              <w:rPr>
                <w:rFonts w:ascii="Times New Roman" w:eastAsia="Calibri Light" w:hAnsi="Times New Roman" w:cs="Times New Roman"/>
                <w:b/>
                <w:bCs/>
                <w:color w:val="000000" w:themeColor="text1"/>
                <w:sz w:val="26"/>
                <w:szCs w:val="26"/>
              </w:rPr>
              <w:t xml:space="preserve"> responses</w:t>
            </w:r>
          </w:p>
          <w:p w:rsidR="00760048" w:rsidRPr="0072600F" w14:paraId="7BE375AC" w14:textId="77777777">
            <w:pPr>
              <w:keepNext/>
              <w:keepLines/>
              <w:jc w:val="right"/>
              <w:rPr>
                <w:rFonts w:ascii="Times New Roman" w:eastAsia="Calibri Light" w:hAnsi="Times New Roman" w:cs="Times New Roman"/>
                <w:color w:val="000000" w:themeColor="text1"/>
                <w:sz w:val="26"/>
                <w:szCs w:val="26"/>
              </w:rPr>
            </w:pPr>
            <w:r w:rsidRPr="0072600F">
              <w:rPr>
                <w:rFonts w:ascii="Times New Roman" w:eastAsia="Calibri Light" w:hAnsi="Times New Roman" w:cs="Times New Roman"/>
                <w:b/>
                <w:bCs/>
                <w:color w:val="000000" w:themeColor="text1"/>
                <w:sz w:val="26"/>
                <w:szCs w:val="26"/>
              </w:rPr>
              <w:t xml:space="preserve">Ongoing: 0 </w:t>
            </w:r>
          </w:p>
        </w:tc>
        <w:tc>
          <w:tcPr>
            <w:tcW w:w="3600" w:type="dxa"/>
            <w:gridSpan w:val="3"/>
            <w:shd w:val="clear" w:color="auto" w:fill="auto"/>
            <w:vAlign w:val="bottom"/>
          </w:tcPr>
          <w:p w:rsidR="00760048" w:rsidRPr="0072600F" w14:paraId="60263986"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 xml:space="preserve">Year 1: 704 </w:t>
            </w:r>
            <w:r w:rsidRPr="0072600F">
              <w:rPr>
                <w:rFonts w:ascii="Times New Roman" w:eastAsia="Calibri Light" w:hAnsi="Times New Roman" w:cs="Times New Roman"/>
                <w:b/>
                <w:bCs/>
                <w:color w:val="000000"/>
                <w:sz w:val="26"/>
                <w:szCs w:val="26"/>
              </w:rPr>
              <w:t>hr</w:t>
            </w:r>
            <w:r w:rsidRPr="0072600F">
              <w:rPr>
                <w:rFonts w:ascii="Times New Roman" w:eastAsia="Calibri Light" w:hAnsi="Times New Roman" w:cs="Times New Roman"/>
                <w:b/>
                <w:bCs/>
                <w:color w:val="000000"/>
                <w:sz w:val="26"/>
                <w:szCs w:val="26"/>
              </w:rPr>
              <w:t>; $70,400</w:t>
            </w:r>
          </w:p>
          <w:p w:rsidR="00760048" w:rsidRPr="0072600F" w14:paraId="3579B534"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 xml:space="preserve">Ongoing: 0 </w:t>
            </w:r>
            <w:r w:rsidRPr="0072600F">
              <w:rPr>
                <w:rFonts w:ascii="Times New Roman" w:eastAsia="Calibri Light" w:hAnsi="Times New Roman" w:cs="Times New Roman"/>
                <w:b/>
                <w:bCs/>
                <w:color w:val="000000"/>
                <w:sz w:val="26"/>
                <w:szCs w:val="26"/>
              </w:rPr>
              <w:t>hr</w:t>
            </w:r>
            <w:r w:rsidRPr="0072600F">
              <w:rPr>
                <w:rFonts w:ascii="Times New Roman" w:eastAsia="Calibri Light" w:hAnsi="Times New Roman" w:cs="Times New Roman"/>
                <w:b/>
                <w:bCs/>
                <w:color w:val="000000"/>
                <w:sz w:val="26"/>
                <w:szCs w:val="26"/>
              </w:rPr>
              <w:t xml:space="preserve">; 0 </w:t>
            </w:r>
          </w:p>
        </w:tc>
      </w:tr>
      <w:tr w14:paraId="7646450C" w14:textId="77777777">
        <w:tblPrEx>
          <w:tblW w:w="9959" w:type="dxa"/>
          <w:tblInd w:w="23" w:type="dxa"/>
          <w:tblLayout w:type="fixed"/>
          <w:tblCellMar>
            <w:left w:w="0" w:type="dxa"/>
            <w:right w:w="0" w:type="dxa"/>
          </w:tblCellMar>
          <w:tblLook w:val="0000"/>
        </w:tblPrEx>
        <w:trPr>
          <w:cantSplit/>
          <w:trHeight w:val="259"/>
        </w:trPr>
        <w:tc>
          <w:tcPr>
            <w:tcW w:w="9959" w:type="dxa"/>
            <w:gridSpan w:val="9"/>
            <w:shd w:val="clear" w:color="auto" w:fill="BFBFBF" w:themeFill="background1" w:themeFillShade="BF"/>
          </w:tcPr>
          <w:p w:rsidR="00760048" w:rsidRPr="0072600F" w14:paraId="6233BF7F" w14:textId="77777777">
            <w:pPr>
              <w:keepNext/>
              <w:keepLines/>
              <w:contextualSpacing/>
              <w:jc w:val="center"/>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FERC-516A</w:t>
            </w:r>
          </w:p>
        </w:tc>
      </w:tr>
      <w:tr w14:paraId="21C3B36B"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00D3DC5E" w14:textId="77777777">
            <w:pPr>
              <w:rPr>
                <w:rFonts w:ascii="Times New Roman" w:eastAsia="Calibri Light" w:hAnsi="Times New Roman" w:cs="Times New Roman"/>
                <w:bCs/>
                <w:sz w:val="26"/>
                <w:szCs w:val="26"/>
              </w:rPr>
            </w:pPr>
            <w:r w:rsidRPr="0072600F">
              <w:rPr>
                <w:rFonts w:ascii="Times New Roman" w:eastAsia="Calibri Light" w:hAnsi="Times New Roman" w:cs="Times New Roman"/>
                <w:bCs/>
                <w:sz w:val="26"/>
                <w:szCs w:val="26"/>
              </w:rPr>
              <w:t>Ride Through Requirements</w:t>
            </w:r>
          </w:p>
        </w:tc>
        <w:tc>
          <w:tcPr>
            <w:tcW w:w="1527" w:type="dxa"/>
            <w:shd w:val="clear" w:color="auto" w:fill="auto"/>
            <w:vAlign w:val="bottom"/>
          </w:tcPr>
          <w:p w:rsidR="00760048" w:rsidRPr="0072600F" w14:paraId="5AB9B121"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color w:val="000000"/>
                <w:sz w:val="26"/>
                <w:szCs w:val="26"/>
              </w:rPr>
              <w:t>44 (TPs)</w:t>
            </w:r>
          </w:p>
        </w:tc>
        <w:tc>
          <w:tcPr>
            <w:tcW w:w="1527" w:type="dxa"/>
            <w:gridSpan w:val="2"/>
            <w:shd w:val="clear" w:color="auto" w:fill="auto"/>
            <w:vAlign w:val="bottom"/>
          </w:tcPr>
          <w:p w:rsidR="00760048" w:rsidRPr="0072600F" w14:paraId="20CD148F"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769A8185"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sz w:val="26"/>
                <w:szCs w:val="26"/>
              </w:rPr>
              <w:t>Ongoing: 0</w:t>
            </w:r>
          </w:p>
        </w:tc>
        <w:tc>
          <w:tcPr>
            <w:tcW w:w="1528" w:type="dxa"/>
            <w:gridSpan w:val="2"/>
            <w:shd w:val="clear" w:color="auto" w:fill="auto"/>
            <w:vAlign w:val="bottom"/>
          </w:tcPr>
          <w:p w:rsidR="00760048" w:rsidRPr="0072600F" w14:paraId="2067C7C6"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4867C587"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800" w:type="dxa"/>
            <w:gridSpan w:val="2"/>
            <w:shd w:val="clear" w:color="auto" w:fill="auto"/>
            <w:vAlign w:val="bottom"/>
          </w:tcPr>
          <w:p w:rsidR="00760048" w:rsidRPr="0072600F" w14:paraId="5011BAA3"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w:t>
            </w:r>
            <w:r w:rsidRPr="0072600F">
              <w:rPr>
                <w:rFonts w:ascii="Times New Roman" w:eastAsia="Calibri Light" w:hAnsi="Times New Roman" w:cs="Times New Roman"/>
                <w:sz w:val="26"/>
                <w:szCs w:val="26"/>
              </w:rPr>
              <w:t>100</w:t>
            </w:r>
          </w:p>
          <w:p w:rsidR="00760048" w:rsidRPr="0072600F" w14:paraId="5331DCF3"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color w:val="000000"/>
                <w:sz w:val="26"/>
                <w:szCs w:val="26"/>
              </w:rPr>
              <w:t>Ongoing: 0</w:t>
            </w:r>
          </w:p>
        </w:tc>
        <w:tc>
          <w:tcPr>
            <w:tcW w:w="1800" w:type="dxa"/>
            <w:shd w:val="clear" w:color="auto" w:fill="auto"/>
            <w:vAlign w:val="bottom"/>
          </w:tcPr>
          <w:p w:rsidR="00760048" w:rsidRPr="0072600F" w14:paraId="3AF63909"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12F6D12F"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color w:val="000000"/>
                <w:sz w:val="26"/>
                <w:szCs w:val="26"/>
              </w:rPr>
              <w:t>Ongoing: 0</w:t>
            </w:r>
          </w:p>
        </w:tc>
      </w:tr>
      <w:tr w14:paraId="1587A8B8"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6BC6E450" w14:textId="77777777">
            <w:pPr>
              <w:rPr>
                <w:rFonts w:ascii="Times New Roman" w:eastAsia="Calibri Light" w:hAnsi="Times New Roman" w:cs="Times New Roman"/>
                <w:bCs/>
                <w:sz w:val="26"/>
                <w:szCs w:val="26"/>
              </w:rPr>
            </w:pPr>
            <w:r w:rsidRPr="0072600F">
              <w:rPr>
                <w:rFonts w:ascii="Times New Roman" w:eastAsia="Calibri Light" w:hAnsi="Times New Roman" w:cs="Times New Roman"/>
                <w:bCs/>
                <w:sz w:val="26"/>
                <w:szCs w:val="26"/>
              </w:rPr>
              <w:t>Incorporating Enumerated Alternative Transmission Technologies into the Generator Interconnection Process</w:t>
            </w:r>
          </w:p>
          <w:p w:rsidR="00760048" w:rsidRPr="0072600F" w14:paraId="4831C61A" w14:textId="77777777">
            <w:pPr>
              <w:rPr>
                <w:rFonts w:ascii="Times New Roman" w:eastAsia="Calibri Light" w:hAnsi="Times New Roman" w:cs="Times New Roman"/>
                <w:bCs/>
                <w:sz w:val="26"/>
                <w:szCs w:val="26"/>
              </w:rPr>
            </w:pPr>
          </w:p>
        </w:tc>
        <w:tc>
          <w:tcPr>
            <w:tcW w:w="1527" w:type="dxa"/>
            <w:shd w:val="clear" w:color="auto" w:fill="auto"/>
            <w:vAlign w:val="bottom"/>
          </w:tcPr>
          <w:p w:rsidR="00760048" w:rsidRPr="0072600F" w14:paraId="3889A2CC"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color w:val="000000"/>
                <w:sz w:val="26"/>
                <w:szCs w:val="26"/>
              </w:rPr>
              <w:t>44 (TPs)</w:t>
            </w:r>
          </w:p>
        </w:tc>
        <w:tc>
          <w:tcPr>
            <w:tcW w:w="1527" w:type="dxa"/>
            <w:gridSpan w:val="2"/>
            <w:shd w:val="clear" w:color="auto" w:fill="auto"/>
            <w:vAlign w:val="bottom"/>
          </w:tcPr>
          <w:p w:rsidR="00760048" w:rsidRPr="0072600F" w14:paraId="13372D4D"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sz w:val="26"/>
                <w:szCs w:val="26"/>
              </w:rPr>
              <w:t>Year 1: 1</w:t>
            </w:r>
          </w:p>
          <w:p w:rsidR="00760048" w:rsidRPr="0072600F" w14:paraId="46D1977F"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sz w:val="26"/>
                <w:szCs w:val="26"/>
              </w:rPr>
              <w:t>Ongoing: 0</w:t>
            </w:r>
          </w:p>
        </w:tc>
        <w:tc>
          <w:tcPr>
            <w:tcW w:w="1528" w:type="dxa"/>
            <w:gridSpan w:val="2"/>
            <w:shd w:val="clear" w:color="auto" w:fill="auto"/>
            <w:vAlign w:val="bottom"/>
          </w:tcPr>
          <w:p w:rsidR="00760048" w:rsidRPr="0072600F" w14:paraId="71ADC9A3" w14:textId="77777777">
            <w:pPr>
              <w:keepNext/>
              <w:keepLines/>
              <w:jc w:val="right"/>
              <w:rPr>
                <w:rFonts w:ascii="Times New Roman" w:hAnsi="Times New Roman" w:cs="Times New Roman"/>
                <w:sz w:val="26"/>
                <w:szCs w:val="26"/>
              </w:rPr>
            </w:pPr>
            <w:r w:rsidRPr="0072600F">
              <w:rPr>
                <w:rFonts w:ascii="Times New Roman" w:eastAsia="Calibri Light" w:hAnsi="Times New Roman" w:cs="Times New Roman"/>
                <w:color w:val="000000" w:themeColor="text1"/>
                <w:sz w:val="26"/>
                <w:szCs w:val="26"/>
              </w:rPr>
              <w:t>Year 1: 44</w:t>
            </w:r>
          </w:p>
          <w:p w:rsidR="00760048" w:rsidRPr="0072600F" w14:paraId="331D5EA3"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color w:val="000000" w:themeColor="text1"/>
                <w:sz w:val="26"/>
                <w:szCs w:val="26"/>
              </w:rPr>
              <w:t>Ongoing: 0</w:t>
            </w:r>
          </w:p>
        </w:tc>
        <w:tc>
          <w:tcPr>
            <w:tcW w:w="1800" w:type="dxa"/>
            <w:gridSpan w:val="2"/>
            <w:shd w:val="clear" w:color="auto" w:fill="auto"/>
            <w:vAlign w:val="bottom"/>
          </w:tcPr>
          <w:p w:rsidR="00760048" w:rsidRPr="0072600F" w14:paraId="08C466C3"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1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xml:space="preserve">; </w:t>
            </w:r>
          </w:p>
          <w:p w:rsidR="00760048" w:rsidRPr="0072600F" w14:paraId="71A70E9E"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w:t>
            </w:r>
            <w:r w:rsidRPr="0072600F">
              <w:rPr>
                <w:rFonts w:ascii="Times New Roman" w:eastAsia="Calibri Light" w:hAnsi="Times New Roman" w:cs="Times New Roman"/>
                <w:sz w:val="26"/>
                <w:szCs w:val="26"/>
              </w:rPr>
              <w:t>100</w:t>
            </w:r>
          </w:p>
          <w:p w:rsidR="00760048" w:rsidRPr="0072600F" w14:paraId="30E8C40D"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color w:val="000000"/>
                <w:sz w:val="26"/>
                <w:szCs w:val="26"/>
              </w:rPr>
              <w:t>Ongoing: 0</w:t>
            </w:r>
          </w:p>
        </w:tc>
        <w:tc>
          <w:tcPr>
            <w:tcW w:w="1800" w:type="dxa"/>
            <w:shd w:val="clear" w:color="auto" w:fill="auto"/>
            <w:vAlign w:val="bottom"/>
          </w:tcPr>
          <w:p w:rsidR="00760048" w:rsidRPr="0072600F" w14:paraId="6CB5FBEA" w14:textId="77777777">
            <w:pPr>
              <w:keepNext/>
              <w:keepLines/>
              <w:jc w:val="right"/>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 xml:space="preserve">Year 1: 44 </w:t>
            </w:r>
            <w:r w:rsidRPr="0072600F">
              <w:rPr>
                <w:rFonts w:ascii="Times New Roman" w:eastAsia="Calibri Light" w:hAnsi="Times New Roman" w:cs="Times New Roman"/>
                <w:color w:val="000000"/>
                <w:sz w:val="26"/>
                <w:szCs w:val="26"/>
              </w:rPr>
              <w:t>hr</w:t>
            </w:r>
            <w:r w:rsidRPr="0072600F">
              <w:rPr>
                <w:rFonts w:ascii="Times New Roman" w:eastAsia="Calibri Light" w:hAnsi="Times New Roman" w:cs="Times New Roman"/>
                <w:color w:val="000000"/>
                <w:sz w:val="26"/>
                <w:szCs w:val="26"/>
              </w:rPr>
              <w:t>; $4,400</w:t>
            </w:r>
          </w:p>
          <w:p w:rsidR="00760048" w:rsidRPr="0072600F" w14:paraId="1C8E2E01"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color w:val="000000"/>
                <w:sz w:val="26"/>
                <w:szCs w:val="26"/>
              </w:rPr>
              <w:t>Ongoing: 0</w:t>
            </w:r>
          </w:p>
        </w:tc>
      </w:tr>
      <w:tr w14:paraId="188AF786"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106051D8" w14:textId="77777777">
            <w:pPr>
              <w:rPr>
                <w:rFonts w:ascii="Times New Roman" w:eastAsia="Calibri Light" w:hAnsi="Times New Roman" w:cs="Times New Roman"/>
                <w:bCs/>
                <w:sz w:val="26"/>
                <w:szCs w:val="26"/>
              </w:rPr>
            </w:pPr>
            <w:r w:rsidRPr="0072600F">
              <w:rPr>
                <w:rFonts w:ascii="Times New Roman" w:eastAsia="Calibri Light" w:hAnsi="Times New Roman" w:cs="Times New Roman"/>
                <w:b/>
                <w:sz w:val="26"/>
                <w:szCs w:val="26"/>
              </w:rPr>
              <w:t>Total New Burden for FERC-516A (due to Docket No. RM22-14-001)</w:t>
            </w:r>
          </w:p>
        </w:tc>
        <w:tc>
          <w:tcPr>
            <w:tcW w:w="4582" w:type="dxa"/>
            <w:gridSpan w:val="5"/>
            <w:shd w:val="clear" w:color="auto" w:fill="auto"/>
            <w:vAlign w:val="bottom"/>
          </w:tcPr>
          <w:p w:rsidR="00760048" w:rsidRPr="0072600F" w14:paraId="5A308B62"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b/>
                <w:bCs/>
                <w:color w:val="000000" w:themeColor="text1"/>
                <w:sz w:val="26"/>
                <w:szCs w:val="26"/>
              </w:rPr>
              <w:t>Year 1: 88 responses</w:t>
            </w:r>
          </w:p>
          <w:p w:rsidR="00760048" w:rsidRPr="0072600F" w14:paraId="1360061F"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b/>
                <w:bCs/>
                <w:color w:val="000000" w:themeColor="text1"/>
                <w:sz w:val="26"/>
                <w:szCs w:val="26"/>
              </w:rPr>
              <w:t>Ongoing: 0</w:t>
            </w:r>
          </w:p>
        </w:tc>
        <w:tc>
          <w:tcPr>
            <w:tcW w:w="3600" w:type="dxa"/>
            <w:gridSpan w:val="3"/>
            <w:shd w:val="clear" w:color="auto" w:fill="auto"/>
            <w:vAlign w:val="bottom"/>
          </w:tcPr>
          <w:p w:rsidR="00760048" w:rsidRPr="0072600F" w14:paraId="65D78CBB"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 xml:space="preserve">Year 1: 88 </w:t>
            </w:r>
            <w:r w:rsidRPr="0072600F">
              <w:rPr>
                <w:rFonts w:ascii="Times New Roman" w:eastAsia="Calibri Light" w:hAnsi="Times New Roman" w:cs="Times New Roman"/>
                <w:b/>
                <w:bCs/>
                <w:color w:val="000000"/>
                <w:sz w:val="26"/>
                <w:szCs w:val="26"/>
              </w:rPr>
              <w:t>hr</w:t>
            </w:r>
            <w:r w:rsidRPr="0072600F">
              <w:rPr>
                <w:rFonts w:ascii="Times New Roman" w:eastAsia="Calibri Light" w:hAnsi="Times New Roman" w:cs="Times New Roman"/>
                <w:b/>
                <w:bCs/>
                <w:color w:val="000000"/>
                <w:sz w:val="26"/>
                <w:szCs w:val="26"/>
              </w:rPr>
              <w:t>; $8,800</w:t>
            </w:r>
          </w:p>
          <w:p w:rsidR="00760048" w:rsidRPr="0072600F" w14:paraId="193EC7FD"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 xml:space="preserve">Ongoing: 0 </w:t>
            </w:r>
          </w:p>
        </w:tc>
      </w:tr>
      <w:tr w14:paraId="088F9CE6"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26469584" w14:textId="77777777">
            <w:pPr>
              <w:rPr>
                <w:rFonts w:ascii="Times New Roman" w:eastAsia="Calibri Light" w:hAnsi="Times New Roman" w:cs="Times New Roman"/>
                <w:b/>
                <w:sz w:val="26"/>
                <w:szCs w:val="26"/>
              </w:rPr>
            </w:pPr>
            <w:r w:rsidRPr="0072600F">
              <w:rPr>
                <w:rFonts w:ascii="Times New Roman" w:eastAsia="Calibri Light" w:hAnsi="Times New Roman" w:cs="Times New Roman"/>
                <w:b/>
                <w:sz w:val="26"/>
                <w:szCs w:val="26"/>
              </w:rPr>
              <w:t>Grand Total (FERC-516 plus FERC-516A, including all respondents)</w:t>
            </w:r>
          </w:p>
        </w:tc>
        <w:tc>
          <w:tcPr>
            <w:tcW w:w="4582" w:type="dxa"/>
            <w:gridSpan w:val="5"/>
            <w:shd w:val="clear" w:color="auto" w:fill="auto"/>
            <w:vAlign w:val="bottom"/>
          </w:tcPr>
          <w:p w:rsidR="00760048" w:rsidRPr="0072600F" w14:paraId="7CE2A784"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b/>
                <w:bCs/>
                <w:color w:val="000000" w:themeColor="text1"/>
                <w:sz w:val="26"/>
                <w:szCs w:val="26"/>
              </w:rPr>
              <w:t>Year 1: 5</w:t>
            </w:r>
            <w:r w:rsidR="009B04D5">
              <w:rPr>
                <w:rFonts w:ascii="Times New Roman" w:eastAsia="Calibri Light" w:hAnsi="Times New Roman" w:cs="Times New Roman"/>
                <w:b/>
                <w:bCs/>
                <w:color w:val="000000" w:themeColor="text1"/>
                <w:sz w:val="26"/>
                <w:szCs w:val="26"/>
              </w:rPr>
              <w:t>72</w:t>
            </w:r>
            <w:r w:rsidRPr="0072600F">
              <w:rPr>
                <w:rFonts w:ascii="Times New Roman" w:eastAsia="Calibri Light" w:hAnsi="Times New Roman" w:cs="Times New Roman"/>
                <w:b/>
                <w:bCs/>
                <w:color w:val="000000" w:themeColor="text1"/>
                <w:sz w:val="26"/>
                <w:szCs w:val="26"/>
              </w:rPr>
              <w:t xml:space="preserve"> responses</w:t>
            </w:r>
          </w:p>
          <w:p w:rsidR="00760048" w:rsidRPr="0072600F" w14:paraId="1E41667F"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b/>
                <w:bCs/>
                <w:color w:val="000000" w:themeColor="text1"/>
                <w:sz w:val="26"/>
                <w:szCs w:val="26"/>
              </w:rPr>
              <w:t>Ongoing: 0</w:t>
            </w:r>
          </w:p>
        </w:tc>
        <w:tc>
          <w:tcPr>
            <w:tcW w:w="3600" w:type="dxa"/>
            <w:gridSpan w:val="3"/>
            <w:shd w:val="clear" w:color="auto" w:fill="auto"/>
            <w:vAlign w:val="bottom"/>
          </w:tcPr>
          <w:p w:rsidR="00760048" w:rsidRPr="0072600F" w14:paraId="4E05CD35"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 xml:space="preserve">Year 1: 792 </w:t>
            </w:r>
            <w:r w:rsidRPr="0072600F">
              <w:rPr>
                <w:rFonts w:ascii="Times New Roman" w:eastAsia="Calibri Light" w:hAnsi="Times New Roman" w:cs="Times New Roman"/>
                <w:b/>
                <w:bCs/>
                <w:color w:val="000000"/>
                <w:sz w:val="26"/>
                <w:szCs w:val="26"/>
              </w:rPr>
              <w:t>hr</w:t>
            </w:r>
            <w:r w:rsidRPr="0072600F">
              <w:rPr>
                <w:rFonts w:ascii="Times New Roman" w:eastAsia="Calibri Light" w:hAnsi="Times New Roman" w:cs="Times New Roman"/>
                <w:b/>
                <w:bCs/>
                <w:color w:val="000000"/>
                <w:sz w:val="26"/>
                <w:szCs w:val="26"/>
              </w:rPr>
              <w:t>; $79,200</w:t>
            </w:r>
          </w:p>
          <w:p w:rsidR="00760048" w:rsidRPr="0072600F" w14:paraId="4F9E5780"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Ongoing: 0</w:t>
            </w:r>
          </w:p>
        </w:tc>
      </w:tr>
      <w:tr w14:paraId="0DCB1E76" w14:textId="77777777">
        <w:tblPrEx>
          <w:tblW w:w="9959" w:type="dxa"/>
          <w:tblInd w:w="23" w:type="dxa"/>
          <w:tblLayout w:type="fixed"/>
          <w:tblCellMar>
            <w:left w:w="0" w:type="dxa"/>
            <w:right w:w="0" w:type="dxa"/>
          </w:tblCellMar>
          <w:tblLook w:val="0000"/>
        </w:tblPrEx>
        <w:trPr>
          <w:cantSplit/>
          <w:trHeight w:val="795"/>
        </w:trPr>
        <w:tc>
          <w:tcPr>
            <w:tcW w:w="1777" w:type="dxa"/>
            <w:vAlign w:val="center"/>
          </w:tcPr>
          <w:p w:rsidR="00760048" w:rsidRPr="0072600F" w14:paraId="0882DD67" w14:textId="77777777">
            <w:pPr>
              <w:rPr>
                <w:rFonts w:ascii="Times New Roman" w:eastAsia="Calibri Light" w:hAnsi="Times New Roman" w:cs="Times New Roman"/>
                <w:b/>
                <w:sz w:val="26"/>
                <w:szCs w:val="26"/>
              </w:rPr>
            </w:pPr>
            <w:r w:rsidRPr="0072600F">
              <w:rPr>
                <w:rFonts w:ascii="Times New Roman" w:eastAsia="Calibri Light" w:hAnsi="Times New Roman" w:cs="Times New Roman"/>
                <w:b/>
                <w:sz w:val="26"/>
                <w:szCs w:val="26"/>
              </w:rPr>
              <w:t xml:space="preserve">Grand Total Average Per Entity Cost </w:t>
            </w:r>
          </w:p>
          <w:p w:rsidR="00760048" w:rsidRPr="0072600F" w14:paraId="1F747496" w14:textId="77777777">
            <w:pPr>
              <w:rPr>
                <w:rFonts w:ascii="Times New Roman" w:eastAsia="Calibri Light" w:hAnsi="Times New Roman" w:cs="Times New Roman"/>
                <w:b/>
                <w:sz w:val="26"/>
                <w:szCs w:val="26"/>
              </w:rPr>
            </w:pPr>
            <w:r w:rsidRPr="0072600F">
              <w:rPr>
                <w:rFonts w:ascii="Times New Roman" w:eastAsia="Calibri Light" w:hAnsi="Times New Roman" w:cs="Times New Roman"/>
                <w:b/>
                <w:sz w:val="26"/>
                <w:szCs w:val="26"/>
              </w:rPr>
              <w:t>(44 TPs)</w:t>
            </w:r>
          </w:p>
        </w:tc>
        <w:tc>
          <w:tcPr>
            <w:tcW w:w="4582" w:type="dxa"/>
            <w:gridSpan w:val="5"/>
            <w:shd w:val="clear" w:color="auto" w:fill="auto"/>
            <w:vAlign w:val="bottom"/>
          </w:tcPr>
          <w:p w:rsidR="00760048" w:rsidRPr="0072600F" w14:paraId="51A972DC" w14:textId="77777777">
            <w:pPr>
              <w:keepNext/>
              <w:keepLines/>
              <w:jc w:val="right"/>
              <w:rPr>
                <w:rFonts w:ascii="Times New Roman" w:eastAsia="Calibri Light" w:hAnsi="Times New Roman" w:cs="Times New Roman"/>
                <w:b/>
                <w:bCs/>
                <w:color w:val="000000" w:themeColor="text1"/>
                <w:sz w:val="26"/>
                <w:szCs w:val="26"/>
              </w:rPr>
            </w:pPr>
            <w:r w:rsidRPr="0072600F">
              <w:rPr>
                <w:rFonts w:ascii="Times New Roman" w:eastAsia="Calibri Light" w:hAnsi="Times New Roman" w:cs="Times New Roman"/>
                <w:b/>
                <w:bCs/>
                <w:color w:val="000000" w:themeColor="text1"/>
                <w:sz w:val="26"/>
                <w:szCs w:val="26"/>
              </w:rPr>
              <w:t xml:space="preserve"> </w:t>
            </w:r>
          </w:p>
        </w:tc>
        <w:tc>
          <w:tcPr>
            <w:tcW w:w="3600" w:type="dxa"/>
            <w:gridSpan w:val="3"/>
            <w:shd w:val="clear" w:color="auto" w:fill="auto"/>
            <w:vAlign w:val="bottom"/>
          </w:tcPr>
          <w:p w:rsidR="00760048" w:rsidRPr="0072600F" w14:paraId="6CA84FFD"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Year 1: $1,800</w:t>
            </w:r>
          </w:p>
          <w:p w:rsidR="00760048" w:rsidRPr="0072600F" w14:paraId="10119699" w14:textId="77777777">
            <w:pPr>
              <w:keepNext/>
              <w:keepLines/>
              <w:jc w:val="right"/>
              <w:rPr>
                <w:rFonts w:ascii="Times New Roman" w:eastAsia="Calibri Light" w:hAnsi="Times New Roman" w:cs="Times New Roman"/>
                <w:b/>
                <w:bCs/>
                <w:color w:val="000000"/>
                <w:sz w:val="26"/>
                <w:szCs w:val="26"/>
              </w:rPr>
            </w:pPr>
            <w:r w:rsidRPr="0072600F">
              <w:rPr>
                <w:rFonts w:ascii="Times New Roman" w:eastAsia="Calibri Light" w:hAnsi="Times New Roman" w:cs="Times New Roman"/>
                <w:b/>
                <w:bCs/>
                <w:color w:val="000000"/>
                <w:sz w:val="26"/>
                <w:szCs w:val="26"/>
              </w:rPr>
              <w:t xml:space="preserve">Ongoing: 0 </w:t>
            </w:r>
          </w:p>
        </w:tc>
      </w:tr>
    </w:tbl>
    <w:p w:rsidR="00760048" w:rsidRPr="0072600F" w:rsidP="00071614" w14:paraId="445C5528" w14:textId="77777777">
      <w:pPr>
        <w:pStyle w:val="FERCparanumber"/>
        <w:numPr>
          <w:ilvl w:val="0"/>
          <w:numId w:val="0"/>
        </w:numPr>
        <w:rPr>
          <w:sz w:val="26"/>
          <w:szCs w:val="26"/>
        </w:rPr>
      </w:pPr>
    </w:p>
    <w:p w:rsidR="00760048" w:rsidRPr="0072600F" w14:paraId="253BB387" w14:textId="77777777">
      <w:pPr>
        <w:pStyle w:val="FERCparanumber"/>
        <w:widowControl/>
        <w:numPr>
          <w:ilvl w:val="0"/>
          <w:numId w:val="25"/>
        </w:numPr>
        <w:tabs>
          <w:tab w:val="num" w:pos="360"/>
        </w:tabs>
        <w:autoSpaceDE/>
        <w:autoSpaceDN/>
        <w:adjustRightInd/>
        <w:spacing w:line="480" w:lineRule="auto"/>
        <w:rPr>
          <w:sz w:val="26"/>
          <w:szCs w:val="26"/>
        </w:rPr>
      </w:pPr>
      <w:r w:rsidRPr="0072600F">
        <w:rPr>
          <w:sz w:val="26"/>
          <w:szCs w:val="26"/>
        </w:rPr>
        <w:t xml:space="preserve">Interested persons may obtain information on the reporting requirements by contacting Jean Sonneman via email at </w:t>
      </w:r>
      <w:r w:rsidRPr="009B2286">
        <w:rPr>
          <w:sz w:val="26"/>
          <w:szCs w:val="26"/>
        </w:rPr>
        <w:t>DataClearance@ferc.gov</w:t>
      </w:r>
      <w:r w:rsidRPr="0072600F">
        <w:rPr>
          <w:sz w:val="26"/>
          <w:szCs w:val="26"/>
        </w:rPr>
        <w:t xml:space="preserve"> or telephone (202) 502-6362.</w:t>
      </w:r>
    </w:p>
    <w:p w:rsidR="00760048" w:rsidRPr="00663161" w14:paraId="7E630D44" w14:textId="77777777">
      <w:pPr>
        <w:pStyle w:val="Heading1"/>
        <w:keepNext/>
        <w:keepLines/>
        <w:widowControl/>
        <w:numPr>
          <w:ilvl w:val="0"/>
          <w:numId w:val="24"/>
        </w:numPr>
        <w:autoSpaceDE/>
        <w:autoSpaceDN/>
        <w:adjustRightInd/>
        <w:spacing w:line="480" w:lineRule="auto"/>
        <w:rPr>
          <w:sz w:val="26"/>
          <w:szCs w:val="26"/>
          <w:u w:val="single"/>
        </w:rPr>
      </w:pPr>
      <w:bookmarkStart w:id="157" w:name="_bmk30"/>
      <w:r w:rsidRPr="00663161">
        <w:rPr>
          <w:sz w:val="26"/>
          <w:szCs w:val="26"/>
          <w:u w:val="single"/>
        </w:rPr>
        <w:t>E</w:t>
      </w:r>
      <w:bookmarkEnd w:id="157"/>
      <w:r w:rsidRPr="00663161">
        <w:rPr>
          <w:sz w:val="26"/>
          <w:szCs w:val="26"/>
          <w:u w:val="single"/>
        </w:rPr>
        <w:t>nvironmental Analysis</w:t>
      </w:r>
    </w:p>
    <w:p w:rsidR="00760048" w:rsidRPr="0072600F" w14:paraId="3900F7FE" w14:textId="77777777">
      <w:pPr>
        <w:pStyle w:val="FERCparanumber"/>
        <w:widowControl/>
        <w:numPr>
          <w:ilvl w:val="0"/>
          <w:numId w:val="25"/>
        </w:numPr>
        <w:autoSpaceDE/>
        <w:autoSpaceDN/>
        <w:adjustRightInd/>
        <w:spacing w:line="480" w:lineRule="auto"/>
        <w:rPr>
          <w:sz w:val="26"/>
          <w:szCs w:val="26"/>
        </w:rPr>
      </w:pPr>
      <w:r w:rsidRPr="0072600F">
        <w:rPr>
          <w:sz w:val="26"/>
          <w:szCs w:val="26"/>
        </w:rPr>
        <w:t>The Commission is required to prepare an Environmental Assessment or an Environmental Impact Statement for any action that may have a significant adverse effect on the human environment.</w:t>
      </w:r>
      <w:r>
        <w:rPr>
          <w:rStyle w:val="FootnoteReference"/>
        </w:rPr>
        <w:footnoteReference w:id="1218"/>
      </w:r>
      <w:r w:rsidRPr="0072600F">
        <w:rPr>
          <w:sz w:val="26"/>
          <w:szCs w:val="26"/>
        </w:rPr>
        <w:t xml:space="preserve">  We conclude that neither an Environmental Assessment nor an Environmental Impact Statement is required for this final rule under § 380.4(a)(15) of the Commission’s regulations, which provides a categorical exemption for approval of actions under sections 205 and 206 of the FPA relating to the filing of schedules containing all rates and charges for the transmission or sale of electric energy subject to the Commission’s jurisdiction, plus the classification, practices, contracts, and regulations that affect rates, charges, classification, and services.</w:t>
      </w:r>
      <w:r>
        <w:rPr>
          <w:rStyle w:val="FootnoteReference"/>
        </w:rPr>
        <w:footnoteReference w:id="1219"/>
      </w:r>
    </w:p>
    <w:p w:rsidR="00760048" w:rsidRPr="00663161" w14:paraId="7536A2B6" w14:textId="77777777">
      <w:pPr>
        <w:pStyle w:val="Heading1"/>
        <w:keepNext/>
        <w:keepLines/>
        <w:widowControl/>
        <w:numPr>
          <w:ilvl w:val="0"/>
          <w:numId w:val="24"/>
        </w:numPr>
        <w:autoSpaceDE/>
        <w:autoSpaceDN/>
        <w:adjustRightInd/>
        <w:spacing w:line="480" w:lineRule="auto"/>
        <w:rPr>
          <w:sz w:val="26"/>
          <w:szCs w:val="26"/>
          <w:u w:val="single"/>
        </w:rPr>
      </w:pPr>
      <w:bookmarkStart w:id="158" w:name="_bmk31"/>
      <w:r w:rsidRPr="00663161">
        <w:rPr>
          <w:sz w:val="26"/>
          <w:szCs w:val="26"/>
          <w:u w:val="single"/>
        </w:rPr>
        <w:t>R</w:t>
      </w:r>
      <w:bookmarkEnd w:id="158"/>
      <w:r w:rsidRPr="00663161">
        <w:rPr>
          <w:sz w:val="26"/>
          <w:szCs w:val="26"/>
          <w:u w:val="single"/>
        </w:rPr>
        <w:t>egulatory Flexibility Act</w:t>
      </w:r>
    </w:p>
    <w:p w:rsidR="00760048" w:rsidRPr="0072600F" w14:paraId="4C0D1F58" w14:textId="77777777">
      <w:pPr>
        <w:pStyle w:val="FERCparanumber"/>
        <w:widowControl/>
        <w:numPr>
          <w:ilvl w:val="0"/>
          <w:numId w:val="25"/>
        </w:numPr>
        <w:tabs>
          <w:tab w:val="num" w:pos="360"/>
        </w:tabs>
        <w:autoSpaceDE/>
        <w:autoSpaceDN/>
        <w:adjustRightInd/>
        <w:spacing w:line="480" w:lineRule="auto"/>
        <w:rPr>
          <w:sz w:val="26"/>
          <w:szCs w:val="26"/>
        </w:rPr>
      </w:pPr>
      <w:r w:rsidRPr="0072600F">
        <w:rPr>
          <w:sz w:val="26"/>
          <w:szCs w:val="26"/>
        </w:rPr>
        <w:t>The Regulatory Flexibility Act of 1980</w:t>
      </w:r>
      <w:r>
        <w:rPr>
          <w:rStyle w:val="FootnoteReference"/>
        </w:rPr>
        <w:footnoteReference w:id="1220"/>
      </w:r>
      <w:r w:rsidRPr="0072600F">
        <w:rPr>
          <w:b/>
          <w:bCs/>
          <w:sz w:val="26"/>
          <w:szCs w:val="26"/>
        </w:rPr>
        <w:t xml:space="preserve"> </w:t>
      </w:r>
      <w:r w:rsidRPr="0072600F">
        <w:rPr>
          <w:sz w:val="26"/>
          <w:szCs w:val="26"/>
        </w:rPr>
        <w:t>requires a description and analysis of proposed and final rules that will have significant economic impact on a substantial number of small entities.  The Commission continues to certify that the reforms adopted in this order on rehearing would not have a significant economic impact on a substantial number of small entities.</w:t>
      </w:r>
    </w:p>
    <w:p w:rsidR="00760048" w:rsidRPr="0072600F" w14:paraId="2E785D4B" w14:textId="77777777">
      <w:pPr>
        <w:pStyle w:val="FERCparanumber"/>
        <w:widowControl/>
        <w:numPr>
          <w:ilvl w:val="0"/>
          <w:numId w:val="25"/>
        </w:numPr>
        <w:tabs>
          <w:tab w:val="num" w:pos="360"/>
        </w:tabs>
        <w:autoSpaceDE/>
        <w:autoSpaceDN/>
        <w:adjustRightInd/>
        <w:spacing w:line="480" w:lineRule="auto"/>
        <w:rPr>
          <w:sz w:val="26"/>
          <w:szCs w:val="26"/>
        </w:rPr>
      </w:pPr>
      <w:r w:rsidRPr="0072600F">
        <w:rPr>
          <w:sz w:val="26"/>
          <w:szCs w:val="26"/>
        </w:rPr>
        <w:t>The Small Business Administration (SBA) sets the threshold for what constitutes a small business.  Under SBA’s size standards,</w:t>
      </w:r>
      <w:r>
        <w:rPr>
          <w:rStyle w:val="FootnoteReference"/>
        </w:rPr>
        <w:footnoteReference w:id="1221"/>
      </w:r>
      <w:r w:rsidRPr="0072600F">
        <w:rPr>
          <w:b/>
          <w:bCs/>
          <w:sz w:val="26"/>
          <w:szCs w:val="26"/>
        </w:rPr>
        <w:t xml:space="preserve"> </w:t>
      </w:r>
      <w:r w:rsidRPr="0072600F">
        <w:rPr>
          <w:sz w:val="26"/>
          <w:szCs w:val="26"/>
        </w:rPr>
        <w:t>transmission providers and RTOs/ISOs fall under the category of Electric Bulk Power Transmission and Control (NAICS code 221121), that has a size threshold of under 950 employees including the entity and its associates.</w:t>
      </w:r>
      <w:r>
        <w:rPr>
          <w:rStyle w:val="FootnoteReference"/>
        </w:rPr>
        <w:footnoteReference w:id="1222"/>
      </w:r>
      <w:r w:rsidRPr="0072600F">
        <w:rPr>
          <w:b/>
          <w:bCs/>
          <w:sz w:val="26"/>
          <w:szCs w:val="26"/>
        </w:rPr>
        <w:t xml:space="preserve"> </w:t>
      </w:r>
      <w:r w:rsidRPr="0072600F">
        <w:rPr>
          <w:sz w:val="26"/>
          <w:szCs w:val="26"/>
        </w:rPr>
        <w:t xml:space="preserve"> This order on rehearing modifies the Commission’s standard large generator interconnection procedures and agreements (i.e., the </w:t>
      </w:r>
      <w:r w:rsidRPr="0072600F">
        <w:rPr>
          <w:i/>
          <w:sz w:val="26"/>
          <w:szCs w:val="26"/>
        </w:rPr>
        <w:t>pro forma</w:t>
      </w:r>
      <w:r w:rsidRPr="0072600F">
        <w:rPr>
          <w:sz w:val="26"/>
          <w:szCs w:val="26"/>
        </w:rPr>
        <w:t xml:space="preserve"> LGIP and </w:t>
      </w:r>
      <w:r w:rsidRPr="0072600F">
        <w:rPr>
          <w:i/>
          <w:sz w:val="26"/>
          <w:szCs w:val="26"/>
        </w:rPr>
        <w:t>pro forma</w:t>
      </w:r>
      <w:r w:rsidRPr="0072600F">
        <w:rPr>
          <w:sz w:val="26"/>
          <w:szCs w:val="26"/>
        </w:rPr>
        <w:t xml:space="preserve"> LGIA) and the Commission’s standard small generator interconnection procedures and agreement (i.e., the </w:t>
      </w:r>
      <w:r w:rsidRPr="0072600F">
        <w:rPr>
          <w:i/>
          <w:sz w:val="26"/>
          <w:szCs w:val="26"/>
        </w:rPr>
        <w:t>pro forma</w:t>
      </w:r>
      <w:r w:rsidRPr="0072600F">
        <w:rPr>
          <w:sz w:val="26"/>
          <w:szCs w:val="26"/>
        </w:rPr>
        <w:t xml:space="preserve"> SGIP and </w:t>
      </w:r>
      <w:r w:rsidRPr="0072600F">
        <w:rPr>
          <w:i/>
          <w:sz w:val="26"/>
          <w:szCs w:val="26"/>
        </w:rPr>
        <w:t>pro forma</w:t>
      </w:r>
      <w:r w:rsidRPr="0072600F">
        <w:rPr>
          <w:sz w:val="26"/>
          <w:szCs w:val="26"/>
        </w:rPr>
        <w:t xml:space="preserve"> SGIA) that every public utility transmission provider is required to include in their tariff under section 35.28 of the Commission’s regulations, regardless of the size of the entity.</w:t>
      </w:r>
      <w:r>
        <w:rPr>
          <w:rStyle w:val="FootnoteReference"/>
        </w:rPr>
        <w:footnoteReference w:id="1223"/>
      </w:r>
      <w:r w:rsidRPr="0072600F">
        <w:rPr>
          <w:sz w:val="26"/>
          <w:szCs w:val="26"/>
        </w:rPr>
        <w:t xml:space="preserve">  </w:t>
      </w:r>
    </w:p>
    <w:p w:rsidR="00760048" w:rsidRPr="0072600F" w14:paraId="5A9FD66B" w14:textId="77777777">
      <w:pPr>
        <w:pStyle w:val="FERCparanumber"/>
        <w:widowControl/>
        <w:numPr>
          <w:ilvl w:val="0"/>
          <w:numId w:val="25"/>
        </w:numPr>
        <w:tabs>
          <w:tab w:val="num" w:pos="360"/>
        </w:tabs>
        <w:autoSpaceDE/>
        <w:autoSpaceDN/>
        <w:adjustRightInd/>
        <w:spacing w:line="480" w:lineRule="auto"/>
        <w:rPr>
          <w:sz w:val="26"/>
          <w:szCs w:val="26"/>
        </w:rPr>
      </w:pPr>
      <w:r w:rsidRPr="0072600F">
        <w:rPr>
          <w:sz w:val="26"/>
          <w:szCs w:val="26"/>
        </w:rPr>
        <w:t xml:space="preserve">  As with Order No. 2023, we estimate that there are 44 transmission providers affected by the reforms proposed in this order on rehearing. Furthermore, we estimate that </w:t>
      </w:r>
      <w:r w:rsidR="004D66CC">
        <w:rPr>
          <w:sz w:val="26"/>
          <w:szCs w:val="26"/>
        </w:rPr>
        <w:t>six</w:t>
      </w:r>
      <w:r w:rsidRPr="0072600F" w:rsidR="004D66CC">
        <w:rPr>
          <w:sz w:val="26"/>
          <w:szCs w:val="26"/>
        </w:rPr>
        <w:t xml:space="preserve"> </w:t>
      </w:r>
      <w:r w:rsidRPr="0072600F">
        <w:rPr>
          <w:sz w:val="26"/>
          <w:szCs w:val="26"/>
        </w:rPr>
        <w:t>of the 44 total transmission providers, approximately 14% (rounded), are small entities.</w:t>
      </w:r>
    </w:p>
    <w:p w:rsidR="00760048" w:rsidRPr="0072600F" w14:paraId="40F1AE59" w14:textId="77777777">
      <w:pPr>
        <w:pStyle w:val="FERCparanumber"/>
        <w:widowControl/>
        <w:numPr>
          <w:ilvl w:val="0"/>
          <w:numId w:val="25"/>
        </w:numPr>
        <w:tabs>
          <w:tab w:val="num" w:pos="360"/>
        </w:tabs>
        <w:autoSpaceDE/>
        <w:autoSpaceDN/>
        <w:adjustRightInd/>
        <w:spacing w:line="480" w:lineRule="auto"/>
        <w:rPr>
          <w:sz w:val="26"/>
          <w:szCs w:val="26"/>
        </w:rPr>
      </w:pPr>
      <w:r w:rsidRPr="0072600F">
        <w:rPr>
          <w:sz w:val="26"/>
          <w:szCs w:val="26"/>
        </w:rPr>
        <w:t>We estimate that one-time costs (in Year 1) associated with the reforms required by this order on rehearing for one transmission provider (as shown in the table in the Information Collection Statement above) would be $1,800.  Following Year 1, we estimate that there will be no ongoing costs for transmission providers.</w:t>
      </w:r>
      <w:r w:rsidRPr="0072600F">
        <w:rPr>
          <w:b/>
          <w:bCs/>
          <w:sz w:val="26"/>
          <w:szCs w:val="26"/>
        </w:rPr>
        <w:t xml:space="preserve">  </w:t>
      </w:r>
      <w:r w:rsidRPr="0072600F">
        <w:rPr>
          <w:sz w:val="26"/>
          <w:szCs w:val="26"/>
        </w:rPr>
        <w:t>According to SBA guidance, the determination of significance of impact “should be seen as relative to the size of the business, the size of the competitor’s business, and the impact the regulation has on larger competitors.”</w:t>
      </w:r>
      <w:r>
        <w:rPr>
          <w:rStyle w:val="FootnoteReference"/>
        </w:rPr>
        <w:footnoteReference w:id="1224"/>
      </w:r>
      <w:r w:rsidRPr="0072600F">
        <w:rPr>
          <w:b/>
          <w:bCs/>
          <w:sz w:val="26"/>
          <w:szCs w:val="26"/>
        </w:rPr>
        <w:t xml:space="preserve"> </w:t>
      </w:r>
      <w:r w:rsidRPr="0072600F">
        <w:rPr>
          <w:sz w:val="26"/>
          <w:szCs w:val="26"/>
        </w:rPr>
        <w:t xml:space="preserve"> The Year 1 estimated cost of this order on rehearing reflects 2.5% of the Year 1 estimated cost of Order No. 2023, which the Commission found to not have a significant economic impact.  Further, this order on rehearing will create no ongoing costs for transmission providers in addition to those in Order No. 2023.  We therefore do not consider the estimated cost of $1,800 per transmission provider due to this order on rehearing to be a significant economic impact.  As a result, as the Commission concluded in Order 2023, we certify that the reforms proposed in this order on rehearing would not have a significant economic impact on a substantial number of small entities.</w:t>
      </w:r>
    </w:p>
    <w:p w:rsidR="00760048" w:rsidRPr="00663161" w14:paraId="12BA6041" w14:textId="77777777">
      <w:pPr>
        <w:pStyle w:val="Heading1"/>
        <w:keepNext/>
        <w:keepLines/>
        <w:widowControl/>
        <w:numPr>
          <w:ilvl w:val="0"/>
          <w:numId w:val="24"/>
        </w:numPr>
        <w:autoSpaceDE/>
        <w:autoSpaceDN/>
        <w:adjustRightInd/>
        <w:spacing w:line="480" w:lineRule="auto"/>
        <w:rPr>
          <w:sz w:val="26"/>
          <w:szCs w:val="26"/>
          <w:u w:val="single"/>
        </w:rPr>
      </w:pPr>
      <w:bookmarkStart w:id="159" w:name="_bmk32"/>
      <w:r w:rsidRPr="00663161">
        <w:rPr>
          <w:sz w:val="26"/>
          <w:szCs w:val="26"/>
          <w:u w:val="single"/>
        </w:rPr>
        <w:t>D</w:t>
      </w:r>
      <w:bookmarkEnd w:id="159"/>
      <w:r w:rsidRPr="00663161">
        <w:rPr>
          <w:sz w:val="26"/>
          <w:szCs w:val="26"/>
          <w:u w:val="single"/>
        </w:rPr>
        <w:t>ocument Availability</w:t>
      </w:r>
    </w:p>
    <w:p w:rsidR="00760048" w:rsidRPr="0072600F" w14:paraId="130B61E0" w14:textId="77777777">
      <w:pPr>
        <w:pStyle w:val="FERCparanumber"/>
        <w:widowControl/>
        <w:numPr>
          <w:ilvl w:val="0"/>
          <w:numId w:val="25"/>
        </w:numPr>
        <w:autoSpaceDE/>
        <w:autoSpaceDN/>
        <w:adjustRightInd/>
        <w:spacing w:line="480" w:lineRule="auto"/>
        <w:rPr>
          <w:sz w:val="26"/>
          <w:szCs w:val="26"/>
        </w:rPr>
      </w:pPr>
      <w:r w:rsidRPr="0072600F">
        <w:rPr>
          <w:sz w:val="26"/>
          <w:szCs w:val="26"/>
        </w:rPr>
        <w:t>In addition to publishing the full text of this document in the Federal Register, the Commission provides all interested persons an opportunity to view and/or print the contents of this document via the Internet through the Commission</w:t>
      </w:r>
      <w:r w:rsidR="00F1387C">
        <w:rPr>
          <w:sz w:val="26"/>
          <w:szCs w:val="26"/>
        </w:rPr>
        <w:t>’</w:t>
      </w:r>
      <w:r w:rsidRPr="0072600F">
        <w:rPr>
          <w:sz w:val="26"/>
          <w:szCs w:val="26"/>
        </w:rPr>
        <w:t>s Home Page (</w:t>
      </w:r>
      <w:r w:rsidRPr="009B2286">
        <w:rPr>
          <w:sz w:val="26"/>
          <w:szCs w:val="26"/>
        </w:rPr>
        <w:t>http://www.ferc.gov</w:t>
      </w:r>
      <w:r w:rsidRPr="0072600F">
        <w:rPr>
          <w:sz w:val="26"/>
          <w:szCs w:val="26"/>
        </w:rPr>
        <w:t xml:space="preserve">).  </w:t>
      </w:r>
    </w:p>
    <w:p w:rsidR="00760048" w:rsidRPr="0072600F" w14:paraId="36B6940F" w14:textId="77777777">
      <w:pPr>
        <w:pStyle w:val="FERCparanumber"/>
        <w:widowControl/>
        <w:numPr>
          <w:ilvl w:val="0"/>
          <w:numId w:val="25"/>
        </w:numPr>
        <w:autoSpaceDE/>
        <w:autoSpaceDN/>
        <w:adjustRightInd/>
        <w:spacing w:line="480" w:lineRule="auto"/>
        <w:rPr>
          <w:sz w:val="26"/>
          <w:szCs w:val="26"/>
        </w:rPr>
      </w:pPr>
      <w:r w:rsidRPr="0072600F">
        <w:rPr>
          <w:sz w:val="26"/>
          <w:szCs w:val="26"/>
        </w:rPr>
        <w:t>From FERC</w:t>
      </w:r>
      <w:r w:rsidR="004D66CC">
        <w:rPr>
          <w:sz w:val="26"/>
          <w:szCs w:val="26"/>
        </w:rPr>
        <w:t>’</w:t>
      </w:r>
      <w:r w:rsidRPr="0072600F">
        <w:rPr>
          <w:sz w:val="26"/>
          <w:szCs w:val="26"/>
        </w:rPr>
        <w:t xml:space="preserve">s Home Page on the Internet, this information is available on eLibrary.  The full text of this document is available on eLibrary in PDF and Microsoft Word format for viewing, printing, and/or downloading. </w:t>
      </w:r>
      <w:r w:rsidR="004D66CC">
        <w:rPr>
          <w:sz w:val="26"/>
          <w:szCs w:val="26"/>
        </w:rPr>
        <w:t xml:space="preserve"> </w:t>
      </w:r>
      <w:r w:rsidRPr="0072600F">
        <w:rPr>
          <w:sz w:val="26"/>
          <w:szCs w:val="26"/>
        </w:rPr>
        <w:t>To access this document in eLibrary, type the docket number excluding the last three digits of this document in the docket number field.</w:t>
      </w:r>
    </w:p>
    <w:p w:rsidR="00760048" w:rsidP="002B32E4" w14:paraId="155ADA72" w14:textId="77777777">
      <w:pPr>
        <w:pStyle w:val="FERCparanumber"/>
        <w:widowControl/>
        <w:numPr>
          <w:ilvl w:val="0"/>
          <w:numId w:val="25"/>
        </w:numPr>
        <w:autoSpaceDE/>
        <w:autoSpaceDN/>
        <w:adjustRightInd/>
        <w:spacing w:line="480" w:lineRule="auto"/>
        <w:ind w:right="-90"/>
        <w:rPr>
          <w:sz w:val="26"/>
          <w:szCs w:val="26"/>
        </w:rPr>
      </w:pPr>
      <w:r w:rsidRPr="0072600F">
        <w:rPr>
          <w:sz w:val="26"/>
          <w:szCs w:val="26"/>
        </w:rPr>
        <w:t xml:space="preserve">User assistance is available for eLibrary and the FERC’s website during normal business hours from FERC Online Support at </w:t>
      </w:r>
      <w:r w:rsidR="00197573">
        <w:rPr>
          <w:sz w:val="26"/>
          <w:szCs w:val="26"/>
        </w:rPr>
        <w:t>(</w:t>
      </w:r>
      <w:r w:rsidRPr="0072600F">
        <w:rPr>
          <w:sz w:val="26"/>
          <w:szCs w:val="26"/>
        </w:rPr>
        <w:t>202</w:t>
      </w:r>
      <w:r w:rsidR="00197573">
        <w:rPr>
          <w:sz w:val="26"/>
          <w:szCs w:val="26"/>
        </w:rPr>
        <w:t xml:space="preserve">) </w:t>
      </w:r>
      <w:r w:rsidRPr="0072600F">
        <w:rPr>
          <w:sz w:val="26"/>
          <w:szCs w:val="26"/>
        </w:rPr>
        <w:t xml:space="preserve">502-6652 (toll free at 1-866-208-3676) or email at </w:t>
      </w:r>
      <w:r w:rsidRPr="00197573">
        <w:rPr>
          <w:sz w:val="26"/>
          <w:szCs w:val="26"/>
        </w:rPr>
        <w:t>ferconlinesupport@ferc.gov</w:t>
      </w:r>
      <w:r w:rsidRPr="0072600F">
        <w:rPr>
          <w:sz w:val="26"/>
          <w:szCs w:val="26"/>
        </w:rPr>
        <w:t>, or the Public Reference Room at (202) 502-8371, TTY (202)</w:t>
      </w:r>
      <w:r w:rsidR="00924FF7">
        <w:rPr>
          <w:sz w:val="26"/>
          <w:szCs w:val="26"/>
        </w:rPr>
        <w:t xml:space="preserve"> </w:t>
      </w:r>
      <w:r w:rsidRPr="0072600F">
        <w:rPr>
          <w:sz w:val="26"/>
          <w:szCs w:val="26"/>
        </w:rPr>
        <w:t xml:space="preserve">502-8659.  E-mail the Public Reference Room at </w:t>
      </w:r>
      <w:r w:rsidRPr="00197573">
        <w:rPr>
          <w:sz w:val="26"/>
          <w:szCs w:val="26"/>
        </w:rPr>
        <w:t>public.referenceroom@ferc.gov</w:t>
      </w:r>
      <w:r w:rsidRPr="0072600F">
        <w:rPr>
          <w:sz w:val="26"/>
          <w:szCs w:val="26"/>
        </w:rPr>
        <w:t>.</w:t>
      </w:r>
    </w:p>
    <w:p w:rsidR="00197573" w:rsidP="00197573" w14:paraId="597AF678" w14:textId="77777777">
      <w:pPr>
        <w:pStyle w:val="FERCparanumber"/>
        <w:widowControl/>
        <w:numPr>
          <w:ilvl w:val="0"/>
          <w:numId w:val="0"/>
        </w:numPr>
        <w:autoSpaceDE/>
        <w:autoSpaceDN/>
        <w:adjustRightInd/>
        <w:spacing w:line="480" w:lineRule="auto"/>
        <w:ind w:right="-90"/>
        <w:rPr>
          <w:sz w:val="26"/>
          <w:szCs w:val="26"/>
        </w:rPr>
      </w:pPr>
    </w:p>
    <w:p w:rsidR="00197573" w:rsidP="00197573" w14:paraId="5D4E3621" w14:textId="77777777">
      <w:pPr>
        <w:pStyle w:val="FERCparanumber"/>
        <w:widowControl/>
        <w:numPr>
          <w:ilvl w:val="0"/>
          <w:numId w:val="0"/>
        </w:numPr>
        <w:autoSpaceDE/>
        <w:autoSpaceDN/>
        <w:adjustRightInd/>
        <w:spacing w:line="480" w:lineRule="auto"/>
        <w:ind w:right="-90"/>
        <w:rPr>
          <w:sz w:val="26"/>
          <w:szCs w:val="26"/>
        </w:rPr>
      </w:pPr>
    </w:p>
    <w:p w:rsidR="00197573" w:rsidRPr="0072600F" w:rsidP="00197573" w14:paraId="1C7F7658" w14:textId="77777777">
      <w:pPr>
        <w:pStyle w:val="FERCparanumber"/>
        <w:widowControl/>
        <w:numPr>
          <w:ilvl w:val="0"/>
          <w:numId w:val="0"/>
        </w:numPr>
        <w:autoSpaceDE/>
        <w:autoSpaceDN/>
        <w:adjustRightInd/>
        <w:spacing w:line="480" w:lineRule="auto"/>
        <w:ind w:right="-90"/>
        <w:rPr>
          <w:sz w:val="26"/>
          <w:szCs w:val="26"/>
        </w:rPr>
      </w:pPr>
    </w:p>
    <w:p w:rsidR="00760048" w:rsidRPr="00663161" w14:paraId="60EBC617" w14:textId="77777777">
      <w:pPr>
        <w:pStyle w:val="Heading1"/>
        <w:keepNext/>
        <w:keepLines/>
        <w:widowControl/>
        <w:numPr>
          <w:ilvl w:val="0"/>
          <w:numId w:val="24"/>
        </w:numPr>
        <w:autoSpaceDE/>
        <w:autoSpaceDN/>
        <w:adjustRightInd/>
        <w:spacing w:line="480" w:lineRule="auto"/>
        <w:rPr>
          <w:sz w:val="26"/>
          <w:szCs w:val="26"/>
          <w:u w:val="single"/>
        </w:rPr>
      </w:pPr>
      <w:bookmarkStart w:id="160" w:name="_bmk33"/>
      <w:r w:rsidRPr="00663161">
        <w:rPr>
          <w:sz w:val="26"/>
          <w:szCs w:val="26"/>
          <w:u w:val="single"/>
        </w:rPr>
        <w:t>E</w:t>
      </w:r>
      <w:bookmarkEnd w:id="160"/>
      <w:r w:rsidRPr="00663161">
        <w:rPr>
          <w:sz w:val="26"/>
          <w:szCs w:val="26"/>
          <w:u w:val="single"/>
        </w:rPr>
        <w:t xml:space="preserve">ffective Date </w:t>
      </w:r>
    </w:p>
    <w:p w:rsidR="00760048" w:rsidRPr="0072600F" w14:paraId="501B3C11" w14:textId="77777777">
      <w:pPr>
        <w:pStyle w:val="FERCparanumber"/>
        <w:widowControl/>
        <w:numPr>
          <w:ilvl w:val="0"/>
          <w:numId w:val="25"/>
        </w:numPr>
        <w:autoSpaceDE/>
        <w:autoSpaceDN/>
        <w:adjustRightInd/>
        <w:spacing w:line="480" w:lineRule="auto"/>
        <w:rPr>
          <w:sz w:val="26"/>
          <w:szCs w:val="26"/>
        </w:rPr>
      </w:pPr>
      <w:r w:rsidRPr="0072600F">
        <w:rPr>
          <w:sz w:val="26"/>
          <w:szCs w:val="26"/>
        </w:rPr>
        <w:t xml:space="preserve">These regulations are effective </w:t>
      </w:r>
      <w:r w:rsidRPr="00197573">
        <w:rPr>
          <w:b/>
          <w:bCs/>
          <w:sz w:val="26"/>
          <w:szCs w:val="26"/>
        </w:rPr>
        <w:t>[INSERT DATE 30 DAYS AFTER DATE OF PUBLICATION IN THE FEDERAL REGISTER]</w:t>
      </w:r>
      <w:r w:rsidRPr="0072600F">
        <w:rPr>
          <w:sz w:val="26"/>
          <w:szCs w:val="26"/>
        </w:rPr>
        <w:t xml:space="preserve">. </w:t>
      </w:r>
    </w:p>
    <w:p w:rsidR="00DB0EAE" w:rsidP="006A72F0" w14:paraId="3FDC3E9A" w14:textId="77777777">
      <w:p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By the Commission.</w:t>
      </w:r>
      <w:r>
        <w:rPr>
          <w:rFonts w:ascii="Times New Roman" w:hAnsi="Times New Roman" w:cs="Times New Roman"/>
          <w:sz w:val="26"/>
          <w:szCs w:val="26"/>
        </w:rPr>
        <w:t xml:space="preserve">  Commissioner Christie is concurring with a separate statement  </w:t>
      </w:r>
    </w:p>
    <w:p w:rsidR="00760048" w:rsidP="006A72F0" w14:paraId="7F5A7F65" w14:textId="77777777">
      <w:pPr>
        <w:spacing w:after="0" w:line="240" w:lineRule="auto"/>
        <w:ind w:left="1440" w:firstLine="720"/>
        <w:rPr>
          <w:rFonts w:ascii="Times New Roman" w:hAnsi="Times New Roman" w:cs="Times New Roman"/>
          <w:sz w:val="26"/>
          <w:szCs w:val="26"/>
        </w:rPr>
      </w:pPr>
      <w:r>
        <w:rPr>
          <w:rFonts w:ascii="Times New Roman" w:hAnsi="Times New Roman" w:cs="Times New Roman"/>
          <w:sz w:val="26"/>
          <w:szCs w:val="26"/>
        </w:rPr>
        <w:t xml:space="preserve"> attached.</w:t>
      </w:r>
    </w:p>
    <w:p w:rsidR="00DB0EAE" w:rsidP="006B02A7" w14:paraId="4DD643A5" w14:textId="77777777">
      <w:pPr>
        <w:spacing w:after="0" w:line="240" w:lineRule="auto"/>
        <w:rPr>
          <w:rFonts w:ascii="Times New Roman" w:hAnsi="Times New Roman" w:cs="Times New Roman"/>
          <w:sz w:val="26"/>
          <w:szCs w:val="26"/>
        </w:rPr>
      </w:pPr>
    </w:p>
    <w:p w:rsidR="00760048" w:rsidP="006B02A7" w14:paraId="2FEDF7D2" w14:textId="77777777">
      <w:pPr>
        <w:spacing w:after="0" w:line="240" w:lineRule="auto"/>
        <w:rPr>
          <w:rFonts w:ascii="Times New Roman" w:hAnsi="Times New Roman" w:cs="Times New Roman"/>
          <w:sz w:val="26"/>
          <w:szCs w:val="26"/>
        </w:rPr>
      </w:pPr>
      <w:r w:rsidRPr="00DB0EAE">
        <w:rPr>
          <w:rFonts w:ascii="Times New Roman" w:hAnsi="Times New Roman" w:cs="Times New Roman"/>
          <w:sz w:val="26"/>
          <w:szCs w:val="26"/>
        </w:rPr>
        <w:t>( S E A L )</w:t>
      </w:r>
    </w:p>
    <w:p w:rsidR="00DB0EAE" w:rsidP="006B02A7" w14:paraId="5748F5D3" w14:textId="77777777">
      <w:pPr>
        <w:spacing w:after="0" w:line="240" w:lineRule="auto"/>
        <w:rPr>
          <w:rFonts w:ascii="Times New Roman" w:hAnsi="Times New Roman" w:cs="Times New Roman"/>
          <w:sz w:val="26"/>
          <w:szCs w:val="26"/>
        </w:rPr>
      </w:pPr>
    </w:p>
    <w:p w:rsidR="00DB0EAE" w:rsidP="006B02A7" w14:paraId="250B84E2" w14:textId="77777777">
      <w:pPr>
        <w:spacing w:after="0" w:line="240" w:lineRule="auto"/>
        <w:rPr>
          <w:rFonts w:ascii="Times New Roman" w:hAnsi="Times New Roman" w:cs="Times New Roman"/>
          <w:sz w:val="26"/>
          <w:szCs w:val="26"/>
        </w:rPr>
      </w:pPr>
    </w:p>
    <w:p w:rsidR="00DB0EAE" w:rsidP="006B02A7" w14:paraId="45F594CA" w14:textId="77777777">
      <w:pPr>
        <w:spacing w:after="0" w:line="240" w:lineRule="auto"/>
        <w:rPr>
          <w:rFonts w:ascii="Times New Roman" w:hAnsi="Times New Roman" w:cs="Times New Roman"/>
          <w:sz w:val="26"/>
          <w:szCs w:val="26"/>
        </w:rPr>
      </w:pPr>
    </w:p>
    <w:p w:rsidR="00DB0EAE" w:rsidP="006B02A7" w14:paraId="7959D62E" w14:textId="77777777">
      <w:pPr>
        <w:spacing w:after="0" w:line="240" w:lineRule="auto"/>
        <w:rPr>
          <w:rFonts w:ascii="Times New Roman" w:hAnsi="Times New Roman" w:cs="Times New Roman"/>
          <w:sz w:val="26"/>
          <w:szCs w:val="26"/>
        </w:rPr>
      </w:pPr>
    </w:p>
    <w:p w:rsidR="00DB0EAE" w:rsidP="006B02A7" w14:paraId="067AA9E3" w14:textId="77777777">
      <w:pPr>
        <w:spacing w:after="0" w:line="240" w:lineRule="auto"/>
        <w:rPr>
          <w:rFonts w:ascii="Times New Roman" w:hAnsi="Times New Roman" w:cs="Times New Roman"/>
          <w:sz w:val="26"/>
          <w:szCs w:val="26"/>
        </w:rPr>
      </w:pPr>
    </w:p>
    <w:p w:rsidR="00DB0EAE" w:rsidRPr="00DB0EAE" w:rsidP="006A72F0" w14:paraId="2AD410A7" w14:textId="77777777">
      <w:pPr>
        <w:spacing w:after="0" w:line="240" w:lineRule="auto"/>
        <w:ind w:firstLine="2606"/>
        <w:jc w:val="center"/>
        <w:rPr>
          <w:rFonts w:ascii="Times New Roman" w:hAnsi="Times New Roman" w:cs="Times New Roman"/>
          <w:sz w:val="26"/>
        </w:rPr>
      </w:pPr>
      <w:r w:rsidRPr="006A72F0">
        <w:rPr>
          <w:rFonts w:ascii="Times New Roman" w:hAnsi="Times New Roman" w:cs="Times New Roman"/>
          <w:sz w:val="26"/>
        </w:rPr>
        <w:t>Debbie-Anne A. Reese,</w:t>
      </w:r>
    </w:p>
    <w:p w:rsidR="00DB0EAE" w:rsidRPr="006A72F0" w:rsidP="006A72F0" w14:paraId="248FB06F" w14:textId="77777777">
      <w:pPr>
        <w:spacing w:after="0" w:line="240" w:lineRule="auto"/>
        <w:ind w:firstLine="2606"/>
        <w:jc w:val="center"/>
      </w:pPr>
      <w:r w:rsidRPr="006A72F0">
        <w:rPr>
          <w:rFonts w:ascii="Times New Roman" w:hAnsi="Times New Roman" w:cs="Times New Roman"/>
          <w:sz w:val="26"/>
        </w:rPr>
        <w:t>Acting Secretary.</w:t>
      </w:r>
    </w:p>
    <w:p w:rsidR="00DB0EAE" w:rsidRPr="00DB0EAE" w:rsidP="006A72F0" w14:paraId="37705D07" w14:textId="77777777">
      <w:pPr>
        <w:spacing w:after="0" w:line="240" w:lineRule="auto"/>
        <w:rPr>
          <w:rFonts w:ascii="Times New Roman" w:hAnsi="Times New Roman" w:cs="Times New Roman"/>
          <w:sz w:val="26"/>
          <w:szCs w:val="26"/>
        </w:rPr>
      </w:pPr>
    </w:p>
    <w:p w:rsidR="005015E8" w14:paraId="47994C79" w14:textId="77777777">
      <w:pPr>
        <w:rPr>
          <w:rFonts w:ascii="Times New Roman" w:hAnsi="Times New Roman" w:eastAsiaTheme="majorEastAsia" w:cs="Times New Roman"/>
          <w:b/>
          <w:kern w:val="32"/>
          <w:sz w:val="26"/>
          <w:szCs w:val="26"/>
          <w:u w:val="single"/>
        </w:rPr>
        <w:sectPr w:rsidSect="003408B0">
          <w:headerReference w:type="default" r:id="rId13"/>
          <w:headerReference w:type="first" r:id="rId14"/>
          <w:pgSz w:w="12240" w:h="15840"/>
          <w:pgMar w:top="1440" w:right="1440" w:bottom="1440" w:left="1440" w:header="720" w:footer="720" w:gutter="0"/>
          <w:pgNumType w:fmt="numberInDash" w:start="1"/>
          <w:cols w:space="720"/>
          <w:noEndnote/>
          <w:titlePg/>
          <w:docGrid w:linePitch="299"/>
        </w:sectPr>
      </w:pPr>
      <w:r>
        <w:rPr>
          <w:rFonts w:ascii="Times New Roman" w:hAnsi="Times New Roman" w:eastAsiaTheme="majorEastAsia" w:cs="Times New Roman"/>
          <w:b/>
          <w:kern w:val="32"/>
          <w:sz w:val="26"/>
          <w:szCs w:val="26"/>
          <w:u w:val="single"/>
        </w:rPr>
        <w:br w:type="page"/>
      </w:r>
    </w:p>
    <w:p w:rsidR="00663161" w14:paraId="6CADB30D" w14:textId="5BF8D694">
      <w:pPr>
        <w:rPr>
          <w:rFonts w:ascii="Times New Roman" w:hAnsi="Times New Roman" w:eastAsiaTheme="majorEastAsia" w:cs="Times New Roman"/>
          <w:b/>
          <w:kern w:val="32"/>
          <w:sz w:val="26"/>
          <w:szCs w:val="26"/>
          <w:u w:val="single"/>
        </w:rPr>
      </w:pPr>
    </w:p>
    <w:p w:rsidR="00760048" w:rsidRPr="0072600F" w14:paraId="5EBAEDEF" w14:textId="77777777">
      <w:pPr>
        <w:rPr>
          <w:rFonts w:ascii="Times New Roman" w:hAnsi="Times New Roman" w:eastAsiaTheme="majorEastAsia" w:cs="Times New Roman"/>
          <w:b/>
          <w:kern w:val="32"/>
          <w:sz w:val="26"/>
          <w:szCs w:val="26"/>
          <w:u w:val="single"/>
        </w:rPr>
      </w:pPr>
      <w:r w:rsidRPr="006C739A">
        <w:rPr>
          <w:rFonts w:ascii="Times New Roman" w:hAnsi="Times New Roman" w:eastAsiaTheme="majorEastAsia" w:cs="Times New Roman"/>
          <w:b/>
          <w:kern w:val="32"/>
          <w:sz w:val="26"/>
          <w:szCs w:val="26"/>
          <w:u w:val="single"/>
        </w:rPr>
        <w:t>Note:  The following appendi</w:t>
      </w:r>
      <w:r>
        <w:rPr>
          <w:rFonts w:ascii="Times New Roman" w:hAnsi="Times New Roman" w:eastAsiaTheme="majorEastAsia" w:cs="Times New Roman"/>
          <w:b/>
          <w:kern w:val="32"/>
          <w:sz w:val="26"/>
          <w:szCs w:val="26"/>
          <w:u w:val="single"/>
        </w:rPr>
        <w:t>ces</w:t>
      </w:r>
      <w:r w:rsidRPr="006C739A">
        <w:rPr>
          <w:rFonts w:ascii="Times New Roman" w:hAnsi="Times New Roman" w:eastAsiaTheme="majorEastAsia" w:cs="Times New Roman"/>
          <w:b/>
          <w:kern w:val="32"/>
          <w:sz w:val="26"/>
          <w:szCs w:val="26"/>
          <w:u w:val="single"/>
        </w:rPr>
        <w:t xml:space="preserve"> will not appear in the Code of Federal Regulations. </w:t>
      </w:r>
    </w:p>
    <w:p w:rsidR="00760048" w:rsidRPr="0072600F" w:rsidP="00663161" w14:paraId="4446DF89" w14:textId="77777777">
      <w:pPr>
        <w:pStyle w:val="Heading1"/>
        <w:keepNext/>
        <w:keepLines/>
        <w:widowControl/>
        <w:autoSpaceDE/>
        <w:autoSpaceDN/>
        <w:adjustRightInd/>
        <w:spacing w:after="260"/>
        <w:rPr>
          <w:sz w:val="26"/>
          <w:szCs w:val="26"/>
        </w:rPr>
      </w:pPr>
      <w:bookmarkStart w:id="161" w:name="_bmk34"/>
      <w:r w:rsidRPr="0072600F">
        <w:rPr>
          <w:sz w:val="26"/>
          <w:szCs w:val="26"/>
        </w:rPr>
        <w:t>A</w:t>
      </w:r>
      <w:bookmarkEnd w:id="161"/>
      <w:r w:rsidRPr="0072600F">
        <w:rPr>
          <w:sz w:val="26"/>
          <w:szCs w:val="26"/>
        </w:rPr>
        <w:t xml:space="preserve">ppendix A:  Abbreviated Names of Rehearing Parties </w:t>
      </w:r>
    </w:p>
    <w:tbl>
      <w:tblPr>
        <w:tblW w:w="10165" w:type="dxa"/>
        <w:tblLook w:val="04A0"/>
      </w:tblPr>
      <w:tblGrid>
        <w:gridCol w:w="7375"/>
        <w:gridCol w:w="2790"/>
      </w:tblGrid>
      <w:tr w14:paraId="7C6E696C" w14:textId="77777777" w:rsidTr="00071614">
        <w:tblPrEx>
          <w:tblW w:w="10165" w:type="dxa"/>
          <w:tblLook w:val="04A0"/>
        </w:tblPrEx>
        <w:trPr>
          <w:trHeight w:val="300"/>
        </w:trPr>
        <w:tc>
          <w:tcPr>
            <w:tcW w:w="7375" w:type="dxa"/>
          </w:tcPr>
          <w:p w:rsidR="00760048" w:rsidRPr="0072600F" w:rsidP="00071614" w14:paraId="6DFA7251" w14:textId="77777777">
            <w:pPr>
              <w:pStyle w:val="FERCparanumber"/>
              <w:numPr>
                <w:ilvl w:val="0"/>
                <w:numId w:val="0"/>
              </w:numPr>
              <w:rPr>
                <w:sz w:val="26"/>
                <w:szCs w:val="26"/>
              </w:rPr>
            </w:pPr>
            <w:r w:rsidRPr="0072600F">
              <w:rPr>
                <w:sz w:val="26"/>
                <w:szCs w:val="26"/>
              </w:rPr>
              <w:t>American Clean Power Association</w:t>
            </w:r>
          </w:p>
        </w:tc>
        <w:tc>
          <w:tcPr>
            <w:tcW w:w="2790" w:type="dxa"/>
            <w:noWrap/>
          </w:tcPr>
          <w:p w:rsidR="00760048" w:rsidRPr="0072600F" w:rsidP="00071614" w14:paraId="3C008EAD" w14:textId="77777777">
            <w:pPr>
              <w:pStyle w:val="FootnoteText"/>
              <w:ind w:firstLine="0"/>
              <w:rPr>
                <w:szCs w:val="26"/>
              </w:rPr>
            </w:pPr>
            <w:r w:rsidRPr="0072600F">
              <w:rPr>
                <w:szCs w:val="26"/>
              </w:rPr>
              <w:t>ACP</w:t>
            </w:r>
          </w:p>
        </w:tc>
      </w:tr>
      <w:tr w14:paraId="527BCD82" w14:textId="77777777" w:rsidTr="00071614">
        <w:tblPrEx>
          <w:tblW w:w="10165" w:type="dxa"/>
          <w:tblLook w:val="04A0"/>
        </w:tblPrEx>
        <w:trPr>
          <w:trHeight w:val="300"/>
        </w:trPr>
        <w:tc>
          <w:tcPr>
            <w:tcW w:w="7375" w:type="dxa"/>
            <w:hideMark/>
          </w:tcPr>
          <w:p w:rsidR="00760048" w:rsidRPr="0072600F" w:rsidP="00071614" w14:paraId="32CF47A0" w14:textId="77777777">
            <w:pPr>
              <w:pStyle w:val="FootnoteText"/>
              <w:ind w:firstLine="0"/>
              <w:rPr>
                <w:szCs w:val="26"/>
              </w:rPr>
            </w:pPr>
            <w:r w:rsidRPr="0072600F">
              <w:rPr>
                <w:szCs w:val="26"/>
              </w:rPr>
              <w:t>American Electric Power Service Corporation</w:t>
            </w:r>
          </w:p>
        </w:tc>
        <w:tc>
          <w:tcPr>
            <w:tcW w:w="2790" w:type="dxa"/>
            <w:noWrap/>
            <w:hideMark/>
          </w:tcPr>
          <w:p w:rsidR="00760048" w:rsidRPr="0072600F" w:rsidP="00071614" w14:paraId="54FB9479" w14:textId="77777777">
            <w:pPr>
              <w:pStyle w:val="FootnoteText"/>
              <w:ind w:firstLine="0"/>
              <w:rPr>
                <w:szCs w:val="26"/>
              </w:rPr>
            </w:pPr>
            <w:r w:rsidRPr="0072600F">
              <w:rPr>
                <w:szCs w:val="26"/>
              </w:rPr>
              <w:t>AEP</w:t>
            </w:r>
          </w:p>
        </w:tc>
      </w:tr>
      <w:tr w14:paraId="2120AFB1" w14:textId="77777777" w:rsidTr="00071614">
        <w:tblPrEx>
          <w:tblW w:w="10165" w:type="dxa"/>
          <w:tblLook w:val="04A0"/>
        </w:tblPrEx>
        <w:trPr>
          <w:trHeight w:val="300"/>
        </w:trPr>
        <w:tc>
          <w:tcPr>
            <w:tcW w:w="7375" w:type="dxa"/>
          </w:tcPr>
          <w:p w:rsidR="00760048" w:rsidRPr="0072600F" w:rsidP="00071614" w14:paraId="7287CF1D" w14:textId="77777777">
            <w:pPr>
              <w:pStyle w:val="FootnoteText"/>
              <w:ind w:firstLine="0"/>
              <w:rPr>
                <w:szCs w:val="26"/>
              </w:rPr>
            </w:pPr>
            <w:r w:rsidRPr="0072600F">
              <w:rPr>
                <w:szCs w:val="26"/>
              </w:rPr>
              <w:t>Avangrid, Inc.</w:t>
            </w:r>
          </w:p>
        </w:tc>
        <w:tc>
          <w:tcPr>
            <w:tcW w:w="2790" w:type="dxa"/>
            <w:noWrap/>
          </w:tcPr>
          <w:p w:rsidR="00760048" w:rsidRPr="0072600F" w:rsidP="00071614" w14:paraId="5F217209" w14:textId="77777777">
            <w:pPr>
              <w:pStyle w:val="FootnoteText"/>
              <w:ind w:firstLine="0"/>
              <w:rPr>
                <w:szCs w:val="26"/>
              </w:rPr>
            </w:pPr>
            <w:r w:rsidRPr="0072600F">
              <w:rPr>
                <w:szCs w:val="26"/>
              </w:rPr>
              <w:t>Avangrid</w:t>
            </w:r>
          </w:p>
        </w:tc>
      </w:tr>
      <w:tr w14:paraId="768FDF81" w14:textId="77777777" w:rsidTr="00071614">
        <w:tblPrEx>
          <w:tblW w:w="10165" w:type="dxa"/>
          <w:tblLook w:val="04A0"/>
        </w:tblPrEx>
        <w:trPr>
          <w:trHeight w:val="300"/>
        </w:trPr>
        <w:tc>
          <w:tcPr>
            <w:tcW w:w="7375" w:type="dxa"/>
            <w:hideMark/>
          </w:tcPr>
          <w:p w:rsidR="00760048" w:rsidRPr="0072600F" w:rsidP="00071614" w14:paraId="7E00ECC4" w14:textId="77777777">
            <w:pPr>
              <w:pStyle w:val="FootnoteText"/>
              <w:ind w:firstLine="0"/>
              <w:rPr>
                <w:szCs w:val="26"/>
              </w:rPr>
            </w:pPr>
            <w:r w:rsidRPr="0072600F">
              <w:rPr>
                <w:szCs w:val="26"/>
              </w:rPr>
              <w:t>California Independent System Operator Corporation</w:t>
            </w:r>
          </w:p>
        </w:tc>
        <w:tc>
          <w:tcPr>
            <w:tcW w:w="2790" w:type="dxa"/>
            <w:noWrap/>
            <w:hideMark/>
          </w:tcPr>
          <w:p w:rsidR="00760048" w:rsidRPr="0072600F" w:rsidP="00071614" w14:paraId="048828BF" w14:textId="77777777">
            <w:pPr>
              <w:pStyle w:val="FootnoteText"/>
              <w:ind w:firstLine="0"/>
              <w:rPr>
                <w:szCs w:val="26"/>
              </w:rPr>
            </w:pPr>
            <w:r w:rsidRPr="0072600F">
              <w:rPr>
                <w:szCs w:val="26"/>
              </w:rPr>
              <w:t>CAISO</w:t>
            </w:r>
          </w:p>
        </w:tc>
      </w:tr>
      <w:tr w14:paraId="169B967E" w14:textId="77777777" w:rsidTr="00071614">
        <w:tblPrEx>
          <w:tblW w:w="10165" w:type="dxa"/>
          <w:tblLook w:val="04A0"/>
        </w:tblPrEx>
        <w:trPr>
          <w:trHeight w:val="300"/>
        </w:trPr>
        <w:tc>
          <w:tcPr>
            <w:tcW w:w="7375" w:type="dxa"/>
          </w:tcPr>
          <w:p w:rsidR="00760048" w:rsidRPr="0072600F" w:rsidP="00071614" w14:paraId="087E59F1" w14:textId="77777777">
            <w:pPr>
              <w:pStyle w:val="FootnoteText"/>
              <w:ind w:firstLine="0"/>
              <w:rPr>
                <w:szCs w:val="26"/>
              </w:rPr>
            </w:pPr>
            <w:r w:rsidRPr="0072600F">
              <w:rPr>
                <w:szCs w:val="26"/>
              </w:rPr>
              <w:t>Advanced Energy United, American Clean Power Association, and Solar Energy Industries Association</w:t>
            </w:r>
          </w:p>
        </w:tc>
        <w:tc>
          <w:tcPr>
            <w:tcW w:w="2790" w:type="dxa"/>
            <w:noWrap/>
          </w:tcPr>
          <w:p w:rsidR="00760048" w:rsidRPr="0072600F" w:rsidP="00071614" w14:paraId="724D329D" w14:textId="77777777">
            <w:pPr>
              <w:pStyle w:val="FootnoteText"/>
              <w:ind w:firstLine="0"/>
              <w:rPr>
                <w:szCs w:val="26"/>
              </w:rPr>
            </w:pPr>
            <w:r w:rsidRPr="0072600F">
              <w:rPr>
                <w:szCs w:val="26"/>
              </w:rPr>
              <w:t>Clean Energy Associations</w:t>
            </w:r>
          </w:p>
        </w:tc>
      </w:tr>
      <w:tr w14:paraId="1E175530" w14:textId="77777777" w:rsidTr="00071614">
        <w:tblPrEx>
          <w:tblW w:w="10165" w:type="dxa"/>
          <w:tblLook w:val="04A0"/>
        </w:tblPrEx>
        <w:trPr>
          <w:trHeight w:val="300"/>
        </w:trPr>
        <w:tc>
          <w:tcPr>
            <w:tcW w:w="7375" w:type="dxa"/>
          </w:tcPr>
          <w:p w:rsidR="00760048" w:rsidRPr="0072600F" w:rsidP="00071614" w14:paraId="69E91126" w14:textId="77777777">
            <w:pPr>
              <w:pStyle w:val="FootnoteText"/>
              <w:ind w:firstLine="0"/>
              <w:rPr>
                <w:szCs w:val="26"/>
              </w:rPr>
            </w:pPr>
            <w:r w:rsidRPr="0072600F">
              <w:rPr>
                <w:szCs w:val="26"/>
              </w:rPr>
              <w:t>Dominion Energy Services, Inc</w:t>
            </w:r>
          </w:p>
        </w:tc>
        <w:tc>
          <w:tcPr>
            <w:tcW w:w="2790" w:type="dxa"/>
            <w:noWrap/>
          </w:tcPr>
          <w:p w:rsidR="00760048" w:rsidRPr="0072600F" w:rsidP="00071614" w14:paraId="2D43D38B" w14:textId="77777777">
            <w:pPr>
              <w:pStyle w:val="FootnoteText"/>
              <w:ind w:firstLine="0"/>
              <w:rPr>
                <w:szCs w:val="26"/>
              </w:rPr>
            </w:pPr>
            <w:r w:rsidRPr="0072600F">
              <w:rPr>
                <w:szCs w:val="26"/>
              </w:rPr>
              <w:t>Dominion</w:t>
            </w:r>
          </w:p>
        </w:tc>
      </w:tr>
      <w:tr w14:paraId="7E9675DF" w14:textId="77777777" w:rsidTr="00071614">
        <w:tblPrEx>
          <w:tblW w:w="10165" w:type="dxa"/>
          <w:tblLook w:val="04A0"/>
        </w:tblPrEx>
        <w:trPr>
          <w:trHeight w:val="300"/>
        </w:trPr>
        <w:tc>
          <w:tcPr>
            <w:tcW w:w="7375" w:type="dxa"/>
          </w:tcPr>
          <w:p w:rsidR="00760048" w:rsidRPr="0072600F" w:rsidP="00071614" w14:paraId="002BD62D" w14:textId="77777777">
            <w:pPr>
              <w:pStyle w:val="FootnoteText"/>
              <w:ind w:firstLine="0"/>
              <w:rPr>
                <w:szCs w:val="26"/>
              </w:rPr>
            </w:pPr>
            <w:r w:rsidRPr="0072600F">
              <w:rPr>
                <w:szCs w:val="26"/>
              </w:rPr>
              <w:t>Duke Energy Carolinas, LLC; Duke Energy Progress, LLC; and Duke Energy Florida, LLC</w:t>
            </w:r>
          </w:p>
        </w:tc>
        <w:tc>
          <w:tcPr>
            <w:tcW w:w="2790" w:type="dxa"/>
            <w:noWrap/>
          </w:tcPr>
          <w:p w:rsidR="00760048" w:rsidRPr="0072600F" w:rsidP="00071614" w14:paraId="2CC4379E" w14:textId="77777777">
            <w:pPr>
              <w:pStyle w:val="FootnoteText"/>
              <w:ind w:firstLine="0"/>
              <w:rPr>
                <w:szCs w:val="26"/>
              </w:rPr>
            </w:pPr>
            <w:r w:rsidRPr="0072600F">
              <w:rPr>
                <w:szCs w:val="26"/>
              </w:rPr>
              <w:t>Duke Southeast Utilities</w:t>
            </w:r>
          </w:p>
        </w:tc>
      </w:tr>
      <w:tr w14:paraId="2DC7084A" w14:textId="77777777" w:rsidTr="00071614">
        <w:tblPrEx>
          <w:tblW w:w="10165" w:type="dxa"/>
          <w:tblLook w:val="04A0"/>
        </w:tblPrEx>
        <w:trPr>
          <w:trHeight w:val="300"/>
        </w:trPr>
        <w:tc>
          <w:tcPr>
            <w:tcW w:w="7375" w:type="dxa"/>
          </w:tcPr>
          <w:p w:rsidR="00760048" w:rsidRPr="0072600F" w:rsidP="00071614" w14:paraId="6D34F38E" w14:textId="77777777">
            <w:pPr>
              <w:pStyle w:val="FootnoteText"/>
              <w:ind w:firstLine="0"/>
              <w:rPr>
                <w:szCs w:val="26"/>
              </w:rPr>
            </w:pPr>
            <w:r w:rsidRPr="0072600F">
              <w:rPr>
                <w:szCs w:val="26"/>
              </w:rPr>
              <w:t>Edison Electric Institute</w:t>
            </w:r>
          </w:p>
        </w:tc>
        <w:tc>
          <w:tcPr>
            <w:tcW w:w="2790" w:type="dxa"/>
            <w:noWrap/>
          </w:tcPr>
          <w:p w:rsidR="00760048" w:rsidRPr="0072600F" w:rsidP="00071614" w14:paraId="23707F0E" w14:textId="77777777">
            <w:pPr>
              <w:pStyle w:val="FootnoteText"/>
              <w:ind w:firstLine="0"/>
              <w:rPr>
                <w:szCs w:val="26"/>
              </w:rPr>
            </w:pPr>
            <w:r w:rsidRPr="0072600F">
              <w:rPr>
                <w:szCs w:val="26"/>
              </w:rPr>
              <w:t>EEI</w:t>
            </w:r>
          </w:p>
        </w:tc>
      </w:tr>
      <w:tr w14:paraId="1A47CC54" w14:textId="77777777" w:rsidTr="00071614">
        <w:tblPrEx>
          <w:tblW w:w="10165" w:type="dxa"/>
          <w:tblLook w:val="04A0"/>
        </w:tblPrEx>
        <w:trPr>
          <w:trHeight w:val="300"/>
        </w:trPr>
        <w:tc>
          <w:tcPr>
            <w:tcW w:w="7375" w:type="dxa"/>
          </w:tcPr>
          <w:p w:rsidR="00760048" w:rsidRPr="0072600F" w:rsidP="00071614" w14:paraId="4795CE4F" w14:textId="77777777">
            <w:pPr>
              <w:pStyle w:val="FootnoteText"/>
              <w:ind w:firstLine="0"/>
              <w:rPr>
                <w:szCs w:val="26"/>
              </w:rPr>
            </w:pPr>
            <w:r w:rsidRPr="0072600F">
              <w:rPr>
                <w:szCs w:val="26"/>
              </w:rPr>
              <w:t>National Grid Renewables Development, LLC, Clearway Energy Group LLC, and Pine Gate Renewables, LLC</w:t>
            </w:r>
          </w:p>
        </w:tc>
        <w:tc>
          <w:tcPr>
            <w:tcW w:w="2790" w:type="dxa"/>
            <w:noWrap/>
          </w:tcPr>
          <w:p w:rsidR="00760048" w:rsidRPr="0072600F" w:rsidP="00071614" w14:paraId="591874DB" w14:textId="77777777">
            <w:pPr>
              <w:pStyle w:val="FootnoteText"/>
              <w:ind w:firstLine="0"/>
              <w:rPr>
                <w:szCs w:val="26"/>
              </w:rPr>
            </w:pPr>
            <w:r w:rsidRPr="0072600F">
              <w:rPr>
                <w:szCs w:val="26"/>
              </w:rPr>
              <w:t>Generation Developers</w:t>
            </w:r>
          </w:p>
        </w:tc>
      </w:tr>
      <w:tr w14:paraId="25752048" w14:textId="77777777" w:rsidTr="00071614">
        <w:tblPrEx>
          <w:tblW w:w="10165" w:type="dxa"/>
          <w:tblLook w:val="04A0"/>
        </w:tblPrEx>
        <w:trPr>
          <w:trHeight w:val="300"/>
        </w:trPr>
        <w:tc>
          <w:tcPr>
            <w:tcW w:w="7375" w:type="dxa"/>
          </w:tcPr>
          <w:p w:rsidR="00760048" w:rsidRPr="0072600F" w:rsidP="00071614" w14:paraId="4F767307" w14:textId="77777777">
            <w:pPr>
              <w:pStyle w:val="FootnoteText"/>
              <w:ind w:firstLine="0"/>
              <w:rPr>
                <w:szCs w:val="26"/>
              </w:rPr>
            </w:pPr>
            <w:r w:rsidRPr="0072600F">
              <w:rPr>
                <w:szCs w:val="26"/>
              </w:rPr>
              <w:t>Cypress Creek Renewables, LLC, New Leaf Energy, Inc., and Enel Green Power</w:t>
            </w:r>
          </w:p>
        </w:tc>
        <w:tc>
          <w:tcPr>
            <w:tcW w:w="2790" w:type="dxa"/>
            <w:noWrap/>
          </w:tcPr>
          <w:p w:rsidR="00760048" w:rsidRPr="0072600F" w:rsidP="00071614" w14:paraId="0E27BC72" w14:textId="77777777">
            <w:pPr>
              <w:pStyle w:val="FootnoteText"/>
              <w:ind w:firstLine="0"/>
              <w:rPr>
                <w:szCs w:val="26"/>
              </w:rPr>
            </w:pPr>
            <w:r w:rsidRPr="0072600F">
              <w:rPr>
                <w:szCs w:val="26"/>
              </w:rPr>
              <w:t>IPP Coalition</w:t>
            </w:r>
          </w:p>
        </w:tc>
      </w:tr>
      <w:tr w14:paraId="670462DF" w14:textId="77777777" w:rsidTr="00071614">
        <w:tblPrEx>
          <w:tblW w:w="10165" w:type="dxa"/>
          <w:tblLook w:val="04A0"/>
        </w:tblPrEx>
        <w:trPr>
          <w:trHeight w:val="300"/>
        </w:trPr>
        <w:tc>
          <w:tcPr>
            <w:tcW w:w="7375" w:type="dxa"/>
          </w:tcPr>
          <w:p w:rsidR="00760048" w:rsidRPr="0072600F" w:rsidP="00071614" w14:paraId="19642CD8" w14:textId="77777777">
            <w:pPr>
              <w:pStyle w:val="FootnoteText"/>
              <w:ind w:firstLine="0"/>
              <w:rPr>
                <w:szCs w:val="26"/>
              </w:rPr>
            </w:pPr>
            <w:r w:rsidRPr="0072600F">
              <w:rPr>
                <w:szCs w:val="26"/>
              </w:rPr>
              <w:t>Indicated PJM Transmission Owners</w:t>
            </w:r>
          </w:p>
        </w:tc>
        <w:tc>
          <w:tcPr>
            <w:tcW w:w="2790" w:type="dxa"/>
            <w:noWrap/>
          </w:tcPr>
          <w:p w:rsidR="00760048" w:rsidRPr="0072600F" w:rsidP="00071614" w14:paraId="33192745" w14:textId="77777777">
            <w:pPr>
              <w:pStyle w:val="FootnoteText"/>
              <w:ind w:firstLine="0"/>
              <w:rPr>
                <w:szCs w:val="26"/>
              </w:rPr>
            </w:pPr>
            <w:r w:rsidRPr="0072600F">
              <w:rPr>
                <w:szCs w:val="26"/>
              </w:rPr>
              <w:t>Indicated PJM TOs</w:t>
            </w:r>
          </w:p>
        </w:tc>
      </w:tr>
      <w:tr w14:paraId="140169FE" w14:textId="77777777" w:rsidTr="00071614">
        <w:tblPrEx>
          <w:tblW w:w="10165" w:type="dxa"/>
          <w:tblLook w:val="04A0"/>
        </w:tblPrEx>
        <w:trPr>
          <w:trHeight w:val="300"/>
        </w:trPr>
        <w:tc>
          <w:tcPr>
            <w:tcW w:w="7375" w:type="dxa"/>
          </w:tcPr>
          <w:p w:rsidR="00760048" w:rsidRPr="0072600F" w:rsidP="00071614" w14:paraId="2E51F8ED" w14:textId="77777777">
            <w:pPr>
              <w:pStyle w:val="FootnoteText"/>
              <w:ind w:firstLine="0"/>
              <w:rPr>
                <w:szCs w:val="26"/>
              </w:rPr>
            </w:pPr>
            <w:r w:rsidRPr="0072600F">
              <w:rPr>
                <w:szCs w:val="26"/>
              </w:rPr>
              <w:t>Invenergy Solar Development North America LLC; Invenergy Thermal Development LLC; Invenergy Wind Development North America LLC; and Invenergy Transmission LLC</w:t>
            </w:r>
          </w:p>
        </w:tc>
        <w:tc>
          <w:tcPr>
            <w:tcW w:w="2790" w:type="dxa"/>
            <w:noWrap/>
          </w:tcPr>
          <w:p w:rsidR="00760048" w:rsidRPr="0072600F" w:rsidP="00071614" w14:paraId="19C775DD" w14:textId="77777777">
            <w:pPr>
              <w:pStyle w:val="FootnoteText"/>
              <w:ind w:firstLine="0"/>
              <w:rPr>
                <w:szCs w:val="26"/>
              </w:rPr>
            </w:pPr>
            <w:r w:rsidRPr="0072600F">
              <w:rPr>
                <w:szCs w:val="26"/>
              </w:rPr>
              <w:t>Invenergy</w:t>
            </w:r>
          </w:p>
        </w:tc>
      </w:tr>
      <w:tr w14:paraId="1BFE5045" w14:textId="77777777" w:rsidTr="00071614">
        <w:tblPrEx>
          <w:tblW w:w="10165" w:type="dxa"/>
          <w:tblLook w:val="04A0"/>
        </w:tblPrEx>
        <w:trPr>
          <w:trHeight w:val="300"/>
        </w:trPr>
        <w:tc>
          <w:tcPr>
            <w:tcW w:w="7375" w:type="dxa"/>
          </w:tcPr>
          <w:p w:rsidR="00760048" w:rsidRPr="0072600F" w:rsidP="00071614" w14:paraId="154BEC6C" w14:textId="77777777">
            <w:pPr>
              <w:pStyle w:val="FootnoteText"/>
              <w:ind w:firstLine="0"/>
              <w:rPr>
                <w:szCs w:val="26"/>
              </w:rPr>
            </w:pPr>
            <w:r w:rsidRPr="0072600F">
              <w:rPr>
                <w:szCs w:val="26"/>
              </w:rPr>
              <w:t>ITC Holdings Corp., on behalf of its operating subsidiaries International Transmission Company d/b/a ITC Transmission, Michigan Electric Transmission Company, LLC, ITC Midwest LLC, and ITC Great Plains, LLC</w:t>
            </w:r>
          </w:p>
        </w:tc>
        <w:tc>
          <w:tcPr>
            <w:tcW w:w="2790" w:type="dxa"/>
            <w:noWrap/>
          </w:tcPr>
          <w:p w:rsidR="00760048" w:rsidRPr="0072600F" w:rsidP="00071614" w14:paraId="1CB9B916" w14:textId="77777777">
            <w:pPr>
              <w:pStyle w:val="FootnoteText"/>
              <w:ind w:firstLine="0"/>
              <w:rPr>
                <w:szCs w:val="26"/>
              </w:rPr>
            </w:pPr>
            <w:r w:rsidRPr="0072600F">
              <w:rPr>
                <w:szCs w:val="26"/>
              </w:rPr>
              <w:t>ITC</w:t>
            </w:r>
          </w:p>
        </w:tc>
      </w:tr>
      <w:tr w14:paraId="21A23D2C" w14:textId="77777777" w:rsidTr="00071614">
        <w:tblPrEx>
          <w:tblW w:w="10165" w:type="dxa"/>
          <w:tblLook w:val="04A0"/>
        </w:tblPrEx>
        <w:trPr>
          <w:trHeight w:val="300"/>
        </w:trPr>
        <w:tc>
          <w:tcPr>
            <w:tcW w:w="7375" w:type="dxa"/>
          </w:tcPr>
          <w:p w:rsidR="00760048" w:rsidRPr="0072600F" w:rsidP="00071614" w14:paraId="065A214A" w14:textId="77777777">
            <w:pPr>
              <w:pStyle w:val="FootnoteText"/>
              <w:ind w:firstLine="0"/>
              <w:rPr>
                <w:szCs w:val="26"/>
              </w:rPr>
            </w:pPr>
            <w:r w:rsidRPr="0072600F">
              <w:rPr>
                <w:szCs w:val="26"/>
              </w:rPr>
              <w:t>PJM Interconnection, LLC, Midcontinent Independent System Operator, Inc., and Southwest Power Pool, Inc.</w:t>
            </w:r>
          </w:p>
        </w:tc>
        <w:tc>
          <w:tcPr>
            <w:tcW w:w="2790" w:type="dxa"/>
            <w:noWrap/>
          </w:tcPr>
          <w:p w:rsidR="00760048" w:rsidRPr="0072600F" w:rsidP="00071614" w14:paraId="4ABBCC87" w14:textId="77777777">
            <w:pPr>
              <w:pStyle w:val="FootnoteText"/>
              <w:ind w:firstLine="0"/>
              <w:rPr>
                <w:szCs w:val="26"/>
              </w:rPr>
            </w:pPr>
            <w:r w:rsidRPr="0072600F">
              <w:rPr>
                <w:szCs w:val="26"/>
              </w:rPr>
              <w:t>Joint RTOs</w:t>
            </w:r>
          </w:p>
        </w:tc>
      </w:tr>
      <w:tr w14:paraId="33B22145" w14:textId="77777777" w:rsidTr="00071614">
        <w:tblPrEx>
          <w:tblW w:w="10165" w:type="dxa"/>
          <w:tblLook w:val="04A0"/>
        </w:tblPrEx>
        <w:trPr>
          <w:trHeight w:val="300"/>
        </w:trPr>
        <w:tc>
          <w:tcPr>
            <w:tcW w:w="7375" w:type="dxa"/>
          </w:tcPr>
          <w:p w:rsidR="00760048" w:rsidRPr="0072600F" w:rsidP="00071614" w14:paraId="68118A90" w14:textId="77777777">
            <w:pPr>
              <w:pStyle w:val="FootnoteText"/>
              <w:ind w:firstLine="0"/>
              <w:rPr>
                <w:szCs w:val="26"/>
              </w:rPr>
            </w:pPr>
            <w:r w:rsidRPr="0072600F">
              <w:rPr>
                <w:szCs w:val="26"/>
              </w:rPr>
              <w:t>Longroad</w:t>
            </w:r>
            <w:r w:rsidRPr="0072600F">
              <w:rPr>
                <w:szCs w:val="26"/>
              </w:rPr>
              <w:t xml:space="preserve"> Energy Holdings, LLC</w:t>
            </w:r>
          </w:p>
        </w:tc>
        <w:tc>
          <w:tcPr>
            <w:tcW w:w="2790" w:type="dxa"/>
            <w:noWrap/>
          </w:tcPr>
          <w:p w:rsidR="00760048" w:rsidRPr="0072600F" w:rsidP="00071614" w14:paraId="03FD9E64" w14:textId="77777777">
            <w:pPr>
              <w:pStyle w:val="FootnoteText"/>
              <w:ind w:firstLine="0"/>
              <w:rPr>
                <w:szCs w:val="26"/>
              </w:rPr>
            </w:pPr>
            <w:r w:rsidRPr="0072600F">
              <w:rPr>
                <w:szCs w:val="26"/>
              </w:rPr>
              <w:t>Longroad</w:t>
            </w:r>
            <w:r w:rsidRPr="0072600F">
              <w:rPr>
                <w:szCs w:val="26"/>
              </w:rPr>
              <w:t xml:space="preserve"> Energy</w:t>
            </w:r>
          </w:p>
        </w:tc>
      </w:tr>
      <w:tr w14:paraId="131687A6" w14:textId="77777777" w:rsidTr="00071614">
        <w:tblPrEx>
          <w:tblW w:w="10165" w:type="dxa"/>
          <w:tblLook w:val="04A0"/>
        </w:tblPrEx>
        <w:trPr>
          <w:trHeight w:val="300"/>
        </w:trPr>
        <w:tc>
          <w:tcPr>
            <w:tcW w:w="7375" w:type="dxa"/>
          </w:tcPr>
          <w:p w:rsidR="00760048" w:rsidRPr="0072600F" w:rsidP="00071614" w14:paraId="53B31DB8" w14:textId="77777777">
            <w:pPr>
              <w:pStyle w:val="FootnoteText"/>
              <w:ind w:firstLine="0"/>
              <w:rPr>
                <w:szCs w:val="26"/>
              </w:rPr>
            </w:pPr>
            <w:r w:rsidRPr="0072600F">
              <w:rPr>
                <w:szCs w:val="26"/>
              </w:rPr>
              <w:t>Midcontinent Independent System Operator, Inc.</w:t>
            </w:r>
          </w:p>
        </w:tc>
        <w:tc>
          <w:tcPr>
            <w:tcW w:w="2790" w:type="dxa"/>
            <w:noWrap/>
          </w:tcPr>
          <w:p w:rsidR="00760048" w:rsidRPr="0072600F" w:rsidP="00071614" w14:paraId="19880AE4" w14:textId="77777777">
            <w:pPr>
              <w:pStyle w:val="FootnoteText"/>
              <w:ind w:firstLine="0"/>
              <w:rPr>
                <w:szCs w:val="26"/>
              </w:rPr>
            </w:pPr>
            <w:r w:rsidRPr="0072600F">
              <w:rPr>
                <w:szCs w:val="26"/>
              </w:rPr>
              <w:t>MISO</w:t>
            </w:r>
          </w:p>
        </w:tc>
      </w:tr>
      <w:tr w14:paraId="755B60FE" w14:textId="77777777" w:rsidTr="00071614">
        <w:tblPrEx>
          <w:tblW w:w="10165" w:type="dxa"/>
          <w:tblLook w:val="04A0"/>
        </w:tblPrEx>
        <w:trPr>
          <w:trHeight w:val="300"/>
        </w:trPr>
        <w:tc>
          <w:tcPr>
            <w:tcW w:w="7375" w:type="dxa"/>
          </w:tcPr>
          <w:p w:rsidR="00760048" w:rsidRPr="0072600F" w:rsidP="00071614" w14:paraId="625EB555" w14:textId="77777777">
            <w:pPr>
              <w:pStyle w:val="FootnoteText"/>
              <w:ind w:firstLine="0"/>
              <w:rPr>
                <w:szCs w:val="26"/>
              </w:rPr>
            </w:pPr>
            <w:r w:rsidRPr="0072600F">
              <w:rPr>
                <w:szCs w:val="26"/>
              </w:rPr>
              <w:t>MISO Transmission Owners</w:t>
            </w:r>
          </w:p>
        </w:tc>
        <w:tc>
          <w:tcPr>
            <w:tcW w:w="2790" w:type="dxa"/>
            <w:noWrap/>
          </w:tcPr>
          <w:p w:rsidR="00760048" w:rsidRPr="0072600F" w:rsidP="00071614" w14:paraId="665F6966" w14:textId="77777777">
            <w:pPr>
              <w:pStyle w:val="FootnoteText"/>
              <w:ind w:firstLine="0"/>
              <w:rPr>
                <w:szCs w:val="26"/>
              </w:rPr>
            </w:pPr>
            <w:r w:rsidRPr="0072600F">
              <w:rPr>
                <w:szCs w:val="26"/>
              </w:rPr>
              <w:t>MISO TOs</w:t>
            </w:r>
          </w:p>
        </w:tc>
      </w:tr>
      <w:tr w14:paraId="3FBF5EDF" w14:textId="77777777" w:rsidTr="00071614">
        <w:tblPrEx>
          <w:tblW w:w="10165" w:type="dxa"/>
          <w:tblLook w:val="04A0"/>
        </w:tblPrEx>
        <w:trPr>
          <w:trHeight w:val="300"/>
        </w:trPr>
        <w:tc>
          <w:tcPr>
            <w:tcW w:w="7375" w:type="dxa"/>
          </w:tcPr>
          <w:p w:rsidR="00760048" w:rsidRPr="0072600F" w:rsidP="00071614" w14:paraId="4DA4E28A" w14:textId="77777777">
            <w:pPr>
              <w:pStyle w:val="FootnoteText"/>
              <w:ind w:firstLine="0"/>
              <w:rPr>
                <w:szCs w:val="26"/>
              </w:rPr>
            </w:pPr>
            <w:r w:rsidRPr="0072600F">
              <w:rPr>
                <w:szCs w:val="26"/>
              </w:rPr>
              <w:t>New York Independent System Operator, Inc.</w:t>
            </w:r>
          </w:p>
        </w:tc>
        <w:tc>
          <w:tcPr>
            <w:tcW w:w="2790" w:type="dxa"/>
            <w:noWrap/>
          </w:tcPr>
          <w:p w:rsidR="00760048" w:rsidRPr="0072600F" w:rsidP="00071614" w14:paraId="4993A21F" w14:textId="77777777">
            <w:pPr>
              <w:pStyle w:val="FootnoteText"/>
              <w:ind w:firstLine="0"/>
              <w:rPr>
                <w:szCs w:val="26"/>
              </w:rPr>
            </w:pPr>
            <w:r w:rsidRPr="0072600F">
              <w:rPr>
                <w:szCs w:val="26"/>
              </w:rPr>
              <w:t>NYISO</w:t>
            </w:r>
          </w:p>
        </w:tc>
      </w:tr>
      <w:tr w14:paraId="38E868B9" w14:textId="77777777" w:rsidTr="00071614">
        <w:tblPrEx>
          <w:tblW w:w="10165" w:type="dxa"/>
          <w:tblLook w:val="04A0"/>
        </w:tblPrEx>
        <w:trPr>
          <w:trHeight w:val="300"/>
        </w:trPr>
        <w:tc>
          <w:tcPr>
            <w:tcW w:w="7375" w:type="dxa"/>
          </w:tcPr>
          <w:p w:rsidR="00760048" w:rsidRPr="0072600F" w:rsidP="00071614" w14:paraId="2BA76229" w14:textId="77777777">
            <w:pPr>
              <w:pStyle w:val="FootnoteText"/>
              <w:ind w:firstLine="0"/>
              <w:rPr>
                <w:szCs w:val="26"/>
              </w:rPr>
            </w:pPr>
            <w:r w:rsidRPr="0072600F">
              <w:rPr>
                <w:szCs w:val="26"/>
              </w:rPr>
              <w:t>New York Public Service Commission</w:t>
            </w:r>
          </w:p>
        </w:tc>
        <w:tc>
          <w:tcPr>
            <w:tcW w:w="2790" w:type="dxa"/>
            <w:noWrap/>
          </w:tcPr>
          <w:p w:rsidR="00760048" w:rsidRPr="0072600F" w:rsidP="00071614" w14:paraId="4F6D8DDE" w14:textId="77777777">
            <w:pPr>
              <w:pStyle w:val="FootnoteText"/>
              <w:ind w:firstLine="0"/>
              <w:rPr>
                <w:szCs w:val="26"/>
              </w:rPr>
            </w:pPr>
            <w:r w:rsidRPr="0072600F">
              <w:rPr>
                <w:szCs w:val="26"/>
              </w:rPr>
              <w:t>NYSPSC</w:t>
            </w:r>
          </w:p>
        </w:tc>
      </w:tr>
      <w:tr w14:paraId="65A7A7AD" w14:textId="77777777" w:rsidTr="00071614">
        <w:tblPrEx>
          <w:tblW w:w="10165" w:type="dxa"/>
          <w:tblLook w:val="04A0"/>
        </w:tblPrEx>
        <w:trPr>
          <w:trHeight w:val="300"/>
        </w:trPr>
        <w:tc>
          <w:tcPr>
            <w:tcW w:w="7375" w:type="dxa"/>
          </w:tcPr>
          <w:p w:rsidR="00760048" w:rsidRPr="0072600F" w:rsidP="00071614" w14:paraId="47064A56" w14:textId="77777777">
            <w:pPr>
              <w:pStyle w:val="FootnoteText"/>
              <w:ind w:firstLine="0"/>
              <w:rPr>
                <w:szCs w:val="26"/>
              </w:rPr>
            </w:pPr>
            <w:r w:rsidRPr="0072600F">
              <w:rPr>
                <w:szCs w:val="26"/>
              </w:rPr>
              <w:t xml:space="preserve">New York Transmission Owners </w:t>
            </w:r>
          </w:p>
        </w:tc>
        <w:tc>
          <w:tcPr>
            <w:tcW w:w="2790" w:type="dxa"/>
            <w:noWrap/>
          </w:tcPr>
          <w:p w:rsidR="00760048" w:rsidRPr="0072600F" w:rsidP="00071614" w14:paraId="575EA9DF" w14:textId="77777777">
            <w:pPr>
              <w:pStyle w:val="FootnoteText"/>
              <w:ind w:firstLine="0"/>
              <w:rPr>
                <w:szCs w:val="26"/>
              </w:rPr>
            </w:pPr>
            <w:r w:rsidRPr="0072600F">
              <w:rPr>
                <w:szCs w:val="26"/>
              </w:rPr>
              <w:t>NYTOs</w:t>
            </w:r>
          </w:p>
        </w:tc>
      </w:tr>
      <w:tr w14:paraId="262EC6FB" w14:textId="77777777" w:rsidTr="00071614">
        <w:tblPrEx>
          <w:tblW w:w="10165" w:type="dxa"/>
          <w:tblLook w:val="04A0"/>
        </w:tblPrEx>
        <w:trPr>
          <w:trHeight w:val="300"/>
        </w:trPr>
        <w:tc>
          <w:tcPr>
            <w:tcW w:w="7375" w:type="dxa"/>
          </w:tcPr>
          <w:p w:rsidR="00760048" w:rsidRPr="0072600F" w:rsidP="00071614" w14:paraId="6BD8859E" w14:textId="77777777">
            <w:pPr>
              <w:pStyle w:val="FootnoteText"/>
              <w:ind w:firstLine="0"/>
              <w:rPr>
                <w:szCs w:val="26"/>
              </w:rPr>
            </w:pPr>
            <w:r w:rsidRPr="0072600F">
              <w:rPr>
                <w:szCs w:val="26"/>
              </w:rPr>
              <w:t>NewSun</w:t>
            </w:r>
            <w:r w:rsidRPr="0072600F">
              <w:rPr>
                <w:szCs w:val="26"/>
              </w:rPr>
              <w:t xml:space="preserve"> Energy LLC</w:t>
            </w:r>
          </w:p>
        </w:tc>
        <w:tc>
          <w:tcPr>
            <w:tcW w:w="2790" w:type="dxa"/>
            <w:noWrap/>
          </w:tcPr>
          <w:p w:rsidR="00760048" w:rsidRPr="0072600F" w:rsidP="00071614" w14:paraId="6C8ADC35" w14:textId="77777777">
            <w:pPr>
              <w:pStyle w:val="FootnoteText"/>
              <w:ind w:firstLine="0"/>
              <w:rPr>
                <w:szCs w:val="26"/>
              </w:rPr>
            </w:pPr>
            <w:r w:rsidRPr="0072600F">
              <w:rPr>
                <w:szCs w:val="26"/>
              </w:rPr>
              <w:t>NewSun</w:t>
            </w:r>
          </w:p>
        </w:tc>
      </w:tr>
      <w:tr w14:paraId="46626419" w14:textId="77777777" w:rsidTr="00071614">
        <w:tblPrEx>
          <w:tblW w:w="10165" w:type="dxa"/>
          <w:tblLook w:val="04A0"/>
        </w:tblPrEx>
        <w:trPr>
          <w:trHeight w:val="300"/>
        </w:trPr>
        <w:tc>
          <w:tcPr>
            <w:tcW w:w="7375" w:type="dxa"/>
          </w:tcPr>
          <w:p w:rsidR="00760048" w:rsidRPr="0072600F" w:rsidP="00071614" w14:paraId="6B944A0C" w14:textId="77777777">
            <w:pPr>
              <w:pStyle w:val="FootnoteText"/>
              <w:ind w:firstLine="0"/>
              <w:rPr>
                <w:szCs w:val="26"/>
              </w:rPr>
            </w:pPr>
            <w:r w:rsidRPr="0072600F">
              <w:rPr>
                <w:szCs w:val="26"/>
              </w:rPr>
              <w:t xml:space="preserve">Dominion Energy South Carolina, Inc., Florida Power &amp; Light Company, and Public Service Company of Colorado </w:t>
            </w:r>
          </w:p>
        </w:tc>
        <w:tc>
          <w:tcPr>
            <w:tcW w:w="2790" w:type="dxa"/>
            <w:noWrap/>
          </w:tcPr>
          <w:p w:rsidR="00760048" w:rsidRPr="0072600F" w:rsidP="00071614" w14:paraId="32E99769" w14:textId="77777777">
            <w:pPr>
              <w:pStyle w:val="FootnoteText"/>
              <w:ind w:firstLine="0"/>
              <w:rPr>
                <w:szCs w:val="26"/>
              </w:rPr>
            </w:pPr>
            <w:r w:rsidRPr="0072600F">
              <w:rPr>
                <w:szCs w:val="26"/>
              </w:rPr>
              <w:t>Non-RTO Providers</w:t>
            </w:r>
          </w:p>
        </w:tc>
      </w:tr>
      <w:tr w14:paraId="56CC6DA5" w14:textId="77777777" w:rsidTr="00071614">
        <w:tblPrEx>
          <w:tblW w:w="10165" w:type="dxa"/>
          <w:tblLook w:val="04A0"/>
        </w:tblPrEx>
        <w:trPr>
          <w:trHeight w:val="300"/>
        </w:trPr>
        <w:tc>
          <w:tcPr>
            <w:tcW w:w="7375" w:type="dxa"/>
          </w:tcPr>
          <w:p w:rsidR="00760048" w:rsidRPr="0072600F" w:rsidP="00071614" w14:paraId="47A6DB76" w14:textId="77777777">
            <w:pPr>
              <w:pStyle w:val="FootnoteText"/>
              <w:ind w:firstLine="0"/>
              <w:rPr>
                <w:szCs w:val="26"/>
              </w:rPr>
            </w:pPr>
            <w:r w:rsidRPr="0072600F">
              <w:rPr>
                <w:szCs w:val="26"/>
              </w:rPr>
              <w:t>Nevada Power Company and Sierra Pacific Power Company</w:t>
            </w:r>
          </w:p>
        </w:tc>
        <w:tc>
          <w:tcPr>
            <w:tcW w:w="2790" w:type="dxa"/>
            <w:noWrap/>
          </w:tcPr>
          <w:p w:rsidR="00760048" w:rsidRPr="0072600F" w:rsidP="00071614" w14:paraId="673E2989" w14:textId="77777777">
            <w:pPr>
              <w:pStyle w:val="FootnoteText"/>
              <w:ind w:firstLine="0"/>
              <w:rPr>
                <w:szCs w:val="26"/>
              </w:rPr>
            </w:pPr>
            <w:r w:rsidRPr="0072600F">
              <w:rPr>
                <w:szCs w:val="26"/>
              </w:rPr>
              <w:t>NV Energy</w:t>
            </w:r>
          </w:p>
        </w:tc>
      </w:tr>
      <w:tr w14:paraId="5837B670" w14:textId="77777777" w:rsidTr="00071614">
        <w:tblPrEx>
          <w:tblW w:w="10165" w:type="dxa"/>
          <w:tblLook w:val="04A0"/>
        </w:tblPrEx>
        <w:trPr>
          <w:trHeight w:val="300"/>
        </w:trPr>
        <w:tc>
          <w:tcPr>
            <w:tcW w:w="7375" w:type="dxa"/>
          </w:tcPr>
          <w:p w:rsidR="00760048" w:rsidRPr="0072600F" w:rsidP="00071614" w14:paraId="7B973CF6" w14:textId="77777777">
            <w:pPr>
              <w:pStyle w:val="FootnoteText"/>
              <w:ind w:firstLine="0"/>
              <w:rPr>
                <w:szCs w:val="26"/>
              </w:rPr>
            </w:pPr>
            <w:r w:rsidRPr="0072600F">
              <w:rPr>
                <w:szCs w:val="26"/>
              </w:rPr>
              <w:t>Ørsted</w:t>
            </w:r>
            <w:r w:rsidRPr="0072600F">
              <w:rPr>
                <w:szCs w:val="26"/>
              </w:rPr>
              <w:t xml:space="preserve"> North America, LLC</w:t>
            </w:r>
          </w:p>
        </w:tc>
        <w:tc>
          <w:tcPr>
            <w:tcW w:w="2790" w:type="dxa"/>
            <w:noWrap/>
          </w:tcPr>
          <w:p w:rsidR="00760048" w:rsidRPr="0072600F" w:rsidP="00071614" w14:paraId="740AAA64" w14:textId="77777777">
            <w:pPr>
              <w:pStyle w:val="FootnoteText"/>
              <w:ind w:firstLine="0"/>
              <w:rPr>
                <w:szCs w:val="26"/>
              </w:rPr>
            </w:pPr>
            <w:r w:rsidRPr="0072600F">
              <w:rPr>
                <w:szCs w:val="26"/>
              </w:rPr>
              <w:t>Ørsted</w:t>
            </w:r>
          </w:p>
        </w:tc>
      </w:tr>
      <w:tr w14:paraId="104AC867" w14:textId="77777777" w:rsidTr="00071614">
        <w:tblPrEx>
          <w:tblW w:w="10165" w:type="dxa"/>
          <w:tblLook w:val="04A0"/>
        </w:tblPrEx>
        <w:trPr>
          <w:trHeight w:val="300"/>
        </w:trPr>
        <w:tc>
          <w:tcPr>
            <w:tcW w:w="7375" w:type="dxa"/>
          </w:tcPr>
          <w:p w:rsidR="00760048" w:rsidRPr="0072600F" w:rsidP="00071614" w14:paraId="6C5EC71E" w14:textId="77777777">
            <w:pPr>
              <w:pStyle w:val="FootnoteText"/>
              <w:ind w:firstLine="0"/>
              <w:rPr>
                <w:szCs w:val="26"/>
              </w:rPr>
            </w:pPr>
            <w:r w:rsidRPr="0072600F">
              <w:rPr>
                <w:szCs w:val="26"/>
              </w:rPr>
              <w:t>PacifiCorp</w:t>
            </w:r>
          </w:p>
        </w:tc>
        <w:tc>
          <w:tcPr>
            <w:tcW w:w="2790" w:type="dxa"/>
            <w:noWrap/>
          </w:tcPr>
          <w:p w:rsidR="00760048" w:rsidRPr="0072600F" w:rsidP="00071614" w14:paraId="0B09C156" w14:textId="77777777">
            <w:pPr>
              <w:pStyle w:val="FootnoteText"/>
              <w:ind w:firstLine="0"/>
              <w:rPr>
                <w:szCs w:val="26"/>
              </w:rPr>
            </w:pPr>
            <w:r w:rsidRPr="0072600F">
              <w:rPr>
                <w:szCs w:val="26"/>
              </w:rPr>
              <w:t>PacifiCorp</w:t>
            </w:r>
          </w:p>
        </w:tc>
      </w:tr>
      <w:tr w14:paraId="52F8F628" w14:textId="77777777" w:rsidTr="00071614">
        <w:tblPrEx>
          <w:tblW w:w="10165" w:type="dxa"/>
          <w:tblLook w:val="04A0"/>
        </w:tblPrEx>
        <w:trPr>
          <w:trHeight w:val="300"/>
        </w:trPr>
        <w:tc>
          <w:tcPr>
            <w:tcW w:w="7375" w:type="dxa"/>
          </w:tcPr>
          <w:p w:rsidR="00760048" w:rsidRPr="0072600F" w:rsidP="00071614" w14:paraId="1FF6C7D3" w14:textId="77777777">
            <w:pPr>
              <w:pStyle w:val="FootnoteText"/>
              <w:ind w:firstLine="0"/>
              <w:rPr>
                <w:szCs w:val="26"/>
              </w:rPr>
            </w:pPr>
            <w:r w:rsidRPr="0072600F">
              <w:rPr>
                <w:szCs w:val="26"/>
              </w:rPr>
              <w:t>PJM Interconnection, L.L.C.</w:t>
            </w:r>
          </w:p>
        </w:tc>
        <w:tc>
          <w:tcPr>
            <w:tcW w:w="2790" w:type="dxa"/>
            <w:noWrap/>
          </w:tcPr>
          <w:p w:rsidR="00760048" w:rsidRPr="0072600F" w:rsidP="00071614" w14:paraId="595CAA2A" w14:textId="77777777">
            <w:pPr>
              <w:pStyle w:val="FootnoteText"/>
              <w:ind w:firstLine="0"/>
              <w:rPr>
                <w:szCs w:val="26"/>
              </w:rPr>
            </w:pPr>
            <w:r w:rsidRPr="0072600F">
              <w:rPr>
                <w:szCs w:val="26"/>
              </w:rPr>
              <w:t>PJM</w:t>
            </w:r>
          </w:p>
        </w:tc>
      </w:tr>
      <w:tr w14:paraId="261B3FD9" w14:textId="77777777" w:rsidTr="00071614">
        <w:tblPrEx>
          <w:tblW w:w="10165" w:type="dxa"/>
          <w:tblLook w:val="04A0"/>
        </w:tblPrEx>
        <w:trPr>
          <w:trHeight w:val="300"/>
        </w:trPr>
        <w:tc>
          <w:tcPr>
            <w:tcW w:w="7375" w:type="dxa"/>
          </w:tcPr>
          <w:p w:rsidR="00760048" w:rsidRPr="0072600F" w:rsidP="00071614" w14:paraId="340841C3" w14:textId="77777777">
            <w:pPr>
              <w:pStyle w:val="FootnoteText"/>
              <w:ind w:firstLine="0"/>
              <w:rPr>
                <w:szCs w:val="26"/>
              </w:rPr>
            </w:pPr>
            <w:r w:rsidRPr="0072600F">
              <w:rPr>
                <w:szCs w:val="26"/>
              </w:rPr>
              <w:t xml:space="preserve">Sustainable FERC Project, Sierra Club, Natural Resources Defense Council, Earthjustice, Acadia Center, Environmental Defense Fund, National Audubon Society, Southern Environmental Law Center, and </w:t>
            </w:r>
            <w:r w:rsidRPr="0072600F">
              <w:rPr>
                <w:szCs w:val="26"/>
              </w:rPr>
              <w:t>Southface</w:t>
            </w:r>
          </w:p>
        </w:tc>
        <w:tc>
          <w:tcPr>
            <w:tcW w:w="2790" w:type="dxa"/>
            <w:noWrap/>
          </w:tcPr>
          <w:p w:rsidR="00760048" w:rsidRPr="0072600F" w:rsidP="00071614" w14:paraId="3BCF9887" w14:textId="77777777">
            <w:pPr>
              <w:pStyle w:val="FootnoteText"/>
              <w:ind w:firstLine="0"/>
              <w:rPr>
                <w:szCs w:val="26"/>
              </w:rPr>
            </w:pPr>
            <w:r w:rsidRPr="0072600F">
              <w:rPr>
                <w:szCs w:val="26"/>
              </w:rPr>
              <w:t>Public Interest Organizations</w:t>
            </w:r>
          </w:p>
        </w:tc>
      </w:tr>
      <w:tr w14:paraId="212DC8CF" w14:textId="77777777" w:rsidTr="00071614">
        <w:tblPrEx>
          <w:tblW w:w="10165" w:type="dxa"/>
          <w:tblLook w:val="04A0"/>
        </w:tblPrEx>
        <w:trPr>
          <w:trHeight w:val="300"/>
        </w:trPr>
        <w:tc>
          <w:tcPr>
            <w:tcW w:w="7375" w:type="dxa"/>
          </w:tcPr>
          <w:p w:rsidR="00760048" w:rsidRPr="0072600F" w:rsidP="00071614" w14:paraId="7E6D2246" w14:textId="77777777">
            <w:pPr>
              <w:pStyle w:val="FootnoteText"/>
              <w:ind w:firstLine="0"/>
              <w:rPr>
                <w:szCs w:val="26"/>
              </w:rPr>
            </w:pPr>
            <w:r w:rsidRPr="0072600F">
              <w:rPr>
                <w:szCs w:val="26"/>
              </w:rPr>
              <w:t>Dominion Energy South Carolina, Inc., PacifiCorp, and Tri-State Generation and Transmission Association, Inc.</w:t>
            </w:r>
          </w:p>
        </w:tc>
        <w:tc>
          <w:tcPr>
            <w:tcW w:w="2790" w:type="dxa"/>
            <w:noWrap/>
          </w:tcPr>
          <w:p w:rsidR="00760048" w:rsidRPr="0072600F" w:rsidP="00071614" w14:paraId="3BC8CB58" w14:textId="77777777">
            <w:pPr>
              <w:pStyle w:val="FootnoteText"/>
              <w:ind w:firstLine="0"/>
              <w:rPr>
                <w:szCs w:val="26"/>
              </w:rPr>
            </w:pPr>
            <w:r w:rsidRPr="0072600F">
              <w:rPr>
                <w:szCs w:val="26"/>
              </w:rPr>
              <w:t>Revised Early Adopters Coalition</w:t>
            </w:r>
          </w:p>
        </w:tc>
      </w:tr>
      <w:tr w14:paraId="7790DFB7" w14:textId="77777777" w:rsidTr="00071614">
        <w:tblPrEx>
          <w:tblW w:w="10165" w:type="dxa"/>
          <w:tblLook w:val="04A0"/>
        </w:tblPrEx>
        <w:trPr>
          <w:trHeight w:val="300"/>
        </w:trPr>
        <w:tc>
          <w:tcPr>
            <w:tcW w:w="7375" w:type="dxa"/>
          </w:tcPr>
          <w:p w:rsidR="00760048" w:rsidRPr="0072600F" w:rsidP="00071614" w14:paraId="747D7EDE" w14:textId="77777777">
            <w:pPr>
              <w:pStyle w:val="FootnoteText"/>
              <w:ind w:firstLine="0"/>
              <w:rPr>
                <w:szCs w:val="26"/>
              </w:rPr>
            </w:pPr>
            <w:r w:rsidRPr="0072600F">
              <w:rPr>
                <w:szCs w:val="26"/>
              </w:rPr>
              <w:t>Shell Energy North America (US), L.P., Shell New Energies US, LLC, and Savion, LLC</w:t>
            </w:r>
          </w:p>
        </w:tc>
        <w:tc>
          <w:tcPr>
            <w:tcW w:w="2790" w:type="dxa"/>
            <w:noWrap/>
          </w:tcPr>
          <w:p w:rsidR="00760048" w:rsidRPr="0072600F" w:rsidP="00071614" w14:paraId="0D790A68" w14:textId="77777777">
            <w:pPr>
              <w:pStyle w:val="FootnoteText"/>
              <w:ind w:firstLine="0"/>
              <w:rPr>
                <w:szCs w:val="26"/>
              </w:rPr>
            </w:pPr>
            <w:r w:rsidRPr="0072600F">
              <w:rPr>
                <w:szCs w:val="26"/>
              </w:rPr>
              <w:t>Shell</w:t>
            </w:r>
          </w:p>
        </w:tc>
      </w:tr>
      <w:tr w14:paraId="674B24A9" w14:textId="77777777" w:rsidTr="00071614">
        <w:tblPrEx>
          <w:tblW w:w="10165" w:type="dxa"/>
          <w:tblLook w:val="04A0"/>
        </w:tblPrEx>
        <w:trPr>
          <w:trHeight w:val="300"/>
        </w:trPr>
        <w:tc>
          <w:tcPr>
            <w:tcW w:w="7375" w:type="dxa"/>
          </w:tcPr>
          <w:p w:rsidR="00760048" w:rsidRPr="0072600F" w:rsidP="00071614" w14:paraId="0BE36891" w14:textId="77777777">
            <w:pPr>
              <w:pStyle w:val="FootnoteText"/>
              <w:ind w:firstLine="0"/>
              <w:rPr>
                <w:szCs w:val="26"/>
              </w:rPr>
            </w:pPr>
            <w:r w:rsidRPr="0072600F">
              <w:rPr>
                <w:szCs w:val="26"/>
              </w:rPr>
              <w:t xml:space="preserve">Duke Energy Carolinas, LLC, Duke Energy Progress, LLC, Louisville Gas and Electric Company and Kentucky Utilities Company, </w:t>
            </w:r>
            <w:r w:rsidRPr="0072600F">
              <w:rPr>
                <w:szCs w:val="26"/>
              </w:rPr>
              <w:t>PowerSouth</w:t>
            </w:r>
            <w:r w:rsidRPr="0072600F">
              <w:rPr>
                <w:szCs w:val="26"/>
              </w:rPr>
              <w:t xml:space="preserve"> Energy Cooperative, and Southern Company Services, Inc., acting as agent for Alabama Power Company, Georgia Power Company, and Mississippi Power Company</w:t>
            </w:r>
          </w:p>
        </w:tc>
        <w:tc>
          <w:tcPr>
            <w:tcW w:w="2790" w:type="dxa"/>
            <w:noWrap/>
          </w:tcPr>
          <w:p w:rsidR="00760048" w:rsidRPr="0072600F" w:rsidP="00071614" w14:paraId="2E2F4A89" w14:textId="77777777">
            <w:pPr>
              <w:pStyle w:val="FootnoteText"/>
              <w:ind w:firstLine="0"/>
              <w:rPr>
                <w:szCs w:val="26"/>
              </w:rPr>
            </w:pPr>
            <w:r w:rsidRPr="0072600F">
              <w:rPr>
                <w:szCs w:val="26"/>
              </w:rPr>
              <w:t>Southeastern Utilities</w:t>
            </w:r>
          </w:p>
        </w:tc>
      </w:tr>
      <w:tr w14:paraId="5EEE09E7" w14:textId="77777777" w:rsidTr="00071614">
        <w:tblPrEx>
          <w:tblW w:w="10165" w:type="dxa"/>
          <w:tblLook w:val="04A0"/>
        </w:tblPrEx>
        <w:trPr>
          <w:trHeight w:val="300"/>
        </w:trPr>
        <w:tc>
          <w:tcPr>
            <w:tcW w:w="7375" w:type="dxa"/>
          </w:tcPr>
          <w:p w:rsidR="00760048" w:rsidRPr="0072600F" w:rsidP="00071614" w14:paraId="48CA5EC1" w14:textId="77777777">
            <w:pPr>
              <w:pStyle w:val="FootnoteText"/>
              <w:ind w:firstLine="0"/>
              <w:rPr>
                <w:szCs w:val="26"/>
              </w:rPr>
            </w:pPr>
            <w:r w:rsidRPr="0072600F">
              <w:rPr>
                <w:szCs w:val="26"/>
              </w:rPr>
              <w:t>Southwest Power Pool, Inc.</w:t>
            </w:r>
          </w:p>
        </w:tc>
        <w:tc>
          <w:tcPr>
            <w:tcW w:w="2790" w:type="dxa"/>
            <w:noWrap/>
          </w:tcPr>
          <w:p w:rsidR="00760048" w:rsidRPr="0072600F" w:rsidP="00071614" w14:paraId="16A1F984" w14:textId="77777777">
            <w:pPr>
              <w:pStyle w:val="FootnoteText"/>
              <w:ind w:firstLine="0"/>
              <w:rPr>
                <w:szCs w:val="26"/>
              </w:rPr>
            </w:pPr>
            <w:r w:rsidRPr="0072600F">
              <w:rPr>
                <w:szCs w:val="26"/>
              </w:rPr>
              <w:t>SPP</w:t>
            </w:r>
          </w:p>
        </w:tc>
      </w:tr>
      <w:tr w14:paraId="48AD62C4" w14:textId="77777777" w:rsidTr="00071614">
        <w:tblPrEx>
          <w:tblW w:w="10165" w:type="dxa"/>
          <w:tblLook w:val="04A0"/>
        </w:tblPrEx>
        <w:trPr>
          <w:trHeight w:val="300"/>
        </w:trPr>
        <w:tc>
          <w:tcPr>
            <w:tcW w:w="7375" w:type="dxa"/>
          </w:tcPr>
          <w:p w:rsidR="00760048" w:rsidRPr="0072600F" w:rsidP="00071614" w14:paraId="6CFED1A9" w14:textId="77777777">
            <w:pPr>
              <w:pStyle w:val="FootnoteText"/>
              <w:ind w:firstLine="0"/>
              <w:rPr>
                <w:szCs w:val="26"/>
              </w:rPr>
            </w:pPr>
            <w:r w:rsidRPr="0072600F">
              <w:rPr>
                <w:szCs w:val="26"/>
              </w:rPr>
              <w:t>VEIR Inc.</w:t>
            </w:r>
          </w:p>
        </w:tc>
        <w:tc>
          <w:tcPr>
            <w:tcW w:w="2790" w:type="dxa"/>
            <w:noWrap/>
          </w:tcPr>
          <w:p w:rsidR="00760048" w:rsidRPr="0072600F" w:rsidP="00071614" w14:paraId="06BE2C12" w14:textId="77777777">
            <w:pPr>
              <w:pStyle w:val="FootnoteText"/>
              <w:ind w:firstLine="0"/>
              <w:rPr>
                <w:szCs w:val="26"/>
              </w:rPr>
            </w:pPr>
            <w:r w:rsidRPr="0072600F">
              <w:rPr>
                <w:szCs w:val="26"/>
              </w:rPr>
              <w:t>VEIR</w:t>
            </w:r>
          </w:p>
        </w:tc>
      </w:tr>
      <w:tr w14:paraId="506A67B5" w14:textId="77777777" w:rsidTr="00071614">
        <w:tblPrEx>
          <w:tblW w:w="10165" w:type="dxa"/>
          <w:tblLook w:val="04A0"/>
        </w:tblPrEx>
        <w:trPr>
          <w:trHeight w:val="300"/>
        </w:trPr>
        <w:tc>
          <w:tcPr>
            <w:tcW w:w="7375" w:type="dxa"/>
          </w:tcPr>
          <w:p w:rsidR="00760048" w:rsidRPr="0072600F" w:rsidP="00071614" w14:paraId="3EB2C3D5" w14:textId="77777777">
            <w:pPr>
              <w:pStyle w:val="FootnoteText"/>
              <w:ind w:firstLine="0"/>
              <w:rPr>
                <w:szCs w:val="26"/>
              </w:rPr>
            </w:pPr>
            <w:r w:rsidRPr="0072600F">
              <w:rPr>
                <w:szCs w:val="26"/>
              </w:rPr>
              <w:t>Working for Advanced Transmission Technologies Coalition</w:t>
            </w:r>
          </w:p>
        </w:tc>
        <w:tc>
          <w:tcPr>
            <w:tcW w:w="2790" w:type="dxa"/>
            <w:noWrap/>
          </w:tcPr>
          <w:p w:rsidR="00760048" w:rsidRPr="0072600F" w:rsidP="00071614" w14:paraId="6B0F98EB" w14:textId="77777777">
            <w:pPr>
              <w:pStyle w:val="FootnoteText"/>
              <w:ind w:firstLine="0"/>
              <w:rPr>
                <w:szCs w:val="26"/>
              </w:rPr>
            </w:pPr>
            <w:r w:rsidRPr="0072600F">
              <w:rPr>
                <w:szCs w:val="26"/>
              </w:rPr>
              <w:t>WATT Coalition</w:t>
            </w:r>
          </w:p>
        </w:tc>
      </w:tr>
      <w:tr w14:paraId="6BD52FF6" w14:textId="77777777" w:rsidTr="00071614">
        <w:tblPrEx>
          <w:tblW w:w="10165" w:type="dxa"/>
          <w:tblLook w:val="04A0"/>
        </w:tblPrEx>
        <w:trPr>
          <w:trHeight w:val="300"/>
        </w:trPr>
        <w:tc>
          <w:tcPr>
            <w:tcW w:w="7375" w:type="dxa"/>
          </w:tcPr>
          <w:p w:rsidR="00760048" w:rsidRPr="0072600F" w:rsidP="00071614" w14:paraId="1D1959CE" w14:textId="77777777">
            <w:pPr>
              <w:pStyle w:val="FootnoteText"/>
              <w:ind w:firstLine="0"/>
              <w:rPr>
                <w:szCs w:val="26"/>
              </w:rPr>
            </w:pPr>
            <w:r w:rsidRPr="0072600F">
              <w:rPr>
                <w:szCs w:val="26"/>
              </w:rPr>
              <w:t>WIRES</w:t>
            </w:r>
          </w:p>
        </w:tc>
        <w:tc>
          <w:tcPr>
            <w:tcW w:w="2790" w:type="dxa"/>
            <w:noWrap/>
          </w:tcPr>
          <w:p w:rsidR="00760048" w:rsidRPr="0072600F" w:rsidP="00071614" w14:paraId="7096FF83" w14:textId="77777777">
            <w:pPr>
              <w:pStyle w:val="FootnoteText"/>
              <w:ind w:firstLine="0"/>
              <w:rPr>
                <w:szCs w:val="26"/>
              </w:rPr>
            </w:pPr>
            <w:r w:rsidRPr="0072600F">
              <w:rPr>
                <w:szCs w:val="26"/>
              </w:rPr>
              <w:t>WIRES</w:t>
            </w:r>
          </w:p>
        </w:tc>
      </w:tr>
    </w:tbl>
    <w:p w:rsidR="00760048" w:rsidRPr="0072600F" w:rsidP="00071614" w14:paraId="6C9DD571" w14:textId="77777777">
      <w:pPr>
        <w:pStyle w:val="FootnoteText"/>
        <w:ind w:firstLine="0"/>
        <w:rPr>
          <w:szCs w:val="26"/>
        </w:rPr>
      </w:pPr>
    </w:p>
    <w:p w:rsidR="00760048" w:rsidRPr="0072600F" w:rsidP="00071614" w14:paraId="7E125199" w14:textId="77777777">
      <w:pPr>
        <w:pStyle w:val="FootnoteText"/>
        <w:ind w:firstLine="0"/>
        <w:rPr>
          <w:szCs w:val="26"/>
        </w:rPr>
      </w:pPr>
    </w:p>
    <w:p w:rsidR="005015E8" w:rsidP="005015E8" w14:paraId="52D9AD15" w14:textId="77777777">
      <w:pPr>
        <w:pStyle w:val="Heading1"/>
        <w:keepNext/>
        <w:keepLines/>
        <w:widowControl/>
        <w:autoSpaceDE/>
        <w:autoSpaceDN/>
        <w:adjustRightInd/>
        <w:spacing w:after="260"/>
        <w:rPr>
          <w:sz w:val="26"/>
          <w:szCs w:val="26"/>
        </w:rPr>
        <w:sectPr w:rsidSect="003408B0">
          <w:headerReference w:type="first" r:id="rId15"/>
          <w:pgSz w:w="12240" w:h="15840"/>
          <w:pgMar w:top="1440" w:right="1440" w:bottom="1440" w:left="1440" w:header="720" w:footer="720" w:gutter="0"/>
          <w:pgNumType w:fmt="numberInDash" w:start="1"/>
          <w:cols w:space="720"/>
          <w:noEndnote/>
          <w:titlePg/>
          <w:docGrid w:linePitch="299"/>
        </w:sectPr>
      </w:pPr>
    </w:p>
    <w:p w:rsidR="0072600F" w:rsidRPr="00052F93" w:rsidP="005015E8" w14:paraId="3DEADEE3" w14:textId="03D1F03A">
      <w:pPr>
        <w:pStyle w:val="Heading1"/>
        <w:keepNext/>
        <w:keepLines/>
        <w:widowControl/>
        <w:autoSpaceDE/>
        <w:autoSpaceDN/>
        <w:adjustRightInd/>
        <w:spacing w:after="260"/>
        <w:rPr>
          <w:sz w:val="26"/>
          <w:szCs w:val="26"/>
        </w:rPr>
      </w:pPr>
      <w:bookmarkStart w:id="162" w:name="_bmk35"/>
      <w:r w:rsidRPr="00052F93">
        <w:rPr>
          <w:sz w:val="26"/>
          <w:szCs w:val="26"/>
        </w:rPr>
        <w:t>A</w:t>
      </w:r>
      <w:bookmarkEnd w:id="162"/>
      <w:r w:rsidRPr="00052F93">
        <w:rPr>
          <w:sz w:val="26"/>
          <w:szCs w:val="26"/>
        </w:rPr>
        <w:t>ppendix B:  Interconnection Study Metrics</w:t>
      </w:r>
    </w:p>
    <w:p w:rsidR="00760048" w:rsidRPr="0072600F" w:rsidP="00071614" w14:paraId="76758247" w14:textId="77777777">
      <w:pPr>
        <w:pStyle w:val="FERCNopara"/>
        <w:ind w:left="720" w:firstLine="0"/>
        <w:rPr>
          <w:b/>
          <w:sz w:val="26"/>
          <w:szCs w:val="26"/>
        </w:rPr>
      </w:pPr>
      <w:r w:rsidRPr="00663161">
        <w:rPr>
          <w:b/>
          <w:bCs/>
          <w:sz w:val="26"/>
          <w:szCs w:val="26"/>
        </w:rPr>
        <w:t>Table 1:</w:t>
      </w:r>
      <w:r w:rsidRPr="0072600F">
        <w:rPr>
          <w:sz w:val="26"/>
          <w:szCs w:val="26"/>
        </w:rPr>
        <w:t xml:space="preserve">  </w:t>
      </w:r>
      <w:r w:rsidRPr="0072600F">
        <w:rPr>
          <w:b/>
          <w:sz w:val="26"/>
          <w:szCs w:val="26"/>
        </w:rPr>
        <w:t xml:space="preserve">2022 Interconnection Study Metrics from Non-RTOs/ISOs with a Clustered System Impact Study </w:t>
      </w:r>
    </w:p>
    <w:tbl>
      <w:tblPr>
        <w:tblW w:w="10170" w:type="dxa"/>
        <w:tblCellMar>
          <w:left w:w="0" w:type="dxa"/>
          <w:right w:w="0" w:type="dxa"/>
        </w:tblCellMar>
        <w:tblLook w:val="04A0"/>
      </w:tblPr>
      <w:tblGrid>
        <w:gridCol w:w="1958"/>
        <w:gridCol w:w="2365"/>
        <w:gridCol w:w="2250"/>
        <w:gridCol w:w="1430"/>
        <w:gridCol w:w="2340"/>
      </w:tblGrid>
      <w:tr w14:paraId="28C2E710"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1513D981" w14:textId="77777777">
            <w:pPr>
              <w:rPr>
                <w:rFonts w:ascii="Times New Roman" w:eastAsia="Calibri Light" w:hAnsi="Times New Roman" w:cs="Times New Roman"/>
                <w:b/>
                <w:color w:val="000000"/>
                <w:sz w:val="26"/>
                <w:szCs w:val="26"/>
                <w:u w:val="single"/>
              </w:rPr>
            </w:pPr>
            <w:bookmarkStart w:id="163" w:name="_Hlk156899512"/>
            <w:r w:rsidRPr="0072600F">
              <w:rPr>
                <w:rFonts w:ascii="Times New Roman" w:eastAsia="Calibri Light" w:hAnsi="Times New Roman" w:cs="Times New Roman"/>
                <w:b/>
                <w:color w:val="000000"/>
                <w:sz w:val="26"/>
                <w:szCs w:val="26"/>
                <w:u w:val="single"/>
              </w:rPr>
              <w:t>Transmission Provider</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358BD925" w14:textId="77777777">
            <w:pPr>
              <w:jc w:val="center"/>
              <w:rPr>
                <w:rFonts w:ascii="Times New Roman" w:eastAsia="Calibri Light" w:hAnsi="Times New Roman" w:cs="Times New Roman"/>
                <w:b/>
                <w:color w:val="000000"/>
                <w:sz w:val="26"/>
                <w:szCs w:val="26"/>
                <w:u w:val="single"/>
              </w:rPr>
            </w:pPr>
            <w:r w:rsidRPr="0072600F">
              <w:rPr>
                <w:rFonts w:ascii="Times New Roman" w:eastAsia="Calibri Light" w:hAnsi="Times New Roman" w:cs="Times New Roman"/>
                <w:b/>
                <w:bCs/>
                <w:color w:val="000000"/>
                <w:sz w:val="26"/>
                <w:szCs w:val="26"/>
                <w:u w:val="single"/>
              </w:rPr>
              <w:t>Number</w:t>
            </w:r>
            <w:r w:rsidRPr="0072600F">
              <w:rPr>
                <w:rFonts w:ascii="Times New Roman" w:eastAsia="Calibri Light" w:hAnsi="Times New Roman" w:cs="Times New Roman"/>
                <w:b/>
                <w:color w:val="000000"/>
                <w:sz w:val="26"/>
                <w:szCs w:val="26"/>
                <w:u w:val="single"/>
              </w:rPr>
              <w:t xml:space="preserve"> of </w:t>
            </w:r>
            <w:r w:rsidRPr="0072600F">
              <w:rPr>
                <w:rFonts w:ascii="Times New Roman" w:eastAsia="Calibri Light" w:hAnsi="Times New Roman" w:cs="Times New Roman"/>
                <w:b/>
                <w:bCs/>
                <w:color w:val="000000"/>
                <w:sz w:val="26"/>
                <w:szCs w:val="26"/>
                <w:u w:val="single"/>
              </w:rPr>
              <w:t xml:space="preserve">Interconnection Requests with Completed Clustered System Impact Studies </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51162B85" w14:textId="77777777">
            <w:pPr>
              <w:jc w:val="center"/>
              <w:rPr>
                <w:rFonts w:ascii="Times New Roman" w:eastAsia="Calibri Light" w:hAnsi="Times New Roman" w:cs="Times New Roman"/>
                <w:b/>
                <w:color w:val="000000"/>
                <w:sz w:val="26"/>
                <w:szCs w:val="26"/>
                <w:u w:val="single"/>
              </w:rPr>
            </w:pPr>
            <w:r w:rsidRPr="0072600F">
              <w:rPr>
                <w:rFonts w:ascii="Times New Roman" w:eastAsia="Calibri Light" w:hAnsi="Times New Roman" w:cs="Times New Roman"/>
                <w:b/>
                <w:color w:val="000000"/>
                <w:sz w:val="26"/>
                <w:szCs w:val="26"/>
                <w:u w:val="single"/>
              </w:rPr>
              <w:t>A</w:t>
            </w:r>
            <w:r w:rsidRPr="0072600F">
              <w:rPr>
                <w:rFonts w:ascii="Times New Roman" w:eastAsia="Calibri Light" w:hAnsi="Times New Roman" w:cs="Times New Roman"/>
                <w:b/>
                <w:bCs/>
                <w:color w:val="000000"/>
                <w:sz w:val="26"/>
                <w:szCs w:val="26"/>
                <w:u w:val="single"/>
              </w:rPr>
              <w:t xml:space="preserve">verage Number </w:t>
            </w:r>
            <w:r w:rsidRPr="0072600F">
              <w:rPr>
                <w:rFonts w:ascii="Times New Roman" w:eastAsia="Calibri Light" w:hAnsi="Times New Roman" w:cs="Times New Roman"/>
                <w:b/>
                <w:color w:val="000000"/>
                <w:sz w:val="26"/>
                <w:szCs w:val="26"/>
                <w:u w:val="single"/>
              </w:rPr>
              <w:t xml:space="preserve">of </w:t>
            </w:r>
            <w:r w:rsidRPr="0072600F">
              <w:rPr>
                <w:rFonts w:ascii="Times New Roman" w:eastAsia="Calibri Light" w:hAnsi="Times New Roman" w:cs="Times New Roman"/>
                <w:b/>
                <w:color w:val="000000"/>
                <w:sz w:val="26"/>
                <w:szCs w:val="26"/>
                <w:u w:val="single"/>
              </w:rPr>
              <w:t>Days to Complete</w:t>
            </w:r>
            <w:r w:rsidRPr="0072600F">
              <w:rPr>
                <w:rFonts w:ascii="Times New Roman" w:eastAsia="Calibri Light" w:hAnsi="Times New Roman" w:cs="Times New Roman"/>
                <w:b/>
                <w:bCs/>
                <w:color w:val="000000"/>
                <w:sz w:val="26"/>
                <w:szCs w:val="26"/>
                <w:u w:val="single"/>
              </w:rPr>
              <w:t xml:space="preserve"> Clustered</w:t>
            </w:r>
            <w:r w:rsidRPr="0072600F">
              <w:rPr>
                <w:rFonts w:ascii="Times New Roman" w:eastAsia="Calibri Light" w:hAnsi="Times New Roman" w:cs="Times New Roman"/>
                <w:b/>
                <w:color w:val="000000"/>
                <w:sz w:val="26"/>
                <w:szCs w:val="26"/>
                <w:u w:val="single"/>
              </w:rPr>
              <w:t xml:space="preserve"> </w:t>
            </w:r>
            <w:r w:rsidRPr="0072600F">
              <w:rPr>
                <w:rFonts w:ascii="Times New Roman" w:eastAsia="Calibri Light" w:hAnsi="Times New Roman" w:cs="Times New Roman"/>
                <w:b/>
                <w:bCs/>
                <w:color w:val="000000"/>
                <w:sz w:val="26"/>
                <w:szCs w:val="26"/>
                <w:u w:val="single"/>
              </w:rPr>
              <w:t>System Impact Study</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5A90674E" w14:textId="77777777">
            <w:pPr>
              <w:jc w:val="center"/>
              <w:rPr>
                <w:rFonts w:ascii="Times New Roman" w:eastAsia="Calibri Light" w:hAnsi="Times New Roman" w:cs="Times New Roman"/>
                <w:b/>
                <w:color w:val="000000"/>
                <w:sz w:val="26"/>
                <w:szCs w:val="26"/>
                <w:u w:val="single"/>
              </w:rPr>
            </w:pPr>
            <w:r w:rsidRPr="0072600F">
              <w:rPr>
                <w:rFonts w:ascii="Times New Roman" w:eastAsia="Calibri Light" w:hAnsi="Times New Roman" w:cs="Times New Roman"/>
                <w:b/>
                <w:bCs/>
                <w:color w:val="000000"/>
                <w:sz w:val="26"/>
                <w:szCs w:val="26"/>
                <w:u w:val="single"/>
              </w:rPr>
              <w:t>Number</w:t>
            </w:r>
            <w:r w:rsidRPr="0072600F">
              <w:rPr>
                <w:rFonts w:ascii="Times New Roman" w:eastAsia="Calibri Light" w:hAnsi="Times New Roman" w:cs="Times New Roman"/>
                <w:b/>
                <w:color w:val="000000"/>
                <w:sz w:val="26"/>
                <w:szCs w:val="26"/>
                <w:u w:val="single"/>
              </w:rPr>
              <w:t xml:space="preserve"> of </w:t>
            </w:r>
            <w:r w:rsidRPr="0072600F">
              <w:rPr>
                <w:rFonts w:ascii="Times New Roman" w:eastAsia="Calibri Light" w:hAnsi="Times New Roman" w:cs="Times New Roman"/>
                <w:b/>
                <w:bCs/>
                <w:color w:val="000000"/>
                <w:sz w:val="26"/>
                <w:szCs w:val="26"/>
                <w:u w:val="single"/>
              </w:rPr>
              <w:t>Facilities Studies</w:t>
            </w:r>
            <w:r w:rsidRPr="0072600F">
              <w:rPr>
                <w:rFonts w:ascii="Times New Roman" w:eastAsia="Calibri Light" w:hAnsi="Times New Roman" w:cs="Times New Roman"/>
                <w:b/>
                <w:color w:val="000000"/>
                <w:sz w:val="26"/>
                <w:szCs w:val="26"/>
                <w:u w:val="single"/>
              </w:rPr>
              <w:t xml:space="preserve"> Completed</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70D7FAF1" w14:textId="77777777">
            <w:pPr>
              <w:jc w:val="center"/>
              <w:rPr>
                <w:rFonts w:ascii="Times New Roman" w:eastAsia="Calibri Light" w:hAnsi="Times New Roman" w:cs="Times New Roman"/>
                <w:b/>
                <w:color w:val="000000"/>
                <w:sz w:val="26"/>
                <w:szCs w:val="26"/>
                <w:u w:val="single"/>
              </w:rPr>
            </w:pPr>
            <w:r w:rsidRPr="0072600F">
              <w:rPr>
                <w:rFonts w:ascii="Times New Roman" w:eastAsia="Calibri Light" w:hAnsi="Times New Roman" w:cs="Times New Roman"/>
                <w:b/>
                <w:bCs/>
                <w:color w:val="000000"/>
                <w:sz w:val="26"/>
                <w:szCs w:val="26"/>
                <w:u w:val="single"/>
              </w:rPr>
              <w:t xml:space="preserve">Average Number </w:t>
            </w:r>
            <w:r w:rsidRPr="0072600F">
              <w:rPr>
                <w:rFonts w:ascii="Times New Roman" w:eastAsia="Calibri Light" w:hAnsi="Times New Roman" w:cs="Times New Roman"/>
                <w:b/>
                <w:color w:val="000000"/>
                <w:sz w:val="26"/>
                <w:szCs w:val="26"/>
                <w:u w:val="single"/>
              </w:rPr>
              <w:t xml:space="preserve">of </w:t>
            </w:r>
            <w:r w:rsidRPr="0072600F">
              <w:rPr>
                <w:rFonts w:ascii="Times New Roman" w:eastAsia="Calibri Light" w:hAnsi="Times New Roman" w:cs="Times New Roman"/>
                <w:b/>
                <w:color w:val="000000"/>
                <w:sz w:val="26"/>
                <w:szCs w:val="26"/>
                <w:u w:val="single"/>
              </w:rPr>
              <w:t xml:space="preserve">Days to Complete </w:t>
            </w:r>
            <w:r w:rsidRPr="0072600F">
              <w:rPr>
                <w:rFonts w:ascii="Times New Roman" w:eastAsia="Calibri Light" w:hAnsi="Times New Roman" w:cs="Times New Roman"/>
                <w:b/>
                <w:bCs/>
                <w:color w:val="000000"/>
                <w:sz w:val="26"/>
                <w:szCs w:val="26"/>
                <w:u w:val="single"/>
              </w:rPr>
              <w:t>Facilities Study</w:t>
            </w:r>
          </w:p>
        </w:tc>
      </w:tr>
      <w:tr w14:paraId="5633DCF9"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58271FDC"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Arizona Public Service</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6FFE2CF6"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21</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50FC4BE"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511</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8FB6BBD"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19</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70610CC5"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144</w:t>
            </w:r>
          </w:p>
        </w:tc>
      </w:tr>
      <w:tr w14:paraId="08E35D82"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1EB11C98"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Avista Corp.</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BA2A86C"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22</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7A23E95C"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61</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EBC5C1E"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7</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2B26C1BE"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136</w:t>
            </w:r>
          </w:p>
        </w:tc>
      </w:tr>
      <w:tr w14:paraId="322808E1"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158702A5"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Dominion Energy South Carolina</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777D332E"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0</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1921513E" w14:textId="77777777">
            <w:pPr>
              <w:jc w:val="center"/>
              <w:rPr>
                <w:rFonts w:ascii="Times New Roman" w:eastAsia="Calibri Light" w:hAnsi="Times New Roman" w:cs="Times New Roman"/>
                <w:color w:val="000000"/>
                <w:sz w:val="26"/>
                <w:szCs w:val="26"/>
              </w:rPr>
            </w:pP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2E366FCC"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0</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796BA864" w14:textId="77777777">
            <w:pPr>
              <w:jc w:val="center"/>
              <w:rPr>
                <w:rFonts w:ascii="Times New Roman" w:eastAsia="Calibri Light" w:hAnsi="Times New Roman" w:cs="Times New Roman"/>
                <w:color w:val="000000"/>
                <w:sz w:val="26"/>
                <w:szCs w:val="26"/>
              </w:rPr>
            </w:pPr>
          </w:p>
        </w:tc>
      </w:tr>
      <w:tr w14:paraId="7B2BC563"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44E95FA7"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Duke Energy Carolinas</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807612F"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14</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5E2827E8"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N/A</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58FD555"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39F806DB"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185</w:t>
            </w:r>
          </w:p>
        </w:tc>
      </w:tr>
      <w:tr w14:paraId="35B89156"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59407241"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El Paso Electric Co.</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186C1B3B"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5</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65D6454"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76</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7DE9F57"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4293A89E"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76</w:t>
            </w:r>
          </w:p>
        </w:tc>
      </w:tr>
      <w:tr w14:paraId="5C309987"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04AC6537"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Nevada Power</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64B3A1B4"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67</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5A4F7578"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119</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355A58D5"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36</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660EADDB"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120</w:t>
            </w:r>
          </w:p>
        </w:tc>
      </w:tr>
      <w:tr w14:paraId="3DFC81C4"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4F7EAA42"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PacifiCorp</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9567420"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189</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14B1DAC7"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146</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622AE08"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13</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7B7B230C"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90</w:t>
            </w:r>
          </w:p>
        </w:tc>
      </w:tr>
      <w:tr w14:paraId="3CA52095"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1B0B002A"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Public Service Company of Colorado</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10121B6F"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25</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21B33270"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246</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72A2C69B"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16</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69AA12EE"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143</w:t>
            </w:r>
          </w:p>
        </w:tc>
      </w:tr>
      <w:tr w14:paraId="4D583A72"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25DFD217"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Public Service Company of New Mexico</w:t>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168B8DA8"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17</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2C61C95"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507</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5433C9A"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4</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7F788376"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168</w:t>
            </w:r>
          </w:p>
        </w:tc>
      </w:tr>
      <w:tr w14:paraId="726DBCD7" w14:textId="77777777" w:rsidTr="00071614">
        <w:tblPrEx>
          <w:tblW w:w="10170" w:type="dxa"/>
          <w:tblCellMar>
            <w:left w:w="0" w:type="dxa"/>
            <w:right w:w="0" w:type="dxa"/>
          </w:tblCellMar>
          <w:tblLook w:val="04A0"/>
        </w:tblPrEx>
        <w:trPr>
          <w:trHeight w:val="320"/>
        </w:trPr>
        <w:tc>
          <w:tcPr>
            <w:tcW w:w="195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bottom"/>
            <w:hideMark/>
          </w:tcPr>
          <w:p w:rsidR="00760048" w:rsidRPr="0072600F" w:rsidP="00071614" w14:paraId="4CC70A65" w14:textId="77777777">
            <w:pP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Tri-State</w:t>
            </w:r>
            <w:r w:rsidRPr="0072600F">
              <w:rPr>
                <w:rFonts w:ascii="Times New Roman" w:eastAsia="Calibri Light" w:hAnsi="Times New Roman" w:cs="Times New Roman"/>
                <w:color w:val="000000" w:themeColor="text1"/>
                <w:sz w:val="26"/>
                <w:szCs w:val="26"/>
              </w:rPr>
              <w:t xml:space="preserve"> Generation and Transmission</w:t>
            </w:r>
            <w:r>
              <w:rPr>
                <w:rStyle w:val="FootnoteReference"/>
              </w:rPr>
              <w:footnoteReference w:id="1225"/>
            </w:r>
          </w:p>
        </w:tc>
        <w:tc>
          <w:tcPr>
            <w:tcW w:w="2365"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0AE69C83"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10</w:t>
            </w:r>
          </w:p>
        </w:tc>
        <w:tc>
          <w:tcPr>
            <w:tcW w:w="225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4C0EFC92"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119</w:t>
            </w:r>
          </w:p>
        </w:tc>
        <w:tc>
          <w:tcPr>
            <w:tcW w:w="1260" w:type="dxa"/>
            <w:tcBorders>
              <w:top w:val="nil"/>
              <w:left w:val="nil"/>
              <w:bottom w:val="nil"/>
              <w:right w:val="single" w:sz="8" w:space="0" w:color="FFFFFF" w:themeColor="background1"/>
            </w:tcBorders>
            <w:shd w:val="clear" w:color="auto" w:fill="D9D9D9" w:themeFill="background1" w:themeFillShade="D9"/>
            <w:noWrap/>
            <w:tcMar>
              <w:top w:w="0" w:type="dxa"/>
              <w:left w:w="108" w:type="dxa"/>
              <w:bottom w:w="0" w:type="dxa"/>
              <w:right w:w="108" w:type="dxa"/>
            </w:tcMar>
            <w:vAlign w:val="center"/>
            <w:hideMark/>
          </w:tcPr>
          <w:p w:rsidR="00760048" w:rsidRPr="0072600F" w:rsidP="00071614" w14:paraId="75FC429B"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10</w:t>
            </w:r>
          </w:p>
        </w:tc>
        <w:tc>
          <w:tcPr>
            <w:tcW w:w="2340" w:type="dxa"/>
            <w:shd w:val="clear" w:color="auto" w:fill="D9D9D9" w:themeFill="background1" w:themeFillShade="D9"/>
            <w:noWrap/>
            <w:tcMar>
              <w:top w:w="0" w:type="dxa"/>
              <w:left w:w="108" w:type="dxa"/>
              <w:bottom w:w="0" w:type="dxa"/>
              <w:right w:w="108" w:type="dxa"/>
            </w:tcMar>
            <w:vAlign w:val="center"/>
            <w:hideMark/>
          </w:tcPr>
          <w:p w:rsidR="00760048" w:rsidRPr="0072600F" w:rsidP="00071614" w14:paraId="69941EC8" w14:textId="77777777">
            <w:pPr>
              <w:jc w:val="center"/>
              <w:rPr>
                <w:rFonts w:ascii="Times New Roman" w:eastAsia="Calibri Light" w:hAnsi="Times New Roman" w:cs="Times New Roman"/>
                <w:color w:val="000000"/>
                <w:sz w:val="26"/>
                <w:szCs w:val="26"/>
              </w:rPr>
            </w:pPr>
            <w:r w:rsidRPr="0072600F">
              <w:rPr>
                <w:rFonts w:ascii="Times New Roman" w:eastAsia="Calibri Light" w:hAnsi="Times New Roman" w:cs="Times New Roman"/>
                <w:color w:val="000000"/>
                <w:sz w:val="26"/>
                <w:szCs w:val="26"/>
              </w:rPr>
              <w:t>85</w:t>
            </w:r>
          </w:p>
        </w:tc>
      </w:tr>
      <w:bookmarkEnd w:id="163"/>
    </w:tbl>
    <w:p w:rsidR="001D7B01" w:rsidP="00663161" w14:paraId="76F26A4E" w14:textId="77777777">
      <w:pPr>
        <w:pStyle w:val="AppendixHeader"/>
        <w:numPr>
          <w:ilvl w:val="0"/>
          <w:numId w:val="0"/>
        </w:numPr>
        <w:ind w:left="720" w:hanging="720"/>
      </w:pPr>
    </w:p>
    <w:p w:rsidR="001D7B01" w:rsidP="00663161" w14:paraId="4CE5293F" w14:textId="77777777">
      <w:pPr>
        <w:pStyle w:val="AppendixHeader"/>
        <w:numPr>
          <w:ilvl w:val="0"/>
          <w:numId w:val="0"/>
        </w:numPr>
        <w:ind w:left="720" w:hanging="720"/>
        <w:sectPr w:rsidSect="003408B0">
          <w:pgSz w:w="12240" w:h="15840"/>
          <w:pgMar w:top="1440" w:right="1440" w:bottom="1440" w:left="1440" w:header="720" w:footer="720" w:gutter="0"/>
          <w:pgNumType w:fmt="numberInDash" w:start="1"/>
          <w:cols w:space="720"/>
          <w:noEndnote/>
          <w:titlePg/>
          <w:docGrid w:linePitch="299"/>
        </w:sectPr>
      </w:pPr>
    </w:p>
    <w:p w:rsidR="00911580" w:rsidRPr="00FE47B2" w:rsidP="00663161" w14:paraId="0E6C39EB" w14:textId="77777777">
      <w:pPr>
        <w:pStyle w:val="AppendixHeader"/>
        <w:numPr>
          <w:ilvl w:val="0"/>
          <w:numId w:val="0"/>
        </w:numPr>
        <w:ind w:left="720" w:hanging="720"/>
      </w:pPr>
      <w:r w:rsidRPr="00FE47B2">
        <w:t xml:space="preserve">Appendix C:  </w:t>
      </w:r>
      <w:r w:rsidRPr="00FE47B2" w:rsidR="267FE4B1">
        <w:t>Changes to the pro forma LGIP</w:t>
      </w:r>
    </w:p>
    <w:p w:rsidR="00AB1493" w:rsidRPr="0072600F" w:rsidP="00AB1493" w14:paraId="68F6B2A7" w14:textId="77777777">
      <w:pPr>
        <w:rPr>
          <w:rFonts w:ascii="Times New Roman" w:hAnsi="Times New Roman" w:cs="Times New Roman"/>
          <w:sz w:val="26"/>
          <w:szCs w:val="26"/>
        </w:rPr>
      </w:pPr>
    </w:p>
    <w:p w:rsidR="00AB1493" w:rsidRPr="0072600F" w:rsidP="00AB1493" w14:paraId="5B30990B" w14:textId="77777777">
      <w:pPr>
        <w:rPr>
          <w:rFonts w:ascii="Times New Roman" w:hAnsi="Times New Roman" w:cs="Times New Roman"/>
          <w:sz w:val="26"/>
          <w:szCs w:val="26"/>
        </w:rPr>
      </w:pPr>
      <w:r w:rsidRPr="0072600F">
        <w:rPr>
          <w:rFonts w:ascii="Times New Roman" w:hAnsi="Times New Roman" w:cs="Times New Roman"/>
          <w:sz w:val="26"/>
          <w:szCs w:val="26"/>
        </w:rPr>
        <w:t>Note:  Deletions are in brackets and additions are in italics.</w:t>
      </w:r>
    </w:p>
    <w:p w:rsidR="00911580" w:rsidRPr="0072600F" w14:paraId="726C15CE" w14:textId="77777777">
      <w:pPr>
        <w:rPr>
          <w:rFonts w:ascii="Times New Roman" w:hAnsi="Times New Roman" w:cs="Times New Roman"/>
          <w:sz w:val="26"/>
          <w:szCs w:val="26"/>
        </w:rPr>
      </w:pPr>
    </w:p>
    <w:p w:rsidR="00911580" w:rsidRPr="0072600F" w14:paraId="378D85BC" w14:textId="77777777">
      <w:pPr>
        <w:rPr>
          <w:rFonts w:ascii="Times New Roman" w:hAnsi="Times New Roman" w:cs="Times New Roman"/>
          <w:sz w:val="26"/>
          <w:szCs w:val="26"/>
        </w:rPr>
      </w:pPr>
    </w:p>
    <w:p w:rsidR="00911580" w:rsidRPr="0072600F" w14:paraId="4B50478D"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STANDARD LARGE GENERATOR</w:t>
      </w:r>
    </w:p>
    <w:p w:rsidR="00911580" w:rsidRPr="0072600F" w14:paraId="61D5C649" w14:textId="77777777">
      <w:pPr>
        <w:jc w:val="center"/>
        <w:rPr>
          <w:rFonts w:ascii="Times New Roman" w:hAnsi="Times New Roman" w:cs="Times New Roman"/>
          <w:b/>
          <w:bCs/>
          <w:sz w:val="26"/>
          <w:szCs w:val="26"/>
        </w:rPr>
      </w:pPr>
    </w:p>
    <w:p w:rsidR="00911580" w:rsidRPr="0072600F" w14:paraId="6124C518"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INTERCONNECTION PROCEDURES (LGIP)</w:t>
      </w:r>
    </w:p>
    <w:p w:rsidR="00911580" w:rsidRPr="0072600F" w14:paraId="5AAA1D1B" w14:textId="77777777">
      <w:pPr>
        <w:rPr>
          <w:rFonts w:ascii="Times New Roman" w:hAnsi="Times New Roman" w:cs="Times New Roman"/>
          <w:b/>
          <w:bCs/>
          <w:sz w:val="26"/>
          <w:szCs w:val="26"/>
        </w:rPr>
      </w:pPr>
    </w:p>
    <w:p w:rsidR="00911580" w:rsidRPr="0072600F" w14:paraId="4B2B8A85" w14:textId="77777777">
      <w:pPr>
        <w:rPr>
          <w:rFonts w:ascii="Times New Roman" w:hAnsi="Times New Roman" w:cs="Times New Roman"/>
          <w:b/>
          <w:bCs/>
          <w:sz w:val="26"/>
          <w:szCs w:val="26"/>
        </w:rPr>
      </w:pPr>
    </w:p>
    <w:p w:rsidR="00911580" w:rsidRPr="0072600F" w14:paraId="606DF7DE"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including</w:t>
      </w:r>
    </w:p>
    <w:p w:rsidR="00911580" w:rsidRPr="0072600F" w14:paraId="75CADA89" w14:textId="77777777">
      <w:pPr>
        <w:rPr>
          <w:rFonts w:ascii="Times New Roman" w:hAnsi="Times New Roman" w:cs="Times New Roman"/>
          <w:b/>
          <w:bCs/>
          <w:sz w:val="26"/>
          <w:szCs w:val="26"/>
        </w:rPr>
      </w:pPr>
    </w:p>
    <w:p w:rsidR="00911580" w:rsidRPr="0072600F" w14:paraId="022EA047" w14:textId="77777777">
      <w:pPr>
        <w:rPr>
          <w:rFonts w:ascii="Times New Roman" w:hAnsi="Times New Roman" w:cs="Times New Roman"/>
          <w:b/>
          <w:bCs/>
          <w:sz w:val="26"/>
          <w:szCs w:val="26"/>
        </w:rPr>
      </w:pPr>
    </w:p>
    <w:p w:rsidR="00911580" w:rsidRPr="0072600F" w14:paraId="51C7637D"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STANDARD LARGE GENERATOR</w:t>
      </w:r>
    </w:p>
    <w:p w:rsidR="00911580" w:rsidRPr="0072600F" w14:paraId="694085E1" w14:textId="77777777">
      <w:pPr>
        <w:jc w:val="center"/>
        <w:rPr>
          <w:rFonts w:ascii="Times New Roman" w:hAnsi="Times New Roman" w:cs="Times New Roman"/>
          <w:b/>
          <w:bCs/>
          <w:sz w:val="26"/>
          <w:szCs w:val="26"/>
        </w:rPr>
      </w:pPr>
    </w:p>
    <w:p w:rsidR="00911580" w:rsidRPr="0072600F" w14:paraId="6B5D06EA"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INTERCONNECTION AGREEMENT (LGIA)</w:t>
      </w:r>
    </w:p>
    <w:p w:rsidR="00911580" w:rsidRPr="0072600F" w14:paraId="6ADF3AB6" w14:textId="77777777">
      <w:pPr>
        <w:rPr>
          <w:rFonts w:ascii="Times New Roman" w:hAnsi="Times New Roman" w:cs="Times New Roman"/>
          <w:sz w:val="26"/>
          <w:szCs w:val="26"/>
        </w:rPr>
        <w:sectPr w:rsidSect="005015E8">
          <w:headerReference w:type="default" r:id="rId16"/>
          <w:headerReference w:type="first" r:id="rId17"/>
          <w:pgSz w:w="12240" w:h="15840"/>
          <w:pgMar w:top="1440" w:right="1440" w:bottom="1440" w:left="1440" w:header="720" w:footer="720" w:gutter="0"/>
          <w:pgNumType w:fmt="numberInDash"/>
          <w:cols w:space="720"/>
          <w:noEndnote/>
          <w:titlePg/>
          <w:docGrid w:linePitch="299"/>
        </w:sectPr>
      </w:pPr>
    </w:p>
    <w:p w:rsidR="00911580" w:rsidRPr="0072600F" w14:paraId="10DC5420" w14:textId="77777777">
      <w:pPr>
        <w:rPr>
          <w:rFonts w:ascii="Times New Roman" w:hAnsi="Times New Roman" w:cs="Times New Roman"/>
          <w:sz w:val="26"/>
          <w:szCs w:val="26"/>
        </w:rPr>
      </w:pPr>
    </w:p>
    <w:p w:rsidR="00911580" w:rsidRPr="0072600F" w14:paraId="6F941AC7" w14:textId="77777777">
      <w:pPr>
        <w:rPr>
          <w:rFonts w:ascii="Times New Roman" w:hAnsi="Times New Roman" w:cs="Times New Roman"/>
          <w:sz w:val="26"/>
          <w:szCs w:val="26"/>
        </w:rPr>
      </w:pPr>
    </w:p>
    <w:p w:rsidR="00911580" w:rsidRPr="0072600F" w14:paraId="1FD42541" w14:textId="77777777">
      <w:pPr>
        <w:rPr>
          <w:rFonts w:ascii="Times New Roman" w:hAnsi="Times New Roman" w:cs="Times New Roman"/>
          <w:sz w:val="26"/>
          <w:szCs w:val="26"/>
        </w:rPr>
      </w:pPr>
    </w:p>
    <w:p w:rsidR="00911580" w:rsidRPr="0072600F" w14:paraId="28A5E3E4" w14:textId="77777777">
      <w:pPr>
        <w:rPr>
          <w:rFonts w:ascii="Times New Roman" w:hAnsi="Times New Roman" w:cs="Times New Roman"/>
          <w:sz w:val="26"/>
          <w:szCs w:val="26"/>
        </w:rPr>
      </w:pPr>
    </w:p>
    <w:p w:rsidR="00911580" w:rsidRPr="0072600F" w14:paraId="7F245AEC" w14:textId="77777777">
      <w:pPr>
        <w:rPr>
          <w:rFonts w:ascii="Times New Roman" w:hAnsi="Times New Roman" w:cs="Times New Roman"/>
          <w:sz w:val="26"/>
          <w:szCs w:val="26"/>
        </w:rPr>
      </w:pPr>
    </w:p>
    <w:p w:rsidR="00911580" w:rsidRPr="0072600F" w14:paraId="30C0F94F" w14:textId="77777777">
      <w:pPr>
        <w:rPr>
          <w:rFonts w:ascii="Times New Roman" w:hAnsi="Times New Roman" w:cs="Times New Roman"/>
          <w:sz w:val="26"/>
          <w:szCs w:val="26"/>
        </w:rPr>
      </w:pPr>
    </w:p>
    <w:p w:rsidR="00911580" w:rsidRPr="0072600F" w14:paraId="762922FD" w14:textId="77777777">
      <w:pPr>
        <w:rPr>
          <w:rFonts w:ascii="Times New Roman" w:hAnsi="Times New Roman" w:cs="Times New Roman"/>
          <w:sz w:val="26"/>
          <w:szCs w:val="26"/>
        </w:rPr>
      </w:pPr>
    </w:p>
    <w:p w:rsidR="00911580" w:rsidRPr="0072600F" w14:paraId="23303534"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Standard Large Generator</w:t>
      </w:r>
    </w:p>
    <w:p w:rsidR="00911580" w:rsidRPr="0072600F" w14:paraId="0B75D7F2" w14:textId="77777777">
      <w:pPr>
        <w:jc w:val="center"/>
        <w:rPr>
          <w:rFonts w:ascii="Times New Roman" w:hAnsi="Times New Roman" w:cs="Times New Roman"/>
          <w:b/>
          <w:bCs/>
          <w:sz w:val="26"/>
          <w:szCs w:val="26"/>
        </w:rPr>
      </w:pPr>
    </w:p>
    <w:p w:rsidR="00911580" w:rsidRPr="0072600F" w14:paraId="42EA2067"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Interconnection Procedures (LGIP)</w:t>
      </w:r>
    </w:p>
    <w:p w:rsidR="00911580" w:rsidRPr="0072600F" w14:paraId="2AE9DFD1" w14:textId="77777777">
      <w:pPr>
        <w:jc w:val="center"/>
        <w:rPr>
          <w:rFonts w:ascii="Times New Roman" w:hAnsi="Times New Roman" w:cs="Times New Roman"/>
          <w:sz w:val="26"/>
          <w:szCs w:val="26"/>
        </w:rPr>
        <w:sectPr w:rsidSect="003408B0">
          <w:headerReference w:type="default" r:id="rId18"/>
          <w:type w:val="continuous"/>
          <w:pgSz w:w="12240" w:h="15840"/>
          <w:pgMar w:top="1440" w:right="1440" w:bottom="1440" w:left="1440" w:header="1440" w:footer="1440" w:gutter="0"/>
          <w:cols w:space="720"/>
          <w:noEndnote/>
          <w:titlePg/>
          <w:docGrid w:linePitch="299"/>
        </w:sectPr>
      </w:pPr>
      <w:r w:rsidRPr="0072600F">
        <w:rPr>
          <w:rFonts w:ascii="Times New Roman" w:hAnsi="Times New Roman" w:cs="Times New Roman"/>
          <w:b/>
          <w:bCs/>
          <w:sz w:val="26"/>
          <w:szCs w:val="26"/>
        </w:rPr>
        <w:t>(Applicable to Generating Facilities that exceed 20 MW)</w:t>
      </w:r>
    </w:p>
    <w:p w:rsidR="00911580" w:rsidRPr="0072600F" w14:paraId="693C2AF1"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TABLE OF CONTENTS</w:t>
      </w:r>
    </w:p>
    <w:p w:rsidR="00911580" w:rsidRPr="0072600F" w14:paraId="44484D78"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Page No.</w:t>
      </w:r>
    </w:p>
    <w:p w:rsidR="00911580" w:rsidRPr="0072600F" w14:paraId="24D0E058" w14:textId="77777777">
      <w:pPr>
        <w:ind w:left="7920"/>
        <w:rPr>
          <w:rFonts w:ascii="Times New Roman" w:hAnsi="Times New Roman" w:cs="Times New Roman"/>
          <w:sz w:val="26"/>
          <w:szCs w:val="26"/>
        </w:rPr>
      </w:pPr>
    </w:p>
    <w:p w:rsidR="00911580" w:rsidRPr="0072600F" w14:paraId="7C3B4B15" w14:textId="77777777">
      <w:pPr>
        <w:pStyle w:val="TOC1"/>
        <w:tabs>
          <w:tab w:val="left" w:pos="1440"/>
        </w:tabs>
        <w:rPr>
          <w:rFonts w:eastAsiaTheme="minorEastAsia"/>
          <w:b w:val="0"/>
          <w:bCs w:val="0"/>
          <w:sz w:val="26"/>
          <w:szCs w:val="26"/>
        </w:rPr>
      </w:pPr>
      <w:r w:rsidRPr="0072600F">
        <w:rPr>
          <w:b w:val="0"/>
          <w:bCs w:val="0"/>
          <w:sz w:val="26"/>
          <w:szCs w:val="26"/>
        </w:rPr>
        <w:fldChar w:fldCharType="begin"/>
      </w:r>
      <w:r w:rsidRPr="0072600F">
        <w:rPr>
          <w:sz w:val="26"/>
          <w:szCs w:val="26"/>
        </w:rPr>
        <w:instrText xml:space="preserve"> TOC \o "1-3" \h \z \u </w:instrText>
      </w:r>
      <w:r w:rsidRPr="0072600F">
        <w:rPr>
          <w:b w:val="0"/>
          <w:bCs w:val="0"/>
          <w:sz w:val="26"/>
          <w:szCs w:val="26"/>
        </w:rPr>
        <w:fldChar w:fldCharType="separate"/>
      </w:r>
      <w:hyperlink w:anchor="_Toc149903597" w:history="1">
        <w:r w:rsidRPr="0072600F">
          <w:rPr>
            <w:rStyle w:val="Hyperlink"/>
            <w:sz w:val="26"/>
            <w:szCs w:val="26"/>
          </w:rPr>
          <w:t>Section 1.</w:t>
        </w:r>
        <w:r w:rsidRPr="0072600F">
          <w:rPr>
            <w:rFonts w:eastAsiaTheme="minorEastAsia"/>
            <w:sz w:val="26"/>
            <w:szCs w:val="26"/>
          </w:rPr>
          <w:tab/>
        </w:r>
        <w:r w:rsidRPr="0072600F">
          <w:rPr>
            <w:rStyle w:val="Hyperlink"/>
            <w:sz w:val="26"/>
            <w:szCs w:val="26"/>
          </w:rPr>
          <w:t>Definitions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_Toc149903597 \h </w:instrText>
        </w:r>
        <w:r w:rsidRPr="0072600F">
          <w:rPr>
            <w:b w:val="0"/>
            <w:bCs w:val="0"/>
            <w:webHidden/>
            <w:sz w:val="26"/>
            <w:szCs w:val="26"/>
          </w:rPr>
          <w:fldChar w:fldCharType="separate"/>
        </w:r>
        <w:r w:rsidR="00C46123">
          <w:rPr>
            <w:webHidden/>
            <w:sz w:val="26"/>
            <w:szCs w:val="26"/>
          </w:rPr>
          <w:t>- 1 -</w:t>
        </w:r>
        <w:r w:rsidRPr="0072600F">
          <w:rPr>
            <w:b w:val="0"/>
            <w:bCs w:val="0"/>
            <w:webHidden/>
            <w:sz w:val="26"/>
            <w:szCs w:val="26"/>
          </w:rPr>
          <w:fldChar w:fldCharType="end"/>
        </w:r>
      </w:hyperlink>
    </w:p>
    <w:p w:rsidR="00911580" w:rsidRPr="0072600F" w14:paraId="09BC70E6" w14:textId="77777777">
      <w:pPr>
        <w:pStyle w:val="TOC1"/>
        <w:tabs>
          <w:tab w:val="left" w:pos="1440"/>
        </w:tabs>
        <w:rPr>
          <w:rFonts w:eastAsiaTheme="minorEastAsia"/>
          <w:b w:val="0"/>
          <w:bCs w:val="0"/>
          <w:sz w:val="26"/>
          <w:szCs w:val="26"/>
        </w:rPr>
      </w:pPr>
      <w:hyperlink w:anchor="_Toc149903598" w:history="1">
        <w:r w:rsidRPr="0072600F">
          <w:rPr>
            <w:rStyle w:val="Hyperlink"/>
            <w:sz w:val="26"/>
            <w:szCs w:val="26"/>
          </w:rPr>
          <w:t>Section 2.</w:t>
        </w:r>
        <w:r w:rsidRPr="0072600F">
          <w:rPr>
            <w:rFonts w:eastAsiaTheme="minorEastAsia"/>
            <w:sz w:val="26"/>
            <w:szCs w:val="26"/>
          </w:rPr>
          <w:tab/>
        </w:r>
        <w:r w:rsidRPr="0072600F">
          <w:rPr>
            <w:rStyle w:val="Hyperlink"/>
            <w:sz w:val="26"/>
            <w:szCs w:val="26"/>
          </w:rPr>
          <w:t>Scope and Application</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_Toc149903598 \h </w:instrText>
        </w:r>
        <w:r w:rsidRPr="0072600F">
          <w:rPr>
            <w:b w:val="0"/>
            <w:bCs w:val="0"/>
            <w:webHidden/>
            <w:sz w:val="26"/>
            <w:szCs w:val="26"/>
          </w:rPr>
          <w:fldChar w:fldCharType="separate"/>
        </w:r>
        <w:r w:rsidR="00C46123">
          <w:rPr>
            <w:webHidden/>
            <w:sz w:val="26"/>
            <w:szCs w:val="26"/>
          </w:rPr>
          <w:t>- 15 -</w:t>
        </w:r>
        <w:r w:rsidRPr="0072600F">
          <w:rPr>
            <w:b w:val="0"/>
            <w:bCs w:val="0"/>
            <w:webHidden/>
            <w:sz w:val="26"/>
            <w:szCs w:val="26"/>
          </w:rPr>
          <w:fldChar w:fldCharType="end"/>
        </w:r>
      </w:hyperlink>
    </w:p>
    <w:p w:rsidR="00911580" w:rsidRPr="0072600F" w14:paraId="1D43DC3B" w14:textId="77777777">
      <w:pPr>
        <w:pStyle w:val="TOC2"/>
        <w:tabs>
          <w:tab w:val="left" w:pos="800"/>
        </w:tabs>
        <w:rPr>
          <w:rFonts w:eastAsiaTheme="minorEastAsia"/>
          <w:noProof/>
          <w:sz w:val="26"/>
          <w:szCs w:val="26"/>
        </w:rPr>
      </w:pPr>
      <w:hyperlink w:anchor="_Toc149903599" w:history="1">
        <w:r w:rsidRPr="0072600F">
          <w:rPr>
            <w:rStyle w:val="Hyperlink"/>
            <w:noProof/>
            <w:sz w:val="26"/>
            <w:szCs w:val="26"/>
          </w:rPr>
          <w:t>2.1</w:t>
        </w:r>
        <w:r w:rsidRPr="0072600F">
          <w:rPr>
            <w:rFonts w:eastAsiaTheme="minorEastAsia"/>
            <w:noProof/>
            <w:sz w:val="26"/>
            <w:szCs w:val="26"/>
          </w:rPr>
          <w:tab/>
        </w:r>
        <w:r w:rsidRPr="0072600F">
          <w:rPr>
            <w:rStyle w:val="Hyperlink"/>
            <w:noProof/>
            <w:sz w:val="26"/>
            <w:szCs w:val="26"/>
          </w:rPr>
          <w:t>Application of Standard Large Generator Interconnection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_Toc149903599 \h </w:instrText>
        </w:r>
        <w:r w:rsidRPr="0072600F">
          <w:rPr>
            <w:noProof/>
            <w:webHidden/>
            <w:sz w:val="26"/>
            <w:szCs w:val="26"/>
          </w:rPr>
          <w:fldChar w:fldCharType="separate"/>
        </w:r>
        <w:r w:rsidR="00C46123">
          <w:rPr>
            <w:noProof/>
            <w:webHidden/>
            <w:sz w:val="26"/>
            <w:szCs w:val="26"/>
          </w:rPr>
          <w:t>- 15 -</w:t>
        </w:r>
        <w:r w:rsidRPr="0072600F">
          <w:rPr>
            <w:noProof/>
            <w:webHidden/>
            <w:sz w:val="26"/>
            <w:szCs w:val="26"/>
          </w:rPr>
          <w:fldChar w:fldCharType="end"/>
        </w:r>
      </w:hyperlink>
    </w:p>
    <w:p w:rsidR="00911580" w:rsidRPr="0072600F" w14:paraId="4F649182" w14:textId="77777777">
      <w:pPr>
        <w:pStyle w:val="TOC2"/>
        <w:tabs>
          <w:tab w:val="left" w:pos="800"/>
        </w:tabs>
        <w:rPr>
          <w:rFonts w:eastAsiaTheme="minorEastAsia"/>
          <w:noProof/>
          <w:sz w:val="26"/>
          <w:szCs w:val="26"/>
        </w:rPr>
      </w:pPr>
      <w:hyperlink w:anchor="_Toc149903600" w:history="1">
        <w:r w:rsidRPr="0072600F">
          <w:rPr>
            <w:rStyle w:val="Hyperlink"/>
            <w:noProof/>
            <w:sz w:val="26"/>
            <w:szCs w:val="26"/>
          </w:rPr>
          <w:t>2.2</w:t>
        </w:r>
        <w:r w:rsidRPr="0072600F">
          <w:rPr>
            <w:rFonts w:eastAsiaTheme="minorEastAsia"/>
            <w:noProof/>
            <w:sz w:val="26"/>
            <w:szCs w:val="26"/>
          </w:rPr>
          <w:tab/>
        </w:r>
        <w:r w:rsidRPr="0072600F">
          <w:rPr>
            <w:rStyle w:val="Hyperlink"/>
            <w:noProof/>
            <w:sz w:val="26"/>
            <w:szCs w:val="26"/>
          </w:rPr>
          <w:t>Comparability.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_Toc149903600 \h </w:instrText>
        </w:r>
        <w:r w:rsidRPr="0072600F">
          <w:rPr>
            <w:noProof/>
            <w:webHidden/>
            <w:sz w:val="26"/>
            <w:szCs w:val="26"/>
          </w:rPr>
          <w:fldChar w:fldCharType="separate"/>
        </w:r>
        <w:r w:rsidR="00C46123">
          <w:rPr>
            <w:noProof/>
            <w:webHidden/>
            <w:sz w:val="26"/>
            <w:szCs w:val="26"/>
          </w:rPr>
          <w:t>- 15 -</w:t>
        </w:r>
        <w:r w:rsidRPr="0072600F">
          <w:rPr>
            <w:noProof/>
            <w:webHidden/>
            <w:sz w:val="26"/>
            <w:szCs w:val="26"/>
          </w:rPr>
          <w:fldChar w:fldCharType="end"/>
        </w:r>
      </w:hyperlink>
    </w:p>
    <w:p w:rsidR="00911580" w:rsidRPr="0072600F" w14:paraId="602F0C67" w14:textId="77777777">
      <w:pPr>
        <w:pStyle w:val="TOC2"/>
        <w:tabs>
          <w:tab w:val="left" w:pos="800"/>
        </w:tabs>
        <w:rPr>
          <w:rFonts w:eastAsiaTheme="minorEastAsia"/>
          <w:noProof/>
          <w:sz w:val="26"/>
          <w:szCs w:val="26"/>
        </w:rPr>
      </w:pPr>
      <w:hyperlink w:anchor="_Toc149903601" w:history="1">
        <w:r w:rsidRPr="0072600F">
          <w:rPr>
            <w:rStyle w:val="Hyperlink"/>
            <w:noProof/>
            <w:sz w:val="26"/>
            <w:szCs w:val="26"/>
          </w:rPr>
          <w:t>2.3</w:t>
        </w:r>
        <w:r w:rsidRPr="0072600F">
          <w:rPr>
            <w:rFonts w:eastAsiaTheme="minorEastAsia"/>
            <w:noProof/>
            <w:sz w:val="26"/>
            <w:szCs w:val="26"/>
          </w:rPr>
          <w:tab/>
        </w:r>
        <w:r w:rsidRPr="0072600F">
          <w:rPr>
            <w:rStyle w:val="Hyperlink"/>
            <w:noProof/>
            <w:sz w:val="26"/>
            <w:szCs w:val="26"/>
          </w:rPr>
          <w:t>Base Case Data.</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_Toc149903601 \h </w:instrText>
        </w:r>
        <w:r w:rsidRPr="0072600F">
          <w:rPr>
            <w:noProof/>
            <w:webHidden/>
            <w:sz w:val="26"/>
            <w:szCs w:val="26"/>
          </w:rPr>
          <w:fldChar w:fldCharType="separate"/>
        </w:r>
        <w:r w:rsidR="00C46123">
          <w:rPr>
            <w:noProof/>
            <w:webHidden/>
            <w:sz w:val="26"/>
            <w:szCs w:val="26"/>
          </w:rPr>
          <w:t>- 15 -</w:t>
        </w:r>
        <w:r w:rsidRPr="0072600F">
          <w:rPr>
            <w:noProof/>
            <w:webHidden/>
            <w:sz w:val="26"/>
            <w:szCs w:val="26"/>
          </w:rPr>
          <w:fldChar w:fldCharType="end"/>
        </w:r>
      </w:hyperlink>
    </w:p>
    <w:p w:rsidR="00911580" w:rsidRPr="0072600F" w14:paraId="07FBC601" w14:textId="77777777">
      <w:pPr>
        <w:pStyle w:val="TOC2"/>
        <w:tabs>
          <w:tab w:val="left" w:pos="800"/>
        </w:tabs>
        <w:rPr>
          <w:rFonts w:eastAsiaTheme="minorEastAsia"/>
          <w:noProof/>
          <w:sz w:val="26"/>
          <w:szCs w:val="26"/>
        </w:rPr>
      </w:pPr>
      <w:hyperlink w:anchor="_Toc149903602" w:history="1">
        <w:r w:rsidRPr="0072600F">
          <w:rPr>
            <w:rStyle w:val="Hyperlink"/>
            <w:noProof/>
            <w:sz w:val="26"/>
            <w:szCs w:val="26"/>
          </w:rPr>
          <w:t>2.4</w:t>
        </w:r>
        <w:r w:rsidRPr="0072600F">
          <w:rPr>
            <w:rFonts w:eastAsiaTheme="minorEastAsia"/>
            <w:noProof/>
            <w:sz w:val="26"/>
            <w:szCs w:val="26"/>
          </w:rPr>
          <w:tab/>
        </w:r>
        <w:r w:rsidRPr="0072600F">
          <w:rPr>
            <w:rStyle w:val="Hyperlink"/>
            <w:noProof/>
            <w:sz w:val="26"/>
            <w:szCs w:val="26"/>
          </w:rPr>
          <w:t>No Applicability to Transmission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_Toc149903602 \h </w:instrText>
        </w:r>
        <w:r w:rsidRPr="0072600F">
          <w:rPr>
            <w:noProof/>
            <w:webHidden/>
            <w:sz w:val="26"/>
            <w:szCs w:val="26"/>
          </w:rPr>
          <w:fldChar w:fldCharType="separate"/>
        </w:r>
        <w:r w:rsidR="00C46123">
          <w:rPr>
            <w:noProof/>
            <w:webHidden/>
            <w:sz w:val="26"/>
            <w:szCs w:val="26"/>
          </w:rPr>
          <w:t>- 16 -</w:t>
        </w:r>
        <w:r w:rsidRPr="0072600F">
          <w:rPr>
            <w:noProof/>
            <w:webHidden/>
            <w:sz w:val="26"/>
            <w:szCs w:val="26"/>
          </w:rPr>
          <w:fldChar w:fldCharType="end"/>
        </w:r>
      </w:hyperlink>
    </w:p>
    <w:p w:rsidR="00911580" w:rsidRPr="0072600F" w14:paraId="60E7CE22" w14:textId="77777777">
      <w:pPr>
        <w:pStyle w:val="TOC1"/>
        <w:tabs>
          <w:tab w:val="left" w:pos="1440"/>
        </w:tabs>
        <w:rPr>
          <w:rFonts w:eastAsiaTheme="minorEastAsia"/>
          <w:b w:val="0"/>
          <w:bCs w:val="0"/>
          <w:sz w:val="26"/>
          <w:szCs w:val="26"/>
        </w:rPr>
      </w:pPr>
      <w:hyperlink w:anchor="_Toc149903603" w:history="1">
        <w:r w:rsidRPr="0072600F">
          <w:rPr>
            <w:rStyle w:val="Hyperlink"/>
            <w:sz w:val="26"/>
            <w:szCs w:val="26"/>
          </w:rPr>
          <w:t>Section 3.</w:t>
        </w:r>
        <w:r w:rsidRPr="0072600F">
          <w:rPr>
            <w:rFonts w:eastAsiaTheme="minorEastAsia"/>
            <w:sz w:val="26"/>
            <w:szCs w:val="26"/>
          </w:rPr>
          <w:tab/>
        </w:r>
        <w:r w:rsidRPr="0072600F">
          <w:rPr>
            <w:rStyle w:val="Hyperlink"/>
            <w:sz w:val="26"/>
            <w:szCs w:val="26"/>
          </w:rPr>
          <w:t>Interconnection Requests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_Toc149903603 \h </w:instrText>
        </w:r>
        <w:r w:rsidRPr="0072600F">
          <w:rPr>
            <w:b w:val="0"/>
            <w:bCs w:val="0"/>
            <w:webHidden/>
            <w:sz w:val="26"/>
            <w:szCs w:val="26"/>
          </w:rPr>
          <w:fldChar w:fldCharType="separate"/>
        </w:r>
        <w:r w:rsidR="00C46123">
          <w:rPr>
            <w:webHidden/>
            <w:sz w:val="26"/>
            <w:szCs w:val="26"/>
          </w:rPr>
          <w:t>- 16 -</w:t>
        </w:r>
        <w:r w:rsidRPr="0072600F">
          <w:rPr>
            <w:b w:val="0"/>
            <w:bCs w:val="0"/>
            <w:webHidden/>
            <w:sz w:val="26"/>
            <w:szCs w:val="26"/>
          </w:rPr>
          <w:fldChar w:fldCharType="end"/>
        </w:r>
      </w:hyperlink>
    </w:p>
    <w:p w:rsidR="00911580" w:rsidRPr="0072600F" w14:paraId="37DBC9EA" w14:textId="77777777">
      <w:pPr>
        <w:pStyle w:val="TOC2"/>
        <w:tabs>
          <w:tab w:val="left" w:pos="800"/>
        </w:tabs>
        <w:rPr>
          <w:rFonts w:eastAsiaTheme="minorEastAsia"/>
          <w:noProof/>
          <w:sz w:val="26"/>
          <w:szCs w:val="26"/>
        </w:rPr>
      </w:pPr>
      <w:hyperlink w:anchor="_Toc149903604" w:history="1">
        <w:r w:rsidRPr="0072600F">
          <w:rPr>
            <w:rStyle w:val="Hyperlink"/>
            <w:noProof/>
            <w:sz w:val="26"/>
            <w:szCs w:val="26"/>
          </w:rPr>
          <w:t>3.1</w:t>
        </w:r>
        <w:r w:rsidRPr="0072600F">
          <w:rPr>
            <w:rFonts w:eastAsiaTheme="minorEastAsia"/>
            <w:noProof/>
            <w:sz w:val="26"/>
            <w:szCs w:val="26"/>
          </w:rPr>
          <w:tab/>
        </w:r>
        <w:r w:rsidRPr="0072600F">
          <w:rPr>
            <w:rStyle w:val="Hyperlink"/>
            <w:noProof/>
            <w:sz w:val="26"/>
            <w:szCs w:val="26"/>
          </w:rPr>
          <w:t>Interconnection Requests.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_Toc149903604 \h </w:instrText>
        </w:r>
        <w:r w:rsidRPr="0072600F">
          <w:rPr>
            <w:noProof/>
            <w:webHidden/>
            <w:sz w:val="26"/>
            <w:szCs w:val="26"/>
          </w:rPr>
          <w:fldChar w:fldCharType="separate"/>
        </w:r>
        <w:r w:rsidR="00C46123">
          <w:rPr>
            <w:noProof/>
            <w:webHidden/>
            <w:sz w:val="26"/>
            <w:szCs w:val="26"/>
          </w:rPr>
          <w:t>- 16 -</w:t>
        </w:r>
        <w:r w:rsidRPr="0072600F">
          <w:rPr>
            <w:noProof/>
            <w:webHidden/>
            <w:sz w:val="26"/>
            <w:szCs w:val="26"/>
          </w:rPr>
          <w:fldChar w:fldCharType="end"/>
        </w:r>
      </w:hyperlink>
    </w:p>
    <w:p w:rsidR="00911580" w:rsidRPr="0072600F" w14:paraId="05DDEE81" w14:textId="77777777">
      <w:pPr>
        <w:pStyle w:val="TOC3"/>
        <w:tabs>
          <w:tab w:val="left" w:pos="1200"/>
          <w:tab w:val="right" w:leader="dot" w:pos="9350"/>
        </w:tabs>
        <w:rPr>
          <w:rFonts w:eastAsiaTheme="minorEastAsia"/>
          <w:noProof/>
          <w:sz w:val="26"/>
          <w:szCs w:val="26"/>
        </w:rPr>
      </w:pPr>
      <w:hyperlink w:anchor="_Toc149903605" w:history="1">
        <w:r w:rsidRPr="0072600F">
          <w:rPr>
            <w:rStyle w:val="Hyperlink"/>
            <w:rFonts w:eastAsia="Calibri"/>
            <w:noProof/>
            <w:sz w:val="26"/>
            <w:szCs w:val="26"/>
          </w:rPr>
          <w:t xml:space="preserve">3.1.1 </w:t>
        </w:r>
        <w:r w:rsidRPr="0072600F">
          <w:rPr>
            <w:rFonts w:eastAsiaTheme="minorEastAsia"/>
            <w:noProof/>
            <w:sz w:val="26"/>
            <w:szCs w:val="26"/>
          </w:rPr>
          <w:tab/>
        </w:r>
        <w:r w:rsidRPr="0072600F">
          <w:rPr>
            <w:rStyle w:val="Hyperlink"/>
            <w:rFonts w:eastAsia="Calibri"/>
            <w:noProof/>
            <w:sz w:val="26"/>
            <w:szCs w:val="26"/>
          </w:rPr>
          <w:t>Study Deposits.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_Toc149903605 \h </w:instrText>
        </w:r>
        <w:r w:rsidRPr="0072600F">
          <w:rPr>
            <w:noProof/>
            <w:webHidden/>
            <w:sz w:val="26"/>
            <w:szCs w:val="26"/>
          </w:rPr>
          <w:fldChar w:fldCharType="separate"/>
        </w:r>
        <w:r w:rsidR="00C46123">
          <w:rPr>
            <w:noProof/>
            <w:webHidden/>
            <w:sz w:val="26"/>
            <w:szCs w:val="26"/>
          </w:rPr>
          <w:t>- 16 -</w:t>
        </w:r>
        <w:r w:rsidRPr="0072600F">
          <w:rPr>
            <w:noProof/>
            <w:webHidden/>
            <w:sz w:val="26"/>
            <w:szCs w:val="26"/>
          </w:rPr>
          <w:fldChar w:fldCharType="end"/>
        </w:r>
      </w:hyperlink>
    </w:p>
    <w:p w:rsidR="00911580" w:rsidRPr="0072600F" w14:paraId="2E136BD5" w14:textId="77777777">
      <w:pPr>
        <w:pStyle w:val="TOC3"/>
        <w:tabs>
          <w:tab w:val="left" w:pos="1200"/>
          <w:tab w:val="right" w:leader="dot" w:pos="9350"/>
        </w:tabs>
        <w:rPr>
          <w:rFonts w:eastAsiaTheme="minorEastAsia"/>
          <w:noProof/>
          <w:sz w:val="26"/>
          <w:szCs w:val="26"/>
        </w:rPr>
      </w:pPr>
      <w:hyperlink w:anchor="_Toc149903606" w:history="1">
        <w:r w:rsidRPr="0072600F">
          <w:rPr>
            <w:rStyle w:val="Hyperlink"/>
            <w:rFonts w:eastAsia="Calibri"/>
            <w:noProof/>
            <w:sz w:val="26"/>
            <w:szCs w:val="26"/>
          </w:rPr>
          <w:t xml:space="preserve">3.1.2 </w:t>
        </w:r>
        <w:r w:rsidRPr="0072600F">
          <w:rPr>
            <w:rFonts w:eastAsiaTheme="minorEastAsia"/>
            <w:noProof/>
            <w:sz w:val="26"/>
            <w:szCs w:val="26"/>
          </w:rPr>
          <w:tab/>
        </w:r>
        <w:r w:rsidRPr="0072600F">
          <w:rPr>
            <w:rStyle w:val="Hyperlink"/>
            <w:rFonts w:eastAsia="Calibri"/>
            <w:noProof/>
            <w:sz w:val="26"/>
            <w:szCs w:val="26"/>
          </w:rPr>
          <w:t>Submission.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_Toc149903606 \h </w:instrText>
        </w:r>
        <w:r w:rsidRPr="0072600F">
          <w:rPr>
            <w:noProof/>
            <w:webHidden/>
            <w:sz w:val="26"/>
            <w:szCs w:val="26"/>
          </w:rPr>
          <w:fldChar w:fldCharType="separate"/>
        </w:r>
        <w:r w:rsidR="00C46123">
          <w:rPr>
            <w:noProof/>
            <w:webHidden/>
            <w:sz w:val="26"/>
            <w:szCs w:val="26"/>
          </w:rPr>
          <w:t>- 17 -</w:t>
        </w:r>
        <w:r w:rsidRPr="0072600F">
          <w:rPr>
            <w:noProof/>
            <w:webHidden/>
            <w:sz w:val="26"/>
            <w:szCs w:val="26"/>
          </w:rPr>
          <w:fldChar w:fldCharType="end"/>
        </w:r>
      </w:hyperlink>
    </w:p>
    <w:p w:rsidR="00911580" w:rsidRPr="0072600F" w14:paraId="3A1CA139" w14:textId="77777777">
      <w:pPr>
        <w:pStyle w:val="TOC2"/>
        <w:tabs>
          <w:tab w:val="left" w:pos="800"/>
        </w:tabs>
        <w:rPr>
          <w:rFonts w:eastAsiaTheme="minorEastAsia"/>
          <w:noProof/>
          <w:sz w:val="26"/>
          <w:szCs w:val="26"/>
        </w:rPr>
      </w:pPr>
      <w:hyperlink w:anchor="_Toc149903607" w:history="1">
        <w:r w:rsidRPr="0072600F">
          <w:rPr>
            <w:rStyle w:val="Hyperlink"/>
            <w:noProof/>
            <w:sz w:val="26"/>
            <w:szCs w:val="26"/>
          </w:rPr>
          <w:t>3.2</w:t>
        </w:r>
        <w:r w:rsidRPr="0072600F">
          <w:rPr>
            <w:rFonts w:eastAsiaTheme="minorEastAsia"/>
            <w:noProof/>
            <w:sz w:val="26"/>
            <w:szCs w:val="26"/>
          </w:rPr>
          <w:tab/>
        </w:r>
        <w:r w:rsidRPr="0072600F">
          <w:rPr>
            <w:rStyle w:val="Hyperlink"/>
            <w:noProof/>
            <w:sz w:val="26"/>
            <w:szCs w:val="26"/>
          </w:rPr>
          <w:t>Identification of Types of Interconnection Services.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_Toc149903607 \h </w:instrText>
        </w:r>
        <w:r w:rsidRPr="0072600F">
          <w:rPr>
            <w:noProof/>
            <w:webHidden/>
            <w:sz w:val="26"/>
            <w:szCs w:val="26"/>
          </w:rPr>
          <w:fldChar w:fldCharType="separate"/>
        </w:r>
        <w:r w:rsidR="00C46123">
          <w:rPr>
            <w:noProof/>
            <w:webHidden/>
            <w:sz w:val="26"/>
            <w:szCs w:val="26"/>
          </w:rPr>
          <w:t>- 19 -</w:t>
        </w:r>
        <w:r w:rsidRPr="0072600F">
          <w:rPr>
            <w:noProof/>
            <w:webHidden/>
            <w:sz w:val="26"/>
            <w:szCs w:val="26"/>
          </w:rPr>
          <w:fldChar w:fldCharType="end"/>
        </w:r>
      </w:hyperlink>
    </w:p>
    <w:p w:rsidR="00911580" w:rsidRPr="0072600F" w14:paraId="7761CF30" w14:textId="77777777">
      <w:pPr>
        <w:pStyle w:val="TOC3"/>
        <w:tabs>
          <w:tab w:val="left" w:pos="1200"/>
          <w:tab w:val="right" w:leader="dot" w:pos="9350"/>
        </w:tabs>
        <w:rPr>
          <w:rFonts w:eastAsiaTheme="minorEastAsia"/>
          <w:noProof/>
          <w:sz w:val="26"/>
          <w:szCs w:val="26"/>
        </w:rPr>
      </w:pPr>
      <w:hyperlink w:anchor="_Toc149903608" w:history="1">
        <w:r w:rsidRPr="0072600F">
          <w:rPr>
            <w:rStyle w:val="Hyperlink"/>
            <w:noProof/>
            <w:sz w:val="26"/>
            <w:szCs w:val="26"/>
          </w:rPr>
          <w:t>3.2.1</w:t>
        </w:r>
        <w:r w:rsidRPr="0072600F">
          <w:rPr>
            <w:rFonts w:eastAsiaTheme="minorEastAsia"/>
            <w:noProof/>
            <w:sz w:val="26"/>
            <w:szCs w:val="26"/>
          </w:rPr>
          <w:tab/>
        </w:r>
        <w:r w:rsidRPr="0072600F">
          <w:rPr>
            <w:rStyle w:val="Hyperlink"/>
            <w:noProof/>
            <w:sz w:val="26"/>
            <w:szCs w:val="26"/>
          </w:rPr>
          <w:t>Energy Resource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_Toc149903608 \h </w:instrText>
        </w:r>
        <w:r w:rsidRPr="0072600F">
          <w:rPr>
            <w:noProof/>
            <w:webHidden/>
            <w:sz w:val="26"/>
            <w:szCs w:val="26"/>
          </w:rPr>
          <w:fldChar w:fldCharType="separate"/>
        </w:r>
        <w:r w:rsidR="00C46123">
          <w:rPr>
            <w:noProof/>
            <w:webHidden/>
            <w:sz w:val="26"/>
            <w:szCs w:val="26"/>
          </w:rPr>
          <w:t>- 19 -</w:t>
        </w:r>
        <w:r w:rsidRPr="0072600F">
          <w:rPr>
            <w:noProof/>
            <w:webHidden/>
            <w:sz w:val="26"/>
            <w:szCs w:val="26"/>
          </w:rPr>
          <w:fldChar w:fldCharType="end"/>
        </w:r>
      </w:hyperlink>
    </w:p>
    <w:p w:rsidR="00911580" w:rsidRPr="0072600F" w14:paraId="7E564936" w14:textId="77777777">
      <w:pPr>
        <w:pStyle w:val="TOC3"/>
        <w:tabs>
          <w:tab w:val="left" w:pos="1200"/>
          <w:tab w:val="right" w:leader="dot" w:pos="9350"/>
        </w:tabs>
        <w:rPr>
          <w:rFonts w:eastAsiaTheme="minorEastAsia"/>
          <w:noProof/>
          <w:sz w:val="26"/>
          <w:szCs w:val="26"/>
        </w:rPr>
      </w:pPr>
      <w:hyperlink w:anchor="_Toc149903609" w:history="1">
        <w:r w:rsidRPr="0072600F">
          <w:rPr>
            <w:rStyle w:val="Hyperlink"/>
            <w:noProof/>
            <w:sz w:val="26"/>
            <w:szCs w:val="26"/>
          </w:rPr>
          <w:t>3.2.2</w:t>
        </w:r>
        <w:r w:rsidRPr="0072600F">
          <w:rPr>
            <w:rFonts w:eastAsiaTheme="minorEastAsia"/>
            <w:noProof/>
            <w:sz w:val="26"/>
            <w:szCs w:val="26"/>
          </w:rPr>
          <w:tab/>
        </w:r>
        <w:r w:rsidRPr="0072600F">
          <w:rPr>
            <w:rStyle w:val="Hyperlink"/>
            <w:noProof/>
            <w:sz w:val="26"/>
            <w:szCs w:val="26"/>
          </w:rPr>
          <w:t>Network Resource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_Toc149903609 \h </w:instrText>
        </w:r>
        <w:r w:rsidRPr="0072600F">
          <w:rPr>
            <w:noProof/>
            <w:webHidden/>
            <w:sz w:val="26"/>
            <w:szCs w:val="26"/>
          </w:rPr>
          <w:fldChar w:fldCharType="separate"/>
        </w:r>
        <w:r w:rsidR="00C46123">
          <w:rPr>
            <w:noProof/>
            <w:webHidden/>
            <w:sz w:val="26"/>
            <w:szCs w:val="26"/>
          </w:rPr>
          <w:t>- 20 -</w:t>
        </w:r>
        <w:r w:rsidRPr="0072600F">
          <w:rPr>
            <w:noProof/>
            <w:webHidden/>
            <w:sz w:val="26"/>
            <w:szCs w:val="26"/>
          </w:rPr>
          <w:fldChar w:fldCharType="end"/>
        </w:r>
      </w:hyperlink>
    </w:p>
    <w:p w:rsidR="00911580" w:rsidRPr="0072600F" w14:paraId="4F43A8A8" w14:textId="77777777">
      <w:pPr>
        <w:pStyle w:val="TOC2"/>
        <w:tabs>
          <w:tab w:val="left" w:pos="800"/>
        </w:tabs>
        <w:rPr>
          <w:rFonts w:eastAsiaTheme="minorEastAsia"/>
          <w:noProof/>
          <w:sz w:val="26"/>
          <w:szCs w:val="26"/>
        </w:rPr>
      </w:pPr>
      <w:hyperlink w:anchor="_Toc149903610" w:history="1">
        <w:r w:rsidRPr="0072600F">
          <w:rPr>
            <w:rStyle w:val="Hyperlink"/>
            <w:noProof/>
            <w:sz w:val="26"/>
            <w:szCs w:val="26"/>
          </w:rPr>
          <w:t>3.3</w:t>
        </w:r>
        <w:r w:rsidRPr="0072600F">
          <w:rPr>
            <w:rFonts w:eastAsiaTheme="minorEastAsia"/>
            <w:noProof/>
            <w:sz w:val="26"/>
            <w:szCs w:val="26"/>
          </w:rPr>
          <w:tab/>
        </w:r>
        <w:r w:rsidRPr="0072600F">
          <w:rPr>
            <w:rStyle w:val="Hyperlink"/>
            <w:noProof/>
            <w:sz w:val="26"/>
            <w:szCs w:val="26"/>
          </w:rPr>
          <w:t>Utilization of Surplus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_Toc149903610 \h </w:instrText>
        </w:r>
        <w:r w:rsidRPr="0072600F">
          <w:rPr>
            <w:noProof/>
            <w:webHidden/>
            <w:sz w:val="26"/>
            <w:szCs w:val="26"/>
          </w:rPr>
          <w:fldChar w:fldCharType="separate"/>
        </w:r>
        <w:r w:rsidR="00C46123">
          <w:rPr>
            <w:noProof/>
            <w:webHidden/>
            <w:sz w:val="26"/>
            <w:szCs w:val="26"/>
          </w:rPr>
          <w:t>- 22 -</w:t>
        </w:r>
        <w:r w:rsidRPr="0072600F">
          <w:rPr>
            <w:noProof/>
            <w:webHidden/>
            <w:sz w:val="26"/>
            <w:szCs w:val="26"/>
          </w:rPr>
          <w:fldChar w:fldCharType="end"/>
        </w:r>
      </w:hyperlink>
    </w:p>
    <w:p w:rsidR="00911580" w:rsidRPr="0072600F" w14:paraId="71AA219A" w14:textId="77777777">
      <w:pPr>
        <w:pStyle w:val="TOC3"/>
        <w:tabs>
          <w:tab w:val="left" w:pos="1200"/>
          <w:tab w:val="right" w:leader="dot" w:pos="9350"/>
        </w:tabs>
        <w:rPr>
          <w:rFonts w:eastAsiaTheme="minorEastAsia"/>
          <w:noProof/>
          <w:sz w:val="26"/>
          <w:szCs w:val="26"/>
        </w:rPr>
      </w:pPr>
      <w:hyperlink w:anchor="_Toc149903611" w:history="1">
        <w:r w:rsidRPr="0072600F">
          <w:rPr>
            <w:rStyle w:val="Hyperlink"/>
            <w:noProof/>
            <w:sz w:val="26"/>
            <w:szCs w:val="26"/>
          </w:rPr>
          <w:t>3.3.1</w:t>
        </w:r>
        <w:r w:rsidRPr="0072600F">
          <w:rPr>
            <w:rFonts w:eastAsiaTheme="minorEastAsia"/>
            <w:noProof/>
            <w:sz w:val="26"/>
            <w:szCs w:val="26"/>
          </w:rPr>
          <w:tab/>
        </w:r>
        <w:r w:rsidRPr="0072600F">
          <w:rPr>
            <w:rStyle w:val="Hyperlink"/>
            <w:noProof/>
            <w:sz w:val="26"/>
            <w:szCs w:val="26"/>
          </w:rPr>
          <w:t>Surplus Interconnection Service Requests.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_Toc149903611 \h </w:instrText>
        </w:r>
        <w:r w:rsidRPr="0072600F">
          <w:rPr>
            <w:noProof/>
            <w:webHidden/>
            <w:sz w:val="26"/>
            <w:szCs w:val="26"/>
          </w:rPr>
          <w:fldChar w:fldCharType="separate"/>
        </w:r>
        <w:r w:rsidR="00C46123">
          <w:rPr>
            <w:noProof/>
            <w:webHidden/>
            <w:sz w:val="26"/>
            <w:szCs w:val="26"/>
          </w:rPr>
          <w:t>- 22 -</w:t>
        </w:r>
        <w:r w:rsidRPr="0072600F">
          <w:rPr>
            <w:noProof/>
            <w:webHidden/>
            <w:sz w:val="26"/>
            <w:szCs w:val="26"/>
          </w:rPr>
          <w:fldChar w:fldCharType="end"/>
        </w:r>
      </w:hyperlink>
    </w:p>
    <w:p w:rsidR="00911580" w:rsidRPr="0072600F" w14:paraId="26D7F25B" w14:textId="77777777">
      <w:pPr>
        <w:pStyle w:val="TOC2"/>
        <w:tabs>
          <w:tab w:val="left" w:pos="800"/>
        </w:tabs>
        <w:rPr>
          <w:rFonts w:eastAsiaTheme="minorEastAsia"/>
          <w:noProof/>
          <w:sz w:val="26"/>
          <w:szCs w:val="26"/>
        </w:rPr>
      </w:pPr>
      <w:hyperlink w:anchor="_Toc149903612" w:history="1">
        <w:r w:rsidRPr="0072600F">
          <w:rPr>
            <w:rStyle w:val="Hyperlink"/>
            <w:noProof/>
            <w:sz w:val="26"/>
            <w:szCs w:val="26"/>
          </w:rPr>
          <w:t>3.4</w:t>
        </w:r>
        <w:r w:rsidRPr="0072600F">
          <w:rPr>
            <w:rFonts w:eastAsiaTheme="minorEastAsia"/>
            <w:noProof/>
            <w:sz w:val="26"/>
            <w:szCs w:val="26"/>
          </w:rPr>
          <w:tab/>
        </w:r>
        <w:r w:rsidRPr="0072600F">
          <w:rPr>
            <w:rStyle w:val="Hyperlink"/>
            <w:noProof/>
            <w:sz w:val="26"/>
            <w:szCs w:val="26"/>
          </w:rPr>
          <w:t>Valid Interconnection Request.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_Toc149903612 \h </w:instrText>
        </w:r>
        <w:r w:rsidRPr="0072600F">
          <w:rPr>
            <w:noProof/>
            <w:webHidden/>
            <w:sz w:val="26"/>
            <w:szCs w:val="26"/>
          </w:rPr>
          <w:fldChar w:fldCharType="separate"/>
        </w:r>
        <w:r w:rsidR="00C46123">
          <w:rPr>
            <w:noProof/>
            <w:webHidden/>
            <w:sz w:val="26"/>
            <w:szCs w:val="26"/>
          </w:rPr>
          <w:t>- 23 -</w:t>
        </w:r>
        <w:r w:rsidRPr="0072600F">
          <w:rPr>
            <w:noProof/>
            <w:webHidden/>
            <w:sz w:val="26"/>
            <w:szCs w:val="26"/>
          </w:rPr>
          <w:fldChar w:fldCharType="end"/>
        </w:r>
      </w:hyperlink>
    </w:p>
    <w:p w:rsidR="00911580" w:rsidRPr="0072600F" w14:paraId="457945A1" w14:textId="77777777">
      <w:pPr>
        <w:pStyle w:val="TOC3"/>
        <w:tabs>
          <w:tab w:val="left" w:pos="1200"/>
          <w:tab w:val="right" w:leader="dot" w:pos="9350"/>
        </w:tabs>
        <w:rPr>
          <w:rFonts w:eastAsiaTheme="minorEastAsia"/>
          <w:noProof/>
          <w:sz w:val="26"/>
          <w:szCs w:val="26"/>
        </w:rPr>
      </w:pPr>
      <w:hyperlink w:anchor="_Toc149903613" w:history="1">
        <w:r w:rsidRPr="0072600F">
          <w:rPr>
            <w:rStyle w:val="Hyperlink"/>
            <w:noProof/>
            <w:sz w:val="26"/>
            <w:szCs w:val="26"/>
          </w:rPr>
          <w:t>3.4.1</w:t>
        </w:r>
        <w:r w:rsidRPr="0072600F">
          <w:rPr>
            <w:rFonts w:eastAsiaTheme="minorEastAsia"/>
            <w:noProof/>
            <w:sz w:val="26"/>
            <w:szCs w:val="26"/>
          </w:rPr>
          <w:tab/>
        </w:r>
        <w:r w:rsidRPr="0072600F">
          <w:rPr>
            <w:rStyle w:val="Hyperlink"/>
            <w:noProof/>
            <w:sz w:val="26"/>
            <w:szCs w:val="26"/>
          </w:rPr>
          <w:t>Cluster Request Window.</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_Toc149903613 \h </w:instrText>
        </w:r>
        <w:r w:rsidRPr="0072600F">
          <w:rPr>
            <w:noProof/>
            <w:webHidden/>
            <w:sz w:val="26"/>
            <w:szCs w:val="26"/>
          </w:rPr>
          <w:fldChar w:fldCharType="separate"/>
        </w:r>
        <w:r w:rsidR="00C46123">
          <w:rPr>
            <w:noProof/>
            <w:webHidden/>
            <w:sz w:val="26"/>
            <w:szCs w:val="26"/>
          </w:rPr>
          <w:t>- 23 -</w:t>
        </w:r>
        <w:r w:rsidRPr="0072600F">
          <w:rPr>
            <w:noProof/>
            <w:webHidden/>
            <w:sz w:val="26"/>
            <w:szCs w:val="26"/>
          </w:rPr>
          <w:fldChar w:fldCharType="end"/>
        </w:r>
      </w:hyperlink>
    </w:p>
    <w:p w:rsidR="00911580" w:rsidRPr="0072600F" w14:paraId="587110A5" w14:textId="77777777">
      <w:pPr>
        <w:pStyle w:val="TOC3"/>
        <w:tabs>
          <w:tab w:val="left" w:pos="1200"/>
          <w:tab w:val="right" w:leader="dot" w:pos="9350"/>
        </w:tabs>
        <w:rPr>
          <w:rFonts w:eastAsiaTheme="minorEastAsia"/>
          <w:noProof/>
          <w:sz w:val="26"/>
          <w:szCs w:val="26"/>
        </w:rPr>
      </w:pPr>
      <w:hyperlink w:anchor="_Toc149903614" w:history="1">
        <w:r w:rsidRPr="0072600F">
          <w:rPr>
            <w:rStyle w:val="Hyperlink"/>
            <w:rFonts w:eastAsia="Calibri"/>
            <w:noProof/>
            <w:sz w:val="26"/>
            <w:szCs w:val="26"/>
          </w:rPr>
          <w:t xml:space="preserve">3.4.2 </w:t>
        </w:r>
        <w:r w:rsidRPr="0072600F">
          <w:rPr>
            <w:rFonts w:eastAsiaTheme="minorEastAsia"/>
            <w:noProof/>
            <w:sz w:val="26"/>
            <w:szCs w:val="26"/>
          </w:rPr>
          <w:tab/>
        </w:r>
        <w:r w:rsidRPr="0072600F">
          <w:rPr>
            <w:rStyle w:val="Hyperlink"/>
            <w:rFonts w:eastAsia="Calibri"/>
            <w:noProof/>
            <w:sz w:val="26"/>
            <w:szCs w:val="26"/>
          </w:rPr>
          <w:t>Initiating an Interconnection Request.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_Toc149903614 \h </w:instrText>
        </w:r>
        <w:r w:rsidRPr="0072600F">
          <w:rPr>
            <w:noProof/>
            <w:webHidden/>
            <w:sz w:val="26"/>
            <w:szCs w:val="26"/>
          </w:rPr>
          <w:fldChar w:fldCharType="separate"/>
        </w:r>
        <w:r w:rsidR="00C46123">
          <w:rPr>
            <w:noProof/>
            <w:webHidden/>
            <w:sz w:val="26"/>
            <w:szCs w:val="26"/>
          </w:rPr>
          <w:t>- 23 -</w:t>
        </w:r>
        <w:r w:rsidRPr="0072600F">
          <w:rPr>
            <w:noProof/>
            <w:webHidden/>
            <w:sz w:val="26"/>
            <w:szCs w:val="26"/>
          </w:rPr>
          <w:fldChar w:fldCharType="end"/>
        </w:r>
      </w:hyperlink>
    </w:p>
    <w:p w:rsidR="00911580" w:rsidRPr="0072600F" w14:paraId="04987E02" w14:textId="77777777">
      <w:pPr>
        <w:pStyle w:val="TOC3"/>
        <w:tabs>
          <w:tab w:val="left" w:pos="1200"/>
          <w:tab w:val="right" w:leader="dot" w:pos="9350"/>
        </w:tabs>
        <w:rPr>
          <w:rFonts w:eastAsiaTheme="minorEastAsia"/>
          <w:noProof/>
          <w:sz w:val="26"/>
          <w:szCs w:val="26"/>
        </w:rPr>
      </w:pPr>
      <w:hyperlink w:anchor="_Toc149903615" w:history="1">
        <w:r w:rsidRPr="0072600F">
          <w:rPr>
            <w:rStyle w:val="Hyperlink"/>
            <w:noProof/>
            <w:sz w:val="26"/>
            <w:szCs w:val="26"/>
          </w:rPr>
          <w:t>3.4.3</w:t>
        </w:r>
        <w:r w:rsidRPr="0072600F">
          <w:rPr>
            <w:rFonts w:eastAsiaTheme="minorEastAsia"/>
            <w:noProof/>
            <w:sz w:val="26"/>
            <w:szCs w:val="26"/>
          </w:rPr>
          <w:tab/>
        </w:r>
        <w:r w:rsidRPr="0072600F">
          <w:rPr>
            <w:rStyle w:val="Hyperlink"/>
            <w:noProof/>
            <w:sz w:val="26"/>
            <w:szCs w:val="26"/>
          </w:rPr>
          <w:t>Acknowledgment of Interconnection Request.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_Toc149903615 \h </w:instrText>
        </w:r>
        <w:r w:rsidRPr="0072600F">
          <w:rPr>
            <w:noProof/>
            <w:webHidden/>
            <w:sz w:val="26"/>
            <w:szCs w:val="26"/>
          </w:rPr>
          <w:fldChar w:fldCharType="separate"/>
        </w:r>
        <w:r w:rsidR="00C46123">
          <w:rPr>
            <w:noProof/>
            <w:webHidden/>
            <w:sz w:val="26"/>
            <w:szCs w:val="26"/>
          </w:rPr>
          <w:t>- 26 -</w:t>
        </w:r>
        <w:r w:rsidRPr="0072600F">
          <w:rPr>
            <w:noProof/>
            <w:webHidden/>
            <w:sz w:val="26"/>
            <w:szCs w:val="26"/>
          </w:rPr>
          <w:fldChar w:fldCharType="end"/>
        </w:r>
      </w:hyperlink>
    </w:p>
    <w:p w:rsidR="00911580" w:rsidRPr="0072600F" w14:paraId="6926D410" w14:textId="77777777">
      <w:pPr>
        <w:pStyle w:val="TOC3"/>
        <w:tabs>
          <w:tab w:val="left" w:pos="1200"/>
          <w:tab w:val="right" w:leader="dot" w:pos="9350"/>
        </w:tabs>
        <w:rPr>
          <w:rFonts w:eastAsiaTheme="minorEastAsia"/>
          <w:noProof/>
          <w:sz w:val="26"/>
          <w:szCs w:val="26"/>
        </w:rPr>
      </w:pPr>
      <w:hyperlink w:anchor="_Toc149903616" w:history="1">
        <w:r w:rsidRPr="0072600F">
          <w:rPr>
            <w:rStyle w:val="Hyperlink"/>
            <w:noProof/>
            <w:sz w:val="26"/>
            <w:szCs w:val="26"/>
          </w:rPr>
          <w:t>3.4.4</w:t>
        </w:r>
        <w:r w:rsidRPr="0072600F">
          <w:rPr>
            <w:rFonts w:eastAsiaTheme="minorEastAsia"/>
            <w:noProof/>
            <w:sz w:val="26"/>
            <w:szCs w:val="26"/>
          </w:rPr>
          <w:tab/>
        </w:r>
        <w:r w:rsidRPr="0072600F">
          <w:rPr>
            <w:rStyle w:val="Hyperlink"/>
            <w:noProof/>
            <w:sz w:val="26"/>
            <w:szCs w:val="26"/>
          </w:rPr>
          <w:t>Deficiencies in Interconnection Request.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_Toc149903616 \h </w:instrText>
        </w:r>
        <w:r w:rsidRPr="0072600F">
          <w:rPr>
            <w:noProof/>
            <w:webHidden/>
            <w:sz w:val="26"/>
            <w:szCs w:val="26"/>
          </w:rPr>
          <w:fldChar w:fldCharType="separate"/>
        </w:r>
        <w:r w:rsidR="00C46123">
          <w:rPr>
            <w:noProof/>
            <w:webHidden/>
            <w:sz w:val="26"/>
            <w:szCs w:val="26"/>
          </w:rPr>
          <w:t>- 27 -</w:t>
        </w:r>
        <w:r w:rsidRPr="0072600F">
          <w:rPr>
            <w:noProof/>
            <w:webHidden/>
            <w:sz w:val="26"/>
            <w:szCs w:val="26"/>
          </w:rPr>
          <w:fldChar w:fldCharType="end"/>
        </w:r>
      </w:hyperlink>
    </w:p>
    <w:p w:rsidR="00911580" w:rsidRPr="0072600F" w14:paraId="11A252A4" w14:textId="77777777">
      <w:pPr>
        <w:pStyle w:val="TOC3"/>
        <w:tabs>
          <w:tab w:val="left" w:pos="1200"/>
          <w:tab w:val="right" w:leader="dot" w:pos="9350"/>
        </w:tabs>
        <w:rPr>
          <w:rFonts w:eastAsiaTheme="minorEastAsia"/>
          <w:noProof/>
          <w:sz w:val="26"/>
          <w:szCs w:val="26"/>
        </w:rPr>
      </w:pPr>
      <w:hyperlink w:anchor="_Toc149903617" w:history="1">
        <w:r w:rsidRPr="0072600F">
          <w:rPr>
            <w:rStyle w:val="Hyperlink"/>
            <w:rFonts w:eastAsia="Calibri"/>
            <w:noProof/>
            <w:sz w:val="26"/>
            <w:szCs w:val="26"/>
          </w:rPr>
          <w:t>3.4.5</w:t>
        </w:r>
        <w:r w:rsidRPr="0072600F">
          <w:rPr>
            <w:rFonts w:eastAsiaTheme="minorEastAsia"/>
            <w:noProof/>
            <w:sz w:val="26"/>
            <w:szCs w:val="26"/>
          </w:rPr>
          <w:tab/>
        </w:r>
        <w:r w:rsidRPr="0072600F">
          <w:rPr>
            <w:rStyle w:val="Hyperlink"/>
            <w:rFonts w:eastAsia="Calibri"/>
            <w:noProof/>
            <w:sz w:val="26"/>
            <w:szCs w:val="26"/>
          </w:rPr>
          <w:t>Customer Engagement Window.</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_Toc149903617 \h </w:instrText>
        </w:r>
        <w:r w:rsidRPr="0072600F">
          <w:rPr>
            <w:noProof/>
            <w:webHidden/>
            <w:sz w:val="26"/>
            <w:szCs w:val="26"/>
          </w:rPr>
          <w:fldChar w:fldCharType="separate"/>
        </w:r>
        <w:r w:rsidR="00C46123">
          <w:rPr>
            <w:noProof/>
            <w:webHidden/>
            <w:sz w:val="26"/>
            <w:szCs w:val="26"/>
          </w:rPr>
          <w:t>- 27 -</w:t>
        </w:r>
        <w:r w:rsidRPr="0072600F">
          <w:rPr>
            <w:noProof/>
            <w:webHidden/>
            <w:sz w:val="26"/>
            <w:szCs w:val="26"/>
          </w:rPr>
          <w:fldChar w:fldCharType="end"/>
        </w:r>
      </w:hyperlink>
    </w:p>
    <w:p w:rsidR="00911580" w:rsidRPr="0072600F" w14:paraId="1B49157A" w14:textId="77777777">
      <w:pPr>
        <w:pStyle w:val="TOC3"/>
        <w:tabs>
          <w:tab w:val="left" w:pos="1200"/>
          <w:tab w:val="right" w:leader="dot" w:pos="9350"/>
        </w:tabs>
        <w:rPr>
          <w:rFonts w:eastAsiaTheme="minorEastAsia"/>
          <w:noProof/>
          <w:sz w:val="26"/>
          <w:szCs w:val="26"/>
        </w:rPr>
      </w:pPr>
      <w:hyperlink w:anchor="_Toc149903618" w:history="1">
        <w:r w:rsidRPr="0072600F">
          <w:rPr>
            <w:rStyle w:val="Hyperlink"/>
            <w:noProof/>
            <w:sz w:val="26"/>
            <w:szCs w:val="26"/>
          </w:rPr>
          <w:t>3.4.6</w:t>
        </w:r>
        <w:r w:rsidRPr="0072600F">
          <w:rPr>
            <w:rFonts w:eastAsiaTheme="minorEastAsia"/>
            <w:noProof/>
            <w:sz w:val="26"/>
            <w:szCs w:val="26"/>
          </w:rPr>
          <w:tab/>
        </w:r>
        <w:r w:rsidRPr="0072600F">
          <w:rPr>
            <w:rStyle w:val="Hyperlink"/>
            <w:noProof/>
            <w:sz w:val="26"/>
            <w:szCs w:val="26"/>
          </w:rPr>
          <w:t>Cluster Study Scoping Meeting.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_Toc149903618 \h </w:instrText>
        </w:r>
        <w:r w:rsidRPr="0072600F">
          <w:rPr>
            <w:noProof/>
            <w:webHidden/>
            <w:sz w:val="26"/>
            <w:szCs w:val="26"/>
          </w:rPr>
          <w:fldChar w:fldCharType="separate"/>
        </w:r>
        <w:r w:rsidR="00C46123">
          <w:rPr>
            <w:noProof/>
            <w:webHidden/>
            <w:sz w:val="26"/>
            <w:szCs w:val="26"/>
          </w:rPr>
          <w:t>- 28 -</w:t>
        </w:r>
        <w:r w:rsidRPr="0072600F">
          <w:rPr>
            <w:noProof/>
            <w:webHidden/>
            <w:sz w:val="26"/>
            <w:szCs w:val="26"/>
          </w:rPr>
          <w:fldChar w:fldCharType="end"/>
        </w:r>
      </w:hyperlink>
    </w:p>
    <w:p w:rsidR="00911580" w:rsidRPr="0072600F" w14:paraId="5DC9B020" w14:textId="77777777">
      <w:pPr>
        <w:pStyle w:val="TOC2"/>
        <w:tabs>
          <w:tab w:val="left" w:pos="800"/>
        </w:tabs>
        <w:rPr>
          <w:rFonts w:eastAsiaTheme="minorEastAsia"/>
          <w:noProof/>
          <w:sz w:val="26"/>
          <w:szCs w:val="26"/>
        </w:rPr>
      </w:pPr>
      <w:hyperlink w:anchor="_Toc149903619" w:history="1">
        <w:r w:rsidRPr="0072600F">
          <w:rPr>
            <w:rStyle w:val="Hyperlink"/>
            <w:noProof/>
            <w:sz w:val="26"/>
            <w:szCs w:val="26"/>
          </w:rPr>
          <w:t>3.5.</w:t>
        </w:r>
        <w:r w:rsidRPr="0072600F">
          <w:rPr>
            <w:rFonts w:eastAsiaTheme="minorEastAsia"/>
            <w:noProof/>
            <w:sz w:val="26"/>
            <w:szCs w:val="26"/>
          </w:rPr>
          <w:tab/>
        </w:r>
        <w:r w:rsidRPr="0072600F">
          <w:rPr>
            <w:rStyle w:val="Hyperlink"/>
            <w:noProof/>
            <w:sz w:val="26"/>
            <w:szCs w:val="26"/>
          </w:rPr>
          <w:t>OASIS Posting.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_Toc149903619 \h </w:instrText>
        </w:r>
        <w:r w:rsidRPr="0072600F">
          <w:rPr>
            <w:noProof/>
            <w:webHidden/>
            <w:sz w:val="26"/>
            <w:szCs w:val="26"/>
          </w:rPr>
          <w:fldChar w:fldCharType="separate"/>
        </w:r>
        <w:r w:rsidR="00C46123">
          <w:rPr>
            <w:noProof/>
            <w:webHidden/>
            <w:sz w:val="26"/>
            <w:szCs w:val="26"/>
          </w:rPr>
          <w:t>- 29 -</w:t>
        </w:r>
        <w:r w:rsidRPr="0072600F">
          <w:rPr>
            <w:noProof/>
            <w:webHidden/>
            <w:sz w:val="26"/>
            <w:szCs w:val="26"/>
          </w:rPr>
          <w:fldChar w:fldCharType="end"/>
        </w:r>
      </w:hyperlink>
    </w:p>
    <w:p w:rsidR="00911580" w:rsidRPr="0072600F" w14:paraId="1D76AE6B" w14:textId="77777777">
      <w:pPr>
        <w:pStyle w:val="TOC3"/>
        <w:tabs>
          <w:tab w:val="left" w:pos="1200"/>
          <w:tab w:val="right" w:leader="dot" w:pos="9350"/>
        </w:tabs>
        <w:rPr>
          <w:rFonts w:eastAsiaTheme="minorEastAsia"/>
          <w:noProof/>
          <w:sz w:val="26"/>
          <w:szCs w:val="26"/>
        </w:rPr>
      </w:pPr>
      <w:hyperlink w:anchor="_Toc149903620" w:history="1">
        <w:r w:rsidRPr="0072600F">
          <w:rPr>
            <w:rStyle w:val="Hyperlink"/>
            <w:noProof/>
            <w:sz w:val="26"/>
            <w:szCs w:val="26"/>
          </w:rPr>
          <w:t>3.5.1</w:t>
        </w:r>
        <w:r w:rsidRPr="0072600F">
          <w:rPr>
            <w:rFonts w:eastAsiaTheme="minorEastAsia"/>
            <w:noProof/>
            <w:sz w:val="26"/>
            <w:szCs w:val="26"/>
          </w:rPr>
          <w:tab/>
        </w:r>
        <w:r w:rsidRPr="0072600F">
          <w:rPr>
            <w:rStyle w:val="Hyperlink"/>
            <w:noProof/>
            <w:sz w:val="26"/>
            <w:szCs w:val="26"/>
          </w:rPr>
          <w:t>OASIS Posting.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_Toc149903620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911580" w:rsidRPr="0072600F" w14:paraId="6D0DFCD6" w14:textId="77777777">
      <w:pPr>
        <w:pStyle w:val="TOC3"/>
        <w:tabs>
          <w:tab w:val="right" w:leader="dot" w:pos="9350"/>
        </w:tabs>
        <w:rPr>
          <w:rFonts w:eastAsiaTheme="minorEastAsia"/>
          <w:noProof/>
          <w:sz w:val="26"/>
          <w:szCs w:val="26"/>
        </w:rPr>
      </w:pPr>
      <w:hyperlink w:anchor="_Toc149903621" w:history="1">
        <w:r w:rsidRPr="0072600F">
          <w:rPr>
            <w:rStyle w:val="Hyperlink"/>
            <w:noProof/>
            <w:sz w:val="26"/>
            <w:szCs w:val="26"/>
          </w:rPr>
          <w:t>3.5.2   Requirement to Post Interconnection Study Metrics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_Toc149903621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911580" w:rsidRPr="0072600F" w14:paraId="4CA97FE6" w14:textId="77777777">
      <w:pPr>
        <w:pStyle w:val="TOC2"/>
        <w:tabs>
          <w:tab w:val="left" w:pos="800"/>
        </w:tabs>
        <w:rPr>
          <w:rFonts w:eastAsiaTheme="minorEastAsia"/>
          <w:noProof/>
          <w:sz w:val="26"/>
          <w:szCs w:val="26"/>
        </w:rPr>
      </w:pPr>
      <w:hyperlink w:anchor="_Toc149903624" w:history="1">
        <w:r w:rsidRPr="0072600F">
          <w:rPr>
            <w:rStyle w:val="Hyperlink"/>
            <w:noProof/>
            <w:sz w:val="26"/>
            <w:szCs w:val="26"/>
          </w:rPr>
          <w:t>3.6</w:t>
        </w:r>
        <w:r w:rsidRPr="0072600F">
          <w:rPr>
            <w:rFonts w:eastAsiaTheme="minorEastAsia"/>
            <w:noProof/>
            <w:sz w:val="26"/>
            <w:szCs w:val="26"/>
          </w:rPr>
          <w:tab/>
        </w:r>
        <w:r w:rsidRPr="0072600F">
          <w:rPr>
            <w:rStyle w:val="Hyperlink"/>
            <w:noProof/>
            <w:sz w:val="26"/>
            <w:szCs w:val="26"/>
          </w:rPr>
          <w:t>Coordination with Affected Systems.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_Toc149903624 \h </w:instrText>
        </w:r>
        <w:r w:rsidRPr="0072600F">
          <w:rPr>
            <w:noProof/>
            <w:webHidden/>
            <w:sz w:val="26"/>
            <w:szCs w:val="26"/>
          </w:rPr>
          <w:fldChar w:fldCharType="separate"/>
        </w:r>
        <w:r w:rsidR="00C46123">
          <w:rPr>
            <w:noProof/>
            <w:webHidden/>
            <w:sz w:val="26"/>
            <w:szCs w:val="26"/>
          </w:rPr>
          <w:t>- 38 -</w:t>
        </w:r>
        <w:r w:rsidRPr="0072600F">
          <w:rPr>
            <w:noProof/>
            <w:webHidden/>
            <w:sz w:val="26"/>
            <w:szCs w:val="26"/>
          </w:rPr>
          <w:fldChar w:fldCharType="end"/>
        </w:r>
      </w:hyperlink>
    </w:p>
    <w:p w:rsidR="00911580" w:rsidRPr="0072600F" w14:paraId="1D9C7299" w14:textId="77777777">
      <w:pPr>
        <w:pStyle w:val="TOC2"/>
        <w:tabs>
          <w:tab w:val="left" w:pos="800"/>
        </w:tabs>
        <w:rPr>
          <w:rFonts w:eastAsiaTheme="minorEastAsia"/>
          <w:noProof/>
          <w:sz w:val="26"/>
          <w:szCs w:val="26"/>
        </w:rPr>
      </w:pPr>
      <w:hyperlink w:anchor="_Toc149903625" w:history="1">
        <w:r w:rsidRPr="0072600F">
          <w:rPr>
            <w:rStyle w:val="Hyperlink"/>
            <w:noProof/>
            <w:sz w:val="26"/>
            <w:szCs w:val="26"/>
          </w:rPr>
          <w:t>3.7</w:t>
        </w:r>
        <w:r w:rsidRPr="0072600F">
          <w:rPr>
            <w:rFonts w:eastAsiaTheme="minorEastAsia"/>
            <w:noProof/>
            <w:sz w:val="26"/>
            <w:szCs w:val="26"/>
          </w:rPr>
          <w:tab/>
        </w:r>
        <w:r w:rsidRPr="0072600F">
          <w:rPr>
            <w:rStyle w:val="Hyperlink"/>
            <w:noProof/>
            <w:sz w:val="26"/>
            <w:szCs w:val="26"/>
          </w:rPr>
          <w:t>Withdrawal.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_Toc149903625 \h </w:instrText>
        </w:r>
        <w:r w:rsidRPr="0072600F">
          <w:rPr>
            <w:noProof/>
            <w:webHidden/>
            <w:sz w:val="26"/>
            <w:szCs w:val="26"/>
          </w:rPr>
          <w:fldChar w:fldCharType="separate"/>
        </w:r>
        <w:r w:rsidR="00C46123">
          <w:rPr>
            <w:noProof/>
            <w:webHidden/>
            <w:sz w:val="26"/>
            <w:szCs w:val="26"/>
          </w:rPr>
          <w:t>- 39 -</w:t>
        </w:r>
        <w:r w:rsidRPr="0072600F">
          <w:rPr>
            <w:noProof/>
            <w:webHidden/>
            <w:sz w:val="26"/>
            <w:szCs w:val="26"/>
          </w:rPr>
          <w:fldChar w:fldCharType="end"/>
        </w:r>
      </w:hyperlink>
    </w:p>
    <w:p w:rsidR="00911580" w:rsidRPr="0072600F" w:rsidP="003576D8" w14:paraId="15E51B78" w14:textId="77777777">
      <w:pPr>
        <w:pStyle w:val="TOC2"/>
        <w:tabs>
          <w:tab w:val="left" w:pos="800"/>
        </w:tabs>
        <w:rPr>
          <w:noProof/>
          <w:color w:val="0000FF"/>
          <w:sz w:val="26"/>
          <w:szCs w:val="26"/>
          <w:u w:val="single"/>
        </w:rPr>
      </w:pPr>
      <w:hyperlink w:anchor="_Toc149903626" w:history="1">
        <w:r w:rsidRPr="0072600F">
          <w:rPr>
            <w:rStyle w:val="Hyperlink"/>
            <w:noProof/>
            <w:sz w:val="26"/>
            <w:szCs w:val="26"/>
          </w:rPr>
          <w:t>3.8</w:t>
        </w:r>
        <w:r w:rsidRPr="0072600F">
          <w:rPr>
            <w:rFonts w:eastAsiaTheme="minorEastAsia"/>
            <w:noProof/>
            <w:sz w:val="26"/>
            <w:szCs w:val="26"/>
          </w:rPr>
          <w:tab/>
        </w:r>
        <w:r w:rsidRPr="0072600F">
          <w:rPr>
            <w:rStyle w:val="Hyperlink"/>
            <w:noProof/>
            <w:sz w:val="26"/>
            <w:szCs w:val="26"/>
          </w:rPr>
          <w:t>Identification of Contingent Facilities.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_Toc149903626 \h </w:instrText>
        </w:r>
        <w:r w:rsidRPr="0072600F">
          <w:rPr>
            <w:noProof/>
            <w:webHidden/>
            <w:sz w:val="26"/>
            <w:szCs w:val="26"/>
          </w:rPr>
          <w:fldChar w:fldCharType="separate"/>
        </w:r>
        <w:r w:rsidR="00C46123">
          <w:rPr>
            <w:noProof/>
            <w:webHidden/>
            <w:sz w:val="26"/>
            <w:szCs w:val="26"/>
          </w:rPr>
          <w:t>- 53 -</w:t>
        </w:r>
        <w:r w:rsidRPr="0072600F">
          <w:rPr>
            <w:noProof/>
            <w:webHidden/>
            <w:sz w:val="26"/>
            <w:szCs w:val="26"/>
          </w:rPr>
          <w:fldChar w:fldCharType="end"/>
        </w:r>
      </w:hyperlink>
    </w:p>
    <w:p w:rsidR="00911580" w:rsidRPr="0072600F" w14:paraId="115B93CD" w14:textId="77777777">
      <w:pPr>
        <w:pStyle w:val="TOC1"/>
        <w:tabs>
          <w:tab w:val="left" w:pos="1440"/>
        </w:tabs>
        <w:rPr>
          <w:rFonts w:eastAsiaTheme="minorEastAsia"/>
          <w:b w:val="0"/>
          <w:bCs w:val="0"/>
          <w:sz w:val="26"/>
          <w:szCs w:val="26"/>
        </w:rPr>
      </w:pPr>
      <w:hyperlink w:anchor="_Toc149903627" w:history="1">
        <w:r w:rsidRPr="0072600F">
          <w:rPr>
            <w:rStyle w:val="Hyperlink"/>
            <w:sz w:val="26"/>
            <w:szCs w:val="26"/>
          </w:rPr>
          <w:t>Section 4.</w:t>
        </w:r>
        <w:r w:rsidRPr="0072600F">
          <w:rPr>
            <w:rFonts w:eastAsiaTheme="minorEastAsia"/>
            <w:sz w:val="26"/>
            <w:szCs w:val="26"/>
          </w:rPr>
          <w:tab/>
        </w:r>
        <w:r w:rsidRPr="0072600F">
          <w:rPr>
            <w:rStyle w:val="Hyperlink"/>
            <w:sz w:val="26"/>
            <w:szCs w:val="26"/>
          </w:rPr>
          <w:t>Interconnection Request Evaluation Process.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_Toc149903627 \h </w:instrText>
        </w:r>
        <w:r w:rsidRPr="0072600F">
          <w:rPr>
            <w:b w:val="0"/>
            <w:bCs w:val="0"/>
            <w:webHidden/>
            <w:sz w:val="26"/>
            <w:szCs w:val="26"/>
          </w:rPr>
          <w:fldChar w:fldCharType="separate"/>
        </w:r>
        <w:r w:rsidR="00C46123">
          <w:rPr>
            <w:webHidden/>
            <w:sz w:val="26"/>
            <w:szCs w:val="26"/>
          </w:rPr>
          <w:t>- 56 -</w:t>
        </w:r>
        <w:r w:rsidRPr="0072600F">
          <w:rPr>
            <w:b w:val="0"/>
            <w:bCs w:val="0"/>
            <w:webHidden/>
            <w:sz w:val="26"/>
            <w:szCs w:val="26"/>
          </w:rPr>
          <w:fldChar w:fldCharType="end"/>
        </w:r>
      </w:hyperlink>
    </w:p>
    <w:p w:rsidR="00911580" w:rsidRPr="0072600F" w14:paraId="0141E4B6" w14:textId="77777777">
      <w:pPr>
        <w:pStyle w:val="TOC2"/>
        <w:tabs>
          <w:tab w:val="left" w:pos="800"/>
        </w:tabs>
        <w:rPr>
          <w:rFonts w:eastAsiaTheme="minorEastAsia"/>
          <w:noProof/>
          <w:sz w:val="26"/>
          <w:szCs w:val="26"/>
        </w:rPr>
      </w:pPr>
      <w:hyperlink w:anchor="_Toc149903628" w:history="1">
        <w:r w:rsidRPr="0072600F">
          <w:rPr>
            <w:rStyle w:val="Hyperlink"/>
            <w:noProof/>
            <w:sz w:val="26"/>
            <w:szCs w:val="26"/>
          </w:rPr>
          <w:t>4.1</w:t>
        </w:r>
        <w:r w:rsidRPr="0072600F">
          <w:rPr>
            <w:rFonts w:eastAsiaTheme="minorEastAsia"/>
            <w:noProof/>
            <w:sz w:val="26"/>
            <w:szCs w:val="26"/>
          </w:rPr>
          <w:tab/>
        </w:r>
        <w:r w:rsidRPr="0072600F">
          <w:rPr>
            <w:rStyle w:val="Hyperlink"/>
            <w:noProof/>
            <w:sz w:val="26"/>
            <w:szCs w:val="26"/>
          </w:rPr>
          <w:t>Queue Position.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_Toc149903628 \h </w:instrText>
        </w:r>
        <w:r w:rsidRPr="0072600F">
          <w:rPr>
            <w:noProof/>
            <w:webHidden/>
            <w:sz w:val="26"/>
            <w:szCs w:val="26"/>
          </w:rPr>
          <w:fldChar w:fldCharType="separate"/>
        </w:r>
        <w:r w:rsidR="00C46123">
          <w:rPr>
            <w:noProof/>
            <w:webHidden/>
            <w:sz w:val="26"/>
            <w:szCs w:val="26"/>
          </w:rPr>
          <w:t>- 56 -</w:t>
        </w:r>
        <w:r w:rsidRPr="0072600F">
          <w:rPr>
            <w:noProof/>
            <w:webHidden/>
            <w:sz w:val="26"/>
            <w:szCs w:val="26"/>
          </w:rPr>
          <w:fldChar w:fldCharType="end"/>
        </w:r>
      </w:hyperlink>
    </w:p>
    <w:p w:rsidR="00911580" w:rsidRPr="0072600F" w14:paraId="57EFC74C" w14:textId="77777777">
      <w:pPr>
        <w:pStyle w:val="TOC3"/>
        <w:tabs>
          <w:tab w:val="left" w:pos="1200"/>
          <w:tab w:val="right" w:leader="dot" w:pos="9350"/>
        </w:tabs>
        <w:rPr>
          <w:rFonts w:eastAsiaTheme="minorEastAsia"/>
          <w:noProof/>
          <w:sz w:val="26"/>
          <w:szCs w:val="26"/>
        </w:rPr>
      </w:pPr>
      <w:hyperlink w:anchor="_Toc149903629" w:history="1">
        <w:r w:rsidRPr="0072600F">
          <w:rPr>
            <w:rStyle w:val="Hyperlink"/>
            <w:noProof/>
            <w:sz w:val="26"/>
            <w:szCs w:val="26"/>
          </w:rPr>
          <w:t xml:space="preserve">4.1.1 </w:t>
        </w:r>
        <w:r w:rsidRPr="0072600F">
          <w:rPr>
            <w:rFonts w:eastAsiaTheme="minorEastAsia"/>
            <w:noProof/>
            <w:sz w:val="26"/>
            <w:szCs w:val="26"/>
          </w:rPr>
          <w:tab/>
        </w:r>
        <w:r w:rsidRPr="0072600F">
          <w:rPr>
            <w:rStyle w:val="Hyperlink"/>
            <w:noProof/>
            <w:sz w:val="26"/>
            <w:szCs w:val="26"/>
          </w:rPr>
          <w:t>Assignment of Queue Position.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_Toc149903629 \h </w:instrText>
        </w:r>
        <w:r w:rsidRPr="0072600F">
          <w:rPr>
            <w:noProof/>
            <w:webHidden/>
            <w:sz w:val="26"/>
            <w:szCs w:val="26"/>
          </w:rPr>
          <w:fldChar w:fldCharType="separate"/>
        </w:r>
        <w:r w:rsidR="00C46123">
          <w:rPr>
            <w:noProof/>
            <w:webHidden/>
            <w:sz w:val="26"/>
            <w:szCs w:val="26"/>
          </w:rPr>
          <w:t>- 57 -</w:t>
        </w:r>
        <w:r w:rsidRPr="0072600F">
          <w:rPr>
            <w:noProof/>
            <w:webHidden/>
            <w:sz w:val="26"/>
            <w:szCs w:val="26"/>
          </w:rPr>
          <w:fldChar w:fldCharType="end"/>
        </w:r>
      </w:hyperlink>
    </w:p>
    <w:p w:rsidR="00911580" w:rsidRPr="0072600F" w14:paraId="24BD9CC2" w14:textId="77777777">
      <w:pPr>
        <w:pStyle w:val="TOC3"/>
        <w:tabs>
          <w:tab w:val="left" w:pos="1200"/>
          <w:tab w:val="right" w:leader="dot" w:pos="9350"/>
        </w:tabs>
        <w:rPr>
          <w:rFonts w:eastAsiaTheme="minorEastAsia"/>
          <w:noProof/>
          <w:sz w:val="26"/>
          <w:szCs w:val="26"/>
        </w:rPr>
      </w:pPr>
      <w:hyperlink w:anchor="_Toc149903630" w:history="1">
        <w:r w:rsidRPr="0072600F">
          <w:rPr>
            <w:rStyle w:val="Hyperlink"/>
            <w:rFonts w:eastAsia="Calibri"/>
            <w:noProof/>
            <w:sz w:val="26"/>
            <w:szCs w:val="26"/>
          </w:rPr>
          <w:t>4.1.2</w:t>
        </w:r>
        <w:r w:rsidRPr="0072600F">
          <w:rPr>
            <w:rFonts w:eastAsiaTheme="minorEastAsia"/>
            <w:noProof/>
            <w:sz w:val="26"/>
            <w:szCs w:val="26"/>
          </w:rPr>
          <w:tab/>
        </w:r>
        <w:r w:rsidRPr="0072600F">
          <w:rPr>
            <w:rStyle w:val="Hyperlink"/>
            <w:rFonts w:eastAsia="Calibri"/>
            <w:noProof/>
            <w:sz w:val="26"/>
            <w:szCs w:val="26"/>
          </w:rPr>
          <w:t>Higher Queue Position.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_Toc149903630 \h </w:instrText>
        </w:r>
        <w:r w:rsidRPr="0072600F">
          <w:rPr>
            <w:noProof/>
            <w:webHidden/>
            <w:sz w:val="26"/>
            <w:szCs w:val="26"/>
          </w:rPr>
          <w:fldChar w:fldCharType="separate"/>
        </w:r>
        <w:r w:rsidR="00C46123">
          <w:rPr>
            <w:noProof/>
            <w:webHidden/>
            <w:sz w:val="26"/>
            <w:szCs w:val="26"/>
          </w:rPr>
          <w:t>- 57 -</w:t>
        </w:r>
        <w:r w:rsidRPr="0072600F">
          <w:rPr>
            <w:noProof/>
            <w:webHidden/>
            <w:sz w:val="26"/>
            <w:szCs w:val="26"/>
          </w:rPr>
          <w:fldChar w:fldCharType="end"/>
        </w:r>
      </w:hyperlink>
    </w:p>
    <w:p w:rsidR="00911580" w:rsidRPr="0072600F" w14:paraId="19337DDE" w14:textId="77777777">
      <w:pPr>
        <w:pStyle w:val="TOC2"/>
        <w:tabs>
          <w:tab w:val="left" w:pos="800"/>
        </w:tabs>
        <w:rPr>
          <w:rFonts w:eastAsiaTheme="minorEastAsia"/>
          <w:noProof/>
          <w:sz w:val="26"/>
          <w:szCs w:val="26"/>
        </w:rPr>
      </w:pPr>
      <w:hyperlink w:anchor="_Toc149903631" w:history="1">
        <w:r w:rsidRPr="0072600F">
          <w:rPr>
            <w:rStyle w:val="Hyperlink"/>
            <w:noProof/>
            <w:sz w:val="26"/>
            <w:szCs w:val="26"/>
          </w:rPr>
          <w:t>4.2.</w:t>
        </w:r>
        <w:r w:rsidRPr="0072600F">
          <w:rPr>
            <w:rFonts w:eastAsiaTheme="minorEastAsia"/>
            <w:noProof/>
            <w:sz w:val="26"/>
            <w:szCs w:val="26"/>
          </w:rPr>
          <w:tab/>
        </w:r>
        <w:r w:rsidRPr="0072600F">
          <w:rPr>
            <w:rStyle w:val="Hyperlink"/>
            <w:noProof/>
            <w:sz w:val="26"/>
            <w:szCs w:val="26"/>
          </w:rPr>
          <w:t>General Study Process.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_Toc149903631 \h </w:instrText>
        </w:r>
        <w:r w:rsidRPr="0072600F">
          <w:rPr>
            <w:noProof/>
            <w:webHidden/>
            <w:sz w:val="26"/>
            <w:szCs w:val="26"/>
          </w:rPr>
          <w:fldChar w:fldCharType="separate"/>
        </w:r>
        <w:r w:rsidR="00C46123">
          <w:rPr>
            <w:noProof/>
            <w:webHidden/>
            <w:sz w:val="26"/>
            <w:szCs w:val="26"/>
          </w:rPr>
          <w:t>- 57 -</w:t>
        </w:r>
        <w:r w:rsidRPr="0072600F">
          <w:rPr>
            <w:noProof/>
            <w:webHidden/>
            <w:sz w:val="26"/>
            <w:szCs w:val="26"/>
          </w:rPr>
          <w:fldChar w:fldCharType="end"/>
        </w:r>
      </w:hyperlink>
    </w:p>
    <w:p w:rsidR="00911580" w:rsidRPr="0072600F" w14:paraId="67707ABF" w14:textId="77777777">
      <w:pPr>
        <w:pStyle w:val="TOC3"/>
        <w:tabs>
          <w:tab w:val="left" w:pos="1200"/>
          <w:tab w:val="right" w:leader="dot" w:pos="9350"/>
        </w:tabs>
        <w:rPr>
          <w:rFonts w:eastAsiaTheme="minorEastAsia"/>
          <w:noProof/>
          <w:sz w:val="26"/>
          <w:szCs w:val="26"/>
        </w:rPr>
      </w:pPr>
      <w:hyperlink w:anchor="_Toc149903632" w:history="1">
        <w:r w:rsidRPr="0072600F">
          <w:rPr>
            <w:rStyle w:val="Hyperlink"/>
            <w:rFonts w:eastAsia="Calibri"/>
            <w:noProof/>
            <w:sz w:val="26"/>
            <w:szCs w:val="26"/>
          </w:rPr>
          <w:t>4.2.1</w:t>
        </w:r>
        <w:r w:rsidRPr="0072600F">
          <w:rPr>
            <w:rFonts w:eastAsiaTheme="minorEastAsia"/>
            <w:noProof/>
            <w:sz w:val="26"/>
            <w:szCs w:val="26"/>
          </w:rPr>
          <w:tab/>
        </w:r>
        <w:r w:rsidRPr="0072600F">
          <w:rPr>
            <w:rStyle w:val="Hyperlink"/>
            <w:rFonts w:eastAsia="Calibri"/>
            <w:noProof/>
            <w:sz w:val="26"/>
            <w:szCs w:val="26"/>
          </w:rPr>
          <w:t>Cost Allocation for Interconnection Facilities and Network Upgrades.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_Toc149903632 \h </w:instrText>
        </w:r>
        <w:r w:rsidRPr="0072600F">
          <w:rPr>
            <w:noProof/>
            <w:webHidden/>
            <w:sz w:val="26"/>
            <w:szCs w:val="26"/>
          </w:rPr>
          <w:fldChar w:fldCharType="separate"/>
        </w:r>
        <w:r w:rsidR="00C46123">
          <w:rPr>
            <w:noProof/>
            <w:webHidden/>
            <w:sz w:val="26"/>
            <w:szCs w:val="26"/>
          </w:rPr>
          <w:t>- 57 -</w:t>
        </w:r>
        <w:r w:rsidRPr="0072600F">
          <w:rPr>
            <w:noProof/>
            <w:webHidden/>
            <w:sz w:val="26"/>
            <w:szCs w:val="26"/>
          </w:rPr>
          <w:fldChar w:fldCharType="end"/>
        </w:r>
      </w:hyperlink>
    </w:p>
    <w:p w:rsidR="00911580" w:rsidRPr="0072600F" w14:paraId="6121EE11" w14:textId="77777777">
      <w:pPr>
        <w:pStyle w:val="TOC2"/>
        <w:tabs>
          <w:tab w:val="left" w:pos="800"/>
        </w:tabs>
        <w:rPr>
          <w:rFonts w:eastAsiaTheme="minorEastAsia"/>
          <w:noProof/>
          <w:sz w:val="26"/>
          <w:szCs w:val="26"/>
        </w:rPr>
      </w:pPr>
      <w:hyperlink w:anchor="_Toc149903633" w:history="1">
        <w:r w:rsidRPr="0072600F">
          <w:rPr>
            <w:rStyle w:val="Hyperlink"/>
            <w:noProof/>
            <w:sz w:val="26"/>
            <w:szCs w:val="26"/>
          </w:rPr>
          <w:t>4.3</w:t>
        </w:r>
        <w:r w:rsidRPr="0072600F">
          <w:rPr>
            <w:rFonts w:eastAsiaTheme="minorEastAsia"/>
            <w:noProof/>
            <w:sz w:val="26"/>
            <w:szCs w:val="26"/>
          </w:rPr>
          <w:tab/>
        </w:r>
        <w:r w:rsidRPr="0072600F">
          <w:rPr>
            <w:rStyle w:val="Hyperlink"/>
            <w:noProof/>
            <w:sz w:val="26"/>
            <w:szCs w:val="26"/>
          </w:rPr>
          <w:t>Transferability of Queue Position.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_Toc149903633 \h </w:instrText>
        </w:r>
        <w:r w:rsidRPr="0072600F">
          <w:rPr>
            <w:noProof/>
            <w:webHidden/>
            <w:sz w:val="26"/>
            <w:szCs w:val="26"/>
          </w:rPr>
          <w:fldChar w:fldCharType="separate"/>
        </w:r>
        <w:r w:rsidR="00C46123">
          <w:rPr>
            <w:noProof/>
            <w:webHidden/>
            <w:sz w:val="26"/>
            <w:szCs w:val="26"/>
          </w:rPr>
          <w:t>- 59 -</w:t>
        </w:r>
        <w:r w:rsidRPr="0072600F">
          <w:rPr>
            <w:noProof/>
            <w:webHidden/>
            <w:sz w:val="26"/>
            <w:szCs w:val="26"/>
          </w:rPr>
          <w:fldChar w:fldCharType="end"/>
        </w:r>
      </w:hyperlink>
    </w:p>
    <w:p w:rsidR="00911580" w:rsidRPr="0072600F" w14:paraId="6DB6E59A" w14:textId="77777777">
      <w:pPr>
        <w:pStyle w:val="TOC2"/>
        <w:tabs>
          <w:tab w:val="left" w:pos="800"/>
        </w:tabs>
        <w:rPr>
          <w:rFonts w:eastAsiaTheme="minorEastAsia"/>
          <w:noProof/>
          <w:sz w:val="26"/>
          <w:szCs w:val="26"/>
        </w:rPr>
      </w:pPr>
      <w:hyperlink w:anchor="_Toc149903634" w:history="1">
        <w:r w:rsidRPr="0072600F">
          <w:rPr>
            <w:rStyle w:val="Hyperlink"/>
            <w:noProof/>
            <w:sz w:val="26"/>
            <w:szCs w:val="26"/>
          </w:rPr>
          <w:t>4.4</w:t>
        </w:r>
        <w:r w:rsidRPr="0072600F">
          <w:rPr>
            <w:rFonts w:eastAsiaTheme="minorEastAsia"/>
            <w:noProof/>
            <w:sz w:val="26"/>
            <w:szCs w:val="26"/>
          </w:rPr>
          <w:tab/>
        </w:r>
        <w:r w:rsidRPr="0072600F">
          <w:rPr>
            <w:rStyle w:val="Hyperlink"/>
            <w:noProof/>
            <w:sz w:val="26"/>
            <w:szCs w:val="26"/>
          </w:rPr>
          <w:t>Modifications.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_Toc149903634 \h </w:instrText>
        </w:r>
        <w:r w:rsidRPr="0072600F">
          <w:rPr>
            <w:noProof/>
            <w:webHidden/>
            <w:sz w:val="26"/>
            <w:szCs w:val="26"/>
          </w:rPr>
          <w:fldChar w:fldCharType="separate"/>
        </w:r>
        <w:r w:rsidR="00C46123">
          <w:rPr>
            <w:noProof/>
            <w:webHidden/>
            <w:sz w:val="26"/>
            <w:szCs w:val="26"/>
          </w:rPr>
          <w:t>- 59 -</w:t>
        </w:r>
        <w:r w:rsidRPr="0072600F">
          <w:rPr>
            <w:noProof/>
            <w:webHidden/>
            <w:sz w:val="26"/>
            <w:szCs w:val="26"/>
          </w:rPr>
          <w:fldChar w:fldCharType="end"/>
        </w:r>
      </w:hyperlink>
    </w:p>
    <w:p w:rsidR="00911580" w:rsidRPr="0072600F" w14:paraId="1C934693" w14:textId="77777777">
      <w:pPr>
        <w:pStyle w:val="TOC3"/>
        <w:tabs>
          <w:tab w:val="left" w:pos="1200"/>
          <w:tab w:val="right" w:leader="dot" w:pos="9350"/>
        </w:tabs>
        <w:rPr>
          <w:rFonts w:eastAsiaTheme="minorEastAsia"/>
          <w:noProof/>
          <w:sz w:val="26"/>
          <w:szCs w:val="26"/>
        </w:rPr>
      </w:pPr>
      <w:hyperlink w:anchor="_Toc149903640" w:history="1">
        <w:r w:rsidRPr="0072600F">
          <w:rPr>
            <w:rStyle w:val="Hyperlink"/>
            <w:noProof/>
            <w:sz w:val="26"/>
            <w:szCs w:val="26"/>
          </w:rPr>
          <w:t>4.4.6</w:t>
        </w:r>
        <w:r w:rsidRPr="0072600F">
          <w:rPr>
            <w:rFonts w:eastAsiaTheme="minorEastAsia"/>
            <w:noProof/>
            <w:sz w:val="26"/>
            <w:szCs w:val="26"/>
          </w:rPr>
          <w:tab/>
        </w:r>
        <w:r w:rsidRPr="0072600F">
          <w:rPr>
            <w:rStyle w:val="Hyperlink"/>
            <w:noProof/>
            <w:sz w:val="26"/>
            <w:szCs w:val="26"/>
          </w:rPr>
          <w:t>Technological Change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_Toc149903640 \h </w:instrText>
        </w:r>
        <w:r w:rsidRPr="0072600F">
          <w:rPr>
            <w:noProof/>
            <w:webHidden/>
            <w:sz w:val="26"/>
            <w:szCs w:val="26"/>
          </w:rPr>
          <w:fldChar w:fldCharType="separate"/>
        </w:r>
        <w:r w:rsidR="00C46123">
          <w:rPr>
            <w:noProof/>
            <w:webHidden/>
            <w:sz w:val="26"/>
            <w:szCs w:val="26"/>
          </w:rPr>
          <w:t>- 63 -</w:t>
        </w:r>
        <w:r w:rsidRPr="0072600F">
          <w:rPr>
            <w:noProof/>
            <w:webHidden/>
            <w:sz w:val="26"/>
            <w:szCs w:val="26"/>
          </w:rPr>
          <w:fldChar w:fldCharType="end"/>
        </w:r>
      </w:hyperlink>
    </w:p>
    <w:p w:rsidR="00911580" w:rsidRPr="0072600F" w14:paraId="5907322B" w14:textId="77777777">
      <w:pPr>
        <w:pStyle w:val="TOC1"/>
        <w:tabs>
          <w:tab w:val="left" w:pos="1440"/>
        </w:tabs>
        <w:rPr>
          <w:rFonts w:eastAsiaTheme="minorEastAsia"/>
          <w:b w:val="0"/>
          <w:bCs w:val="0"/>
          <w:sz w:val="26"/>
          <w:szCs w:val="26"/>
        </w:rPr>
      </w:pPr>
      <w:hyperlink w:anchor="_Toc149903641" w:history="1">
        <w:r w:rsidRPr="0072600F">
          <w:rPr>
            <w:rStyle w:val="Hyperlink"/>
            <w:sz w:val="26"/>
            <w:szCs w:val="26"/>
          </w:rPr>
          <w:t>Section 5.</w:t>
        </w:r>
        <w:r w:rsidRPr="0072600F">
          <w:rPr>
            <w:rFonts w:eastAsiaTheme="minorEastAsia"/>
            <w:sz w:val="26"/>
            <w:szCs w:val="26"/>
          </w:rPr>
          <w:tab/>
        </w:r>
        <w:r w:rsidRPr="0072600F">
          <w:rPr>
            <w:rStyle w:val="Hyperlink"/>
            <w:sz w:val="26"/>
            <w:szCs w:val="26"/>
          </w:rPr>
          <w:t>Procedures for Interconnection Requests Submitted Prior to Effective Date of the Cluster Study Revisions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_Toc149903641 \h </w:instrText>
        </w:r>
        <w:r w:rsidRPr="0072600F">
          <w:rPr>
            <w:b w:val="0"/>
            <w:bCs w:val="0"/>
            <w:webHidden/>
            <w:sz w:val="26"/>
            <w:szCs w:val="26"/>
          </w:rPr>
          <w:fldChar w:fldCharType="separate"/>
        </w:r>
        <w:r w:rsidR="00C46123">
          <w:rPr>
            <w:webHidden/>
            <w:sz w:val="26"/>
            <w:szCs w:val="26"/>
          </w:rPr>
          <w:t>- 63 -</w:t>
        </w:r>
        <w:r w:rsidRPr="0072600F">
          <w:rPr>
            <w:b w:val="0"/>
            <w:bCs w:val="0"/>
            <w:webHidden/>
            <w:sz w:val="26"/>
            <w:szCs w:val="26"/>
          </w:rPr>
          <w:fldChar w:fldCharType="end"/>
        </w:r>
      </w:hyperlink>
    </w:p>
    <w:p w:rsidR="00911580" w:rsidRPr="0072600F" w14:paraId="041C8161" w14:textId="77777777">
      <w:pPr>
        <w:pStyle w:val="TOC2"/>
        <w:tabs>
          <w:tab w:val="left" w:pos="800"/>
        </w:tabs>
        <w:rPr>
          <w:rFonts w:eastAsiaTheme="minorEastAsia"/>
          <w:noProof/>
          <w:sz w:val="26"/>
          <w:szCs w:val="26"/>
        </w:rPr>
      </w:pPr>
      <w:hyperlink w:anchor="_Toc149903642" w:history="1">
        <w:r w:rsidRPr="0072600F">
          <w:rPr>
            <w:rStyle w:val="Hyperlink"/>
            <w:noProof/>
            <w:sz w:val="26"/>
            <w:szCs w:val="26"/>
          </w:rPr>
          <w:t>5.1</w:t>
        </w:r>
        <w:r w:rsidRPr="0072600F">
          <w:rPr>
            <w:rFonts w:eastAsiaTheme="minorEastAsia"/>
            <w:noProof/>
            <w:sz w:val="26"/>
            <w:szCs w:val="26"/>
          </w:rPr>
          <w:tab/>
        </w:r>
        <w:r w:rsidRPr="0072600F">
          <w:rPr>
            <w:rStyle w:val="Hyperlink"/>
            <w:noProof/>
            <w:sz w:val="26"/>
            <w:szCs w:val="26"/>
          </w:rPr>
          <w:t>Procedures for Transitioning to the Cluster Study Process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_Toc149903642 \h </w:instrText>
        </w:r>
        <w:r w:rsidRPr="0072600F">
          <w:rPr>
            <w:noProof/>
            <w:webHidden/>
            <w:sz w:val="26"/>
            <w:szCs w:val="26"/>
          </w:rPr>
          <w:fldChar w:fldCharType="separate"/>
        </w:r>
        <w:r w:rsidR="00C46123">
          <w:rPr>
            <w:noProof/>
            <w:webHidden/>
            <w:sz w:val="26"/>
            <w:szCs w:val="26"/>
          </w:rPr>
          <w:t>- 63 -</w:t>
        </w:r>
        <w:r w:rsidRPr="0072600F">
          <w:rPr>
            <w:noProof/>
            <w:webHidden/>
            <w:sz w:val="26"/>
            <w:szCs w:val="26"/>
          </w:rPr>
          <w:fldChar w:fldCharType="end"/>
        </w:r>
      </w:hyperlink>
    </w:p>
    <w:p w:rsidR="00911580" w:rsidRPr="0072600F" w14:paraId="549C0CFA" w14:textId="77777777">
      <w:pPr>
        <w:pStyle w:val="TOC2"/>
        <w:tabs>
          <w:tab w:val="left" w:pos="800"/>
        </w:tabs>
        <w:rPr>
          <w:rFonts w:eastAsiaTheme="minorEastAsia"/>
          <w:noProof/>
          <w:sz w:val="26"/>
          <w:szCs w:val="26"/>
        </w:rPr>
      </w:pPr>
      <w:hyperlink w:anchor="_Toc149903644" w:history="1">
        <w:r w:rsidRPr="0072600F">
          <w:rPr>
            <w:rStyle w:val="Hyperlink"/>
            <w:noProof/>
            <w:sz w:val="26"/>
            <w:szCs w:val="26"/>
          </w:rPr>
          <w:t>5.2</w:t>
        </w:r>
        <w:r w:rsidRPr="0072600F">
          <w:rPr>
            <w:rFonts w:eastAsiaTheme="minorEastAsia"/>
            <w:noProof/>
            <w:sz w:val="26"/>
            <w:szCs w:val="26"/>
          </w:rPr>
          <w:tab/>
        </w:r>
        <w:r w:rsidRPr="0072600F">
          <w:rPr>
            <w:rStyle w:val="Hyperlink"/>
            <w:noProof/>
            <w:sz w:val="26"/>
            <w:szCs w:val="26"/>
          </w:rPr>
          <w:t>New Transmission Provider.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_Toc149903644 \h </w:instrText>
        </w:r>
        <w:r w:rsidRPr="0072600F">
          <w:rPr>
            <w:noProof/>
            <w:webHidden/>
            <w:sz w:val="26"/>
            <w:szCs w:val="26"/>
          </w:rPr>
          <w:fldChar w:fldCharType="separate"/>
        </w:r>
        <w:r w:rsidR="00C46123">
          <w:rPr>
            <w:noProof/>
            <w:webHidden/>
            <w:sz w:val="26"/>
            <w:szCs w:val="26"/>
          </w:rPr>
          <w:t>- 70 -</w:t>
        </w:r>
        <w:r w:rsidRPr="0072600F">
          <w:rPr>
            <w:noProof/>
            <w:webHidden/>
            <w:sz w:val="26"/>
            <w:szCs w:val="26"/>
          </w:rPr>
          <w:fldChar w:fldCharType="end"/>
        </w:r>
      </w:hyperlink>
    </w:p>
    <w:p w:rsidR="00911580" w:rsidRPr="0072600F" w14:paraId="01AAA924" w14:textId="77777777">
      <w:pPr>
        <w:pStyle w:val="TOC1"/>
        <w:tabs>
          <w:tab w:val="left" w:pos="1440"/>
        </w:tabs>
        <w:rPr>
          <w:rFonts w:eastAsiaTheme="minorEastAsia"/>
          <w:b w:val="0"/>
          <w:bCs w:val="0"/>
          <w:sz w:val="26"/>
          <w:szCs w:val="26"/>
        </w:rPr>
      </w:pPr>
      <w:hyperlink w:anchor="_Toc149903645" w:history="1">
        <w:r w:rsidRPr="0072600F">
          <w:rPr>
            <w:rStyle w:val="Hyperlink"/>
            <w:sz w:val="26"/>
            <w:szCs w:val="26"/>
          </w:rPr>
          <w:t>Section 6.</w:t>
        </w:r>
        <w:r w:rsidRPr="0072600F">
          <w:rPr>
            <w:rFonts w:eastAsiaTheme="minorEastAsia"/>
            <w:sz w:val="26"/>
            <w:szCs w:val="26"/>
          </w:rPr>
          <w:tab/>
        </w:r>
        <w:r w:rsidRPr="0072600F">
          <w:rPr>
            <w:rStyle w:val="Hyperlink"/>
            <w:sz w:val="26"/>
            <w:szCs w:val="26"/>
          </w:rPr>
          <w:t>Interconnection Information Access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_Toc149903645 \h </w:instrText>
        </w:r>
        <w:r w:rsidRPr="0072600F">
          <w:rPr>
            <w:b w:val="0"/>
            <w:bCs w:val="0"/>
            <w:webHidden/>
            <w:sz w:val="26"/>
            <w:szCs w:val="26"/>
          </w:rPr>
          <w:fldChar w:fldCharType="separate"/>
        </w:r>
        <w:r w:rsidR="00C46123">
          <w:rPr>
            <w:webHidden/>
            <w:sz w:val="26"/>
            <w:szCs w:val="26"/>
          </w:rPr>
          <w:t>- 71 -</w:t>
        </w:r>
        <w:r w:rsidRPr="0072600F">
          <w:rPr>
            <w:b w:val="0"/>
            <w:bCs w:val="0"/>
            <w:webHidden/>
            <w:sz w:val="26"/>
            <w:szCs w:val="26"/>
          </w:rPr>
          <w:fldChar w:fldCharType="end"/>
        </w:r>
      </w:hyperlink>
    </w:p>
    <w:p w:rsidR="00911580" w:rsidRPr="0072600F" w14:paraId="0B278726" w14:textId="77777777">
      <w:pPr>
        <w:pStyle w:val="TOC2"/>
        <w:tabs>
          <w:tab w:val="left" w:pos="800"/>
        </w:tabs>
        <w:rPr>
          <w:rFonts w:eastAsiaTheme="minorEastAsia"/>
          <w:noProof/>
          <w:sz w:val="26"/>
          <w:szCs w:val="26"/>
        </w:rPr>
      </w:pPr>
      <w:hyperlink w:anchor="_Toc149903646" w:history="1">
        <w:r w:rsidRPr="0072600F">
          <w:rPr>
            <w:rStyle w:val="Hyperlink"/>
            <w:noProof/>
            <w:sz w:val="26"/>
            <w:szCs w:val="26"/>
          </w:rPr>
          <w:t>6.1</w:t>
        </w:r>
        <w:r w:rsidRPr="0072600F">
          <w:rPr>
            <w:rFonts w:eastAsiaTheme="minorEastAsia"/>
            <w:noProof/>
            <w:sz w:val="26"/>
            <w:szCs w:val="26"/>
          </w:rPr>
          <w:tab/>
        </w:r>
        <w:r w:rsidRPr="0072600F">
          <w:rPr>
            <w:rStyle w:val="Hyperlink"/>
            <w:noProof/>
            <w:sz w:val="26"/>
            <w:szCs w:val="26"/>
          </w:rPr>
          <w:t>Publicly Posted Interconnection Information.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_Toc149903646 \h </w:instrText>
        </w:r>
        <w:r w:rsidRPr="0072600F">
          <w:rPr>
            <w:noProof/>
            <w:webHidden/>
            <w:sz w:val="26"/>
            <w:szCs w:val="26"/>
          </w:rPr>
          <w:fldChar w:fldCharType="separate"/>
        </w:r>
        <w:r w:rsidR="00C46123">
          <w:rPr>
            <w:noProof/>
            <w:webHidden/>
            <w:sz w:val="26"/>
            <w:szCs w:val="26"/>
          </w:rPr>
          <w:t>- 71 -</w:t>
        </w:r>
        <w:r w:rsidRPr="0072600F">
          <w:rPr>
            <w:noProof/>
            <w:webHidden/>
            <w:sz w:val="26"/>
            <w:szCs w:val="26"/>
          </w:rPr>
          <w:fldChar w:fldCharType="end"/>
        </w:r>
      </w:hyperlink>
    </w:p>
    <w:p w:rsidR="00911580" w:rsidRPr="0072600F" w14:paraId="067871B6" w14:textId="77777777">
      <w:pPr>
        <w:pStyle w:val="TOC1"/>
        <w:tabs>
          <w:tab w:val="left" w:pos="1440"/>
        </w:tabs>
        <w:rPr>
          <w:rFonts w:eastAsiaTheme="minorEastAsia"/>
          <w:b w:val="0"/>
          <w:bCs w:val="0"/>
          <w:sz w:val="26"/>
          <w:szCs w:val="26"/>
        </w:rPr>
      </w:pPr>
      <w:hyperlink w:anchor="_Toc149903647" w:history="1">
        <w:r w:rsidRPr="0072600F">
          <w:rPr>
            <w:rStyle w:val="Hyperlink"/>
            <w:sz w:val="26"/>
            <w:szCs w:val="26"/>
          </w:rPr>
          <w:t>Section 7.</w:t>
        </w:r>
        <w:r w:rsidRPr="0072600F">
          <w:rPr>
            <w:rFonts w:eastAsiaTheme="minorEastAsia"/>
            <w:sz w:val="26"/>
            <w:szCs w:val="26"/>
          </w:rPr>
          <w:tab/>
        </w:r>
        <w:r w:rsidRPr="0072600F">
          <w:rPr>
            <w:rStyle w:val="Hyperlink"/>
            <w:sz w:val="26"/>
            <w:szCs w:val="26"/>
          </w:rPr>
          <w:t>Cluster Study</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_Toc149903647 \h </w:instrText>
        </w:r>
        <w:r w:rsidRPr="0072600F">
          <w:rPr>
            <w:b w:val="0"/>
            <w:bCs w:val="0"/>
            <w:webHidden/>
            <w:sz w:val="26"/>
            <w:szCs w:val="26"/>
          </w:rPr>
          <w:fldChar w:fldCharType="separate"/>
        </w:r>
        <w:r w:rsidR="00C46123">
          <w:rPr>
            <w:webHidden/>
            <w:sz w:val="26"/>
            <w:szCs w:val="26"/>
          </w:rPr>
          <w:t>- 71 -</w:t>
        </w:r>
        <w:r w:rsidRPr="0072600F">
          <w:rPr>
            <w:b w:val="0"/>
            <w:bCs w:val="0"/>
            <w:webHidden/>
            <w:sz w:val="26"/>
            <w:szCs w:val="26"/>
          </w:rPr>
          <w:fldChar w:fldCharType="end"/>
        </w:r>
      </w:hyperlink>
    </w:p>
    <w:p w:rsidR="00911580" w:rsidRPr="0072600F" w14:paraId="55AF005D" w14:textId="77777777">
      <w:pPr>
        <w:pStyle w:val="TOC2"/>
        <w:tabs>
          <w:tab w:val="left" w:pos="800"/>
        </w:tabs>
        <w:rPr>
          <w:rFonts w:eastAsiaTheme="minorEastAsia"/>
          <w:noProof/>
          <w:sz w:val="26"/>
          <w:szCs w:val="26"/>
        </w:rPr>
      </w:pPr>
      <w:hyperlink w:anchor="_Toc149903648" w:history="1">
        <w:r w:rsidRPr="0072600F">
          <w:rPr>
            <w:rStyle w:val="Hyperlink"/>
            <w:noProof/>
            <w:sz w:val="26"/>
            <w:szCs w:val="26"/>
          </w:rPr>
          <w:t>7.1</w:t>
        </w:r>
        <w:r w:rsidRPr="0072600F">
          <w:rPr>
            <w:rFonts w:eastAsiaTheme="minorEastAsia"/>
            <w:noProof/>
            <w:sz w:val="26"/>
            <w:szCs w:val="26"/>
          </w:rPr>
          <w:tab/>
        </w:r>
        <w:r w:rsidRPr="0072600F">
          <w:rPr>
            <w:rStyle w:val="Hyperlink"/>
            <w:noProof/>
            <w:sz w:val="26"/>
            <w:szCs w:val="26"/>
          </w:rPr>
          <w:t>Cluster Study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_Toc149903648 \h </w:instrText>
        </w:r>
        <w:r w:rsidRPr="0072600F">
          <w:rPr>
            <w:noProof/>
            <w:webHidden/>
            <w:sz w:val="26"/>
            <w:szCs w:val="26"/>
          </w:rPr>
          <w:fldChar w:fldCharType="separate"/>
        </w:r>
        <w:r w:rsidR="00C46123">
          <w:rPr>
            <w:noProof/>
            <w:webHidden/>
            <w:sz w:val="26"/>
            <w:szCs w:val="26"/>
          </w:rPr>
          <w:t>- 72 -</w:t>
        </w:r>
        <w:r w:rsidRPr="0072600F">
          <w:rPr>
            <w:noProof/>
            <w:webHidden/>
            <w:sz w:val="26"/>
            <w:szCs w:val="26"/>
          </w:rPr>
          <w:fldChar w:fldCharType="end"/>
        </w:r>
      </w:hyperlink>
    </w:p>
    <w:p w:rsidR="00911580" w:rsidRPr="0072600F" w14:paraId="35ADD5A4" w14:textId="77777777">
      <w:pPr>
        <w:pStyle w:val="TOC2"/>
        <w:tabs>
          <w:tab w:val="left" w:pos="800"/>
        </w:tabs>
        <w:rPr>
          <w:rFonts w:eastAsiaTheme="minorEastAsia"/>
          <w:noProof/>
          <w:sz w:val="26"/>
          <w:szCs w:val="26"/>
        </w:rPr>
      </w:pPr>
      <w:hyperlink w:anchor="_Toc149903649" w:history="1">
        <w:r w:rsidRPr="0072600F">
          <w:rPr>
            <w:rStyle w:val="Hyperlink"/>
            <w:noProof/>
            <w:sz w:val="26"/>
            <w:szCs w:val="26"/>
          </w:rPr>
          <w:t>7.2</w:t>
        </w:r>
        <w:r w:rsidRPr="0072600F">
          <w:rPr>
            <w:rFonts w:eastAsiaTheme="minorEastAsia"/>
            <w:noProof/>
            <w:sz w:val="26"/>
            <w:szCs w:val="26"/>
          </w:rPr>
          <w:tab/>
        </w:r>
        <w:r w:rsidRPr="0072600F">
          <w:rPr>
            <w:rStyle w:val="Hyperlink"/>
            <w:noProof/>
            <w:sz w:val="26"/>
            <w:szCs w:val="26"/>
          </w:rPr>
          <w:t>Execution of Cluster Study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_Toc149903649 \h </w:instrText>
        </w:r>
        <w:r w:rsidRPr="0072600F">
          <w:rPr>
            <w:noProof/>
            <w:webHidden/>
            <w:sz w:val="26"/>
            <w:szCs w:val="26"/>
          </w:rPr>
          <w:fldChar w:fldCharType="separate"/>
        </w:r>
        <w:r w:rsidR="00C46123">
          <w:rPr>
            <w:noProof/>
            <w:webHidden/>
            <w:sz w:val="26"/>
            <w:szCs w:val="26"/>
          </w:rPr>
          <w:t>- 72 -</w:t>
        </w:r>
        <w:r w:rsidRPr="0072600F">
          <w:rPr>
            <w:noProof/>
            <w:webHidden/>
            <w:sz w:val="26"/>
            <w:szCs w:val="26"/>
          </w:rPr>
          <w:fldChar w:fldCharType="end"/>
        </w:r>
      </w:hyperlink>
    </w:p>
    <w:p w:rsidR="00911580" w:rsidRPr="0072600F" w14:paraId="68E9D010" w14:textId="77777777">
      <w:pPr>
        <w:pStyle w:val="TOC2"/>
        <w:tabs>
          <w:tab w:val="left" w:pos="800"/>
        </w:tabs>
        <w:rPr>
          <w:rFonts w:eastAsiaTheme="minorEastAsia"/>
          <w:noProof/>
          <w:sz w:val="26"/>
          <w:szCs w:val="26"/>
        </w:rPr>
      </w:pPr>
      <w:hyperlink w:anchor="_Toc149903650" w:history="1">
        <w:r w:rsidRPr="0072600F">
          <w:rPr>
            <w:rStyle w:val="Hyperlink"/>
            <w:noProof/>
            <w:sz w:val="26"/>
            <w:szCs w:val="26"/>
          </w:rPr>
          <w:t>7.3</w:t>
        </w:r>
        <w:r w:rsidRPr="0072600F">
          <w:rPr>
            <w:rFonts w:eastAsiaTheme="minorEastAsia"/>
            <w:noProof/>
            <w:sz w:val="26"/>
            <w:szCs w:val="26"/>
          </w:rPr>
          <w:tab/>
        </w:r>
        <w:r w:rsidRPr="0072600F">
          <w:rPr>
            <w:rStyle w:val="Hyperlink"/>
            <w:noProof/>
            <w:sz w:val="26"/>
            <w:szCs w:val="26"/>
          </w:rPr>
          <w:t>Scope of Cluster Study.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_Toc149903650 \h </w:instrText>
        </w:r>
        <w:r w:rsidRPr="0072600F">
          <w:rPr>
            <w:noProof/>
            <w:webHidden/>
            <w:sz w:val="26"/>
            <w:szCs w:val="26"/>
          </w:rPr>
          <w:fldChar w:fldCharType="separate"/>
        </w:r>
        <w:r w:rsidR="00C46123">
          <w:rPr>
            <w:noProof/>
            <w:webHidden/>
            <w:sz w:val="26"/>
            <w:szCs w:val="26"/>
          </w:rPr>
          <w:t>- 72 -</w:t>
        </w:r>
        <w:r w:rsidRPr="0072600F">
          <w:rPr>
            <w:noProof/>
            <w:webHidden/>
            <w:sz w:val="26"/>
            <w:szCs w:val="26"/>
          </w:rPr>
          <w:fldChar w:fldCharType="end"/>
        </w:r>
      </w:hyperlink>
    </w:p>
    <w:p w:rsidR="00911580" w:rsidRPr="0072600F" w14:paraId="6CDFEDB2" w14:textId="77777777">
      <w:pPr>
        <w:pStyle w:val="TOC2"/>
        <w:tabs>
          <w:tab w:val="left" w:pos="800"/>
        </w:tabs>
        <w:rPr>
          <w:rFonts w:eastAsiaTheme="minorEastAsia"/>
          <w:noProof/>
          <w:sz w:val="26"/>
          <w:szCs w:val="26"/>
        </w:rPr>
      </w:pPr>
      <w:hyperlink w:anchor="_Toc149903651" w:history="1">
        <w:r w:rsidRPr="0072600F">
          <w:rPr>
            <w:rStyle w:val="Hyperlink"/>
            <w:noProof/>
            <w:sz w:val="26"/>
            <w:szCs w:val="26"/>
          </w:rPr>
          <w:t>7.4</w:t>
        </w:r>
        <w:r w:rsidRPr="0072600F">
          <w:rPr>
            <w:rFonts w:eastAsiaTheme="minorEastAsia"/>
            <w:noProof/>
            <w:sz w:val="26"/>
            <w:szCs w:val="26"/>
          </w:rPr>
          <w:tab/>
        </w:r>
        <w:r w:rsidRPr="0072600F">
          <w:rPr>
            <w:rStyle w:val="Hyperlink"/>
            <w:noProof/>
            <w:sz w:val="26"/>
            <w:szCs w:val="26"/>
          </w:rPr>
          <w:t>Cluster Study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_Toc149903651 \h </w:instrText>
        </w:r>
        <w:r w:rsidRPr="0072600F">
          <w:rPr>
            <w:noProof/>
            <w:webHidden/>
            <w:sz w:val="26"/>
            <w:szCs w:val="26"/>
          </w:rPr>
          <w:fldChar w:fldCharType="separate"/>
        </w:r>
        <w:r w:rsidR="00C46123">
          <w:rPr>
            <w:noProof/>
            <w:webHidden/>
            <w:sz w:val="26"/>
            <w:szCs w:val="26"/>
          </w:rPr>
          <w:t>- 75 -</w:t>
        </w:r>
        <w:r w:rsidRPr="0072600F">
          <w:rPr>
            <w:noProof/>
            <w:webHidden/>
            <w:sz w:val="26"/>
            <w:szCs w:val="26"/>
          </w:rPr>
          <w:fldChar w:fldCharType="end"/>
        </w:r>
      </w:hyperlink>
    </w:p>
    <w:p w:rsidR="00911580" w:rsidRPr="0072600F" w14:paraId="65AEB77A" w14:textId="77777777">
      <w:pPr>
        <w:pStyle w:val="TOC2"/>
        <w:tabs>
          <w:tab w:val="left" w:pos="800"/>
        </w:tabs>
        <w:rPr>
          <w:rFonts w:eastAsiaTheme="minorEastAsia"/>
          <w:noProof/>
          <w:sz w:val="26"/>
          <w:szCs w:val="26"/>
        </w:rPr>
      </w:pPr>
      <w:hyperlink w:anchor="_Toc149903652" w:history="1">
        <w:r w:rsidRPr="0072600F">
          <w:rPr>
            <w:rStyle w:val="Hyperlink"/>
            <w:noProof/>
            <w:sz w:val="26"/>
            <w:szCs w:val="26"/>
          </w:rPr>
          <w:t>7.5</w:t>
        </w:r>
        <w:r w:rsidRPr="0072600F">
          <w:rPr>
            <w:rFonts w:eastAsiaTheme="minorEastAsia"/>
            <w:noProof/>
            <w:sz w:val="26"/>
            <w:szCs w:val="26"/>
          </w:rPr>
          <w:tab/>
        </w:r>
        <w:r w:rsidRPr="0072600F">
          <w:rPr>
            <w:rStyle w:val="Hyperlink"/>
            <w:noProof/>
            <w:sz w:val="26"/>
            <w:szCs w:val="26"/>
          </w:rPr>
          <w:t>Cluster Study Restudies.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_Toc149903652 \h </w:instrText>
        </w:r>
        <w:r w:rsidRPr="0072600F">
          <w:rPr>
            <w:noProof/>
            <w:webHidden/>
            <w:sz w:val="26"/>
            <w:szCs w:val="26"/>
          </w:rPr>
          <w:fldChar w:fldCharType="separate"/>
        </w:r>
        <w:r w:rsidR="00C46123">
          <w:rPr>
            <w:noProof/>
            <w:webHidden/>
            <w:sz w:val="26"/>
            <w:szCs w:val="26"/>
          </w:rPr>
          <w:t>- 76 -</w:t>
        </w:r>
        <w:r w:rsidRPr="0072600F">
          <w:rPr>
            <w:noProof/>
            <w:webHidden/>
            <w:sz w:val="26"/>
            <w:szCs w:val="26"/>
          </w:rPr>
          <w:fldChar w:fldCharType="end"/>
        </w:r>
      </w:hyperlink>
    </w:p>
    <w:p w:rsidR="00911580" w:rsidRPr="0072600F" w14:paraId="7AC1C039" w14:textId="77777777">
      <w:pPr>
        <w:pStyle w:val="TOC1"/>
        <w:tabs>
          <w:tab w:val="left" w:pos="1440"/>
        </w:tabs>
        <w:rPr>
          <w:rFonts w:eastAsiaTheme="minorEastAsia"/>
          <w:b w:val="0"/>
          <w:bCs w:val="0"/>
          <w:sz w:val="26"/>
          <w:szCs w:val="26"/>
        </w:rPr>
      </w:pPr>
      <w:hyperlink w:anchor="_Toc149903653" w:history="1">
        <w:r w:rsidRPr="0072600F">
          <w:rPr>
            <w:rStyle w:val="Hyperlink"/>
            <w:sz w:val="26"/>
            <w:szCs w:val="26"/>
          </w:rPr>
          <w:t>Section 8.</w:t>
        </w:r>
        <w:r w:rsidRPr="0072600F">
          <w:rPr>
            <w:rFonts w:eastAsiaTheme="minorEastAsia"/>
            <w:sz w:val="26"/>
            <w:szCs w:val="26"/>
          </w:rPr>
          <w:tab/>
        </w:r>
        <w:r w:rsidRPr="0072600F">
          <w:rPr>
            <w:rStyle w:val="Hyperlink"/>
            <w:sz w:val="26"/>
            <w:szCs w:val="26"/>
          </w:rPr>
          <w:t>Interconnection Facilities Study</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_Toc149903653 \h </w:instrText>
        </w:r>
        <w:r w:rsidRPr="0072600F">
          <w:rPr>
            <w:b w:val="0"/>
            <w:bCs w:val="0"/>
            <w:webHidden/>
            <w:sz w:val="26"/>
            <w:szCs w:val="26"/>
          </w:rPr>
          <w:fldChar w:fldCharType="separate"/>
        </w:r>
        <w:r w:rsidR="00C46123">
          <w:rPr>
            <w:webHidden/>
            <w:sz w:val="26"/>
            <w:szCs w:val="26"/>
          </w:rPr>
          <w:t>- 78 -</w:t>
        </w:r>
        <w:r w:rsidRPr="0072600F">
          <w:rPr>
            <w:b w:val="0"/>
            <w:bCs w:val="0"/>
            <w:webHidden/>
            <w:sz w:val="26"/>
            <w:szCs w:val="26"/>
          </w:rPr>
          <w:fldChar w:fldCharType="end"/>
        </w:r>
      </w:hyperlink>
    </w:p>
    <w:p w:rsidR="00911580" w:rsidRPr="0072600F" w14:paraId="75F8430A" w14:textId="77777777">
      <w:pPr>
        <w:pStyle w:val="TOC2"/>
        <w:tabs>
          <w:tab w:val="left" w:pos="800"/>
        </w:tabs>
        <w:rPr>
          <w:rFonts w:eastAsiaTheme="minorEastAsia"/>
          <w:noProof/>
          <w:sz w:val="26"/>
          <w:szCs w:val="26"/>
        </w:rPr>
      </w:pPr>
      <w:hyperlink w:anchor="_Toc149903654" w:history="1">
        <w:r w:rsidRPr="0072600F">
          <w:rPr>
            <w:rStyle w:val="Hyperlink"/>
            <w:noProof/>
            <w:sz w:val="26"/>
            <w:szCs w:val="26"/>
          </w:rPr>
          <w:t>8.1</w:t>
        </w:r>
        <w:r w:rsidRPr="0072600F">
          <w:rPr>
            <w:rFonts w:eastAsiaTheme="minorEastAsia"/>
            <w:noProof/>
            <w:sz w:val="26"/>
            <w:szCs w:val="26"/>
          </w:rPr>
          <w:tab/>
        </w:r>
        <w:r w:rsidRPr="0072600F">
          <w:rPr>
            <w:rStyle w:val="Hyperlink"/>
            <w:noProof/>
            <w:sz w:val="26"/>
            <w:szCs w:val="26"/>
          </w:rPr>
          <w:t>Interconnection Facilities Study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_Toc149903654 \h </w:instrText>
        </w:r>
        <w:r w:rsidRPr="0072600F">
          <w:rPr>
            <w:noProof/>
            <w:webHidden/>
            <w:sz w:val="26"/>
            <w:szCs w:val="26"/>
          </w:rPr>
          <w:fldChar w:fldCharType="separate"/>
        </w:r>
        <w:r w:rsidR="00C46123">
          <w:rPr>
            <w:noProof/>
            <w:webHidden/>
            <w:sz w:val="26"/>
            <w:szCs w:val="26"/>
          </w:rPr>
          <w:t>- 78 -</w:t>
        </w:r>
        <w:r w:rsidRPr="0072600F">
          <w:rPr>
            <w:noProof/>
            <w:webHidden/>
            <w:sz w:val="26"/>
            <w:szCs w:val="26"/>
          </w:rPr>
          <w:fldChar w:fldCharType="end"/>
        </w:r>
      </w:hyperlink>
    </w:p>
    <w:p w:rsidR="00911580" w:rsidRPr="0072600F" w14:paraId="5030CC0B" w14:textId="77777777">
      <w:pPr>
        <w:pStyle w:val="TOC2"/>
        <w:tabs>
          <w:tab w:val="left" w:pos="800"/>
        </w:tabs>
        <w:rPr>
          <w:rFonts w:eastAsiaTheme="minorEastAsia"/>
          <w:noProof/>
          <w:sz w:val="26"/>
          <w:szCs w:val="26"/>
        </w:rPr>
      </w:pPr>
      <w:hyperlink w:anchor="_Toc149903655" w:history="1">
        <w:r w:rsidRPr="0072600F">
          <w:rPr>
            <w:rStyle w:val="Hyperlink"/>
            <w:noProof/>
            <w:sz w:val="26"/>
            <w:szCs w:val="26"/>
          </w:rPr>
          <w:t>8.2</w:t>
        </w:r>
        <w:r w:rsidRPr="0072600F">
          <w:rPr>
            <w:rFonts w:eastAsiaTheme="minorEastAsia"/>
            <w:noProof/>
            <w:sz w:val="26"/>
            <w:szCs w:val="26"/>
          </w:rPr>
          <w:tab/>
        </w:r>
        <w:r w:rsidRPr="0072600F">
          <w:rPr>
            <w:rStyle w:val="Hyperlink"/>
            <w:noProof/>
            <w:sz w:val="26"/>
            <w:szCs w:val="26"/>
          </w:rPr>
          <w:t>Scope of Interconnection Facilities Study.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_Toc149903655 \h </w:instrText>
        </w:r>
        <w:r w:rsidRPr="0072600F">
          <w:rPr>
            <w:noProof/>
            <w:webHidden/>
            <w:sz w:val="26"/>
            <w:szCs w:val="26"/>
          </w:rPr>
          <w:fldChar w:fldCharType="separate"/>
        </w:r>
        <w:r w:rsidR="00C46123">
          <w:rPr>
            <w:noProof/>
            <w:webHidden/>
            <w:sz w:val="26"/>
            <w:szCs w:val="26"/>
          </w:rPr>
          <w:t>- 80 -</w:t>
        </w:r>
        <w:r w:rsidRPr="0072600F">
          <w:rPr>
            <w:noProof/>
            <w:webHidden/>
            <w:sz w:val="26"/>
            <w:szCs w:val="26"/>
          </w:rPr>
          <w:fldChar w:fldCharType="end"/>
        </w:r>
      </w:hyperlink>
    </w:p>
    <w:p w:rsidR="00911580" w:rsidRPr="0072600F" w14:paraId="7B10B41C" w14:textId="77777777">
      <w:pPr>
        <w:pStyle w:val="TOC2"/>
        <w:tabs>
          <w:tab w:val="left" w:pos="800"/>
        </w:tabs>
        <w:rPr>
          <w:rFonts w:eastAsiaTheme="minorEastAsia"/>
          <w:noProof/>
          <w:sz w:val="26"/>
          <w:szCs w:val="26"/>
        </w:rPr>
      </w:pPr>
      <w:hyperlink w:anchor="_Toc149903656" w:history="1">
        <w:r w:rsidRPr="0072600F">
          <w:rPr>
            <w:rStyle w:val="Hyperlink"/>
            <w:noProof/>
            <w:sz w:val="26"/>
            <w:szCs w:val="26"/>
          </w:rPr>
          <w:t>8.3</w:t>
        </w:r>
        <w:r w:rsidRPr="0072600F">
          <w:rPr>
            <w:rFonts w:eastAsiaTheme="minorEastAsia"/>
            <w:noProof/>
            <w:sz w:val="26"/>
            <w:szCs w:val="26"/>
          </w:rPr>
          <w:tab/>
        </w:r>
        <w:r w:rsidRPr="0072600F">
          <w:rPr>
            <w:rStyle w:val="Hyperlink"/>
            <w:noProof/>
            <w:sz w:val="26"/>
            <w:szCs w:val="26"/>
          </w:rPr>
          <w:t>Interconnection Facilities Study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_Toc149903656 \h </w:instrText>
        </w:r>
        <w:r w:rsidRPr="0072600F">
          <w:rPr>
            <w:noProof/>
            <w:webHidden/>
            <w:sz w:val="26"/>
            <w:szCs w:val="26"/>
          </w:rPr>
          <w:fldChar w:fldCharType="separate"/>
        </w:r>
        <w:r w:rsidR="00C46123">
          <w:rPr>
            <w:noProof/>
            <w:webHidden/>
            <w:sz w:val="26"/>
            <w:szCs w:val="26"/>
          </w:rPr>
          <w:t>- 80 -</w:t>
        </w:r>
        <w:r w:rsidRPr="0072600F">
          <w:rPr>
            <w:noProof/>
            <w:webHidden/>
            <w:sz w:val="26"/>
            <w:szCs w:val="26"/>
          </w:rPr>
          <w:fldChar w:fldCharType="end"/>
        </w:r>
      </w:hyperlink>
    </w:p>
    <w:p w:rsidR="00911580" w:rsidRPr="0072600F" w14:paraId="4ADA8883" w14:textId="77777777">
      <w:pPr>
        <w:pStyle w:val="TOC2"/>
        <w:tabs>
          <w:tab w:val="left" w:pos="800"/>
        </w:tabs>
        <w:rPr>
          <w:rFonts w:eastAsiaTheme="minorEastAsia"/>
          <w:noProof/>
          <w:sz w:val="26"/>
          <w:szCs w:val="26"/>
        </w:rPr>
      </w:pPr>
      <w:hyperlink w:anchor="_Toc149903657" w:history="1">
        <w:r w:rsidRPr="0072600F">
          <w:rPr>
            <w:rStyle w:val="Hyperlink"/>
            <w:noProof/>
            <w:sz w:val="26"/>
            <w:szCs w:val="26"/>
          </w:rPr>
          <w:t>8.4</w:t>
        </w:r>
        <w:r w:rsidRPr="0072600F">
          <w:rPr>
            <w:rFonts w:eastAsiaTheme="minorEastAsia"/>
            <w:noProof/>
            <w:sz w:val="26"/>
            <w:szCs w:val="26"/>
          </w:rPr>
          <w:tab/>
        </w:r>
        <w:r w:rsidRPr="0072600F">
          <w:rPr>
            <w:rStyle w:val="Hyperlink"/>
            <w:noProof/>
            <w:sz w:val="26"/>
            <w:szCs w:val="26"/>
          </w:rPr>
          <w:t>Meeting with Transmission Provider.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_Toc149903657 \h </w:instrText>
        </w:r>
        <w:r w:rsidRPr="0072600F">
          <w:rPr>
            <w:noProof/>
            <w:webHidden/>
            <w:sz w:val="26"/>
            <w:szCs w:val="26"/>
          </w:rPr>
          <w:fldChar w:fldCharType="separate"/>
        </w:r>
        <w:r w:rsidR="00C46123">
          <w:rPr>
            <w:noProof/>
            <w:webHidden/>
            <w:sz w:val="26"/>
            <w:szCs w:val="26"/>
          </w:rPr>
          <w:t>- 82 -</w:t>
        </w:r>
        <w:r w:rsidRPr="0072600F">
          <w:rPr>
            <w:noProof/>
            <w:webHidden/>
            <w:sz w:val="26"/>
            <w:szCs w:val="26"/>
          </w:rPr>
          <w:fldChar w:fldCharType="end"/>
        </w:r>
      </w:hyperlink>
    </w:p>
    <w:p w:rsidR="00911580" w:rsidRPr="0072600F" w14:paraId="3CB3EA9F" w14:textId="77777777">
      <w:pPr>
        <w:pStyle w:val="TOC2"/>
        <w:tabs>
          <w:tab w:val="left" w:pos="800"/>
        </w:tabs>
        <w:rPr>
          <w:rFonts w:eastAsiaTheme="minorEastAsia"/>
          <w:noProof/>
          <w:sz w:val="26"/>
          <w:szCs w:val="26"/>
        </w:rPr>
      </w:pPr>
      <w:hyperlink w:anchor="_Toc149903658" w:history="1">
        <w:r w:rsidRPr="0072600F">
          <w:rPr>
            <w:rStyle w:val="Hyperlink"/>
            <w:noProof/>
            <w:sz w:val="26"/>
            <w:szCs w:val="26"/>
          </w:rPr>
          <w:t>8.5</w:t>
        </w:r>
        <w:r w:rsidRPr="0072600F">
          <w:rPr>
            <w:rFonts w:eastAsiaTheme="minorEastAsia"/>
            <w:noProof/>
            <w:sz w:val="26"/>
            <w:szCs w:val="26"/>
          </w:rPr>
          <w:tab/>
        </w:r>
        <w:r w:rsidRPr="0072600F">
          <w:rPr>
            <w:rStyle w:val="Hyperlink"/>
            <w:noProof/>
            <w:sz w:val="26"/>
            <w:szCs w:val="26"/>
          </w:rPr>
          <w:t>Restudy.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_Toc149903658 \h </w:instrText>
        </w:r>
        <w:r w:rsidRPr="0072600F">
          <w:rPr>
            <w:noProof/>
            <w:webHidden/>
            <w:sz w:val="26"/>
            <w:szCs w:val="26"/>
          </w:rPr>
          <w:fldChar w:fldCharType="separate"/>
        </w:r>
        <w:r w:rsidR="00C46123">
          <w:rPr>
            <w:noProof/>
            <w:webHidden/>
            <w:sz w:val="26"/>
            <w:szCs w:val="26"/>
          </w:rPr>
          <w:t>- 82 -</w:t>
        </w:r>
        <w:r w:rsidRPr="0072600F">
          <w:rPr>
            <w:noProof/>
            <w:webHidden/>
            <w:sz w:val="26"/>
            <w:szCs w:val="26"/>
          </w:rPr>
          <w:fldChar w:fldCharType="end"/>
        </w:r>
      </w:hyperlink>
    </w:p>
    <w:p w:rsidR="00911580" w:rsidRPr="0072600F" w14:paraId="5D3CB837" w14:textId="77777777">
      <w:pPr>
        <w:pStyle w:val="TOC1"/>
        <w:tabs>
          <w:tab w:val="left" w:pos="1440"/>
        </w:tabs>
        <w:rPr>
          <w:rFonts w:eastAsiaTheme="minorEastAsia"/>
          <w:b w:val="0"/>
          <w:bCs w:val="0"/>
          <w:sz w:val="26"/>
          <w:szCs w:val="26"/>
        </w:rPr>
      </w:pPr>
      <w:hyperlink w:anchor="_Toc149903659" w:history="1">
        <w:r w:rsidRPr="0072600F">
          <w:rPr>
            <w:rStyle w:val="Hyperlink"/>
            <w:sz w:val="26"/>
            <w:szCs w:val="26"/>
          </w:rPr>
          <w:t>Section 9.</w:t>
        </w:r>
        <w:r w:rsidRPr="0072600F">
          <w:rPr>
            <w:rFonts w:eastAsiaTheme="minorEastAsia"/>
            <w:sz w:val="26"/>
            <w:szCs w:val="26"/>
          </w:rPr>
          <w:tab/>
        </w:r>
        <w:r w:rsidRPr="0072600F">
          <w:rPr>
            <w:rStyle w:val="Hyperlink"/>
            <w:sz w:val="26"/>
            <w:szCs w:val="26"/>
          </w:rPr>
          <w:t>Affected System Study.</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_Toc149903659 \h </w:instrText>
        </w:r>
        <w:r w:rsidRPr="0072600F">
          <w:rPr>
            <w:b w:val="0"/>
            <w:bCs w:val="0"/>
            <w:webHidden/>
            <w:sz w:val="26"/>
            <w:szCs w:val="26"/>
          </w:rPr>
          <w:fldChar w:fldCharType="separate"/>
        </w:r>
        <w:r w:rsidR="00C46123">
          <w:rPr>
            <w:webHidden/>
            <w:sz w:val="26"/>
            <w:szCs w:val="26"/>
          </w:rPr>
          <w:t>- 82 -</w:t>
        </w:r>
        <w:r w:rsidRPr="0072600F">
          <w:rPr>
            <w:b w:val="0"/>
            <w:bCs w:val="0"/>
            <w:webHidden/>
            <w:sz w:val="26"/>
            <w:szCs w:val="26"/>
          </w:rPr>
          <w:fldChar w:fldCharType="end"/>
        </w:r>
      </w:hyperlink>
    </w:p>
    <w:p w:rsidR="00911580" w:rsidRPr="0072600F" w14:paraId="7D7409BE" w14:textId="77777777">
      <w:pPr>
        <w:pStyle w:val="TOC2"/>
        <w:tabs>
          <w:tab w:val="left" w:pos="800"/>
        </w:tabs>
        <w:rPr>
          <w:rFonts w:eastAsiaTheme="minorEastAsia"/>
          <w:noProof/>
          <w:sz w:val="26"/>
          <w:szCs w:val="26"/>
        </w:rPr>
      </w:pPr>
      <w:hyperlink w:anchor="_Toc149903660" w:history="1">
        <w:r w:rsidRPr="0072600F">
          <w:rPr>
            <w:rStyle w:val="Hyperlink"/>
            <w:noProof/>
            <w:sz w:val="26"/>
            <w:szCs w:val="26"/>
          </w:rPr>
          <w:t>9.1</w:t>
        </w:r>
        <w:r w:rsidRPr="0072600F">
          <w:rPr>
            <w:rFonts w:eastAsiaTheme="minorEastAsia"/>
            <w:noProof/>
            <w:sz w:val="26"/>
            <w:szCs w:val="26"/>
          </w:rPr>
          <w:tab/>
        </w:r>
        <w:r w:rsidRPr="0072600F">
          <w:rPr>
            <w:rStyle w:val="Hyperlink"/>
            <w:noProof/>
            <w:sz w:val="26"/>
            <w:szCs w:val="26"/>
          </w:rPr>
          <w:t>Applicability.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_Toc149903660 \h </w:instrText>
        </w:r>
        <w:r w:rsidRPr="0072600F">
          <w:rPr>
            <w:noProof/>
            <w:webHidden/>
            <w:sz w:val="26"/>
            <w:szCs w:val="26"/>
          </w:rPr>
          <w:fldChar w:fldCharType="separate"/>
        </w:r>
        <w:r w:rsidR="00C46123">
          <w:rPr>
            <w:noProof/>
            <w:webHidden/>
            <w:sz w:val="26"/>
            <w:szCs w:val="26"/>
          </w:rPr>
          <w:t>- 82 -</w:t>
        </w:r>
        <w:r w:rsidRPr="0072600F">
          <w:rPr>
            <w:noProof/>
            <w:webHidden/>
            <w:sz w:val="26"/>
            <w:szCs w:val="26"/>
          </w:rPr>
          <w:fldChar w:fldCharType="end"/>
        </w:r>
      </w:hyperlink>
    </w:p>
    <w:p w:rsidR="00911580" w:rsidRPr="0072600F" w14:paraId="67A6B036" w14:textId="77777777">
      <w:pPr>
        <w:pStyle w:val="TOC2"/>
        <w:tabs>
          <w:tab w:val="left" w:pos="800"/>
        </w:tabs>
        <w:rPr>
          <w:rFonts w:eastAsiaTheme="minorEastAsia"/>
          <w:noProof/>
          <w:sz w:val="26"/>
          <w:szCs w:val="26"/>
        </w:rPr>
      </w:pPr>
      <w:hyperlink w:anchor="_Toc149903661" w:history="1">
        <w:r w:rsidRPr="0072600F">
          <w:rPr>
            <w:rStyle w:val="Hyperlink"/>
            <w:noProof/>
            <w:sz w:val="26"/>
            <w:szCs w:val="26"/>
          </w:rPr>
          <w:t xml:space="preserve">9.2 </w:t>
        </w:r>
        <w:r w:rsidRPr="0072600F">
          <w:rPr>
            <w:rFonts w:eastAsiaTheme="minorEastAsia"/>
            <w:noProof/>
            <w:sz w:val="26"/>
            <w:szCs w:val="26"/>
          </w:rPr>
          <w:tab/>
        </w:r>
        <w:r w:rsidRPr="0072600F">
          <w:rPr>
            <w:rStyle w:val="Hyperlink"/>
            <w:noProof/>
            <w:sz w:val="26"/>
            <w:szCs w:val="26"/>
          </w:rPr>
          <w:t>Response to Initial Notification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_Toc149903661 \h </w:instrText>
        </w:r>
        <w:r w:rsidRPr="0072600F">
          <w:rPr>
            <w:noProof/>
            <w:webHidden/>
            <w:sz w:val="26"/>
            <w:szCs w:val="26"/>
          </w:rPr>
          <w:fldChar w:fldCharType="separate"/>
        </w:r>
        <w:r w:rsidR="00C46123">
          <w:rPr>
            <w:noProof/>
            <w:webHidden/>
            <w:sz w:val="26"/>
            <w:szCs w:val="26"/>
          </w:rPr>
          <w:t>- 82 -</w:t>
        </w:r>
        <w:r w:rsidRPr="0072600F">
          <w:rPr>
            <w:noProof/>
            <w:webHidden/>
            <w:sz w:val="26"/>
            <w:szCs w:val="26"/>
          </w:rPr>
          <w:fldChar w:fldCharType="end"/>
        </w:r>
      </w:hyperlink>
    </w:p>
    <w:p w:rsidR="00911580" w:rsidRPr="0072600F" w14:paraId="00C300EE" w14:textId="77777777">
      <w:pPr>
        <w:pStyle w:val="TOC2"/>
        <w:tabs>
          <w:tab w:val="left" w:pos="800"/>
        </w:tabs>
        <w:rPr>
          <w:rFonts w:eastAsiaTheme="minorEastAsia"/>
          <w:noProof/>
          <w:sz w:val="26"/>
          <w:szCs w:val="26"/>
        </w:rPr>
      </w:pPr>
      <w:hyperlink w:anchor="_Toc149903662" w:history="1">
        <w:r w:rsidRPr="0072600F">
          <w:rPr>
            <w:rStyle w:val="Hyperlink"/>
            <w:noProof/>
            <w:sz w:val="26"/>
            <w:szCs w:val="26"/>
          </w:rPr>
          <w:t xml:space="preserve">9.3 </w:t>
        </w:r>
        <w:r w:rsidRPr="0072600F">
          <w:rPr>
            <w:rFonts w:eastAsiaTheme="minorEastAsia"/>
            <w:noProof/>
            <w:sz w:val="26"/>
            <w:szCs w:val="26"/>
          </w:rPr>
          <w:tab/>
        </w:r>
        <w:r w:rsidRPr="0072600F">
          <w:rPr>
            <w:rStyle w:val="Hyperlink"/>
            <w:noProof/>
            <w:sz w:val="26"/>
            <w:szCs w:val="26"/>
          </w:rPr>
          <w:t>Affected System Queue Position.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_Toc149903662 \h </w:instrText>
        </w:r>
        <w:r w:rsidRPr="0072600F">
          <w:rPr>
            <w:noProof/>
            <w:webHidden/>
            <w:sz w:val="26"/>
            <w:szCs w:val="26"/>
          </w:rPr>
          <w:fldChar w:fldCharType="separate"/>
        </w:r>
        <w:r w:rsidR="00C46123">
          <w:rPr>
            <w:noProof/>
            <w:webHidden/>
            <w:sz w:val="26"/>
            <w:szCs w:val="26"/>
          </w:rPr>
          <w:t>- 83 -</w:t>
        </w:r>
        <w:r w:rsidRPr="0072600F">
          <w:rPr>
            <w:noProof/>
            <w:webHidden/>
            <w:sz w:val="26"/>
            <w:szCs w:val="26"/>
          </w:rPr>
          <w:fldChar w:fldCharType="end"/>
        </w:r>
      </w:hyperlink>
    </w:p>
    <w:p w:rsidR="00911580" w:rsidRPr="0072600F" w14:paraId="540760DC" w14:textId="77777777">
      <w:pPr>
        <w:pStyle w:val="TOC2"/>
        <w:tabs>
          <w:tab w:val="left" w:pos="800"/>
        </w:tabs>
        <w:rPr>
          <w:rFonts w:eastAsiaTheme="minorEastAsia"/>
          <w:noProof/>
          <w:sz w:val="26"/>
          <w:szCs w:val="26"/>
        </w:rPr>
      </w:pPr>
      <w:hyperlink w:anchor="_Toc149903663" w:history="1">
        <w:r w:rsidRPr="0072600F">
          <w:rPr>
            <w:rStyle w:val="Hyperlink"/>
            <w:noProof/>
            <w:sz w:val="26"/>
            <w:szCs w:val="26"/>
          </w:rPr>
          <w:t xml:space="preserve">9.4 </w:t>
        </w:r>
        <w:r w:rsidRPr="0072600F">
          <w:rPr>
            <w:rFonts w:eastAsiaTheme="minorEastAsia"/>
            <w:noProof/>
            <w:sz w:val="26"/>
            <w:szCs w:val="26"/>
          </w:rPr>
          <w:tab/>
        </w:r>
        <w:r w:rsidRPr="0072600F">
          <w:rPr>
            <w:rStyle w:val="Hyperlink"/>
            <w:noProof/>
            <w:sz w:val="26"/>
            <w:szCs w:val="26"/>
          </w:rPr>
          <w:t>Affected System Study Agreement/Multiparty Affected System Study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_Toc149903663 \h </w:instrText>
        </w:r>
        <w:r w:rsidRPr="0072600F">
          <w:rPr>
            <w:noProof/>
            <w:webHidden/>
            <w:sz w:val="26"/>
            <w:szCs w:val="26"/>
          </w:rPr>
          <w:fldChar w:fldCharType="separate"/>
        </w:r>
        <w:r w:rsidR="00C46123">
          <w:rPr>
            <w:noProof/>
            <w:webHidden/>
            <w:sz w:val="26"/>
            <w:szCs w:val="26"/>
          </w:rPr>
          <w:t>- 84 -</w:t>
        </w:r>
        <w:r w:rsidRPr="0072600F">
          <w:rPr>
            <w:noProof/>
            <w:webHidden/>
            <w:sz w:val="26"/>
            <w:szCs w:val="26"/>
          </w:rPr>
          <w:fldChar w:fldCharType="end"/>
        </w:r>
      </w:hyperlink>
    </w:p>
    <w:p w:rsidR="00911580" w:rsidRPr="0072600F" w14:paraId="3A1BACD1" w14:textId="77777777">
      <w:pPr>
        <w:pStyle w:val="TOC2"/>
        <w:tabs>
          <w:tab w:val="left" w:pos="800"/>
        </w:tabs>
        <w:rPr>
          <w:rFonts w:eastAsiaTheme="minorEastAsia"/>
          <w:noProof/>
          <w:sz w:val="26"/>
          <w:szCs w:val="26"/>
        </w:rPr>
      </w:pPr>
      <w:hyperlink w:anchor="_Toc149903664" w:history="1">
        <w:r w:rsidRPr="0072600F">
          <w:rPr>
            <w:rStyle w:val="Hyperlink"/>
            <w:noProof/>
            <w:sz w:val="26"/>
            <w:szCs w:val="26"/>
          </w:rPr>
          <w:t xml:space="preserve">9.5 </w:t>
        </w:r>
        <w:r w:rsidRPr="0072600F">
          <w:rPr>
            <w:rFonts w:eastAsiaTheme="minorEastAsia"/>
            <w:noProof/>
            <w:sz w:val="26"/>
            <w:szCs w:val="26"/>
          </w:rPr>
          <w:tab/>
        </w:r>
        <w:r w:rsidRPr="0072600F">
          <w:rPr>
            <w:rStyle w:val="Hyperlink"/>
            <w:noProof/>
            <w:sz w:val="26"/>
            <w:szCs w:val="26"/>
          </w:rPr>
          <w:t>Execution of Affected System Study Agreement/Multiparty Affected System Study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_Toc149903664 \h </w:instrText>
        </w:r>
        <w:r w:rsidRPr="0072600F">
          <w:rPr>
            <w:noProof/>
            <w:webHidden/>
            <w:sz w:val="26"/>
            <w:szCs w:val="26"/>
          </w:rPr>
          <w:fldChar w:fldCharType="separate"/>
        </w:r>
        <w:r w:rsidR="00C46123">
          <w:rPr>
            <w:noProof/>
            <w:webHidden/>
            <w:sz w:val="26"/>
            <w:szCs w:val="26"/>
          </w:rPr>
          <w:t>- 85 -</w:t>
        </w:r>
        <w:r w:rsidRPr="0072600F">
          <w:rPr>
            <w:noProof/>
            <w:webHidden/>
            <w:sz w:val="26"/>
            <w:szCs w:val="26"/>
          </w:rPr>
          <w:fldChar w:fldCharType="end"/>
        </w:r>
      </w:hyperlink>
    </w:p>
    <w:p w:rsidR="00911580" w:rsidRPr="0072600F" w14:paraId="52C1AB83" w14:textId="77777777">
      <w:pPr>
        <w:pStyle w:val="TOC2"/>
        <w:tabs>
          <w:tab w:val="left" w:pos="800"/>
        </w:tabs>
        <w:rPr>
          <w:rFonts w:eastAsiaTheme="minorEastAsia"/>
          <w:noProof/>
          <w:sz w:val="26"/>
          <w:szCs w:val="26"/>
        </w:rPr>
      </w:pPr>
      <w:hyperlink w:anchor="_Toc149903665" w:history="1">
        <w:r w:rsidRPr="0072600F">
          <w:rPr>
            <w:rStyle w:val="Hyperlink"/>
            <w:noProof/>
            <w:sz w:val="26"/>
            <w:szCs w:val="26"/>
          </w:rPr>
          <w:t xml:space="preserve">9.6 </w:t>
        </w:r>
        <w:r w:rsidRPr="0072600F">
          <w:rPr>
            <w:rFonts w:eastAsiaTheme="minorEastAsia"/>
            <w:noProof/>
            <w:sz w:val="26"/>
            <w:szCs w:val="26"/>
          </w:rPr>
          <w:tab/>
        </w:r>
        <w:r w:rsidRPr="0072600F">
          <w:rPr>
            <w:rStyle w:val="Hyperlink"/>
            <w:noProof/>
            <w:sz w:val="26"/>
            <w:szCs w:val="26"/>
          </w:rPr>
          <w:t>Scope of Affected System Study.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_Toc149903665 \h </w:instrText>
        </w:r>
        <w:r w:rsidRPr="0072600F">
          <w:rPr>
            <w:noProof/>
            <w:webHidden/>
            <w:sz w:val="26"/>
            <w:szCs w:val="26"/>
          </w:rPr>
          <w:fldChar w:fldCharType="separate"/>
        </w:r>
        <w:r w:rsidR="00C46123">
          <w:rPr>
            <w:noProof/>
            <w:webHidden/>
            <w:sz w:val="26"/>
            <w:szCs w:val="26"/>
          </w:rPr>
          <w:t>- 86 -</w:t>
        </w:r>
        <w:r w:rsidRPr="0072600F">
          <w:rPr>
            <w:noProof/>
            <w:webHidden/>
            <w:sz w:val="26"/>
            <w:szCs w:val="26"/>
          </w:rPr>
          <w:fldChar w:fldCharType="end"/>
        </w:r>
      </w:hyperlink>
    </w:p>
    <w:p w:rsidR="00911580" w:rsidRPr="0072600F" w14:paraId="6ADD9568" w14:textId="77777777">
      <w:pPr>
        <w:pStyle w:val="TOC2"/>
        <w:tabs>
          <w:tab w:val="left" w:pos="800"/>
        </w:tabs>
        <w:rPr>
          <w:rFonts w:eastAsiaTheme="minorEastAsia"/>
          <w:noProof/>
          <w:sz w:val="26"/>
          <w:szCs w:val="26"/>
        </w:rPr>
      </w:pPr>
      <w:hyperlink w:anchor="_Toc149903666" w:history="1">
        <w:r w:rsidRPr="0072600F">
          <w:rPr>
            <w:rStyle w:val="Hyperlink"/>
            <w:noProof/>
            <w:sz w:val="26"/>
            <w:szCs w:val="26"/>
          </w:rPr>
          <w:t>9.7</w:t>
        </w:r>
        <w:r w:rsidRPr="0072600F">
          <w:rPr>
            <w:rFonts w:eastAsiaTheme="minorEastAsia"/>
            <w:noProof/>
            <w:sz w:val="26"/>
            <w:szCs w:val="26"/>
          </w:rPr>
          <w:tab/>
        </w:r>
        <w:r w:rsidRPr="0072600F">
          <w:rPr>
            <w:rStyle w:val="Hyperlink"/>
            <w:noProof/>
            <w:sz w:val="26"/>
            <w:szCs w:val="26"/>
          </w:rPr>
          <w:t>Affected System Study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_Toc149903666 \h </w:instrText>
        </w:r>
        <w:r w:rsidRPr="0072600F">
          <w:rPr>
            <w:noProof/>
            <w:webHidden/>
            <w:sz w:val="26"/>
            <w:szCs w:val="26"/>
          </w:rPr>
          <w:fldChar w:fldCharType="separate"/>
        </w:r>
        <w:r w:rsidR="00C46123">
          <w:rPr>
            <w:noProof/>
            <w:webHidden/>
            <w:sz w:val="26"/>
            <w:szCs w:val="26"/>
          </w:rPr>
          <w:t>- 87 -</w:t>
        </w:r>
        <w:r w:rsidRPr="0072600F">
          <w:rPr>
            <w:noProof/>
            <w:webHidden/>
            <w:sz w:val="26"/>
            <w:szCs w:val="26"/>
          </w:rPr>
          <w:fldChar w:fldCharType="end"/>
        </w:r>
      </w:hyperlink>
    </w:p>
    <w:p w:rsidR="00911580" w:rsidRPr="0072600F" w14:paraId="51B9A84C" w14:textId="77777777">
      <w:pPr>
        <w:pStyle w:val="TOC2"/>
        <w:tabs>
          <w:tab w:val="left" w:pos="800"/>
        </w:tabs>
        <w:rPr>
          <w:rFonts w:eastAsiaTheme="minorEastAsia"/>
          <w:noProof/>
          <w:sz w:val="26"/>
          <w:szCs w:val="26"/>
        </w:rPr>
      </w:pPr>
      <w:hyperlink w:anchor="_Toc149903667" w:history="1">
        <w:r w:rsidRPr="0072600F">
          <w:rPr>
            <w:rStyle w:val="Hyperlink"/>
            <w:noProof/>
            <w:sz w:val="26"/>
            <w:szCs w:val="26"/>
          </w:rPr>
          <w:t xml:space="preserve">9.8 </w:t>
        </w:r>
        <w:r w:rsidRPr="0072600F">
          <w:rPr>
            <w:rFonts w:eastAsiaTheme="minorEastAsia"/>
            <w:noProof/>
            <w:sz w:val="26"/>
            <w:szCs w:val="26"/>
          </w:rPr>
          <w:tab/>
        </w:r>
        <w:r w:rsidRPr="0072600F">
          <w:rPr>
            <w:rStyle w:val="Hyperlink"/>
            <w:noProof/>
            <w:sz w:val="26"/>
            <w:szCs w:val="26"/>
          </w:rPr>
          <w:t>Meeting with Transmission Provider.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_Toc149903667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911580" w:rsidRPr="0072600F" w14:paraId="5A7A4CA4" w14:textId="77777777">
      <w:pPr>
        <w:pStyle w:val="TOC2"/>
        <w:tabs>
          <w:tab w:val="left" w:pos="800"/>
        </w:tabs>
        <w:rPr>
          <w:rFonts w:eastAsiaTheme="minorEastAsia"/>
          <w:noProof/>
          <w:sz w:val="26"/>
          <w:szCs w:val="26"/>
        </w:rPr>
      </w:pPr>
      <w:hyperlink w:anchor="_Toc149903668" w:history="1">
        <w:r w:rsidRPr="0072600F">
          <w:rPr>
            <w:rStyle w:val="Hyperlink"/>
            <w:noProof/>
            <w:sz w:val="26"/>
            <w:szCs w:val="26"/>
          </w:rPr>
          <w:t xml:space="preserve">9.9 </w:t>
        </w:r>
        <w:r w:rsidRPr="0072600F">
          <w:rPr>
            <w:rFonts w:eastAsiaTheme="minorEastAsia"/>
            <w:noProof/>
            <w:sz w:val="26"/>
            <w:szCs w:val="26"/>
          </w:rPr>
          <w:tab/>
        </w:r>
        <w:r w:rsidRPr="0072600F">
          <w:rPr>
            <w:rStyle w:val="Hyperlink"/>
            <w:noProof/>
            <w:sz w:val="26"/>
            <w:szCs w:val="26"/>
          </w:rPr>
          <w:t>Affected System Cost Allocation.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_Toc149903668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911580" w:rsidRPr="0072600F" w14:paraId="20DB1209" w14:textId="77777777">
      <w:pPr>
        <w:pStyle w:val="TOC2"/>
        <w:tabs>
          <w:tab w:val="left" w:pos="800"/>
        </w:tabs>
        <w:rPr>
          <w:rFonts w:eastAsiaTheme="minorEastAsia"/>
          <w:noProof/>
          <w:sz w:val="26"/>
          <w:szCs w:val="26"/>
        </w:rPr>
      </w:pPr>
      <w:hyperlink w:anchor="_Toc149903669" w:history="1">
        <w:r w:rsidRPr="0072600F">
          <w:rPr>
            <w:rStyle w:val="Hyperlink"/>
            <w:noProof/>
            <w:sz w:val="26"/>
            <w:szCs w:val="26"/>
          </w:rPr>
          <w:t>9.10</w:t>
        </w:r>
        <w:r w:rsidRPr="0072600F">
          <w:rPr>
            <w:rFonts w:eastAsiaTheme="minorEastAsia"/>
            <w:noProof/>
            <w:sz w:val="26"/>
            <w:szCs w:val="26"/>
          </w:rPr>
          <w:tab/>
        </w:r>
        <w:r w:rsidRPr="0072600F">
          <w:rPr>
            <w:rStyle w:val="Hyperlink"/>
            <w:noProof/>
            <w:sz w:val="26"/>
            <w:szCs w:val="26"/>
          </w:rPr>
          <w:t>Tender of Affected Systems Facilities Construction Agreement/Multiparty Affected System Facilities Construction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_Toc149903669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911580" w:rsidRPr="0072600F" w14:paraId="0F4FB0AC" w14:textId="77777777">
      <w:pPr>
        <w:pStyle w:val="TOC2"/>
        <w:tabs>
          <w:tab w:val="left" w:pos="1000"/>
        </w:tabs>
        <w:rPr>
          <w:rFonts w:eastAsiaTheme="minorEastAsia"/>
          <w:noProof/>
          <w:sz w:val="26"/>
          <w:szCs w:val="26"/>
        </w:rPr>
      </w:pPr>
      <w:hyperlink w:anchor="_Toc149903670" w:history="1">
        <w:r w:rsidRPr="0072600F">
          <w:rPr>
            <w:rStyle w:val="Hyperlink"/>
            <w:noProof/>
            <w:sz w:val="26"/>
            <w:szCs w:val="26"/>
          </w:rPr>
          <w:t xml:space="preserve">9.11 </w:t>
        </w:r>
        <w:r w:rsidRPr="0072600F">
          <w:rPr>
            <w:rFonts w:eastAsiaTheme="minorEastAsia"/>
            <w:noProof/>
            <w:sz w:val="26"/>
            <w:szCs w:val="26"/>
          </w:rPr>
          <w:tab/>
        </w:r>
        <w:r w:rsidRPr="0072600F">
          <w:rPr>
            <w:rStyle w:val="Hyperlink"/>
            <w:noProof/>
            <w:sz w:val="26"/>
            <w:szCs w:val="26"/>
          </w:rPr>
          <w:t>Restudy.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_Toc149903670 \h </w:instrText>
        </w:r>
        <w:r w:rsidRPr="0072600F">
          <w:rPr>
            <w:noProof/>
            <w:webHidden/>
            <w:sz w:val="26"/>
            <w:szCs w:val="26"/>
          </w:rPr>
          <w:fldChar w:fldCharType="separate"/>
        </w:r>
        <w:r w:rsidR="00C46123">
          <w:rPr>
            <w:noProof/>
            <w:webHidden/>
            <w:sz w:val="26"/>
            <w:szCs w:val="26"/>
          </w:rPr>
          <w:t>- 89 -</w:t>
        </w:r>
        <w:r w:rsidRPr="0072600F">
          <w:rPr>
            <w:noProof/>
            <w:webHidden/>
            <w:sz w:val="26"/>
            <w:szCs w:val="26"/>
          </w:rPr>
          <w:fldChar w:fldCharType="end"/>
        </w:r>
      </w:hyperlink>
    </w:p>
    <w:p w:rsidR="00911580" w:rsidRPr="0072600F" w14:paraId="7F39824F" w14:textId="77777777">
      <w:pPr>
        <w:pStyle w:val="TOC1"/>
        <w:tabs>
          <w:tab w:val="left" w:pos="1440"/>
        </w:tabs>
        <w:rPr>
          <w:rFonts w:eastAsiaTheme="minorEastAsia"/>
          <w:b w:val="0"/>
          <w:bCs w:val="0"/>
          <w:sz w:val="26"/>
          <w:szCs w:val="26"/>
        </w:rPr>
      </w:pPr>
      <w:hyperlink w:anchor="_Toc149903671" w:history="1">
        <w:r w:rsidRPr="0072600F">
          <w:rPr>
            <w:rStyle w:val="Hyperlink"/>
            <w:sz w:val="26"/>
            <w:szCs w:val="26"/>
          </w:rPr>
          <w:t>Section 10.</w:t>
        </w:r>
        <w:r w:rsidRPr="0072600F">
          <w:rPr>
            <w:rFonts w:eastAsiaTheme="minorEastAsia"/>
            <w:sz w:val="26"/>
            <w:szCs w:val="26"/>
          </w:rPr>
          <w:tab/>
        </w:r>
        <w:r w:rsidRPr="0072600F">
          <w:rPr>
            <w:rStyle w:val="Hyperlink"/>
            <w:sz w:val="26"/>
            <w:szCs w:val="26"/>
          </w:rPr>
          <w:t>Optional Interconnection Study</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_Toc149903671 \h </w:instrText>
        </w:r>
        <w:r w:rsidRPr="0072600F">
          <w:rPr>
            <w:b w:val="0"/>
            <w:bCs w:val="0"/>
            <w:webHidden/>
            <w:sz w:val="26"/>
            <w:szCs w:val="26"/>
          </w:rPr>
          <w:fldChar w:fldCharType="separate"/>
        </w:r>
        <w:r w:rsidR="00C46123">
          <w:rPr>
            <w:webHidden/>
            <w:sz w:val="26"/>
            <w:szCs w:val="26"/>
          </w:rPr>
          <w:t>- 89 -</w:t>
        </w:r>
        <w:r w:rsidRPr="0072600F">
          <w:rPr>
            <w:b w:val="0"/>
            <w:bCs w:val="0"/>
            <w:webHidden/>
            <w:sz w:val="26"/>
            <w:szCs w:val="26"/>
          </w:rPr>
          <w:fldChar w:fldCharType="end"/>
        </w:r>
      </w:hyperlink>
    </w:p>
    <w:p w:rsidR="00911580" w:rsidRPr="0072600F" w14:paraId="5C490A02" w14:textId="77777777">
      <w:pPr>
        <w:pStyle w:val="TOC2"/>
        <w:tabs>
          <w:tab w:val="left" w:pos="800"/>
        </w:tabs>
        <w:rPr>
          <w:rFonts w:eastAsiaTheme="minorEastAsia"/>
          <w:noProof/>
          <w:sz w:val="26"/>
          <w:szCs w:val="26"/>
        </w:rPr>
      </w:pPr>
      <w:hyperlink w:anchor="_Toc149903672" w:history="1">
        <w:r w:rsidRPr="0072600F">
          <w:rPr>
            <w:rStyle w:val="Hyperlink"/>
            <w:noProof/>
            <w:sz w:val="26"/>
            <w:szCs w:val="26"/>
          </w:rPr>
          <w:t>10.1</w:t>
        </w:r>
        <w:r w:rsidRPr="0072600F">
          <w:rPr>
            <w:rFonts w:eastAsiaTheme="minorEastAsia"/>
            <w:noProof/>
            <w:sz w:val="26"/>
            <w:szCs w:val="26"/>
          </w:rPr>
          <w:tab/>
        </w:r>
        <w:r w:rsidRPr="0072600F">
          <w:rPr>
            <w:rStyle w:val="Hyperlink"/>
            <w:noProof/>
            <w:sz w:val="26"/>
            <w:szCs w:val="26"/>
          </w:rPr>
          <w:t>Optional Interconnection Study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_Toc149903672 \h </w:instrText>
        </w:r>
        <w:r w:rsidRPr="0072600F">
          <w:rPr>
            <w:noProof/>
            <w:webHidden/>
            <w:sz w:val="26"/>
            <w:szCs w:val="26"/>
          </w:rPr>
          <w:fldChar w:fldCharType="separate"/>
        </w:r>
        <w:r w:rsidR="00C46123">
          <w:rPr>
            <w:noProof/>
            <w:webHidden/>
            <w:sz w:val="26"/>
            <w:szCs w:val="26"/>
          </w:rPr>
          <w:t>- 89 -</w:t>
        </w:r>
        <w:r w:rsidRPr="0072600F">
          <w:rPr>
            <w:noProof/>
            <w:webHidden/>
            <w:sz w:val="26"/>
            <w:szCs w:val="26"/>
          </w:rPr>
          <w:fldChar w:fldCharType="end"/>
        </w:r>
      </w:hyperlink>
    </w:p>
    <w:p w:rsidR="00911580" w:rsidRPr="0072600F" w14:paraId="7911CB8F" w14:textId="77777777">
      <w:pPr>
        <w:pStyle w:val="TOC2"/>
        <w:tabs>
          <w:tab w:val="left" w:pos="800"/>
        </w:tabs>
        <w:rPr>
          <w:rFonts w:eastAsiaTheme="minorEastAsia"/>
          <w:noProof/>
          <w:sz w:val="26"/>
          <w:szCs w:val="26"/>
        </w:rPr>
      </w:pPr>
      <w:hyperlink w:anchor="_Toc149903673" w:history="1">
        <w:r w:rsidRPr="0072600F">
          <w:rPr>
            <w:rStyle w:val="Hyperlink"/>
            <w:noProof/>
            <w:sz w:val="26"/>
            <w:szCs w:val="26"/>
          </w:rPr>
          <w:t>10.2</w:t>
        </w:r>
        <w:r w:rsidRPr="0072600F">
          <w:rPr>
            <w:rFonts w:eastAsiaTheme="minorEastAsia"/>
            <w:noProof/>
            <w:sz w:val="26"/>
            <w:szCs w:val="26"/>
          </w:rPr>
          <w:tab/>
        </w:r>
        <w:r w:rsidRPr="0072600F">
          <w:rPr>
            <w:rStyle w:val="Hyperlink"/>
            <w:noProof/>
            <w:sz w:val="26"/>
            <w:szCs w:val="26"/>
          </w:rPr>
          <w:t>Scope of Optional Interconnection Study.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_Toc149903673 \h </w:instrText>
        </w:r>
        <w:r w:rsidRPr="0072600F">
          <w:rPr>
            <w:noProof/>
            <w:webHidden/>
            <w:sz w:val="26"/>
            <w:szCs w:val="26"/>
          </w:rPr>
          <w:fldChar w:fldCharType="separate"/>
        </w:r>
        <w:r w:rsidR="00C46123">
          <w:rPr>
            <w:noProof/>
            <w:webHidden/>
            <w:sz w:val="26"/>
            <w:szCs w:val="26"/>
          </w:rPr>
          <w:t>- 90 -</w:t>
        </w:r>
        <w:r w:rsidRPr="0072600F">
          <w:rPr>
            <w:noProof/>
            <w:webHidden/>
            <w:sz w:val="26"/>
            <w:szCs w:val="26"/>
          </w:rPr>
          <w:fldChar w:fldCharType="end"/>
        </w:r>
      </w:hyperlink>
    </w:p>
    <w:p w:rsidR="00911580" w:rsidRPr="0072600F" w14:paraId="3ABB2F2D" w14:textId="77777777">
      <w:pPr>
        <w:pStyle w:val="TOC2"/>
        <w:tabs>
          <w:tab w:val="left" w:pos="800"/>
        </w:tabs>
        <w:rPr>
          <w:rFonts w:eastAsiaTheme="minorEastAsia"/>
          <w:noProof/>
          <w:sz w:val="26"/>
          <w:szCs w:val="26"/>
        </w:rPr>
      </w:pPr>
      <w:hyperlink w:anchor="_Toc149903674" w:history="1">
        <w:r w:rsidRPr="0072600F">
          <w:rPr>
            <w:rStyle w:val="Hyperlink"/>
            <w:noProof/>
            <w:sz w:val="26"/>
            <w:szCs w:val="26"/>
          </w:rPr>
          <w:t>10.3</w:t>
        </w:r>
        <w:r w:rsidRPr="0072600F">
          <w:rPr>
            <w:rFonts w:eastAsiaTheme="minorEastAsia"/>
            <w:noProof/>
            <w:sz w:val="26"/>
            <w:szCs w:val="26"/>
          </w:rPr>
          <w:tab/>
        </w:r>
        <w:r w:rsidRPr="0072600F">
          <w:rPr>
            <w:rStyle w:val="Hyperlink"/>
            <w:noProof/>
            <w:sz w:val="26"/>
            <w:szCs w:val="26"/>
          </w:rPr>
          <w:t>Optional Interconnection Study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_Toc149903674 \h </w:instrText>
        </w:r>
        <w:r w:rsidRPr="0072600F">
          <w:rPr>
            <w:noProof/>
            <w:webHidden/>
            <w:sz w:val="26"/>
            <w:szCs w:val="26"/>
          </w:rPr>
          <w:fldChar w:fldCharType="separate"/>
        </w:r>
        <w:r w:rsidR="00C46123">
          <w:rPr>
            <w:noProof/>
            <w:webHidden/>
            <w:sz w:val="26"/>
            <w:szCs w:val="26"/>
          </w:rPr>
          <w:t>- 91 -</w:t>
        </w:r>
        <w:r w:rsidRPr="0072600F">
          <w:rPr>
            <w:noProof/>
            <w:webHidden/>
            <w:sz w:val="26"/>
            <w:szCs w:val="26"/>
          </w:rPr>
          <w:fldChar w:fldCharType="end"/>
        </w:r>
      </w:hyperlink>
    </w:p>
    <w:p w:rsidR="00911580" w:rsidRPr="0072600F" w14:paraId="3A0D9F80" w14:textId="77777777">
      <w:pPr>
        <w:pStyle w:val="TOC1"/>
        <w:tabs>
          <w:tab w:val="left" w:pos="1440"/>
        </w:tabs>
        <w:rPr>
          <w:rFonts w:eastAsiaTheme="minorEastAsia"/>
          <w:b w:val="0"/>
          <w:bCs w:val="0"/>
          <w:sz w:val="26"/>
          <w:szCs w:val="26"/>
        </w:rPr>
      </w:pPr>
      <w:hyperlink w:anchor="_Toc149903675" w:history="1">
        <w:r w:rsidRPr="0072600F">
          <w:rPr>
            <w:rStyle w:val="Hyperlink"/>
            <w:sz w:val="26"/>
            <w:szCs w:val="26"/>
          </w:rPr>
          <w:t>Section 11.</w:t>
        </w:r>
        <w:r w:rsidRPr="0072600F">
          <w:rPr>
            <w:rFonts w:eastAsiaTheme="minorEastAsia"/>
            <w:sz w:val="26"/>
            <w:szCs w:val="26"/>
          </w:rPr>
          <w:tab/>
        </w:r>
        <w:r w:rsidRPr="0072600F">
          <w:rPr>
            <w:rStyle w:val="Hyperlink"/>
            <w:sz w:val="26"/>
            <w:szCs w:val="26"/>
          </w:rPr>
          <w:t>Standard Large Generator Interconnection Agreement (LGIA)</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_Toc149903675 \h </w:instrText>
        </w:r>
        <w:r w:rsidRPr="0072600F">
          <w:rPr>
            <w:b w:val="0"/>
            <w:bCs w:val="0"/>
            <w:webHidden/>
            <w:sz w:val="26"/>
            <w:szCs w:val="26"/>
          </w:rPr>
          <w:fldChar w:fldCharType="separate"/>
        </w:r>
        <w:r w:rsidR="00C46123">
          <w:rPr>
            <w:webHidden/>
            <w:sz w:val="26"/>
            <w:szCs w:val="26"/>
          </w:rPr>
          <w:t>- 91 -</w:t>
        </w:r>
        <w:r w:rsidRPr="0072600F">
          <w:rPr>
            <w:b w:val="0"/>
            <w:bCs w:val="0"/>
            <w:webHidden/>
            <w:sz w:val="26"/>
            <w:szCs w:val="26"/>
          </w:rPr>
          <w:fldChar w:fldCharType="end"/>
        </w:r>
      </w:hyperlink>
    </w:p>
    <w:p w:rsidR="00911580" w:rsidRPr="0072600F" w14:paraId="37ACB649" w14:textId="77777777">
      <w:pPr>
        <w:pStyle w:val="TOC2"/>
        <w:tabs>
          <w:tab w:val="left" w:pos="800"/>
        </w:tabs>
        <w:rPr>
          <w:rFonts w:eastAsiaTheme="minorEastAsia"/>
          <w:noProof/>
          <w:sz w:val="26"/>
          <w:szCs w:val="26"/>
        </w:rPr>
      </w:pPr>
      <w:hyperlink w:anchor="_Toc149903676" w:history="1">
        <w:r w:rsidRPr="0072600F">
          <w:rPr>
            <w:rStyle w:val="Hyperlink"/>
            <w:noProof/>
            <w:sz w:val="26"/>
            <w:szCs w:val="26"/>
          </w:rPr>
          <w:t>11.1</w:t>
        </w:r>
        <w:r w:rsidRPr="0072600F">
          <w:rPr>
            <w:rFonts w:eastAsiaTheme="minorEastAsia"/>
            <w:noProof/>
            <w:sz w:val="26"/>
            <w:szCs w:val="26"/>
          </w:rPr>
          <w:tab/>
        </w:r>
        <w:r w:rsidRPr="0072600F">
          <w:rPr>
            <w:rStyle w:val="Hyperlink"/>
            <w:noProof/>
            <w:sz w:val="26"/>
            <w:szCs w:val="26"/>
          </w:rPr>
          <w:t>Tender.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_Toc149903676 \h </w:instrText>
        </w:r>
        <w:r w:rsidRPr="0072600F">
          <w:rPr>
            <w:noProof/>
            <w:webHidden/>
            <w:sz w:val="26"/>
            <w:szCs w:val="26"/>
          </w:rPr>
          <w:fldChar w:fldCharType="separate"/>
        </w:r>
        <w:r w:rsidR="00C46123">
          <w:rPr>
            <w:noProof/>
            <w:webHidden/>
            <w:sz w:val="26"/>
            <w:szCs w:val="26"/>
          </w:rPr>
          <w:t>- 91 -</w:t>
        </w:r>
        <w:r w:rsidRPr="0072600F">
          <w:rPr>
            <w:noProof/>
            <w:webHidden/>
            <w:sz w:val="26"/>
            <w:szCs w:val="26"/>
          </w:rPr>
          <w:fldChar w:fldCharType="end"/>
        </w:r>
      </w:hyperlink>
    </w:p>
    <w:p w:rsidR="00911580" w:rsidRPr="0072600F" w14:paraId="77D9DE9D" w14:textId="77777777">
      <w:pPr>
        <w:pStyle w:val="TOC2"/>
        <w:tabs>
          <w:tab w:val="left" w:pos="800"/>
        </w:tabs>
        <w:rPr>
          <w:rFonts w:eastAsiaTheme="minorEastAsia"/>
          <w:noProof/>
          <w:sz w:val="26"/>
          <w:szCs w:val="26"/>
        </w:rPr>
      </w:pPr>
      <w:hyperlink w:anchor="_Toc149903677" w:history="1">
        <w:r w:rsidRPr="0072600F">
          <w:rPr>
            <w:rStyle w:val="Hyperlink"/>
            <w:noProof/>
            <w:sz w:val="26"/>
            <w:szCs w:val="26"/>
          </w:rPr>
          <w:t>11.2</w:t>
        </w:r>
        <w:r w:rsidRPr="0072600F">
          <w:rPr>
            <w:rFonts w:eastAsiaTheme="minorEastAsia"/>
            <w:noProof/>
            <w:sz w:val="26"/>
            <w:szCs w:val="26"/>
          </w:rPr>
          <w:tab/>
        </w:r>
        <w:r w:rsidRPr="0072600F">
          <w:rPr>
            <w:rStyle w:val="Hyperlink"/>
            <w:noProof/>
            <w:sz w:val="26"/>
            <w:szCs w:val="26"/>
          </w:rPr>
          <w:t>Negotiation.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_Toc149903677 \h </w:instrText>
        </w:r>
        <w:r w:rsidRPr="0072600F">
          <w:rPr>
            <w:noProof/>
            <w:webHidden/>
            <w:sz w:val="26"/>
            <w:szCs w:val="26"/>
          </w:rPr>
          <w:fldChar w:fldCharType="separate"/>
        </w:r>
        <w:r w:rsidR="00C46123">
          <w:rPr>
            <w:noProof/>
            <w:webHidden/>
            <w:sz w:val="26"/>
            <w:szCs w:val="26"/>
          </w:rPr>
          <w:t>- 92 -</w:t>
        </w:r>
        <w:r w:rsidRPr="0072600F">
          <w:rPr>
            <w:noProof/>
            <w:webHidden/>
            <w:sz w:val="26"/>
            <w:szCs w:val="26"/>
          </w:rPr>
          <w:fldChar w:fldCharType="end"/>
        </w:r>
      </w:hyperlink>
    </w:p>
    <w:p w:rsidR="00911580" w:rsidRPr="0072600F" w14:paraId="7C3E33E7" w14:textId="77777777">
      <w:pPr>
        <w:pStyle w:val="TOC3"/>
        <w:tabs>
          <w:tab w:val="left" w:pos="1200"/>
          <w:tab w:val="right" w:leader="dot" w:pos="9350"/>
        </w:tabs>
        <w:rPr>
          <w:rFonts w:eastAsiaTheme="minorEastAsia"/>
          <w:noProof/>
          <w:sz w:val="26"/>
          <w:szCs w:val="26"/>
        </w:rPr>
      </w:pPr>
      <w:hyperlink w:anchor="_Toc149903678" w:history="1">
        <w:r w:rsidRPr="0072600F">
          <w:rPr>
            <w:rStyle w:val="Hyperlink"/>
            <w:noProof/>
            <w:sz w:val="26"/>
            <w:szCs w:val="26"/>
          </w:rPr>
          <w:t>11.2.1</w:t>
        </w:r>
        <w:r w:rsidRPr="0072600F">
          <w:rPr>
            <w:rFonts w:eastAsiaTheme="minorEastAsia"/>
            <w:noProof/>
            <w:sz w:val="26"/>
            <w:szCs w:val="26"/>
          </w:rPr>
          <w:tab/>
        </w:r>
        <w:r w:rsidRPr="0072600F">
          <w:rPr>
            <w:rStyle w:val="Hyperlink"/>
            <w:noProof/>
            <w:sz w:val="26"/>
            <w:szCs w:val="26"/>
          </w:rPr>
          <w:t>Delay in LGIA Execution, or Filing Unexecuted, to Await Affected System Study Report.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_Toc149903678 \h </w:instrText>
        </w:r>
        <w:r w:rsidRPr="0072600F">
          <w:rPr>
            <w:noProof/>
            <w:webHidden/>
            <w:sz w:val="26"/>
            <w:szCs w:val="26"/>
          </w:rPr>
          <w:fldChar w:fldCharType="separate"/>
        </w:r>
        <w:r w:rsidR="00C46123">
          <w:rPr>
            <w:noProof/>
            <w:webHidden/>
            <w:sz w:val="26"/>
            <w:szCs w:val="26"/>
          </w:rPr>
          <w:t>- 92 -</w:t>
        </w:r>
        <w:r w:rsidRPr="0072600F">
          <w:rPr>
            <w:noProof/>
            <w:webHidden/>
            <w:sz w:val="26"/>
            <w:szCs w:val="26"/>
          </w:rPr>
          <w:fldChar w:fldCharType="end"/>
        </w:r>
      </w:hyperlink>
    </w:p>
    <w:p w:rsidR="00911580" w:rsidRPr="0072600F" w14:paraId="795A2352" w14:textId="77777777">
      <w:pPr>
        <w:pStyle w:val="TOC2"/>
        <w:tabs>
          <w:tab w:val="left" w:pos="800"/>
        </w:tabs>
        <w:rPr>
          <w:rFonts w:eastAsiaTheme="minorEastAsia"/>
          <w:noProof/>
          <w:sz w:val="26"/>
          <w:szCs w:val="26"/>
        </w:rPr>
      </w:pPr>
      <w:hyperlink w:anchor="_Toc149903679" w:history="1">
        <w:r w:rsidRPr="0072600F">
          <w:rPr>
            <w:rStyle w:val="Hyperlink"/>
            <w:noProof/>
            <w:sz w:val="26"/>
            <w:szCs w:val="26"/>
          </w:rPr>
          <w:t>11.3</w:t>
        </w:r>
        <w:r w:rsidRPr="0072600F">
          <w:rPr>
            <w:rFonts w:eastAsiaTheme="minorEastAsia"/>
            <w:noProof/>
            <w:sz w:val="26"/>
            <w:szCs w:val="26"/>
          </w:rPr>
          <w:tab/>
        </w:r>
        <w:r w:rsidRPr="0072600F">
          <w:rPr>
            <w:rStyle w:val="Hyperlink"/>
            <w:noProof/>
            <w:sz w:val="26"/>
            <w:szCs w:val="26"/>
          </w:rPr>
          <w:t>Execution and Filing.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_Toc149903679 \h </w:instrText>
        </w:r>
        <w:r w:rsidRPr="0072600F">
          <w:rPr>
            <w:noProof/>
            <w:webHidden/>
            <w:sz w:val="26"/>
            <w:szCs w:val="26"/>
          </w:rPr>
          <w:fldChar w:fldCharType="separate"/>
        </w:r>
        <w:r w:rsidR="00C46123">
          <w:rPr>
            <w:noProof/>
            <w:webHidden/>
            <w:sz w:val="26"/>
            <w:szCs w:val="26"/>
          </w:rPr>
          <w:t>- 93 -</w:t>
        </w:r>
        <w:r w:rsidRPr="0072600F">
          <w:rPr>
            <w:noProof/>
            <w:webHidden/>
            <w:sz w:val="26"/>
            <w:szCs w:val="26"/>
          </w:rPr>
          <w:fldChar w:fldCharType="end"/>
        </w:r>
      </w:hyperlink>
    </w:p>
    <w:p w:rsidR="00911580" w:rsidRPr="0072600F" w14:paraId="1209EB1E" w14:textId="77777777">
      <w:pPr>
        <w:pStyle w:val="TOC2"/>
        <w:tabs>
          <w:tab w:val="left" w:pos="800"/>
        </w:tabs>
        <w:rPr>
          <w:rFonts w:eastAsiaTheme="minorEastAsia"/>
          <w:noProof/>
          <w:sz w:val="26"/>
          <w:szCs w:val="26"/>
        </w:rPr>
      </w:pPr>
      <w:hyperlink w:anchor="_Toc149903680" w:history="1">
        <w:r w:rsidRPr="0072600F">
          <w:rPr>
            <w:rStyle w:val="Hyperlink"/>
            <w:noProof/>
            <w:sz w:val="26"/>
            <w:szCs w:val="26"/>
          </w:rPr>
          <w:t>11.4</w:t>
        </w:r>
        <w:r w:rsidRPr="0072600F">
          <w:rPr>
            <w:rFonts w:eastAsiaTheme="minorEastAsia"/>
            <w:noProof/>
            <w:sz w:val="26"/>
            <w:szCs w:val="26"/>
          </w:rPr>
          <w:tab/>
        </w:r>
        <w:r w:rsidRPr="0072600F">
          <w:rPr>
            <w:rStyle w:val="Hyperlink"/>
            <w:noProof/>
            <w:sz w:val="26"/>
            <w:szCs w:val="26"/>
          </w:rPr>
          <w:t>Commencement of Interconnection Activities.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_Toc149903680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911580" w:rsidRPr="0072600F" w14:paraId="218D87C9" w14:textId="77777777">
      <w:pPr>
        <w:pStyle w:val="TOC1"/>
        <w:tabs>
          <w:tab w:val="left" w:pos="1440"/>
        </w:tabs>
        <w:rPr>
          <w:rFonts w:eastAsiaTheme="minorEastAsia"/>
          <w:b w:val="0"/>
          <w:bCs w:val="0"/>
          <w:sz w:val="26"/>
          <w:szCs w:val="26"/>
        </w:rPr>
      </w:pPr>
      <w:hyperlink w:anchor="_Toc149903681" w:history="1">
        <w:r w:rsidRPr="0072600F">
          <w:rPr>
            <w:rStyle w:val="Hyperlink"/>
            <w:sz w:val="26"/>
            <w:szCs w:val="26"/>
          </w:rPr>
          <w:t>Section 12.</w:t>
        </w:r>
        <w:r w:rsidRPr="0072600F">
          <w:rPr>
            <w:rFonts w:eastAsiaTheme="minorEastAsia"/>
            <w:sz w:val="26"/>
            <w:szCs w:val="26"/>
          </w:rPr>
          <w:tab/>
        </w:r>
        <w:r w:rsidRPr="0072600F">
          <w:rPr>
            <w:rStyle w:val="Hyperlink"/>
            <w:sz w:val="26"/>
            <w:szCs w:val="26"/>
          </w:rPr>
          <w:t>Construction of Transmission Provider</w:t>
        </w:r>
        <w:r w:rsidRPr="0072600F" w:rsidR="00BD11B3">
          <w:rPr>
            <w:rStyle w:val="Hyperlink"/>
            <w:sz w:val="26"/>
            <w:szCs w:val="26"/>
          </w:rPr>
          <w:t>’</w:t>
        </w:r>
        <w:r w:rsidRPr="0072600F">
          <w:rPr>
            <w:rStyle w:val="Hyperlink"/>
            <w:sz w:val="26"/>
            <w:szCs w:val="26"/>
          </w:rPr>
          <w:t>s Interconnection Facilities and Network Upgrades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_Toc149903681 \h </w:instrText>
        </w:r>
        <w:r w:rsidRPr="0072600F">
          <w:rPr>
            <w:b w:val="0"/>
            <w:bCs w:val="0"/>
            <w:webHidden/>
            <w:sz w:val="26"/>
            <w:szCs w:val="26"/>
          </w:rPr>
          <w:fldChar w:fldCharType="separate"/>
        </w:r>
        <w:r w:rsidR="00C46123">
          <w:rPr>
            <w:webHidden/>
            <w:sz w:val="26"/>
            <w:szCs w:val="26"/>
          </w:rPr>
          <w:t>- 95 -</w:t>
        </w:r>
        <w:r w:rsidRPr="0072600F">
          <w:rPr>
            <w:b w:val="0"/>
            <w:bCs w:val="0"/>
            <w:webHidden/>
            <w:sz w:val="26"/>
            <w:szCs w:val="26"/>
          </w:rPr>
          <w:fldChar w:fldCharType="end"/>
        </w:r>
      </w:hyperlink>
    </w:p>
    <w:p w:rsidR="00911580" w:rsidRPr="0072600F" w14:paraId="4D9EF21A" w14:textId="77777777">
      <w:pPr>
        <w:pStyle w:val="TOC2"/>
        <w:tabs>
          <w:tab w:val="left" w:pos="800"/>
        </w:tabs>
        <w:rPr>
          <w:rFonts w:eastAsiaTheme="minorEastAsia"/>
          <w:noProof/>
          <w:sz w:val="26"/>
          <w:szCs w:val="26"/>
        </w:rPr>
      </w:pPr>
      <w:hyperlink w:anchor="_Toc149903682" w:history="1">
        <w:r w:rsidRPr="0072600F">
          <w:rPr>
            <w:rStyle w:val="Hyperlink"/>
            <w:noProof/>
            <w:sz w:val="26"/>
            <w:szCs w:val="26"/>
          </w:rPr>
          <w:t>12.1</w:t>
        </w:r>
        <w:r w:rsidRPr="0072600F">
          <w:rPr>
            <w:rFonts w:eastAsiaTheme="minorEastAsia"/>
            <w:noProof/>
            <w:sz w:val="26"/>
            <w:szCs w:val="26"/>
          </w:rPr>
          <w:tab/>
        </w:r>
        <w:r w:rsidRPr="0072600F">
          <w:rPr>
            <w:rStyle w:val="Hyperlink"/>
            <w:noProof/>
            <w:sz w:val="26"/>
            <w:szCs w:val="26"/>
          </w:rPr>
          <w:t>Schedule.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_Toc149903682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911580" w:rsidRPr="0072600F" w14:paraId="65BA9F3E" w14:textId="77777777">
      <w:pPr>
        <w:pStyle w:val="TOC2"/>
        <w:tabs>
          <w:tab w:val="left" w:pos="800"/>
        </w:tabs>
        <w:rPr>
          <w:rFonts w:eastAsiaTheme="minorEastAsia"/>
          <w:noProof/>
          <w:sz w:val="26"/>
          <w:szCs w:val="26"/>
        </w:rPr>
      </w:pPr>
      <w:hyperlink w:anchor="_Toc149903683" w:history="1">
        <w:r w:rsidRPr="0072600F">
          <w:rPr>
            <w:rStyle w:val="Hyperlink"/>
            <w:noProof/>
            <w:sz w:val="26"/>
            <w:szCs w:val="26"/>
          </w:rPr>
          <w:t>12.2</w:t>
        </w:r>
        <w:r w:rsidRPr="0072600F">
          <w:rPr>
            <w:rFonts w:eastAsiaTheme="minorEastAsia"/>
            <w:noProof/>
            <w:sz w:val="26"/>
            <w:szCs w:val="26"/>
          </w:rPr>
          <w:tab/>
        </w:r>
        <w:r w:rsidRPr="0072600F">
          <w:rPr>
            <w:rStyle w:val="Hyperlink"/>
            <w:noProof/>
            <w:sz w:val="26"/>
            <w:szCs w:val="26"/>
          </w:rPr>
          <w:t>Construction Sequencing.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_Toc149903683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911580" w:rsidRPr="0072600F" w14:paraId="437BF885" w14:textId="77777777">
      <w:pPr>
        <w:pStyle w:val="TOC3"/>
        <w:tabs>
          <w:tab w:val="left" w:pos="1200"/>
          <w:tab w:val="right" w:leader="dot" w:pos="9350"/>
        </w:tabs>
        <w:rPr>
          <w:rFonts w:eastAsiaTheme="minorEastAsia"/>
          <w:noProof/>
          <w:sz w:val="26"/>
          <w:szCs w:val="26"/>
        </w:rPr>
      </w:pPr>
      <w:hyperlink w:anchor="_Toc149903684" w:history="1">
        <w:r w:rsidRPr="0072600F">
          <w:rPr>
            <w:rStyle w:val="Hyperlink"/>
            <w:noProof/>
            <w:sz w:val="26"/>
            <w:szCs w:val="26"/>
          </w:rPr>
          <w:t>12.2.1</w:t>
        </w:r>
        <w:r w:rsidRPr="0072600F">
          <w:rPr>
            <w:rFonts w:eastAsiaTheme="minorEastAsia"/>
            <w:noProof/>
            <w:sz w:val="26"/>
            <w:szCs w:val="26"/>
          </w:rPr>
          <w:tab/>
        </w:r>
        <w:r w:rsidRPr="0072600F">
          <w:rPr>
            <w:rStyle w:val="Hyperlink"/>
            <w:noProof/>
            <w:sz w:val="26"/>
            <w:szCs w:val="26"/>
          </w:rPr>
          <w:t xml:space="preserve"> General.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_Toc149903684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911580" w:rsidRPr="0072600F" w14:paraId="05F9EED8" w14:textId="77777777">
      <w:pPr>
        <w:pStyle w:val="TOC3"/>
        <w:tabs>
          <w:tab w:val="left" w:pos="1200"/>
          <w:tab w:val="right" w:leader="dot" w:pos="9350"/>
        </w:tabs>
        <w:rPr>
          <w:rFonts w:eastAsiaTheme="minorEastAsia"/>
          <w:noProof/>
          <w:sz w:val="26"/>
          <w:szCs w:val="26"/>
        </w:rPr>
      </w:pPr>
      <w:hyperlink w:anchor="_Toc149903685" w:history="1">
        <w:r w:rsidRPr="0072600F">
          <w:rPr>
            <w:rStyle w:val="Hyperlink"/>
            <w:noProof/>
            <w:sz w:val="26"/>
            <w:szCs w:val="26"/>
          </w:rPr>
          <w:t>12.2.2</w:t>
        </w:r>
        <w:r w:rsidRPr="0072600F">
          <w:rPr>
            <w:rFonts w:eastAsiaTheme="minorEastAsia"/>
            <w:noProof/>
            <w:sz w:val="26"/>
            <w:szCs w:val="26"/>
          </w:rPr>
          <w:tab/>
        </w:r>
        <w:r w:rsidRPr="0072600F">
          <w:rPr>
            <w:rStyle w:val="Hyperlink"/>
            <w:noProof/>
            <w:sz w:val="26"/>
            <w:szCs w:val="26"/>
          </w:rPr>
          <w:t>Advance Construction of Network Upgrades that are an Obligation of an Entity other than Interconnection Customer.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_Toc149903685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911580" w:rsidRPr="0072600F" w14:paraId="604C96DB" w14:textId="77777777">
      <w:pPr>
        <w:pStyle w:val="TOC3"/>
        <w:tabs>
          <w:tab w:val="left" w:pos="1200"/>
          <w:tab w:val="right" w:leader="dot" w:pos="9350"/>
        </w:tabs>
        <w:rPr>
          <w:rFonts w:eastAsiaTheme="minorEastAsia"/>
          <w:noProof/>
          <w:sz w:val="26"/>
          <w:szCs w:val="26"/>
        </w:rPr>
      </w:pPr>
      <w:hyperlink w:anchor="_Toc149903686" w:history="1">
        <w:r w:rsidRPr="0072600F">
          <w:rPr>
            <w:rStyle w:val="Hyperlink"/>
            <w:noProof/>
            <w:sz w:val="26"/>
            <w:szCs w:val="26"/>
          </w:rPr>
          <w:t>12.2.3</w:t>
        </w:r>
        <w:r w:rsidRPr="0072600F">
          <w:rPr>
            <w:rFonts w:eastAsiaTheme="minorEastAsia"/>
            <w:noProof/>
            <w:sz w:val="26"/>
            <w:szCs w:val="26"/>
          </w:rPr>
          <w:tab/>
        </w:r>
        <w:r w:rsidRPr="0072600F">
          <w:rPr>
            <w:rStyle w:val="Hyperlink"/>
            <w:noProof/>
            <w:sz w:val="26"/>
            <w:szCs w:val="26"/>
          </w:rPr>
          <w:t xml:space="preserve">Advancing Construction of Network Upgrades that are Part of an Expansion Plan of </w:t>
        </w:r>
        <w:r w:rsidRPr="0072600F" w:rsidR="00511ED9">
          <w:rPr>
            <w:rStyle w:val="Hyperlink"/>
            <w:noProof/>
            <w:sz w:val="26"/>
            <w:szCs w:val="26"/>
          </w:rPr>
          <w:t>[</w:t>
        </w:r>
        <w:r w:rsidRPr="0072600F">
          <w:rPr>
            <w:rStyle w:val="Hyperlink"/>
            <w:noProof/>
            <w:sz w:val="26"/>
            <w:szCs w:val="26"/>
          </w:rPr>
          <w:t>the</w:t>
        </w:r>
        <w:r w:rsidRPr="0072600F" w:rsidR="00511ED9">
          <w:rPr>
            <w:rStyle w:val="Hyperlink"/>
            <w:noProof/>
            <w:sz w:val="26"/>
            <w:szCs w:val="26"/>
          </w:rPr>
          <w:t>]</w:t>
        </w:r>
        <w:r w:rsidRPr="0072600F">
          <w:rPr>
            <w:rStyle w:val="Hyperlink"/>
            <w:noProof/>
            <w:sz w:val="26"/>
            <w:szCs w:val="26"/>
          </w:rPr>
          <w:t xml:space="preserve"> Transmission Provider.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_Toc149903686 \h </w:instrText>
        </w:r>
        <w:r w:rsidRPr="0072600F">
          <w:rPr>
            <w:noProof/>
            <w:webHidden/>
            <w:sz w:val="26"/>
            <w:szCs w:val="26"/>
          </w:rPr>
          <w:fldChar w:fldCharType="separate"/>
        </w:r>
        <w:r w:rsidR="00C46123">
          <w:rPr>
            <w:noProof/>
            <w:webHidden/>
            <w:sz w:val="26"/>
            <w:szCs w:val="26"/>
          </w:rPr>
          <w:t>- 96 -</w:t>
        </w:r>
        <w:r w:rsidRPr="0072600F">
          <w:rPr>
            <w:noProof/>
            <w:webHidden/>
            <w:sz w:val="26"/>
            <w:szCs w:val="26"/>
          </w:rPr>
          <w:fldChar w:fldCharType="end"/>
        </w:r>
      </w:hyperlink>
    </w:p>
    <w:p w:rsidR="00911580" w:rsidRPr="0072600F" w:rsidP="00EC4D8D" w14:paraId="754426D9" w14:textId="77777777">
      <w:pPr>
        <w:pStyle w:val="TOC3"/>
        <w:tabs>
          <w:tab w:val="left" w:pos="1200"/>
          <w:tab w:val="right" w:leader="dot" w:pos="9350"/>
        </w:tabs>
        <w:rPr>
          <w:noProof/>
          <w:sz w:val="26"/>
          <w:szCs w:val="26"/>
        </w:rPr>
      </w:pPr>
      <w:hyperlink w:anchor="_Toc149903687" w:history="1">
        <w:r w:rsidRPr="0072600F">
          <w:rPr>
            <w:rStyle w:val="Hyperlink"/>
            <w:noProof/>
            <w:sz w:val="26"/>
            <w:szCs w:val="26"/>
          </w:rPr>
          <w:t>12.2.4</w:t>
        </w:r>
        <w:r w:rsidRPr="0072600F">
          <w:rPr>
            <w:rFonts w:eastAsiaTheme="minorEastAsia"/>
            <w:noProof/>
            <w:sz w:val="26"/>
            <w:szCs w:val="26"/>
          </w:rPr>
          <w:tab/>
        </w:r>
        <w:r w:rsidRPr="0072600F">
          <w:rPr>
            <w:rStyle w:val="Hyperlink"/>
            <w:noProof/>
            <w:sz w:val="26"/>
            <w:szCs w:val="26"/>
          </w:rPr>
          <w:t xml:space="preserve"> Amended Interconnection Cluster Study Report.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_Toc149903687 \h </w:instrText>
        </w:r>
        <w:r w:rsidRPr="0072600F">
          <w:rPr>
            <w:noProof/>
            <w:webHidden/>
            <w:sz w:val="26"/>
            <w:szCs w:val="26"/>
          </w:rPr>
          <w:fldChar w:fldCharType="separate"/>
        </w:r>
        <w:r w:rsidR="00C46123">
          <w:rPr>
            <w:noProof/>
            <w:webHidden/>
            <w:sz w:val="26"/>
            <w:szCs w:val="26"/>
          </w:rPr>
          <w:t>- 97 -</w:t>
        </w:r>
        <w:r w:rsidRPr="0072600F">
          <w:rPr>
            <w:noProof/>
            <w:webHidden/>
            <w:sz w:val="26"/>
            <w:szCs w:val="26"/>
          </w:rPr>
          <w:fldChar w:fldCharType="end"/>
        </w:r>
      </w:hyperlink>
    </w:p>
    <w:p w:rsidR="00911580" w:rsidRPr="0072600F" w:rsidP="00EC4D8D" w14:paraId="5293441F" w14:textId="77777777">
      <w:pPr>
        <w:pStyle w:val="TOC1"/>
        <w:tabs>
          <w:tab w:val="left" w:pos="1440"/>
        </w:tabs>
        <w:ind w:left="0" w:firstLine="0"/>
        <w:rPr>
          <w:rFonts w:eastAsiaTheme="minorEastAsia"/>
          <w:b w:val="0"/>
          <w:bCs w:val="0"/>
          <w:sz w:val="26"/>
          <w:szCs w:val="26"/>
        </w:rPr>
      </w:pPr>
      <w:hyperlink w:anchor="_Toc149903688" w:history="1">
        <w:r w:rsidRPr="0072600F">
          <w:rPr>
            <w:rStyle w:val="Hyperlink"/>
            <w:sz w:val="26"/>
            <w:szCs w:val="26"/>
          </w:rPr>
          <w:t>Section 13.</w:t>
        </w:r>
        <w:r w:rsidRPr="0072600F">
          <w:rPr>
            <w:rFonts w:eastAsiaTheme="minorEastAsia"/>
            <w:sz w:val="26"/>
            <w:szCs w:val="26"/>
          </w:rPr>
          <w:tab/>
        </w:r>
        <w:r w:rsidRPr="0072600F">
          <w:rPr>
            <w:rStyle w:val="Hyperlink"/>
            <w:sz w:val="26"/>
            <w:szCs w:val="26"/>
          </w:rPr>
          <w:t>Miscellaneous</w:t>
        </w:r>
        <w:r w:rsidRPr="0072600F">
          <w:rPr>
            <w:webHidden/>
            <w:sz w:val="26"/>
            <w:szCs w:val="26"/>
          </w:rPr>
          <w:tab/>
        </w:r>
        <w:r w:rsidRPr="0072600F">
          <w:rPr>
            <w:b w:val="0"/>
            <w:bCs w:val="0"/>
            <w:webHidden/>
            <w:sz w:val="26"/>
            <w:szCs w:val="26"/>
          </w:rPr>
          <w:fldChar w:fldCharType="begin"/>
        </w:r>
        <w:r w:rsidRPr="0072600F">
          <w:rPr>
            <w:webHidden/>
            <w:sz w:val="26"/>
            <w:szCs w:val="26"/>
          </w:rPr>
          <w:instrText xml:space="preserve"> PAGEREF _Toc149903688 \h </w:instrText>
        </w:r>
        <w:r w:rsidRPr="0072600F">
          <w:rPr>
            <w:b w:val="0"/>
            <w:bCs w:val="0"/>
            <w:webHidden/>
            <w:sz w:val="26"/>
            <w:szCs w:val="26"/>
          </w:rPr>
          <w:fldChar w:fldCharType="separate"/>
        </w:r>
        <w:r w:rsidR="00C46123">
          <w:rPr>
            <w:webHidden/>
            <w:sz w:val="26"/>
            <w:szCs w:val="26"/>
          </w:rPr>
          <w:t>- 97 -</w:t>
        </w:r>
        <w:r w:rsidRPr="0072600F">
          <w:rPr>
            <w:b w:val="0"/>
            <w:bCs w:val="0"/>
            <w:webHidden/>
            <w:sz w:val="26"/>
            <w:szCs w:val="26"/>
          </w:rPr>
          <w:fldChar w:fldCharType="end"/>
        </w:r>
      </w:hyperlink>
    </w:p>
    <w:p w:rsidR="00911580" w:rsidRPr="0072600F" w14:paraId="76A94BAD" w14:textId="77777777">
      <w:pPr>
        <w:pStyle w:val="TOC2"/>
        <w:tabs>
          <w:tab w:val="left" w:pos="800"/>
        </w:tabs>
        <w:rPr>
          <w:rFonts w:eastAsiaTheme="minorEastAsia"/>
          <w:noProof/>
          <w:sz w:val="26"/>
          <w:szCs w:val="26"/>
        </w:rPr>
      </w:pPr>
      <w:hyperlink w:anchor="_Toc149903689" w:history="1">
        <w:r w:rsidRPr="0072600F">
          <w:rPr>
            <w:rStyle w:val="Hyperlink"/>
            <w:noProof/>
            <w:sz w:val="26"/>
            <w:szCs w:val="26"/>
          </w:rPr>
          <w:t>13.1</w:t>
        </w:r>
        <w:r w:rsidRPr="0072600F">
          <w:rPr>
            <w:rFonts w:eastAsiaTheme="minorEastAsia"/>
            <w:noProof/>
            <w:sz w:val="26"/>
            <w:szCs w:val="26"/>
          </w:rPr>
          <w:tab/>
        </w:r>
        <w:r w:rsidRPr="0072600F">
          <w:rPr>
            <w:rStyle w:val="Hyperlink"/>
            <w:noProof/>
            <w:sz w:val="26"/>
            <w:szCs w:val="26"/>
          </w:rPr>
          <w:t>Confidentiality.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_Toc149903689 \h </w:instrText>
        </w:r>
        <w:r w:rsidRPr="0072600F">
          <w:rPr>
            <w:noProof/>
            <w:webHidden/>
            <w:sz w:val="26"/>
            <w:szCs w:val="26"/>
          </w:rPr>
          <w:fldChar w:fldCharType="separate"/>
        </w:r>
        <w:r w:rsidR="00C46123">
          <w:rPr>
            <w:noProof/>
            <w:webHidden/>
            <w:sz w:val="26"/>
            <w:szCs w:val="26"/>
          </w:rPr>
          <w:t>- 97 -</w:t>
        </w:r>
        <w:r w:rsidRPr="0072600F">
          <w:rPr>
            <w:noProof/>
            <w:webHidden/>
            <w:sz w:val="26"/>
            <w:szCs w:val="26"/>
          </w:rPr>
          <w:fldChar w:fldCharType="end"/>
        </w:r>
      </w:hyperlink>
    </w:p>
    <w:p w:rsidR="00911580" w:rsidRPr="0072600F" w14:paraId="57C913B2" w14:textId="77777777">
      <w:pPr>
        <w:pStyle w:val="TOC3"/>
        <w:tabs>
          <w:tab w:val="left" w:pos="1200"/>
          <w:tab w:val="right" w:leader="dot" w:pos="9350"/>
        </w:tabs>
        <w:rPr>
          <w:rFonts w:eastAsiaTheme="minorEastAsia"/>
          <w:noProof/>
          <w:sz w:val="26"/>
          <w:szCs w:val="26"/>
        </w:rPr>
      </w:pPr>
      <w:hyperlink w:anchor="_Toc149903690" w:history="1">
        <w:r w:rsidRPr="0072600F">
          <w:rPr>
            <w:rStyle w:val="Hyperlink"/>
            <w:noProof/>
            <w:sz w:val="26"/>
            <w:szCs w:val="26"/>
          </w:rPr>
          <w:t>13.1.1</w:t>
        </w:r>
        <w:r w:rsidRPr="0072600F">
          <w:rPr>
            <w:rFonts w:eastAsiaTheme="minorEastAsia"/>
            <w:noProof/>
            <w:sz w:val="26"/>
            <w:szCs w:val="26"/>
          </w:rPr>
          <w:tab/>
        </w:r>
        <w:r w:rsidRPr="0072600F">
          <w:rPr>
            <w:rStyle w:val="Hyperlink"/>
            <w:noProof/>
            <w:sz w:val="26"/>
            <w:szCs w:val="26"/>
          </w:rPr>
          <w:t xml:space="preserve"> Scope.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_Toc149903690 \h </w:instrText>
        </w:r>
        <w:r w:rsidRPr="0072600F">
          <w:rPr>
            <w:noProof/>
            <w:webHidden/>
            <w:sz w:val="26"/>
            <w:szCs w:val="26"/>
          </w:rPr>
          <w:fldChar w:fldCharType="separate"/>
        </w:r>
        <w:r w:rsidR="00C46123">
          <w:rPr>
            <w:noProof/>
            <w:webHidden/>
            <w:sz w:val="26"/>
            <w:szCs w:val="26"/>
          </w:rPr>
          <w:t>- 98 -</w:t>
        </w:r>
        <w:r w:rsidRPr="0072600F">
          <w:rPr>
            <w:noProof/>
            <w:webHidden/>
            <w:sz w:val="26"/>
            <w:szCs w:val="26"/>
          </w:rPr>
          <w:fldChar w:fldCharType="end"/>
        </w:r>
      </w:hyperlink>
    </w:p>
    <w:p w:rsidR="00911580" w:rsidRPr="0072600F" w14:paraId="58058A93" w14:textId="77777777">
      <w:pPr>
        <w:pStyle w:val="TOC3"/>
        <w:tabs>
          <w:tab w:val="left" w:pos="1200"/>
          <w:tab w:val="right" w:leader="dot" w:pos="9350"/>
        </w:tabs>
        <w:rPr>
          <w:rFonts w:eastAsiaTheme="minorEastAsia"/>
          <w:noProof/>
          <w:sz w:val="26"/>
          <w:szCs w:val="26"/>
        </w:rPr>
      </w:pPr>
      <w:hyperlink w:anchor="_Toc149903691" w:history="1">
        <w:r w:rsidRPr="0072600F">
          <w:rPr>
            <w:rStyle w:val="Hyperlink"/>
            <w:noProof/>
            <w:sz w:val="26"/>
            <w:szCs w:val="26"/>
          </w:rPr>
          <w:t>13.1.2</w:t>
        </w:r>
        <w:r w:rsidRPr="0072600F">
          <w:rPr>
            <w:rFonts w:eastAsiaTheme="minorEastAsia"/>
            <w:noProof/>
            <w:sz w:val="26"/>
            <w:szCs w:val="26"/>
          </w:rPr>
          <w:tab/>
        </w:r>
        <w:r w:rsidRPr="0072600F">
          <w:rPr>
            <w:rStyle w:val="Hyperlink"/>
            <w:noProof/>
            <w:sz w:val="26"/>
            <w:szCs w:val="26"/>
          </w:rPr>
          <w:t xml:space="preserve"> Release of Confidential Information.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_Toc149903691 \h </w:instrText>
        </w:r>
        <w:r w:rsidRPr="0072600F">
          <w:rPr>
            <w:noProof/>
            <w:webHidden/>
            <w:sz w:val="26"/>
            <w:szCs w:val="26"/>
          </w:rPr>
          <w:fldChar w:fldCharType="separate"/>
        </w:r>
        <w:r w:rsidR="00C46123">
          <w:rPr>
            <w:noProof/>
            <w:webHidden/>
            <w:sz w:val="26"/>
            <w:szCs w:val="26"/>
          </w:rPr>
          <w:t>- 99 -</w:t>
        </w:r>
        <w:r w:rsidRPr="0072600F">
          <w:rPr>
            <w:noProof/>
            <w:webHidden/>
            <w:sz w:val="26"/>
            <w:szCs w:val="26"/>
          </w:rPr>
          <w:fldChar w:fldCharType="end"/>
        </w:r>
      </w:hyperlink>
    </w:p>
    <w:p w:rsidR="00911580" w:rsidRPr="0072600F" w14:paraId="67A20D5B" w14:textId="77777777">
      <w:pPr>
        <w:pStyle w:val="TOC3"/>
        <w:tabs>
          <w:tab w:val="left" w:pos="1200"/>
          <w:tab w:val="right" w:leader="dot" w:pos="9350"/>
        </w:tabs>
        <w:rPr>
          <w:rFonts w:eastAsiaTheme="minorEastAsia"/>
          <w:noProof/>
          <w:sz w:val="26"/>
          <w:szCs w:val="26"/>
        </w:rPr>
      </w:pPr>
      <w:hyperlink w:anchor="_Toc149903692" w:history="1">
        <w:r w:rsidRPr="0072600F">
          <w:rPr>
            <w:rStyle w:val="Hyperlink"/>
            <w:noProof/>
            <w:sz w:val="26"/>
            <w:szCs w:val="26"/>
          </w:rPr>
          <w:t>13.1.3</w:t>
        </w:r>
        <w:r w:rsidRPr="0072600F">
          <w:rPr>
            <w:rFonts w:eastAsiaTheme="minorEastAsia"/>
            <w:noProof/>
            <w:sz w:val="26"/>
            <w:szCs w:val="26"/>
          </w:rPr>
          <w:tab/>
        </w:r>
        <w:r w:rsidRPr="0072600F">
          <w:rPr>
            <w:rStyle w:val="Hyperlink"/>
            <w:noProof/>
            <w:sz w:val="26"/>
            <w:szCs w:val="26"/>
          </w:rPr>
          <w:t xml:space="preserve"> Rights.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_Toc149903692 \h </w:instrText>
        </w:r>
        <w:r w:rsidRPr="0072600F">
          <w:rPr>
            <w:noProof/>
            <w:webHidden/>
            <w:sz w:val="26"/>
            <w:szCs w:val="26"/>
          </w:rPr>
          <w:fldChar w:fldCharType="separate"/>
        </w:r>
        <w:r w:rsidR="00C46123">
          <w:rPr>
            <w:noProof/>
            <w:webHidden/>
            <w:sz w:val="26"/>
            <w:szCs w:val="26"/>
          </w:rPr>
          <w:t>- 99 -</w:t>
        </w:r>
        <w:r w:rsidRPr="0072600F">
          <w:rPr>
            <w:noProof/>
            <w:webHidden/>
            <w:sz w:val="26"/>
            <w:szCs w:val="26"/>
          </w:rPr>
          <w:fldChar w:fldCharType="end"/>
        </w:r>
      </w:hyperlink>
    </w:p>
    <w:p w:rsidR="00911580" w:rsidRPr="0072600F" w14:paraId="4EE741BC" w14:textId="77777777">
      <w:pPr>
        <w:pStyle w:val="TOC3"/>
        <w:tabs>
          <w:tab w:val="left" w:pos="1200"/>
          <w:tab w:val="right" w:leader="dot" w:pos="9350"/>
        </w:tabs>
        <w:rPr>
          <w:rFonts w:eastAsiaTheme="minorEastAsia"/>
          <w:noProof/>
          <w:sz w:val="26"/>
          <w:szCs w:val="26"/>
        </w:rPr>
      </w:pPr>
      <w:hyperlink w:anchor="_Toc149903693" w:history="1">
        <w:r w:rsidRPr="0072600F">
          <w:rPr>
            <w:rStyle w:val="Hyperlink"/>
            <w:noProof/>
            <w:sz w:val="26"/>
            <w:szCs w:val="26"/>
          </w:rPr>
          <w:t>13.1.4</w:t>
        </w:r>
        <w:r w:rsidRPr="0072600F">
          <w:rPr>
            <w:rFonts w:eastAsiaTheme="minorEastAsia"/>
            <w:noProof/>
            <w:sz w:val="26"/>
            <w:szCs w:val="26"/>
          </w:rPr>
          <w:tab/>
        </w:r>
        <w:r w:rsidRPr="0072600F">
          <w:rPr>
            <w:rStyle w:val="Hyperlink"/>
            <w:noProof/>
            <w:sz w:val="26"/>
            <w:szCs w:val="26"/>
          </w:rPr>
          <w:t xml:space="preserve"> No Warranties.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_Toc149903693 \h </w:instrText>
        </w:r>
        <w:r w:rsidRPr="0072600F">
          <w:rPr>
            <w:noProof/>
            <w:webHidden/>
            <w:sz w:val="26"/>
            <w:szCs w:val="26"/>
          </w:rPr>
          <w:fldChar w:fldCharType="separate"/>
        </w:r>
        <w:r w:rsidR="00C46123">
          <w:rPr>
            <w:noProof/>
            <w:webHidden/>
            <w:sz w:val="26"/>
            <w:szCs w:val="26"/>
          </w:rPr>
          <w:t>- 99 -</w:t>
        </w:r>
        <w:r w:rsidRPr="0072600F">
          <w:rPr>
            <w:noProof/>
            <w:webHidden/>
            <w:sz w:val="26"/>
            <w:szCs w:val="26"/>
          </w:rPr>
          <w:fldChar w:fldCharType="end"/>
        </w:r>
      </w:hyperlink>
    </w:p>
    <w:p w:rsidR="00911580" w:rsidRPr="0072600F" w14:paraId="18D1B5CC" w14:textId="77777777">
      <w:pPr>
        <w:pStyle w:val="TOC3"/>
        <w:tabs>
          <w:tab w:val="left" w:pos="1200"/>
          <w:tab w:val="right" w:leader="dot" w:pos="9350"/>
        </w:tabs>
        <w:rPr>
          <w:rFonts w:eastAsiaTheme="minorEastAsia"/>
          <w:noProof/>
          <w:sz w:val="26"/>
          <w:szCs w:val="26"/>
        </w:rPr>
      </w:pPr>
      <w:hyperlink w:anchor="_Toc149903694" w:history="1">
        <w:r w:rsidRPr="0072600F">
          <w:rPr>
            <w:rStyle w:val="Hyperlink"/>
            <w:noProof/>
            <w:sz w:val="26"/>
            <w:szCs w:val="26"/>
          </w:rPr>
          <w:t>13.1.5</w:t>
        </w:r>
        <w:r w:rsidRPr="0072600F">
          <w:rPr>
            <w:rFonts w:eastAsiaTheme="minorEastAsia"/>
            <w:noProof/>
            <w:sz w:val="26"/>
            <w:szCs w:val="26"/>
          </w:rPr>
          <w:tab/>
        </w:r>
        <w:r w:rsidRPr="0072600F">
          <w:rPr>
            <w:rStyle w:val="Hyperlink"/>
            <w:noProof/>
            <w:sz w:val="26"/>
            <w:szCs w:val="26"/>
          </w:rPr>
          <w:t xml:space="preserve"> Standard of Care.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_Toc149903694 \h </w:instrText>
        </w:r>
        <w:r w:rsidRPr="0072600F">
          <w:rPr>
            <w:noProof/>
            <w:webHidden/>
            <w:sz w:val="26"/>
            <w:szCs w:val="26"/>
          </w:rPr>
          <w:fldChar w:fldCharType="separate"/>
        </w:r>
        <w:r w:rsidR="00C46123">
          <w:rPr>
            <w:noProof/>
            <w:webHidden/>
            <w:sz w:val="26"/>
            <w:szCs w:val="26"/>
          </w:rPr>
          <w:t>- 100 -</w:t>
        </w:r>
        <w:r w:rsidRPr="0072600F">
          <w:rPr>
            <w:noProof/>
            <w:webHidden/>
            <w:sz w:val="26"/>
            <w:szCs w:val="26"/>
          </w:rPr>
          <w:fldChar w:fldCharType="end"/>
        </w:r>
      </w:hyperlink>
    </w:p>
    <w:p w:rsidR="00911580" w:rsidRPr="0072600F" w14:paraId="4038072F" w14:textId="77777777">
      <w:pPr>
        <w:pStyle w:val="TOC3"/>
        <w:tabs>
          <w:tab w:val="left" w:pos="1200"/>
          <w:tab w:val="right" w:leader="dot" w:pos="9350"/>
        </w:tabs>
        <w:rPr>
          <w:rFonts w:eastAsiaTheme="minorEastAsia"/>
          <w:noProof/>
          <w:sz w:val="26"/>
          <w:szCs w:val="26"/>
        </w:rPr>
      </w:pPr>
      <w:hyperlink w:anchor="_Toc149903695" w:history="1">
        <w:r w:rsidRPr="0072600F">
          <w:rPr>
            <w:rStyle w:val="Hyperlink"/>
            <w:noProof/>
            <w:sz w:val="26"/>
            <w:szCs w:val="26"/>
          </w:rPr>
          <w:t>13.1.6</w:t>
        </w:r>
        <w:r w:rsidRPr="0072600F">
          <w:rPr>
            <w:rFonts w:eastAsiaTheme="minorEastAsia"/>
            <w:noProof/>
            <w:sz w:val="26"/>
            <w:szCs w:val="26"/>
          </w:rPr>
          <w:tab/>
        </w:r>
        <w:r w:rsidRPr="0072600F">
          <w:rPr>
            <w:rStyle w:val="Hyperlink"/>
            <w:noProof/>
            <w:sz w:val="26"/>
            <w:szCs w:val="26"/>
          </w:rPr>
          <w:t xml:space="preserve"> Order of Disclosure.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_Toc149903695 \h </w:instrText>
        </w:r>
        <w:r w:rsidRPr="0072600F">
          <w:rPr>
            <w:noProof/>
            <w:webHidden/>
            <w:sz w:val="26"/>
            <w:szCs w:val="26"/>
          </w:rPr>
          <w:fldChar w:fldCharType="separate"/>
        </w:r>
        <w:r w:rsidR="00C46123">
          <w:rPr>
            <w:noProof/>
            <w:webHidden/>
            <w:sz w:val="26"/>
            <w:szCs w:val="26"/>
          </w:rPr>
          <w:t>- 100 -</w:t>
        </w:r>
        <w:r w:rsidRPr="0072600F">
          <w:rPr>
            <w:noProof/>
            <w:webHidden/>
            <w:sz w:val="26"/>
            <w:szCs w:val="26"/>
          </w:rPr>
          <w:fldChar w:fldCharType="end"/>
        </w:r>
      </w:hyperlink>
    </w:p>
    <w:p w:rsidR="00911580" w:rsidRPr="0072600F" w14:paraId="40787921" w14:textId="77777777">
      <w:pPr>
        <w:pStyle w:val="TOC3"/>
        <w:tabs>
          <w:tab w:val="left" w:pos="1200"/>
          <w:tab w:val="right" w:leader="dot" w:pos="9350"/>
        </w:tabs>
        <w:rPr>
          <w:rFonts w:eastAsiaTheme="minorEastAsia"/>
          <w:noProof/>
          <w:sz w:val="26"/>
          <w:szCs w:val="26"/>
        </w:rPr>
      </w:pPr>
      <w:hyperlink w:anchor="_Toc149903696" w:history="1">
        <w:r w:rsidRPr="0072600F">
          <w:rPr>
            <w:rStyle w:val="Hyperlink"/>
            <w:noProof/>
            <w:sz w:val="26"/>
            <w:szCs w:val="26"/>
          </w:rPr>
          <w:t>13.1.7</w:t>
        </w:r>
        <w:r w:rsidRPr="0072600F">
          <w:rPr>
            <w:rFonts w:eastAsiaTheme="minorEastAsia"/>
            <w:noProof/>
            <w:sz w:val="26"/>
            <w:szCs w:val="26"/>
          </w:rPr>
          <w:tab/>
        </w:r>
        <w:r w:rsidRPr="0072600F">
          <w:rPr>
            <w:rStyle w:val="Hyperlink"/>
            <w:noProof/>
            <w:sz w:val="26"/>
            <w:szCs w:val="26"/>
          </w:rPr>
          <w:t xml:space="preserve"> Remedies.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_Toc149903696 \h </w:instrText>
        </w:r>
        <w:r w:rsidRPr="0072600F">
          <w:rPr>
            <w:noProof/>
            <w:webHidden/>
            <w:sz w:val="26"/>
            <w:szCs w:val="26"/>
          </w:rPr>
          <w:fldChar w:fldCharType="separate"/>
        </w:r>
        <w:r w:rsidR="00C46123">
          <w:rPr>
            <w:noProof/>
            <w:webHidden/>
            <w:sz w:val="26"/>
            <w:szCs w:val="26"/>
          </w:rPr>
          <w:t>- 100 -</w:t>
        </w:r>
        <w:r w:rsidRPr="0072600F">
          <w:rPr>
            <w:noProof/>
            <w:webHidden/>
            <w:sz w:val="26"/>
            <w:szCs w:val="26"/>
          </w:rPr>
          <w:fldChar w:fldCharType="end"/>
        </w:r>
      </w:hyperlink>
    </w:p>
    <w:p w:rsidR="00911580" w:rsidRPr="0072600F" w14:paraId="68CBC5C5" w14:textId="77777777">
      <w:pPr>
        <w:pStyle w:val="TOC3"/>
        <w:tabs>
          <w:tab w:val="left" w:pos="1200"/>
          <w:tab w:val="right" w:leader="dot" w:pos="9350"/>
        </w:tabs>
        <w:rPr>
          <w:rFonts w:eastAsiaTheme="minorEastAsia"/>
          <w:noProof/>
          <w:sz w:val="26"/>
          <w:szCs w:val="26"/>
        </w:rPr>
      </w:pPr>
      <w:hyperlink w:anchor="_Toc149903697" w:history="1">
        <w:r w:rsidRPr="0072600F">
          <w:rPr>
            <w:rStyle w:val="Hyperlink"/>
            <w:noProof/>
            <w:sz w:val="26"/>
            <w:szCs w:val="26"/>
          </w:rPr>
          <w:t>13.1.8</w:t>
        </w:r>
        <w:r w:rsidRPr="0072600F">
          <w:rPr>
            <w:rFonts w:eastAsiaTheme="minorEastAsia"/>
            <w:noProof/>
            <w:sz w:val="26"/>
            <w:szCs w:val="26"/>
          </w:rPr>
          <w:tab/>
        </w:r>
        <w:r w:rsidRPr="0072600F">
          <w:rPr>
            <w:rStyle w:val="Hyperlink"/>
            <w:noProof/>
            <w:sz w:val="26"/>
            <w:szCs w:val="26"/>
          </w:rPr>
          <w:t xml:space="preserve"> Disclosure to FERC, its Staff, or a State.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_Toc149903697 \h </w:instrText>
        </w:r>
        <w:r w:rsidRPr="0072600F">
          <w:rPr>
            <w:noProof/>
            <w:webHidden/>
            <w:sz w:val="26"/>
            <w:szCs w:val="26"/>
          </w:rPr>
          <w:fldChar w:fldCharType="separate"/>
        </w:r>
        <w:r w:rsidR="00C46123">
          <w:rPr>
            <w:noProof/>
            <w:webHidden/>
            <w:sz w:val="26"/>
            <w:szCs w:val="26"/>
          </w:rPr>
          <w:t>- 101 -</w:t>
        </w:r>
        <w:r w:rsidRPr="0072600F">
          <w:rPr>
            <w:noProof/>
            <w:webHidden/>
            <w:sz w:val="26"/>
            <w:szCs w:val="26"/>
          </w:rPr>
          <w:fldChar w:fldCharType="end"/>
        </w:r>
      </w:hyperlink>
    </w:p>
    <w:p w:rsidR="00911580" w:rsidRPr="0072600F" w14:paraId="6C6F0E26" w14:textId="77777777">
      <w:pPr>
        <w:pStyle w:val="TOC2"/>
        <w:tabs>
          <w:tab w:val="left" w:pos="800"/>
        </w:tabs>
        <w:rPr>
          <w:rFonts w:eastAsiaTheme="minorEastAsia"/>
          <w:noProof/>
          <w:sz w:val="26"/>
          <w:szCs w:val="26"/>
        </w:rPr>
      </w:pPr>
      <w:hyperlink w:anchor="_Toc149903701" w:history="1">
        <w:r w:rsidRPr="0072600F">
          <w:rPr>
            <w:rStyle w:val="Hyperlink"/>
            <w:noProof/>
            <w:sz w:val="26"/>
            <w:szCs w:val="26"/>
          </w:rPr>
          <w:t>13.2</w:t>
        </w:r>
        <w:r w:rsidRPr="0072600F">
          <w:rPr>
            <w:rFonts w:eastAsiaTheme="minorEastAsia"/>
            <w:noProof/>
            <w:sz w:val="26"/>
            <w:szCs w:val="26"/>
          </w:rPr>
          <w:tab/>
        </w:r>
        <w:r w:rsidRPr="0072600F">
          <w:rPr>
            <w:rStyle w:val="Hyperlink"/>
            <w:noProof/>
            <w:sz w:val="26"/>
            <w:szCs w:val="26"/>
          </w:rPr>
          <w:t>Delegation of Responsibility.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_Toc149903701 \h </w:instrText>
        </w:r>
        <w:r w:rsidRPr="0072600F">
          <w:rPr>
            <w:noProof/>
            <w:webHidden/>
            <w:sz w:val="26"/>
            <w:szCs w:val="26"/>
          </w:rPr>
          <w:fldChar w:fldCharType="separate"/>
        </w:r>
        <w:r w:rsidR="00C46123">
          <w:rPr>
            <w:noProof/>
            <w:webHidden/>
            <w:sz w:val="26"/>
            <w:szCs w:val="26"/>
          </w:rPr>
          <w:t>- 103 -</w:t>
        </w:r>
        <w:r w:rsidRPr="0072600F">
          <w:rPr>
            <w:noProof/>
            <w:webHidden/>
            <w:sz w:val="26"/>
            <w:szCs w:val="26"/>
          </w:rPr>
          <w:fldChar w:fldCharType="end"/>
        </w:r>
      </w:hyperlink>
    </w:p>
    <w:p w:rsidR="00911580" w:rsidRPr="0072600F" w14:paraId="7B7EC41C" w14:textId="77777777">
      <w:pPr>
        <w:pStyle w:val="TOC2"/>
        <w:tabs>
          <w:tab w:val="left" w:pos="800"/>
        </w:tabs>
        <w:rPr>
          <w:rFonts w:eastAsiaTheme="minorEastAsia"/>
          <w:noProof/>
          <w:sz w:val="26"/>
          <w:szCs w:val="26"/>
        </w:rPr>
      </w:pPr>
      <w:hyperlink w:anchor="_Toc149903702" w:history="1">
        <w:r w:rsidRPr="0072600F">
          <w:rPr>
            <w:rStyle w:val="Hyperlink"/>
            <w:noProof/>
            <w:sz w:val="26"/>
            <w:szCs w:val="26"/>
          </w:rPr>
          <w:t>13.3</w:t>
        </w:r>
        <w:r w:rsidRPr="0072600F">
          <w:rPr>
            <w:rFonts w:eastAsiaTheme="minorEastAsia"/>
            <w:noProof/>
            <w:sz w:val="26"/>
            <w:szCs w:val="26"/>
          </w:rPr>
          <w:tab/>
        </w:r>
        <w:r w:rsidRPr="0072600F">
          <w:rPr>
            <w:rStyle w:val="Hyperlink"/>
            <w:noProof/>
            <w:sz w:val="26"/>
            <w:szCs w:val="26"/>
          </w:rPr>
          <w:t>Obligation for Study Costs.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_Toc149903702 \h </w:instrText>
        </w:r>
        <w:r w:rsidRPr="0072600F">
          <w:rPr>
            <w:noProof/>
            <w:webHidden/>
            <w:sz w:val="26"/>
            <w:szCs w:val="26"/>
          </w:rPr>
          <w:fldChar w:fldCharType="separate"/>
        </w:r>
        <w:r w:rsidR="00C46123">
          <w:rPr>
            <w:noProof/>
            <w:webHidden/>
            <w:sz w:val="26"/>
            <w:szCs w:val="26"/>
          </w:rPr>
          <w:t>- 103 -</w:t>
        </w:r>
        <w:r w:rsidRPr="0072600F">
          <w:rPr>
            <w:noProof/>
            <w:webHidden/>
            <w:sz w:val="26"/>
            <w:szCs w:val="26"/>
          </w:rPr>
          <w:fldChar w:fldCharType="end"/>
        </w:r>
      </w:hyperlink>
    </w:p>
    <w:p w:rsidR="00911580" w:rsidRPr="0072600F" w14:paraId="49364D33" w14:textId="77777777">
      <w:pPr>
        <w:pStyle w:val="TOC2"/>
        <w:tabs>
          <w:tab w:val="left" w:pos="800"/>
        </w:tabs>
        <w:rPr>
          <w:rFonts w:eastAsiaTheme="minorEastAsia"/>
          <w:noProof/>
          <w:sz w:val="26"/>
          <w:szCs w:val="26"/>
        </w:rPr>
      </w:pPr>
      <w:hyperlink w:anchor="_Toc149903703" w:history="1">
        <w:r w:rsidRPr="0072600F">
          <w:rPr>
            <w:rStyle w:val="Hyperlink"/>
            <w:noProof/>
            <w:sz w:val="26"/>
            <w:szCs w:val="26"/>
          </w:rPr>
          <w:t>13.4</w:t>
        </w:r>
        <w:r w:rsidRPr="0072600F">
          <w:rPr>
            <w:rFonts w:eastAsiaTheme="minorEastAsia"/>
            <w:noProof/>
            <w:sz w:val="26"/>
            <w:szCs w:val="26"/>
          </w:rPr>
          <w:tab/>
        </w:r>
        <w:r w:rsidRPr="0072600F">
          <w:rPr>
            <w:rStyle w:val="Hyperlink"/>
            <w:noProof/>
            <w:sz w:val="26"/>
            <w:szCs w:val="26"/>
          </w:rPr>
          <w:t>Third Parties Conducting Studies.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_Toc149903703 \h </w:instrText>
        </w:r>
        <w:r w:rsidRPr="0072600F">
          <w:rPr>
            <w:noProof/>
            <w:webHidden/>
            <w:sz w:val="26"/>
            <w:szCs w:val="26"/>
          </w:rPr>
          <w:fldChar w:fldCharType="separate"/>
        </w:r>
        <w:r w:rsidR="00C46123">
          <w:rPr>
            <w:noProof/>
            <w:webHidden/>
            <w:sz w:val="26"/>
            <w:szCs w:val="26"/>
          </w:rPr>
          <w:t>- 104 -</w:t>
        </w:r>
        <w:r w:rsidRPr="0072600F">
          <w:rPr>
            <w:noProof/>
            <w:webHidden/>
            <w:sz w:val="26"/>
            <w:szCs w:val="26"/>
          </w:rPr>
          <w:fldChar w:fldCharType="end"/>
        </w:r>
      </w:hyperlink>
    </w:p>
    <w:p w:rsidR="00911580" w:rsidRPr="0072600F" w14:paraId="433C6E13" w14:textId="77777777">
      <w:pPr>
        <w:pStyle w:val="TOC2"/>
        <w:tabs>
          <w:tab w:val="left" w:pos="800"/>
        </w:tabs>
        <w:rPr>
          <w:rFonts w:eastAsiaTheme="minorEastAsia"/>
          <w:noProof/>
          <w:sz w:val="26"/>
          <w:szCs w:val="26"/>
        </w:rPr>
      </w:pPr>
      <w:hyperlink w:anchor="_Toc149903704" w:history="1">
        <w:r w:rsidRPr="0072600F">
          <w:rPr>
            <w:rStyle w:val="Hyperlink"/>
            <w:noProof/>
            <w:sz w:val="26"/>
            <w:szCs w:val="26"/>
          </w:rPr>
          <w:t>13.5</w:t>
        </w:r>
        <w:r w:rsidRPr="0072600F">
          <w:rPr>
            <w:rFonts w:eastAsiaTheme="minorEastAsia"/>
            <w:noProof/>
            <w:sz w:val="26"/>
            <w:szCs w:val="26"/>
          </w:rPr>
          <w:tab/>
        </w:r>
        <w:r w:rsidRPr="0072600F">
          <w:rPr>
            <w:rStyle w:val="Hyperlink"/>
            <w:noProof/>
            <w:sz w:val="26"/>
            <w:szCs w:val="26"/>
          </w:rPr>
          <w:t>Disputes.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_Toc149903704 \h </w:instrText>
        </w:r>
        <w:r w:rsidRPr="0072600F">
          <w:rPr>
            <w:noProof/>
            <w:webHidden/>
            <w:sz w:val="26"/>
            <w:szCs w:val="26"/>
          </w:rPr>
          <w:fldChar w:fldCharType="separate"/>
        </w:r>
        <w:r w:rsidR="00C46123">
          <w:rPr>
            <w:noProof/>
            <w:webHidden/>
            <w:sz w:val="26"/>
            <w:szCs w:val="26"/>
          </w:rPr>
          <w:t>- 105 -</w:t>
        </w:r>
        <w:r w:rsidRPr="0072600F">
          <w:rPr>
            <w:noProof/>
            <w:webHidden/>
            <w:sz w:val="26"/>
            <w:szCs w:val="26"/>
          </w:rPr>
          <w:fldChar w:fldCharType="end"/>
        </w:r>
      </w:hyperlink>
    </w:p>
    <w:p w:rsidR="00911580" w:rsidRPr="0072600F" w14:paraId="0057B2DC" w14:textId="77777777">
      <w:pPr>
        <w:pStyle w:val="TOC3"/>
        <w:tabs>
          <w:tab w:val="left" w:pos="1200"/>
          <w:tab w:val="right" w:leader="dot" w:pos="9350"/>
        </w:tabs>
        <w:rPr>
          <w:rFonts w:eastAsiaTheme="minorEastAsia"/>
          <w:noProof/>
          <w:sz w:val="26"/>
          <w:szCs w:val="26"/>
        </w:rPr>
      </w:pPr>
      <w:hyperlink w:anchor="_Toc149903705" w:history="1">
        <w:r w:rsidRPr="0072600F">
          <w:rPr>
            <w:rStyle w:val="Hyperlink"/>
            <w:noProof/>
            <w:sz w:val="26"/>
            <w:szCs w:val="26"/>
          </w:rPr>
          <w:t>13.5.1</w:t>
        </w:r>
        <w:r w:rsidRPr="0072600F">
          <w:rPr>
            <w:rFonts w:eastAsiaTheme="minorEastAsia"/>
            <w:noProof/>
            <w:sz w:val="26"/>
            <w:szCs w:val="26"/>
          </w:rPr>
          <w:tab/>
        </w:r>
        <w:r w:rsidRPr="0072600F">
          <w:rPr>
            <w:rStyle w:val="Hyperlink"/>
            <w:noProof/>
            <w:sz w:val="26"/>
            <w:szCs w:val="26"/>
          </w:rPr>
          <w:t xml:space="preserve"> Submission.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_Toc149903705 \h </w:instrText>
        </w:r>
        <w:r w:rsidRPr="0072600F">
          <w:rPr>
            <w:noProof/>
            <w:webHidden/>
            <w:sz w:val="26"/>
            <w:szCs w:val="26"/>
          </w:rPr>
          <w:fldChar w:fldCharType="separate"/>
        </w:r>
        <w:r w:rsidR="00C46123">
          <w:rPr>
            <w:noProof/>
            <w:webHidden/>
            <w:sz w:val="26"/>
            <w:szCs w:val="26"/>
          </w:rPr>
          <w:t>- 105 -</w:t>
        </w:r>
        <w:r w:rsidRPr="0072600F">
          <w:rPr>
            <w:noProof/>
            <w:webHidden/>
            <w:sz w:val="26"/>
            <w:szCs w:val="26"/>
          </w:rPr>
          <w:fldChar w:fldCharType="end"/>
        </w:r>
      </w:hyperlink>
    </w:p>
    <w:p w:rsidR="00911580" w:rsidRPr="0072600F" w14:paraId="3F75613D" w14:textId="77777777">
      <w:pPr>
        <w:pStyle w:val="TOC3"/>
        <w:tabs>
          <w:tab w:val="left" w:pos="1200"/>
          <w:tab w:val="right" w:leader="dot" w:pos="9350"/>
        </w:tabs>
        <w:rPr>
          <w:rFonts w:eastAsiaTheme="minorEastAsia"/>
          <w:noProof/>
          <w:sz w:val="26"/>
          <w:szCs w:val="26"/>
        </w:rPr>
      </w:pPr>
      <w:hyperlink w:anchor="_Toc149903706" w:history="1">
        <w:r w:rsidRPr="0072600F">
          <w:rPr>
            <w:rStyle w:val="Hyperlink"/>
            <w:noProof/>
            <w:sz w:val="26"/>
            <w:szCs w:val="26"/>
          </w:rPr>
          <w:t>13.5.2</w:t>
        </w:r>
        <w:r w:rsidRPr="0072600F">
          <w:rPr>
            <w:rFonts w:eastAsiaTheme="minorEastAsia"/>
            <w:noProof/>
            <w:sz w:val="26"/>
            <w:szCs w:val="26"/>
          </w:rPr>
          <w:tab/>
        </w:r>
        <w:r w:rsidRPr="0072600F">
          <w:rPr>
            <w:rStyle w:val="Hyperlink"/>
            <w:noProof/>
            <w:sz w:val="26"/>
            <w:szCs w:val="26"/>
          </w:rPr>
          <w:t xml:space="preserve"> External Arbitration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_Toc149903706 \h </w:instrText>
        </w:r>
        <w:r w:rsidRPr="0072600F">
          <w:rPr>
            <w:noProof/>
            <w:webHidden/>
            <w:sz w:val="26"/>
            <w:szCs w:val="26"/>
          </w:rPr>
          <w:fldChar w:fldCharType="separate"/>
        </w:r>
        <w:r w:rsidR="00C46123">
          <w:rPr>
            <w:noProof/>
            <w:webHidden/>
            <w:sz w:val="26"/>
            <w:szCs w:val="26"/>
          </w:rPr>
          <w:t>- 106 -</w:t>
        </w:r>
        <w:r w:rsidRPr="0072600F">
          <w:rPr>
            <w:noProof/>
            <w:webHidden/>
            <w:sz w:val="26"/>
            <w:szCs w:val="26"/>
          </w:rPr>
          <w:fldChar w:fldCharType="end"/>
        </w:r>
      </w:hyperlink>
    </w:p>
    <w:p w:rsidR="00911580" w:rsidRPr="0072600F" w14:paraId="1520274C" w14:textId="77777777">
      <w:pPr>
        <w:pStyle w:val="TOC3"/>
        <w:tabs>
          <w:tab w:val="left" w:pos="1200"/>
          <w:tab w:val="right" w:leader="dot" w:pos="9350"/>
        </w:tabs>
        <w:rPr>
          <w:rFonts w:eastAsiaTheme="minorEastAsia"/>
          <w:noProof/>
          <w:sz w:val="26"/>
          <w:szCs w:val="26"/>
        </w:rPr>
      </w:pPr>
      <w:hyperlink w:anchor="_Toc149903707" w:history="1">
        <w:r w:rsidRPr="0072600F">
          <w:rPr>
            <w:rStyle w:val="Hyperlink"/>
            <w:noProof/>
            <w:sz w:val="26"/>
            <w:szCs w:val="26"/>
          </w:rPr>
          <w:t>13.5.3</w:t>
        </w:r>
        <w:r w:rsidRPr="0072600F">
          <w:rPr>
            <w:rFonts w:eastAsiaTheme="minorEastAsia"/>
            <w:noProof/>
            <w:sz w:val="26"/>
            <w:szCs w:val="26"/>
          </w:rPr>
          <w:tab/>
        </w:r>
        <w:r w:rsidRPr="0072600F">
          <w:rPr>
            <w:rStyle w:val="Hyperlink"/>
            <w:noProof/>
            <w:sz w:val="26"/>
            <w:szCs w:val="26"/>
          </w:rPr>
          <w:t xml:space="preserve"> Arbitration Decisions.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_Toc149903707 \h </w:instrText>
        </w:r>
        <w:r w:rsidRPr="0072600F">
          <w:rPr>
            <w:noProof/>
            <w:webHidden/>
            <w:sz w:val="26"/>
            <w:szCs w:val="26"/>
          </w:rPr>
          <w:fldChar w:fldCharType="separate"/>
        </w:r>
        <w:r w:rsidR="00C46123">
          <w:rPr>
            <w:noProof/>
            <w:webHidden/>
            <w:sz w:val="26"/>
            <w:szCs w:val="26"/>
          </w:rPr>
          <w:t>- 107 -</w:t>
        </w:r>
        <w:r w:rsidRPr="0072600F">
          <w:rPr>
            <w:noProof/>
            <w:webHidden/>
            <w:sz w:val="26"/>
            <w:szCs w:val="26"/>
          </w:rPr>
          <w:fldChar w:fldCharType="end"/>
        </w:r>
      </w:hyperlink>
    </w:p>
    <w:p w:rsidR="00911580" w:rsidRPr="0072600F" w14:paraId="0D905113" w14:textId="77777777">
      <w:pPr>
        <w:pStyle w:val="TOC3"/>
        <w:tabs>
          <w:tab w:val="left" w:pos="1200"/>
          <w:tab w:val="right" w:leader="dot" w:pos="9350"/>
        </w:tabs>
        <w:rPr>
          <w:rFonts w:eastAsiaTheme="minorEastAsia"/>
          <w:noProof/>
          <w:sz w:val="26"/>
          <w:szCs w:val="26"/>
        </w:rPr>
      </w:pPr>
      <w:hyperlink w:anchor="_Toc149903708" w:history="1">
        <w:r w:rsidRPr="0072600F">
          <w:rPr>
            <w:rStyle w:val="Hyperlink"/>
            <w:noProof/>
            <w:sz w:val="26"/>
            <w:szCs w:val="26"/>
          </w:rPr>
          <w:t>13.5.4</w:t>
        </w:r>
        <w:r w:rsidRPr="0072600F">
          <w:rPr>
            <w:rFonts w:eastAsiaTheme="minorEastAsia"/>
            <w:noProof/>
            <w:sz w:val="26"/>
            <w:szCs w:val="26"/>
          </w:rPr>
          <w:tab/>
        </w:r>
        <w:r w:rsidRPr="0072600F">
          <w:rPr>
            <w:rStyle w:val="Hyperlink"/>
            <w:noProof/>
            <w:sz w:val="26"/>
            <w:szCs w:val="26"/>
          </w:rPr>
          <w:t xml:space="preserve"> Costs.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_Toc149903708 \h </w:instrText>
        </w:r>
        <w:r w:rsidRPr="0072600F">
          <w:rPr>
            <w:noProof/>
            <w:webHidden/>
            <w:sz w:val="26"/>
            <w:szCs w:val="26"/>
          </w:rPr>
          <w:fldChar w:fldCharType="separate"/>
        </w:r>
        <w:r w:rsidR="00C46123">
          <w:rPr>
            <w:noProof/>
            <w:webHidden/>
            <w:sz w:val="26"/>
            <w:szCs w:val="26"/>
          </w:rPr>
          <w:t>- 107 -</w:t>
        </w:r>
        <w:r w:rsidRPr="0072600F">
          <w:rPr>
            <w:noProof/>
            <w:webHidden/>
            <w:sz w:val="26"/>
            <w:szCs w:val="26"/>
          </w:rPr>
          <w:fldChar w:fldCharType="end"/>
        </w:r>
      </w:hyperlink>
    </w:p>
    <w:p w:rsidR="00911580" w:rsidRPr="0072600F" w14:paraId="7482FDCC" w14:textId="77777777">
      <w:pPr>
        <w:pStyle w:val="TOC3"/>
        <w:tabs>
          <w:tab w:val="left" w:pos="1200"/>
          <w:tab w:val="right" w:leader="dot" w:pos="9350"/>
        </w:tabs>
        <w:rPr>
          <w:rFonts w:eastAsiaTheme="minorEastAsia"/>
          <w:noProof/>
          <w:sz w:val="26"/>
          <w:szCs w:val="26"/>
        </w:rPr>
      </w:pPr>
      <w:hyperlink w:anchor="_Toc149903709" w:history="1">
        <w:r w:rsidRPr="0072600F">
          <w:rPr>
            <w:rStyle w:val="Hyperlink"/>
            <w:noProof/>
            <w:sz w:val="26"/>
            <w:szCs w:val="26"/>
          </w:rPr>
          <w:t>13.5.5</w:t>
        </w:r>
        <w:r w:rsidRPr="0072600F">
          <w:rPr>
            <w:rFonts w:eastAsiaTheme="minorEastAsia"/>
            <w:noProof/>
            <w:sz w:val="26"/>
            <w:szCs w:val="26"/>
          </w:rPr>
          <w:tab/>
        </w:r>
        <w:r w:rsidRPr="0072600F">
          <w:rPr>
            <w:rStyle w:val="Hyperlink"/>
            <w:noProof/>
            <w:sz w:val="26"/>
            <w:szCs w:val="26"/>
          </w:rPr>
          <w:t xml:space="preserve"> Non-binding dispute resolution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_Toc149903709 \h </w:instrText>
        </w:r>
        <w:r w:rsidRPr="0072600F">
          <w:rPr>
            <w:noProof/>
            <w:webHidden/>
            <w:sz w:val="26"/>
            <w:szCs w:val="26"/>
          </w:rPr>
          <w:fldChar w:fldCharType="separate"/>
        </w:r>
        <w:r w:rsidR="00C46123">
          <w:rPr>
            <w:noProof/>
            <w:webHidden/>
            <w:sz w:val="26"/>
            <w:szCs w:val="26"/>
          </w:rPr>
          <w:t>- 107 -</w:t>
        </w:r>
        <w:r w:rsidRPr="0072600F">
          <w:rPr>
            <w:noProof/>
            <w:webHidden/>
            <w:sz w:val="26"/>
            <w:szCs w:val="26"/>
          </w:rPr>
          <w:fldChar w:fldCharType="end"/>
        </w:r>
      </w:hyperlink>
    </w:p>
    <w:p w:rsidR="00911580" w:rsidRPr="0072600F" w14:paraId="604F6847" w14:textId="77777777">
      <w:pPr>
        <w:pStyle w:val="TOC2"/>
        <w:tabs>
          <w:tab w:val="left" w:pos="800"/>
        </w:tabs>
        <w:rPr>
          <w:rFonts w:eastAsiaTheme="minorEastAsia"/>
          <w:noProof/>
          <w:sz w:val="26"/>
          <w:szCs w:val="26"/>
        </w:rPr>
      </w:pPr>
      <w:hyperlink w:anchor="_Toc149903710" w:history="1">
        <w:r w:rsidRPr="0072600F">
          <w:rPr>
            <w:rStyle w:val="Hyperlink"/>
            <w:noProof/>
            <w:sz w:val="26"/>
            <w:szCs w:val="26"/>
          </w:rPr>
          <w:t>13.6</w:t>
        </w:r>
        <w:r w:rsidRPr="0072600F">
          <w:rPr>
            <w:rFonts w:eastAsiaTheme="minorEastAsia"/>
            <w:noProof/>
            <w:sz w:val="26"/>
            <w:szCs w:val="26"/>
          </w:rPr>
          <w:tab/>
        </w:r>
        <w:r w:rsidRPr="0072600F">
          <w:rPr>
            <w:rStyle w:val="Hyperlink"/>
            <w:noProof/>
            <w:sz w:val="26"/>
            <w:szCs w:val="26"/>
          </w:rPr>
          <w:t>Local Furnishing Bonds.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_Toc149903710 \h </w:instrText>
        </w:r>
        <w:r w:rsidRPr="0072600F">
          <w:rPr>
            <w:noProof/>
            <w:webHidden/>
            <w:sz w:val="26"/>
            <w:szCs w:val="26"/>
          </w:rPr>
          <w:fldChar w:fldCharType="separate"/>
        </w:r>
        <w:r w:rsidR="00C46123">
          <w:rPr>
            <w:noProof/>
            <w:webHidden/>
            <w:sz w:val="26"/>
            <w:szCs w:val="26"/>
          </w:rPr>
          <w:t>- 108 -</w:t>
        </w:r>
        <w:r w:rsidRPr="0072600F">
          <w:rPr>
            <w:noProof/>
            <w:webHidden/>
            <w:sz w:val="26"/>
            <w:szCs w:val="26"/>
          </w:rPr>
          <w:fldChar w:fldCharType="end"/>
        </w:r>
      </w:hyperlink>
    </w:p>
    <w:p w:rsidR="00911580" w:rsidRPr="0072600F" w14:paraId="61605EA8" w14:textId="77777777">
      <w:pPr>
        <w:pStyle w:val="TOC3"/>
        <w:tabs>
          <w:tab w:val="left" w:pos="1200"/>
          <w:tab w:val="right" w:leader="dot" w:pos="9350"/>
        </w:tabs>
        <w:rPr>
          <w:rFonts w:eastAsiaTheme="minorEastAsia"/>
          <w:noProof/>
          <w:sz w:val="26"/>
          <w:szCs w:val="26"/>
        </w:rPr>
      </w:pPr>
      <w:hyperlink w:anchor="_Toc149903711" w:history="1">
        <w:r w:rsidRPr="0072600F">
          <w:rPr>
            <w:rStyle w:val="Hyperlink"/>
            <w:noProof/>
            <w:sz w:val="26"/>
            <w:szCs w:val="26"/>
          </w:rPr>
          <w:t>13.6.1</w:t>
        </w:r>
        <w:r w:rsidRPr="0072600F">
          <w:rPr>
            <w:rFonts w:eastAsiaTheme="minorEastAsia"/>
            <w:noProof/>
            <w:sz w:val="26"/>
            <w:szCs w:val="26"/>
          </w:rPr>
          <w:tab/>
        </w:r>
        <w:r w:rsidRPr="0072600F">
          <w:rPr>
            <w:rStyle w:val="Hyperlink"/>
            <w:noProof/>
            <w:sz w:val="26"/>
            <w:szCs w:val="26"/>
          </w:rPr>
          <w:t>Transmission Providers That Own Facilities Financed by Local Furnishing Bonds.</w:t>
        </w:r>
        <w:r w:rsidRPr="0072600F">
          <w:rPr>
            <w:noProof/>
            <w:webHidden/>
            <w:sz w:val="26"/>
            <w:szCs w:val="26"/>
          </w:rPr>
          <w:tab/>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_Toc149903711 \h </w:instrText>
        </w:r>
        <w:r w:rsidRPr="0072600F">
          <w:rPr>
            <w:noProof/>
            <w:webHidden/>
            <w:sz w:val="26"/>
            <w:szCs w:val="26"/>
          </w:rPr>
          <w:fldChar w:fldCharType="separate"/>
        </w:r>
        <w:r w:rsidR="00C46123">
          <w:rPr>
            <w:noProof/>
            <w:webHidden/>
            <w:sz w:val="26"/>
            <w:szCs w:val="26"/>
          </w:rPr>
          <w:t>- 108 -</w:t>
        </w:r>
        <w:r w:rsidRPr="0072600F">
          <w:rPr>
            <w:noProof/>
            <w:webHidden/>
            <w:sz w:val="26"/>
            <w:szCs w:val="26"/>
          </w:rPr>
          <w:fldChar w:fldCharType="end"/>
        </w:r>
      </w:hyperlink>
    </w:p>
    <w:p w:rsidR="00911580" w:rsidRPr="0072600F" w14:paraId="491C3E54" w14:textId="77777777">
      <w:pPr>
        <w:pStyle w:val="TOC3"/>
        <w:tabs>
          <w:tab w:val="left" w:pos="1200"/>
          <w:tab w:val="right" w:leader="dot" w:pos="9350"/>
        </w:tabs>
        <w:rPr>
          <w:rFonts w:eastAsiaTheme="minorEastAsia"/>
          <w:noProof/>
          <w:sz w:val="26"/>
          <w:szCs w:val="26"/>
        </w:rPr>
      </w:pPr>
      <w:hyperlink w:anchor="_Toc149903712" w:history="1">
        <w:r w:rsidRPr="0072600F">
          <w:rPr>
            <w:rStyle w:val="Hyperlink"/>
            <w:noProof/>
            <w:sz w:val="26"/>
            <w:szCs w:val="26"/>
          </w:rPr>
          <w:t>13.6.2</w:t>
        </w:r>
        <w:r w:rsidRPr="0072600F">
          <w:rPr>
            <w:rFonts w:eastAsiaTheme="minorEastAsia"/>
            <w:noProof/>
            <w:sz w:val="26"/>
            <w:szCs w:val="26"/>
          </w:rPr>
          <w:tab/>
        </w:r>
        <w:r w:rsidRPr="0072600F">
          <w:rPr>
            <w:rStyle w:val="Hyperlink"/>
            <w:noProof/>
            <w:sz w:val="26"/>
            <w:szCs w:val="26"/>
          </w:rPr>
          <w:t>Alternative Procedures for Requesting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_Toc149903712 \h </w:instrText>
        </w:r>
        <w:r w:rsidRPr="0072600F">
          <w:rPr>
            <w:noProof/>
            <w:webHidden/>
            <w:sz w:val="26"/>
            <w:szCs w:val="26"/>
          </w:rPr>
          <w:fldChar w:fldCharType="separate"/>
        </w:r>
        <w:r w:rsidR="00C46123">
          <w:rPr>
            <w:noProof/>
            <w:webHidden/>
            <w:sz w:val="26"/>
            <w:szCs w:val="26"/>
          </w:rPr>
          <w:t>- 109 -</w:t>
        </w:r>
        <w:r w:rsidRPr="0072600F">
          <w:rPr>
            <w:noProof/>
            <w:webHidden/>
            <w:sz w:val="26"/>
            <w:szCs w:val="26"/>
          </w:rPr>
          <w:fldChar w:fldCharType="end"/>
        </w:r>
      </w:hyperlink>
    </w:p>
    <w:p w:rsidR="00911580" w:rsidRPr="0072600F" w:rsidP="00EC4D8D" w14:paraId="5B8FFA8D" w14:textId="77777777">
      <w:pPr>
        <w:pStyle w:val="TOC2"/>
        <w:tabs>
          <w:tab w:val="left" w:pos="1000"/>
        </w:tabs>
        <w:rPr>
          <w:b/>
          <w:bCs/>
          <w:sz w:val="26"/>
          <w:szCs w:val="26"/>
        </w:rPr>
      </w:pPr>
      <w:hyperlink w:anchor="_Toc149903713" w:history="1">
        <w:r w:rsidRPr="0072600F">
          <w:rPr>
            <w:rStyle w:val="Hyperlink"/>
            <w:noProof/>
            <w:sz w:val="26"/>
            <w:szCs w:val="26"/>
          </w:rPr>
          <w:t xml:space="preserve">13.7 </w:t>
        </w:r>
        <w:r w:rsidRPr="0072600F">
          <w:rPr>
            <w:rFonts w:eastAsiaTheme="minorEastAsia"/>
            <w:noProof/>
            <w:sz w:val="26"/>
            <w:szCs w:val="26"/>
          </w:rPr>
          <w:tab/>
        </w:r>
        <w:r w:rsidRPr="0072600F">
          <w:rPr>
            <w:rStyle w:val="Hyperlink"/>
            <w:noProof/>
            <w:sz w:val="26"/>
            <w:szCs w:val="26"/>
          </w:rPr>
          <w:t>Engineering &amp; Procurement (‘E&amp;P’)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_Toc149903713 \h </w:instrText>
        </w:r>
        <w:r w:rsidRPr="0072600F">
          <w:rPr>
            <w:noProof/>
            <w:webHidden/>
            <w:sz w:val="26"/>
            <w:szCs w:val="26"/>
          </w:rPr>
          <w:fldChar w:fldCharType="separate"/>
        </w:r>
        <w:r w:rsidR="00C46123">
          <w:rPr>
            <w:noProof/>
            <w:webHidden/>
            <w:sz w:val="26"/>
            <w:szCs w:val="26"/>
          </w:rPr>
          <w:t>- 109 -</w:t>
        </w:r>
        <w:r w:rsidRPr="0072600F">
          <w:rPr>
            <w:noProof/>
            <w:webHidden/>
            <w:sz w:val="26"/>
            <w:szCs w:val="26"/>
          </w:rPr>
          <w:fldChar w:fldCharType="end"/>
        </w:r>
      </w:hyperlink>
      <w:r w:rsidRPr="0072600F">
        <w:rPr>
          <w:b/>
          <w:bCs/>
          <w:sz w:val="26"/>
          <w:szCs w:val="26"/>
        </w:rPr>
        <w:fldChar w:fldCharType="end"/>
      </w:r>
    </w:p>
    <w:p w:rsidR="00EC4D8D" w:rsidRPr="0072600F" w:rsidP="00EC4D8D" w14:paraId="3D8BCB7D" w14:textId="77777777">
      <w:pPr>
        <w:rPr>
          <w:rFonts w:ascii="Times New Roman" w:hAnsi="Times New Roman" w:cs="Times New Roman"/>
          <w:sz w:val="26"/>
          <w:szCs w:val="26"/>
        </w:rPr>
      </w:pPr>
    </w:p>
    <w:p w:rsidR="00911580" w:rsidRPr="0072600F" w14:paraId="370A5333" w14:textId="77777777">
      <w:pPr>
        <w:rPr>
          <w:rFonts w:ascii="Times New Roman" w:hAnsi="Times New Roman" w:cs="Times New Roman"/>
          <w:sz w:val="26"/>
          <w:szCs w:val="26"/>
        </w:rPr>
      </w:pPr>
      <w:r w:rsidRPr="0072600F">
        <w:rPr>
          <w:rFonts w:ascii="Times New Roman" w:hAnsi="Times New Roman" w:cs="Times New Roman"/>
          <w:sz w:val="26"/>
          <w:szCs w:val="26"/>
        </w:rPr>
        <w:t>Appendix 1 – Interconnection Request for a Large Generating Facility</w:t>
      </w:r>
    </w:p>
    <w:p w:rsidR="00911580" w:rsidRPr="0072600F" w14:paraId="2226AEBC" w14:textId="77777777">
      <w:pPr>
        <w:rPr>
          <w:rFonts w:ascii="Times New Roman" w:hAnsi="Times New Roman" w:cs="Times New Roman"/>
          <w:sz w:val="26"/>
          <w:szCs w:val="26"/>
        </w:rPr>
      </w:pPr>
    </w:p>
    <w:p w:rsidR="00911580" w:rsidRPr="0072600F" w14:paraId="410A28A8" w14:textId="77777777">
      <w:pPr>
        <w:rPr>
          <w:rFonts w:ascii="Times New Roman" w:hAnsi="Times New Roman" w:cs="Times New Roman"/>
          <w:sz w:val="26"/>
          <w:szCs w:val="26"/>
        </w:rPr>
      </w:pPr>
      <w:r w:rsidRPr="0072600F">
        <w:rPr>
          <w:rFonts w:ascii="Times New Roman" w:hAnsi="Times New Roman" w:cs="Times New Roman"/>
          <w:sz w:val="26"/>
          <w:szCs w:val="26"/>
        </w:rPr>
        <w:t>Appendix 2 – Cluster Study Agreement</w:t>
      </w:r>
    </w:p>
    <w:p w:rsidR="00911580" w:rsidRPr="0072600F" w14:paraId="3DC67E03" w14:textId="77777777">
      <w:pPr>
        <w:rPr>
          <w:rFonts w:ascii="Times New Roman" w:hAnsi="Times New Roman" w:cs="Times New Roman"/>
          <w:sz w:val="26"/>
          <w:szCs w:val="26"/>
        </w:rPr>
      </w:pPr>
    </w:p>
    <w:p w:rsidR="00911580" w:rsidRPr="0072600F" w14:paraId="02DD0FC9" w14:textId="77777777">
      <w:pPr>
        <w:rPr>
          <w:rFonts w:ascii="Times New Roman" w:hAnsi="Times New Roman" w:cs="Times New Roman"/>
          <w:sz w:val="26"/>
          <w:szCs w:val="26"/>
        </w:rPr>
      </w:pPr>
      <w:r w:rsidRPr="0072600F">
        <w:rPr>
          <w:rFonts w:ascii="Times New Roman" w:hAnsi="Times New Roman" w:cs="Times New Roman"/>
          <w:sz w:val="26"/>
          <w:szCs w:val="26"/>
        </w:rPr>
        <w:t>Appendix 3 – Interconnection Facilities Study Agreement</w:t>
      </w:r>
    </w:p>
    <w:p w:rsidR="00911580" w:rsidRPr="0072600F" w14:paraId="75B34B90" w14:textId="77777777">
      <w:pPr>
        <w:rPr>
          <w:rFonts w:ascii="Times New Roman" w:hAnsi="Times New Roman" w:cs="Times New Roman"/>
          <w:sz w:val="26"/>
          <w:szCs w:val="26"/>
        </w:rPr>
      </w:pPr>
    </w:p>
    <w:p w:rsidR="00911580" w:rsidRPr="0072600F" w14:paraId="7A66C055" w14:textId="77777777">
      <w:pPr>
        <w:rPr>
          <w:rFonts w:ascii="Times New Roman" w:hAnsi="Times New Roman" w:cs="Times New Roman"/>
          <w:sz w:val="26"/>
          <w:szCs w:val="26"/>
        </w:rPr>
      </w:pPr>
      <w:r w:rsidRPr="0072600F">
        <w:rPr>
          <w:rFonts w:ascii="Times New Roman" w:hAnsi="Times New Roman" w:cs="Times New Roman"/>
          <w:sz w:val="26"/>
          <w:szCs w:val="26"/>
        </w:rPr>
        <w:t>Appendix 4 – Optional Interconnection Study Agreement</w:t>
      </w:r>
    </w:p>
    <w:p w:rsidR="00911580" w:rsidRPr="0072600F" w14:paraId="52ED78BC" w14:textId="77777777">
      <w:pPr>
        <w:rPr>
          <w:rFonts w:ascii="Times New Roman" w:hAnsi="Times New Roman" w:cs="Times New Roman"/>
          <w:sz w:val="26"/>
          <w:szCs w:val="26"/>
        </w:rPr>
      </w:pPr>
    </w:p>
    <w:p w:rsidR="00911580" w:rsidRPr="0072600F" w14:paraId="7B3DA7E0" w14:textId="77777777">
      <w:pPr>
        <w:rPr>
          <w:rFonts w:ascii="Times New Roman" w:hAnsi="Times New Roman" w:cs="Times New Roman"/>
          <w:sz w:val="26"/>
          <w:szCs w:val="26"/>
        </w:rPr>
      </w:pPr>
      <w:r w:rsidRPr="0072600F">
        <w:rPr>
          <w:rFonts w:ascii="Times New Roman" w:hAnsi="Times New Roman" w:cs="Times New Roman"/>
          <w:sz w:val="26"/>
          <w:szCs w:val="26"/>
        </w:rPr>
        <w:t>Appendix 5 – Standard Large Generator Interconnection Agreement</w:t>
      </w:r>
    </w:p>
    <w:p w:rsidR="00911580" w:rsidRPr="0072600F" w14:paraId="075E2594" w14:textId="77777777">
      <w:pPr>
        <w:rPr>
          <w:rFonts w:ascii="Times New Roman" w:hAnsi="Times New Roman" w:cs="Times New Roman"/>
          <w:sz w:val="26"/>
          <w:szCs w:val="26"/>
        </w:rPr>
      </w:pPr>
    </w:p>
    <w:p w:rsidR="00911580" w:rsidRPr="0072600F" w14:paraId="41D45324" w14:textId="77777777">
      <w:pPr>
        <w:tabs>
          <w:tab w:val="left" w:pos="680"/>
        </w:tabs>
        <w:rPr>
          <w:rFonts w:ascii="Times New Roman" w:hAnsi="Times New Roman" w:cs="Times New Roman"/>
          <w:sz w:val="26"/>
          <w:szCs w:val="26"/>
        </w:rPr>
      </w:pPr>
      <w:r w:rsidRPr="0072600F">
        <w:rPr>
          <w:rFonts w:ascii="Times New Roman" w:hAnsi="Times New Roman" w:cs="Times New Roman"/>
          <w:sz w:val="26"/>
          <w:szCs w:val="26"/>
        </w:rPr>
        <w:t>Appendix 6 – Interconnection Procedures for a Wind Generating Plant</w:t>
      </w:r>
    </w:p>
    <w:p w:rsidR="00911580" w:rsidRPr="0072600F" w14:paraId="098664A6" w14:textId="77777777">
      <w:pPr>
        <w:tabs>
          <w:tab w:val="left" w:pos="680"/>
        </w:tabs>
        <w:rPr>
          <w:rFonts w:ascii="Times New Roman" w:hAnsi="Times New Roman" w:cs="Times New Roman"/>
          <w:sz w:val="26"/>
          <w:szCs w:val="26"/>
        </w:rPr>
      </w:pPr>
    </w:p>
    <w:p w:rsidR="00911580" w:rsidRPr="0072600F" w14:paraId="03CFDC3F" w14:textId="77777777">
      <w:pPr>
        <w:tabs>
          <w:tab w:val="left" w:pos="680"/>
        </w:tabs>
        <w:rPr>
          <w:rFonts w:ascii="Times New Roman" w:hAnsi="Times New Roman" w:cs="Times New Roman"/>
          <w:sz w:val="26"/>
          <w:szCs w:val="26"/>
        </w:rPr>
      </w:pPr>
      <w:r w:rsidRPr="0072600F">
        <w:rPr>
          <w:rFonts w:ascii="Times New Roman" w:hAnsi="Times New Roman" w:cs="Times New Roman"/>
          <w:sz w:val="26"/>
          <w:szCs w:val="26"/>
        </w:rPr>
        <w:t>Appendix 7 – Transitional Cluster Study Agreement</w:t>
      </w:r>
    </w:p>
    <w:p w:rsidR="00911580" w:rsidRPr="0072600F" w14:paraId="5841093E" w14:textId="77777777">
      <w:pPr>
        <w:tabs>
          <w:tab w:val="left" w:pos="680"/>
        </w:tabs>
        <w:rPr>
          <w:rFonts w:ascii="Times New Roman" w:hAnsi="Times New Roman" w:cs="Times New Roman"/>
          <w:sz w:val="26"/>
          <w:szCs w:val="26"/>
        </w:rPr>
      </w:pPr>
    </w:p>
    <w:p w:rsidR="00911580" w:rsidRPr="0072600F" w14:paraId="520C7DBE" w14:textId="77777777">
      <w:pPr>
        <w:tabs>
          <w:tab w:val="left" w:pos="680"/>
        </w:tabs>
        <w:rPr>
          <w:rFonts w:ascii="Times New Roman" w:hAnsi="Times New Roman" w:cs="Times New Roman"/>
          <w:sz w:val="26"/>
          <w:szCs w:val="26"/>
        </w:rPr>
      </w:pPr>
      <w:r w:rsidRPr="0072600F">
        <w:rPr>
          <w:rFonts w:ascii="Times New Roman" w:hAnsi="Times New Roman" w:cs="Times New Roman"/>
          <w:sz w:val="26"/>
          <w:szCs w:val="26"/>
        </w:rPr>
        <w:t>Appendix 8 – Transitional Serial Interconnection Facilities Study Agreement</w:t>
      </w:r>
    </w:p>
    <w:p w:rsidR="00911580" w:rsidRPr="0072600F" w14:paraId="4440C348" w14:textId="77777777">
      <w:pPr>
        <w:tabs>
          <w:tab w:val="left" w:pos="680"/>
        </w:tabs>
        <w:rPr>
          <w:rFonts w:ascii="Times New Roman" w:hAnsi="Times New Roman" w:cs="Times New Roman"/>
          <w:sz w:val="26"/>
          <w:szCs w:val="26"/>
        </w:rPr>
      </w:pPr>
    </w:p>
    <w:p w:rsidR="00911580" w:rsidRPr="0072600F" w14:paraId="03907228" w14:textId="77777777">
      <w:pPr>
        <w:tabs>
          <w:tab w:val="left" w:pos="680"/>
        </w:tabs>
        <w:rPr>
          <w:rFonts w:ascii="Times New Roman" w:hAnsi="Times New Roman" w:cs="Times New Roman"/>
          <w:sz w:val="26"/>
          <w:szCs w:val="26"/>
        </w:rPr>
      </w:pPr>
      <w:r w:rsidRPr="0072600F">
        <w:rPr>
          <w:rFonts w:ascii="Times New Roman" w:hAnsi="Times New Roman" w:cs="Times New Roman"/>
          <w:sz w:val="26"/>
          <w:szCs w:val="26"/>
        </w:rPr>
        <w:t>Appendix 9 – Two-Party Affected System Study Agreement</w:t>
      </w:r>
    </w:p>
    <w:p w:rsidR="00911580" w:rsidRPr="0072600F" w14:paraId="57782991" w14:textId="77777777">
      <w:pPr>
        <w:tabs>
          <w:tab w:val="left" w:pos="680"/>
        </w:tabs>
        <w:rPr>
          <w:rFonts w:ascii="Times New Roman" w:hAnsi="Times New Roman" w:cs="Times New Roman"/>
          <w:sz w:val="26"/>
          <w:szCs w:val="26"/>
        </w:rPr>
      </w:pPr>
    </w:p>
    <w:p w:rsidR="00911580" w:rsidRPr="0072600F" w14:paraId="37DF92FE" w14:textId="77777777">
      <w:pPr>
        <w:tabs>
          <w:tab w:val="left" w:pos="680"/>
        </w:tabs>
        <w:rPr>
          <w:rFonts w:ascii="Times New Roman" w:hAnsi="Times New Roman" w:cs="Times New Roman"/>
          <w:sz w:val="26"/>
          <w:szCs w:val="26"/>
        </w:rPr>
      </w:pPr>
      <w:r w:rsidRPr="0072600F">
        <w:rPr>
          <w:rFonts w:ascii="Times New Roman" w:hAnsi="Times New Roman" w:cs="Times New Roman"/>
          <w:sz w:val="26"/>
          <w:szCs w:val="26"/>
        </w:rPr>
        <w:t>Appendix 10 – Multiparty Affected System Study Agreement</w:t>
      </w:r>
    </w:p>
    <w:p w:rsidR="00911580" w:rsidRPr="0072600F" w14:paraId="1716E2A8" w14:textId="77777777">
      <w:pPr>
        <w:tabs>
          <w:tab w:val="left" w:pos="680"/>
        </w:tabs>
        <w:rPr>
          <w:rFonts w:ascii="Times New Roman" w:hAnsi="Times New Roman" w:cs="Times New Roman"/>
          <w:sz w:val="26"/>
          <w:szCs w:val="26"/>
        </w:rPr>
      </w:pPr>
    </w:p>
    <w:p w:rsidR="00911580" w:rsidRPr="0072600F" w14:paraId="64020C57" w14:textId="77777777">
      <w:pPr>
        <w:tabs>
          <w:tab w:val="left" w:pos="680"/>
        </w:tabs>
        <w:rPr>
          <w:rFonts w:ascii="Times New Roman" w:hAnsi="Times New Roman" w:cs="Times New Roman"/>
          <w:sz w:val="26"/>
          <w:szCs w:val="26"/>
        </w:rPr>
      </w:pPr>
      <w:r w:rsidRPr="0072600F">
        <w:rPr>
          <w:rFonts w:ascii="Times New Roman" w:hAnsi="Times New Roman" w:cs="Times New Roman"/>
          <w:sz w:val="26"/>
          <w:szCs w:val="26"/>
        </w:rPr>
        <w:t>Appendix 11 – Two-Party Affected System Facilities Construction Agreement</w:t>
      </w:r>
    </w:p>
    <w:p w:rsidR="00911580" w:rsidRPr="0072600F" w14:paraId="3DA0401F" w14:textId="77777777">
      <w:pPr>
        <w:tabs>
          <w:tab w:val="left" w:pos="680"/>
        </w:tabs>
        <w:rPr>
          <w:rFonts w:ascii="Times New Roman" w:hAnsi="Times New Roman" w:cs="Times New Roman"/>
          <w:sz w:val="26"/>
          <w:szCs w:val="26"/>
        </w:rPr>
      </w:pPr>
    </w:p>
    <w:p w:rsidR="00911580" w:rsidRPr="0072600F" w14:paraId="47C8A8EC" w14:textId="77777777">
      <w:pPr>
        <w:tabs>
          <w:tab w:val="left" w:pos="680"/>
        </w:tabs>
        <w:rPr>
          <w:rFonts w:ascii="Times New Roman" w:hAnsi="Times New Roman" w:cs="Times New Roman"/>
          <w:sz w:val="26"/>
          <w:szCs w:val="26"/>
        </w:rPr>
        <w:sectPr w:rsidSect="005015E8">
          <w:headerReference w:type="default" r:id="rId19"/>
          <w:footerReference w:type="default" r:id="rId20"/>
          <w:type w:val="continuous"/>
          <w:pgSz w:w="12240" w:h="15840"/>
          <w:pgMar w:top="1440" w:right="1440" w:bottom="1440" w:left="1440" w:header="720" w:footer="720" w:gutter="0"/>
          <w:pgNumType w:fmt="numberInDash" w:start="2"/>
          <w:cols w:space="720"/>
          <w:noEndnote/>
          <w:docGrid w:linePitch="299"/>
        </w:sectPr>
      </w:pPr>
      <w:r w:rsidRPr="0072600F">
        <w:rPr>
          <w:rFonts w:ascii="Times New Roman" w:hAnsi="Times New Roman" w:cs="Times New Roman"/>
          <w:sz w:val="26"/>
          <w:szCs w:val="26"/>
        </w:rPr>
        <w:t>Appendix 12 – Multiparty Affected System Facilities Construction Agreement</w:t>
      </w:r>
    </w:p>
    <w:p w:rsidR="00911580" w:rsidRPr="0072600F" w14:paraId="78054065" w14:textId="77777777">
      <w:pPr>
        <w:tabs>
          <w:tab w:val="left" w:pos="680"/>
        </w:tabs>
        <w:rPr>
          <w:rFonts w:ascii="Times New Roman" w:hAnsi="Times New Roman" w:cs="Times New Roman"/>
          <w:sz w:val="26"/>
          <w:szCs w:val="26"/>
        </w:rPr>
        <w:sectPr>
          <w:footerReference w:type="default" r:id="rId21"/>
          <w:type w:val="continuous"/>
          <w:pgSz w:w="12240" w:h="15840"/>
          <w:pgMar w:top="1440" w:right="1440" w:bottom="1440" w:left="1440" w:header="1440" w:footer="1440" w:gutter="0"/>
          <w:pgNumType w:fmt="lowerRoman"/>
          <w:cols w:space="720"/>
          <w:noEndnote/>
        </w:sectPr>
      </w:pPr>
    </w:p>
    <w:p w:rsidR="00911580" w:rsidRPr="0072600F" w14:paraId="7C845AA6" w14:textId="77777777">
      <w:pPr>
        <w:tabs>
          <w:tab w:val="left" w:pos="680"/>
        </w:tabs>
        <w:rPr>
          <w:rFonts w:ascii="Times New Roman" w:hAnsi="Times New Roman" w:cs="Times New Roman"/>
          <w:sz w:val="26"/>
          <w:szCs w:val="26"/>
        </w:rPr>
        <w:sectPr>
          <w:footerReference w:type="default" r:id="rId22"/>
          <w:type w:val="continuous"/>
          <w:pgSz w:w="12240" w:h="15840"/>
          <w:pgMar w:top="1440" w:right="1440" w:bottom="1440" w:left="1440" w:header="1440" w:footer="1440" w:gutter="0"/>
          <w:pgNumType w:fmt="lowerRoman"/>
          <w:cols w:space="720"/>
          <w:noEndnote/>
        </w:sectPr>
      </w:pPr>
    </w:p>
    <w:p w:rsidR="00911580" w:rsidRPr="0072600F" w14:paraId="7C968B29" w14:textId="77777777">
      <w:pPr>
        <w:tabs>
          <w:tab w:val="left" w:pos="680"/>
        </w:tabs>
        <w:rPr>
          <w:rFonts w:ascii="Times New Roman" w:hAnsi="Times New Roman" w:cs="Times New Roman"/>
          <w:sz w:val="26"/>
          <w:szCs w:val="26"/>
        </w:rPr>
        <w:sectPr>
          <w:footerReference w:type="default" r:id="rId23"/>
          <w:type w:val="continuous"/>
          <w:pgSz w:w="12240" w:h="15840"/>
          <w:pgMar w:top="1440" w:right="1440" w:bottom="1440" w:left="1440" w:header="1440" w:footer="1440" w:gutter="0"/>
          <w:pgNumType w:fmt="lowerRoman"/>
          <w:cols w:space="720"/>
          <w:noEndnote/>
        </w:sectPr>
      </w:pPr>
    </w:p>
    <w:p w:rsidR="00911580" w:rsidRPr="0072600F" w14:paraId="3665A3A6" w14:textId="77777777">
      <w:pPr>
        <w:tabs>
          <w:tab w:val="left" w:pos="680"/>
        </w:tabs>
        <w:rPr>
          <w:rFonts w:ascii="Times New Roman" w:hAnsi="Times New Roman" w:cs="Times New Roman"/>
          <w:sz w:val="26"/>
          <w:szCs w:val="26"/>
        </w:rPr>
        <w:sectPr>
          <w:footerReference w:type="default" r:id="rId24"/>
          <w:type w:val="continuous"/>
          <w:pgSz w:w="12240" w:h="15840"/>
          <w:pgMar w:top="1440" w:right="1440" w:bottom="1440" w:left="1440" w:header="1440" w:footer="1440" w:gutter="0"/>
          <w:pgNumType w:fmt="lowerRoman"/>
          <w:cols w:space="720"/>
          <w:noEndnote/>
        </w:sectPr>
      </w:pPr>
    </w:p>
    <w:p w:rsidR="00911580" w:rsidRPr="0072600F" w14:paraId="7443E59A" w14:textId="77777777">
      <w:pPr>
        <w:tabs>
          <w:tab w:val="left" w:pos="680"/>
        </w:tabs>
        <w:rPr>
          <w:rFonts w:ascii="Times New Roman" w:hAnsi="Times New Roman" w:cs="Times New Roman"/>
          <w:sz w:val="26"/>
          <w:szCs w:val="26"/>
        </w:rPr>
        <w:sectPr>
          <w:footerReference w:type="default" r:id="rId25"/>
          <w:type w:val="continuous"/>
          <w:pgSz w:w="12240" w:h="15840"/>
          <w:pgMar w:top="1440" w:right="1440" w:bottom="1440" w:left="1440" w:header="1440" w:footer="1440" w:gutter="0"/>
          <w:pgNumType w:fmt="lowerRoman"/>
          <w:cols w:space="720"/>
          <w:noEndnote/>
        </w:sectPr>
      </w:pPr>
    </w:p>
    <w:p w:rsidR="00911580" w:rsidRPr="0072600F" w:rsidP="00FE47B2" w14:paraId="6BCC3E07" w14:textId="77777777">
      <w:pPr>
        <w:pStyle w:val="AppendixFirstLevel"/>
      </w:pPr>
      <w:bookmarkStart w:id="164" w:name="_Toc149903597"/>
      <w:r w:rsidRPr="0072600F">
        <w:t>Section 1.</w:t>
      </w:r>
      <w:r w:rsidRPr="0072600F">
        <w:tab/>
        <w:t>Definitions</w:t>
      </w:r>
      <w:bookmarkEnd w:id="164"/>
    </w:p>
    <w:p w:rsidR="00911580" w:rsidRPr="0072600F" w14:paraId="157480C4" w14:textId="77777777">
      <w:pPr>
        <w:rPr>
          <w:rFonts w:ascii="Times New Roman" w:hAnsi="Times New Roman" w:cs="Times New Roman"/>
          <w:sz w:val="26"/>
          <w:szCs w:val="26"/>
        </w:rPr>
      </w:pPr>
    </w:p>
    <w:p w:rsidR="00911580" w:rsidRPr="0072600F" w14:paraId="317C9A2C"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Adverse System Impact</w:t>
      </w:r>
      <w:r w:rsidRPr="0072600F">
        <w:rPr>
          <w:rFonts w:ascii="Times New Roman" w:hAnsi="Times New Roman" w:cs="Times New Roman"/>
          <w:sz w:val="26"/>
          <w:szCs w:val="26"/>
        </w:rPr>
        <w:t xml:space="preserve"> shall mean the negative effects due to technical or operational limits on conductors or equipment being exceeded that may compromise the safety and reliability of the electric system.</w:t>
      </w:r>
    </w:p>
    <w:p w:rsidR="00911580" w:rsidRPr="0072600F" w14:paraId="143361F4"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Affected System </w:t>
      </w:r>
      <w:r w:rsidRPr="0072600F">
        <w:rPr>
          <w:rFonts w:ascii="Times New Roman" w:hAnsi="Times New Roman" w:cs="Times New Roman"/>
          <w:sz w:val="26"/>
          <w:szCs w:val="26"/>
        </w:rPr>
        <w:t xml:space="preserve">shall mean an electric system other than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that may be affected by the proposed interconnection.</w:t>
      </w:r>
    </w:p>
    <w:p w:rsidR="00911580" w:rsidRPr="0072600F" w14:paraId="12418A8F"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Affected System Facilities Construction Agreement</w:t>
      </w:r>
      <w:r w:rsidRPr="0072600F">
        <w:rPr>
          <w:rFonts w:ascii="Times New Roman" w:hAnsi="Times New Roman" w:cs="Times New Roman"/>
          <w:iCs/>
          <w:sz w:val="26"/>
          <w:szCs w:val="26"/>
        </w:rPr>
        <w:t xml:space="preserve"> shall mean the agreement contained in Appendix 11</w:t>
      </w:r>
      <w:r w:rsidRPr="0072600F">
        <w:rPr>
          <w:rFonts w:ascii="Times New Roman" w:hAnsi="Times New Roman" w:cs="Times New Roman"/>
          <w:iCs/>
          <w:sz w:val="26"/>
          <w:szCs w:val="26"/>
        </w:rPr>
        <w:t xml:space="preserve"> </w:t>
      </w:r>
      <w:r w:rsidRPr="0072600F">
        <w:rPr>
          <w:rFonts w:ascii="Times New Roman" w:hAnsi="Times New Roman" w:cs="Times New Roman"/>
          <w:iCs/>
          <w:sz w:val="26"/>
          <w:szCs w:val="26"/>
        </w:rPr>
        <w:t>to this LGIP that is made between Transmission Provider and Affected System Interconnection Customer to facilitate the construction of and to set forth cost responsibility for necessary Affected System Network Upgrades on Transmission Provider’s Transmission System.</w:t>
      </w:r>
    </w:p>
    <w:p w:rsidR="00911580" w:rsidRPr="0072600F" w14:paraId="776D5D4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Affected System Interconnection Customer </w:t>
      </w:r>
      <w:r w:rsidRPr="0072600F">
        <w:rPr>
          <w:rFonts w:ascii="Times New Roman" w:hAnsi="Times New Roman" w:cs="Times New Roman"/>
          <w:sz w:val="26"/>
          <w:szCs w:val="26"/>
        </w:rPr>
        <w:t xml:space="preserve">shall mean any entity that submits an interconnection request for a generating facility to a transmission system other than Transmission Provider’s Transmission System that may cause the need for Affected System Network Upgrades on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Transmission System. </w:t>
      </w:r>
    </w:p>
    <w:p w:rsidR="00911580" w:rsidRPr="0072600F" w14:paraId="39A031A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Affected System Network Upgrades</w:t>
      </w:r>
      <w:r w:rsidRPr="0072600F">
        <w:rPr>
          <w:rFonts w:ascii="Times New Roman" w:hAnsi="Times New Roman" w:cs="Times New Roman"/>
          <w:sz w:val="26"/>
          <w:szCs w:val="26"/>
        </w:rPr>
        <w:t xml:space="preserve"> shall mean the additions, modifications, and upgrades to Transmission Provider’s Transmission System required to accommodate Affected System Interconnection Customer’s proposed interconnection to a transmission system other than Transmission Provider’s Transmission System.</w:t>
      </w:r>
    </w:p>
    <w:p w:rsidR="00911580" w:rsidRPr="0072600F" w14:paraId="519DAACF"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Affected System Operator </w:t>
      </w:r>
      <w:r w:rsidRPr="0072600F">
        <w:rPr>
          <w:rFonts w:ascii="Times New Roman" w:hAnsi="Times New Roman" w:cs="Times New Roman"/>
          <w:sz w:val="26"/>
          <w:szCs w:val="26"/>
        </w:rPr>
        <w:t>shall mean the entity that operates an Affected System.</w:t>
      </w:r>
    </w:p>
    <w:p w:rsidR="00911580" w:rsidRPr="0072600F" w14:paraId="28AEAA8E"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Affected System Queue Position</w:t>
      </w:r>
      <w:r w:rsidRPr="0072600F">
        <w:rPr>
          <w:rFonts w:ascii="Times New Roman" w:hAnsi="Times New Roman" w:cs="Times New Roman"/>
          <w:sz w:val="26"/>
          <w:szCs w:val="26"/>
        </w:rPr>
        <w:t xml:space="preserve"> shall mean the queue position of an Affected System Interconnection Customer in Transmission Provider’s interconnection queue relative to Transmission Provider’s Interconnection Customers’ Queue Positions.</w:t>
      </w:r>
    </w:p>
    <w:p w:rsidR="00911580" w:rsidRPr="0072600F" w14:paraId="4FD1DDE1"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Affected System Study </w:t>
      </w:r>
      <w:r w:rsidRPr="0072600F">
        <w:rPr>
          <w:rFonts w:ascii="Times New Roman" w:hAnsi="Times New Roman" w:cs="Times New Roman"/>
          <w:sz w:val="26"/>
          <w:szCs w:val="26"/>
        </w:rPr>
        <w:t>shall mean the evaluation of Affected System Interconnection Customers’ proposed interconnection(s) to a transmission system other than Transmission Provider’s Transmission System that have an impact on Transmission Provider’s Transmission System, as described in Section 9 of this LGIP.</w:t>
      </w:r>
    </w:p>
    <w:p w:rsidR="00911580" w:rsidRPr="0072600F" w14:paraId="4139E7D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Affected System Study Agreement</w:t>
      </w:r>
      <w:r w:rsidRPr="0072600F">
        <w:rPr>
          <w:rFonts w:ascii="Times New Roman" w:hAnsi="Times New Roman" w:cs="Times New Roman"/>
          <w:sz w:val="26"/>
          <w:szCs w:val="26"/>
        </w:rPr>
        <w:t xml:space="preserve"> shall mean the agreement contained in Appendix 9</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 xml:space="preserve">to this LGIP that is made between Transmission Provider and Affected System Interconnection Customer to conduct an Affected System Study pursuant to Section 9 of this LGIP. </w:t>
      </w:r>
    </w:p>
    <w:p w:rsidR="00911580" w:rsidRPr="0072600F" w14:paraId="657FFA8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Affected System Study Report </w:t>
      </w:r>
      <w:r w:rsidRPr="0072600F">
        <w:rPr>
          <w:rFonts w:ascii="Times New Roman" w:hAnsi="Times New Roman" w:cs="Times New Roman"/>
          <w:sz w:val="26"/>
          <w:szCs w:val="26"/>
        </w:rPr>
        <w:t>shall mean the report issued following completion of an Affected System Study pursuant to Section 9.</w:t>
      </w:r>
      <w:r w:rsidRPr="0072600F" w:rsidR="00273549">
        <w:rPr>
          <w:rFonts w:ascii="Times New Roman" w:hAnsi="Times New Roman" w:cs="Times New Roman"/>
          <w:sz w:val="26"/>
          <w:szCs w:val="26"/>
        </w:rPr>
        <w:t>[</w:t>
      </w:r>
      <w:r w:rsidRPr="0072600F">
        <w:rPr>
          <w:rFonts w:ascii="Times New Roman" w:hAnsi="Times New Roman" w:cs="Times New Roman"/>
          <w:sz w:val="26"/>
          <w:szCs w:val="26"/>
        </w:rPr>
        <w:t>6</w:t>
      </w:r>
      <w:r w:rsidRPr="0072600F" w:rsidR="003B74C8">
        <w:rPr>
          <w:rFonts w:ascii="Times New Roman" w:hAnsi="Times New Roman" w:cs="Times New Roman"/>
          <w:sz w:val="26"/>
          <w:szCs w:val="26"/>
        </w:rPr>
        <w:t>]</w:t>
      </w:r>
      <w:r w:rsidRPr="0072600F" w:rsidR="003B74C8">
        <w:rPr>
          <w:rFonts w:ascii="Times New Roman" w:hAnsi="Times New Roman" w:cs="Times New Roman"/>
          <w:i/>
          <w:iCs/>
          <w:sz w:val="26"/>
          <w:szCs w:val="26"/>
        </w:rPr>
        <w:t>7</w:t>
      </w:r>
      <w:r w:rsidRPr="0072600F">
        <w:rPr>
          <w:rFonts w:ascii="Times New Roman" w:hAnsi="Times New Roman" w:cs="Times New Roman"/>
          <w:sz w:val="26"/>
          <w:szCs w:val="26"/>
        </w:rPr>
        <w:t xml:space="preserve"> of this LGIP.</w:t>
      </w:r>
    </w:p>
    <w:p w:rsidR="00911580" w:rsidRPr="0072600F" w14:paraId="79BBA5B9" w14:textId="77777777">
      <w:pPr>
        <w:rPr>
          <w:rFonts w:ascii="Times New Roman" w:hAnsi="Times New Roman" w:cs="Times New Roman"/>
          <w:sz w:val="26"/>
          <w:szCs w:val="26"/>
        </w:rPr>
      </w:pPr>
      <w:r w:rsidRPr="0072600F">
        <w:rPr>
          <w:rFonts w:ascii="Times New Roman" w:hAnsi="Times New Roman" w:cs="Times New Roman"/>
          <w:b/>
          <w:bCs/>
          <w:sz w:val="26"/>
          <w:szCs w:val="26"/>
        </w:rPr>
        <w:tab/>
        <w:t>Affiliate</w:t>
      </w:r>
      <w:r w:rsidRPr="0072600F">
        <w:rPr>
          <w:rFonts w:ascii="Times New Roman" w:hAnsi="Times New Roman" w:cs="Times New Roman"/>
          <w:sz w:val="26"/>
          <w:szCs w:val="26"/>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rsidR="00911580" w:rsidRPr="0072600F" w14:paraId="2ED19462"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Ancillary Services </w:t>
      </w:r>
      <w:r w:rsidRPr="0072600F">
        <w:rPr>
          <w:rFonts w:ascii="Times New Roman" w:hAnsi="Times New Roman" w:cs="Times New Roman"/>
          <w:sz w:val="26"/>
          <w:szCs w:val="26"/>
        </w:rPr>
        <w:t xml:space="preserve">shall mean those services that are necessary to support the transmission of capacity and energy from resources to loads while maintaining reliable operation of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Transmission System in accordance with Good Utility Practice.</w:t>
      </w:r>
    </w:p>
    <w:p w:rsidR="00911580" w:rsidRPr="0072600F" w14:paraId="393635EA"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Applicable Laws and Regulations </w:t>
      </w:r>
      <w:r w:rsidRPr="0072600F">
        <w:rPr>
          <w:rFonts w:ascii="Times New Roman" w:hAnsi="Times New Roman" w:cs="Times New Roman"/>
          <w:sz w:val="26"/>
          <w:szCs w:val="26"/>
        </w:rPr>
        <w:t>shall mean all duly promulgated applicable federal, state and local laws, regulations, rules, ordinances, codes, decrees, judgments, directives, or judicial or administrative orders, permits and other duly authorized actions of any Governmental Authority.</w:t>
      </w:r>
    </w:p>
    <w:p w:rsidR="00911580" w:rsidRPr="0072600F" w14:paraId="6FBF2254" w14:textId="77777777">
      <w:pPr>
        <w:ind w:firstLine="720"/>
        <w:rPr>
          <w:rFonts w:ascii="Times New Roman" w:hAnsi="Times New Roman" w:cs="Times New Roman"/>
          <w:sz w:val="26"/>
          <w:szCs w:val="26"/>
        </w:rPr>
      </w:pPr>
      <w:r w:rsidRPr="0072600F">
        <w:rPr>
          <w:rFonts w:ascii="Times New Roman" w:hAnsi="Times New Roman" w:cs="Times New Roman"/>
          <w:b/>
          <w:bCs/>
          <w:iCs/>
          <w:sz w:val="26"/>
          <w:szCs w:val="26"/>
        </w:rPr>
        <w:t>Applicable Reliability Standards</w:t>
      </w:r>
      <w:r w:rsidRPr="0072600F">
        <w:rPr>
          <w:rFonts w:ascii="Times New Roman" w:hAnsi="Times New Roman" w:cs="Times New Roman"/>
          <w:iCs/>
          <w:sz w:val="26"/>
          <w:szCs w:val="26"/>
        </w:rPr>
        <w:t xml:space="preserve"> shall mean the requirements and guidelines of the Electric Reliability Organization</w:t>
      </w:r>
      <w:r w:rsidRPr="0072600F">
        <w:rPr>
          <w:rFonts w:ascii="Times New Roman" w:hAnsi="Times New Roman" w:cs="Times New Roman"/>
          <w:i/>
          <w:sz w:val="26"/>
          <w:szCs w:val="26"/>
        </w:rPr>
        <w:t xml:space="preserve"> </w:t>
      </w:r>
      <w:r w:rsidRPr="0072600F">
        <w:rPr>
          <w:rFonts w:ascii="Times New Roman" w:hAnsi="Times New Roman" w:cs="Times New Roman"/>
          <w:iCs/>
          <w:sz w:val="26"/>
          <w:szCs w:val="26"/>
        </w:rPr>
        <w:t>and the</w:t>
      </w:r>
      <w:r w:rsidRPr="0072600F">
        <w:rPr>
          <w:rFonts w:ascii="Times New Roman" w:hAnsi="Times New Roman" w:cs="Times New Roman"/>
          <w:sz w:val="26"/>
          <w:szCs w:val="26"/>
        </w:rPr>
        <w:t xml:space="preserve"> Balancing Authority Area of</w:t>
      </w:r>
      <w:r w:rsidRPr="0072600F">
        <w:rPr>
          <w:rFonts w:ascii="Times New Roman" w:hAnsi="Times New Roman" w:cs="Times New Roman"/>
          <w:iCs/>
          <w:sz w:val="26"/>
          <w:szCs w:val="26"/>
        </w:rPr>
        <w:t xml:space="preserve"> the Transmission System to which the Generating Facility is directly interconnected.</w:t>
      </w:r>
    </w:p>
    <w:p w:rsidR="00911580" w:rsidRPr="0072600F" w14:paraId="1294E5EE" w14:textId="77777777">
      <w:pPr>
        <w:ind w:firstLine="720"/>
        <w:rPr>
          <w:rFonts w:ascii="Times New Roman" w:hAnsi="Times New Roman" w:cs="Times New Roman"/>
          <w:iCs/>
          <w:sz w:val="26"/>
          <w:szCs w:val="26"/>
        </w:rPr>
      </w:pPr>
      <w:r w:rsidRPr="0072600F">
        <w:rPr>
          <w:rFonts w:ascii="Times New Roman" w:hAnsi="Times New Roman" w:cs="Times New Roman"/>
          <w:b/>
          <w:iCs/>
          <w:sz w:val="26"/>
          <w:szCs w:val="26"/>
        </w:rPr>
        <w:t>Balancing Authority</w:t>
      </w:r>
      <w:r w:rsidRPr="0072600F">
        <w:rPr>
          <w:rFonts w:ascii="Times New Roman" w:hAnsi="Times New Roman" w:cs="Times New Roman"/>
          <w:iCs/>
          <w:sz w:val="26"/>
          <w:szCs w:val="26"/>
        </w:rPr>
        <w:t xml:space="preserve"> shall mean an entity that integrates resource plans ahead of time, maintains demand and resource balance within a Balancing Authority Area, and supports interconnection frequency in real time.</w:t>
      </w:r>
    </w:p>
    <w:p w:rsidR="00911580" w:rsidRPr="0072600F" w:rsidP="00681CFE" w14:paraId="7545A736" w14:textId="77777777">
      <w:pPr>
        <w:rPr>
          <w:rFonts w:ascii="Times New Roman" w:hAnsi="Times New Roman" w:cs="Times New Roman"/>
          <w:iCs/>
          <w:sz w:val="26"/>
          <w:szCs w:val="26"/>
        </w:rPr>
      </w:pPr>
      <w:r w:rsidRPr="0072600F">
        <w:rPr>
          <w:rFonts w:ascii="Times New Roman" w:hAnsi="Times New Roman" w:cs="Times New Roman"/>
          <w:iCs/>
          <w:sz w:val="26"/>
          <w:szCs w:val="26"/>
        </w:rPr>
        <w:tab/>
      </w:r>
      <w:r w:rsidRPr="0072600F">
        <w:rPr>
          <w:rFonts w:ascii="Times New Roman" w:hAnsi="Times New Roman" w:cs="Times New Roman"/>
          <w:b/>
          <w:bCs/>
          <w:iCs/>
          <w:sz w:val="26"/>
          <w:szCs w:val="26"/>
        </w:rPr>
        <w:t>Balancing Authority Area</w:t>
      </w:r>
      <w:r w:rsidRPr="0072600F">
        <w:rPr>
          <w:rFonts w:ascii="Times New Roman" w:hAnsi="Times New Roman" w:cs="Times New Roman"/>
          <w:iCs/>
          <w:sz w:val="26"/>
          <w:szCs w:val="26"/>
        </w:rPr>
        <w:t xml:space="preserve"> shall mean the collection of generation, transmission, and loads within the metered boundaries of the Balancing Authority.  The Balancing Authority maintains load-resource balance within this area.</w:t>
      </w:r>
    </w:p>
    <w:p w:rsidR="00911580" w:rsidRPr="0072600F" w14:paraId="0C2CB4F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Base Case </w:t>
      </w:r>
      <w:r w:rsidRPr="0072600F">
        <w:rPr>
          <w:rFonts w:ascii="Times New Roman" w:hAnsi="Times New Roman" w:cs="Times New Roman"/>
          <w:sz w:val="26"/>
          <w:szCs w:val="26"/>
        </w:rPr>
        <w:t>shall mean the base case power flow, short circuit, and stability data bases used for the Interconnection Studies by Transmission Provider or Interconnection Customer.</w:t>
      </w:r>
    </w:p>
    <w:p w:rsidR="00911580" w:rsidRPr="0072600F" w14:paraId="2A26FC0A"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Breach</w:t>
      </w:r>
      <w:r w:rsidRPr="0072600F">
        <w:rPr>
          <w:rFonts w:ascii="Times New Roman" w:hAnsi="Times New Roman" w:cs="Times New Roman"/>
          <w:sz w:val="26"/>
          <w:szCs w:val="26"/>
        </w:rPr>
        <w:t xml:space="preserve"> shall mean the failure of a Party to perform or observe any material term or condition of the Standard Large Generator Interconnection Agreement.</w:t>
      </w:r>
    </w:p>
    <w:p w:rsidR="00911580" w:rsidRPr="0072600F" w14:paraId="349FC7BA"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Breaching Party</w:t>
      </w:r>
      <w:r w:rsidRPr="0072600F">
        <w:rPr>
          <w:rFonts w:ascii="Times New Roman" w:hAnsi="Times New Roman" w:cs="Times New Roman"/>
          <w:sz w:val="26"/>
          <w:szCs w:val="26"/>
        </w:rPr>
        <w:t xml:space="preserve"> shall mean a Party that is in Breach of the Standard Large Generator Interconnection Agreement.</w:t>
      </w:r>
    </w:p>
    <w:p w:rsidR="00911580" w:rsidRPr="0072600F" w14:paraId="70BDF7F8"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Business Day</w:t>
      </w:r>
      <w:r w:rsidRPr="0072600F">
        <w:rPr>
          <w:rFonts w:ascii="Times New Roman" w:hAnsi="Times New Roman" w:cs="Times New Roman"/>
          <w:sz w:val="26"/>
          <w:szCs w:val="26"/>
        </w:rPr>
        <w:t xml:space="preserve"> shall mean Monday through Friday, excluding Federal Holidays.</w:t>
      </w:r>
    </w:p>
    <w:p w:rsidR="00911580" w:rsidRPr="0072600F" w14:paraId="42DED749" w14:textId="77777777">
      <w:pPr>
        <w:rPr>
          <w:rFonts w:ascii="Times New Roman" w:hAnsi="Times New Roman" w:cs="Times New Roman"/>
          <w:sz w:val="26"/>
          <w:szCs w:val="26"/>
        </w:rPr>
      </w:pPr>
      <w:r w:rsidRPr="0072600F">
        <w:rPr>
          <w:rFonts w:ascii="Times New Roman" w:hAnsi="Times New Roman" w:cs="Times New Roman"/>
          <w:b/>
          <w:bCs/>
          <w:sz w:val="26"/>
          <w:szCs w:val="26"/>
        </w:rPr>
        <w:tab/>
        <w:t>Calendar Day</w:t>
      </w:r>
      <w:r w:rsidRPr="0072600F">
        <w:rPr>
          <w:rFonts w:ascii="Times New Roman" w:hAnsi="Times New Roman" w:cs="Times New Roman"/>
          <w:sz w:val="26"/>
          <w:szCs w:val="26"/>
        </w:rPr>
        <w:t xml:space="preserve"> shall mean any day including Saturday, Sunday or a Federal Holiday.</w:t>
      </w:r>
    </w:p>
    <w:p w:rsidR="00911580" w:rsidRPr="0072600F" w14:paraId="79F5DE7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w:t>
      </w:r>
      <w:r w:rsidRPr="0072600F">
        <w:rPr>
          <w:rFonts w:ascii="Times New Roman" w:hAnsi="Times New Roman" w:cs="Times New Roman"/>
          <w:sz w:val="26"/>
          <w:szCs w:val="26"/>
        </w:rPr>
        <w:t>shall mean a group of one or more Interconnection Requests that are studied together for the purpose of conducting a Cluster Study.</w:t>
      </w:r>
    </w:p>
    <w:p w:rsidR="00911580" w:rsidRPr="0072600F" w14:paraId="686457FD"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Request Window </w:t>
      </w:r>
      <w:r w:rsidRPr="0072600F">
        <w:rPr>
          <w:rFonts w:ascii="Times New Roman" w:hAnsi="Times New Roman" w:cs="Times New Roman"/>
          <w:sz w:val="26"/>
          <w:szCs w:val="26"/>
        </w:rPr>
        <w:t>shall mean the time period set forth in Section 3.4.1 of this LGIP.</w:t>
      </w:r>
    </w:p>
    <w:p w:rsidR="00911580" w:rsidRPr="0072600F" w14:paraId="6C908051"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Restudy </w:t>
      </w:r>
      <w:r w:rsidRPr="0072600F">
        <w:rPr>
          <w:rFonts w:ascii="Times New Roman" w:hAnsi="Times New Roman" w:cs="Times New Roman"/>
          <w:sz w:val="26"/>
          <w:szCs w:val="26"/>
        </w:rPr>
        <w:t>shall mean a restudy of a Cluster Study conducted pursuant to Section 7.5 of this LGIP.</w:t>
      </w:r>
    </w:p>
    <w:p w:rsidR="00911580" w:rsidRPr="0072600F" w:rsidP="001B4CFB" w14:paraId="7E97837B" w14:textId="77777777">
      <w:pPr>
        <w:ind w:firstLine="720"/>
        <w:rPr>
          <w:rFonts w:ascii="Times New Roman" w:hAnsi="Times New Roman" w:cs="Times New Roman"/>
          <w:i/>
          <w:sz w:val="26"/>
          <w:szCs w:val="26"/>
        </w:rPr>
      </w:pPr>
      <w:r w:rsidRPr="0072600F">
        <w:rPr>
          <w:rFonts w:ascii="Times New Roman" w:hAnsi="Times New Roman" w:cs="Times New Roman"/>
          <w:b/>
          <w:i/>
          <w:sz w:val="26"/>
          <w:szCs w:val="26"/>
        </w:rPr>
        <w:t xml:space="preserve">Cluster Restudy Report </w:t>
      </w:r>
      <w:r w:rsidRPr="0072600F">
        <w:rPr>
          <w:rFonts w:ascii="Times New Roman" w:hAnsi="Times New Roman" w:cs="Times New Roman"/>
          <w:i/>
          <w:sz w:val="26"/>
          <w:szCs w:val="26"/>
        </w:rPr>
        <w:t>shall mean the report issued following completion of a Cluster Restudy pursuant to Section 7.5 of this LGIP.</w:t>
      </w:r>
    </w:p>
    <w:p w:rsidR="00911580" w:rsidRPr="0072600F" w14:paraId="159C00C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Restudy Report Meeting </w:t>
      </w:r>
      <w:r w:rsidRPr="0072600F">
        <w:rPr>
          <w:rFonts w:ascii="Times New Roman" w:hAnsi="Times New Roman" w:cs="Times New Roman"/>
          <w:sz w:val="26"/>
          <w:szCs w:val="26"/>
        </w:rPr>
        <w:t>shall mean the meeting held to discuss the results of a Cluster Restudy pursuant to Section 7.5 of this LGIP.</w:t>
      </w:r>
    </w:p>
    <w:p w:rsidR="00911580" w:rsidRPr="0072600F" w14:paraId="1CD7300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 xml:space="preserve">Cluster Restudy Report </w:t>
      </w:r>
      <w:r w:rsidRPr="0072600F">
        <w:rPr>
          <w:rFonts w:ascii="Times New Roman" w:hAnsi="Times New Roman" w:cs="Times New Roman"/>
          <w:sz w:val="26"/>
          <w:szCs w:val="26"/>
        </w:rPr>
        <w:t>shall mean the report issued following completion of a Cluster Restudy pursuant to Section 7.5 of this LGIP.</w:t>
      </w:r>
      <w:r w:rsidRPr="0072600F">
        <w:rPr>
          <w:rFonts w:ascii="Times New Roman" w:hAnsi="Times New Roman" w:cs="Times New Roman"/>
          <w:sz w:val="26"/>
          <w:szCs w:val="26"/>
        </w:rPr>
        <w:t>]</w:t>
      </w:r>
    </w:p>
    <w:p w:rsidR="00911580" w:rsidRPr="0072600F" w14:paraId="0659826A"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Study </w:t>
      </w:r>
      <w:r w:rsidRPr="0072600F">
        <w:rPr>
          <w:rFonts w:ascii="Times New Roman" w:hAnsi="Times New Roman" w:cs="Times New Roman"/>
          <w:sz w:val="26"/>
          <w:szCs w:val="26"/>
        </w:rPr>
        <w:t xml:space="preserve">shall mean the evaluation of one or more Interconnection Requests within a Cluster as described </w:t>
      </w:r>
      <w:r w:rsidRPr="0072600F">
        <w:rPr>
          <w:rFonts w:ascii="Times New Roman" w:hAnsi="Times New Roman" w:cs="Times New Roman"/>
          <w:sz w:val="26"/>
          <w:szCs w:val="26"/>
        </w:rPr>
        <w:t xml:space="preserve">in </w:t>
      </w:r>
      <w:r w:rsidRPr="0072600F">
        <w:rPr>
          <w:rFonts w:ascii="Times New Roman" w:hAnsi="Times New Roman" w:cs="Times New Roman"/>
          <w:sz w:val="26"/>
          <w:szCs w:val="26"/>
        </w:rPr>
        <w:t>Section 7 of this LGIP.</w:t>
      </w:r>
    </w:p>
    <w:p w:rsidR="00911580" w:rsidRPr="0072600F" w14:paraId="32ECCD23"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Study Agreement </w:t>
      </w:r>
      <w:r w:rsidRPr="0072600F">
        <w:rPr>
          <w:rFonts w:ascii="Times New Roman" w:hAnsi="Times New Roman" w:cs="Times New Roman"/>
          <w:sz w:val="26"/>
          <w:szCs w:val="26"/>
        </w:rPr>
        <w:t>shall mean the agreement contained in Appendix 2 to this LGIP for conducting the Cluster Study.</w:t>
      </w:r>
    </w:p>
    <w:p w:rsidR="00911580" w:rsidRPr="0072600F" w14:paraId="41868D2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Cluster Study Process</w:t>
      </w:r>
      <w:r w:rsidRPr="0072600F">
        <w:rPr>
          <w:rFonts w:ascii="Times New Roman" w:hAnsi="Times New Roman" w:cs="Times New Roman"/>
          <w:sz w:val="26"/>
          <w:szCs w:val="26"/>
        </w:rPr>
        <w:t xml:space="preserve"> shall mean the following processes, conducted in sequence: </w:t>
      </w:r>
      <w:r w:rsidRPr="0072600F" w:rsidR="00CC369C">
        <w:rPr>
          <w:rFonts w:ascii="Times New Roman" w:hAnsi="Times New Roman" w:cs="Times New Roman"/>
          <w:sz w:val="26"/>
          <w:szCs w:val="26"/>
        </w:rPr>
        <w:t xml:space="preserve"> </w:t>
      </w:r>
      <w:r w:rsidRPr="0072600F">
        <w:rPr>
          <w:rFonts w:ascii="Times New Roman" w:hAnsi="Times New Roman" w:cs="Times New Roman"/>
          <w:sz w:val="26"/>
          <w:szCs w:val="26"/>
        </w:rPr>
        <w:t>the Cluster Request Window; the Customer Engagement Window and Scoping Meetings therein; the Cluster Study; any needed Cluster Restudies; and the Interconnection Facilities Study.</w:t>
      </w:r>
    </w:p>
    <w:p w:rsidR="00911580" w:rsidRPr="0072600F" w14:paraId="61E12DE3"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Study Report </w:t>
      </w:r>
      <w:r w:rsidRPr="0072600F">
        <w:rPr>
          <w:rFonts w:ascii="Times New Roman" w:hAnsi="Times New Roman" w:cs="Times New Roman"/>
          <w:sz w:val="26"/>
          <w:szCs w:val="26"/>
        </w:rPr>
        <w:t>shall mean the report issued following completion of a Cluster Study pursuant to Section 7 of this LGIP.</w:t>
      </w:r>
    </w:p>
    <w:p w:rsidR="00911580" w:rsidRPr="0072600F" w14:paraId="16AA43D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Cluster Study Report Meeting </w:t>
      </w:r>
      <w:r w:rsidRPr="0072600F">
        <w:rPr>
          <w:rFonts w:ascii="Times New Roman" w:hAnsi="Times New Roman" w:cs="Times New Roman"/>
          <w:sz w:val="26"/>
          <w:szCs w:val="26"/>
        </w:rPr>
        <w:t>shall mean the meeting held to discuss the results of a Cluster Study pursuant to Section 7 of this LGIP.</w:t>
      </w:r>
    </w:p>
    <w:p w:rsidR="00911580" w:rsidRPr="0072600F" w14:paraId="1CF8876A" w14:textId="77777777">
      <w:pPr>
        <w:ind w:firstLine="720"/>
        <w:rPr>
          <w:rFonts w:ascii="Times New Roman" w:hAnsi="Times New Roman" w:cs="Times New Roman"/>
          <w:i/>
          <w:sz w:val="26"/>
          <w:szCs w:val="26"/>
        </w:rPr>
      </w:pPr>
      <w:r w:rsidRPr="0072600F">
        <w:rPr>
          <w:rFonts w:ascii="Times New Roman" w:hAnsi="Times New Roman" w:cs="Times New Roman"/>
          <w:b/>
          <w:sz w:val="26"/>
          <w:szCs w:val="26"/>
        </w:rPr>
        <w:t xml:space="preserve">Clustering </w:t>
      </w:r>
      <w:r w:rsidRPr="0072600F">
        <w:rPr>
          <w:rFonts w:ascii="Times New Roman" w:hAnsi="Times New Roman" w:cs="Times New Roman"/>
          <w:sz w:val="26"/>
          <w:szCs w:val="26"/>
        </w:rPr>
        <w:t xml:space="preserve">shall mean the process whereby </w:t>
      </w:r>
      <w:r w:rsidRPr="0072600F">
        <w:rPr>
          <w:rFonts w:ascii="Times New Roman" w:hAnsi="Times New Roman" w:cs="Times New Roman"/>
          <w:iCs/>
          <w:sz w:val="26"/>
          <w:szCs w:val="26"/>
        </w:rPr>
        <w:t>one or more</w:t>
      </w:r>
      <w:r w:rsidRPr="0072600F">
        <w:rPr>
          <w:rFonts w:ascii="Times New Roman" w:hAnsi="Times New Roman" w:cs="Times New Roman"/>
          <w:sz w:val="26"/>
          <w:szCs w:val="26"/>
        </w:rPr>
        <w:t xml:space="preserve"> Interconnection Requests are studied together, instead of serially,</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 xml:space="preserve">as described </w:t>
      </w:r>
      <w:r w:rsidRPr="0072600F">
        <w:rPr>
          <w:rFonts w:ascii="Times New Roman" w:hAnsi="Times New Roman" w:cs="Times New Roman"/>
          <w:sz w:val="26"/>
          <w:szCs w:val="26"/>
        </w:rPr>
        <w:t xml:space="preserve">in </w:t>
      </w:r>
      <w:r w:rsidRPr="0072600F">
        <w:rPr>
          <w:rFonts w:ascii="Times New Roman" w:hAnsi="Times New Roman" w:cs="Times New Roman"/>
          <w:sz w:val="26"/>
          <w:szCs w:val="26"/>
        </w:rPr>
        <w:t>Section 7 of this LGIP</w:t>
      </w:r>
      <w:r w:rsidRPr="0072600F">
        <w:rPr>
          <w:rFonts w:ascii="Times New Roman" w:hAnsi="Times New Roman" w:cs="Times New Roman"/>
          <w:i/>
          <w:sz w:val="26"/>
          <w:szCs w:val="26"/>
        </w:rPr>
        <w:t>.</w:t>
      </w:r>
    </w:p>
    <w:p w:rsidR="00911580" w:rsidRPr="0072600F" w14:paraId="056FA2DC"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Commercial Operation</w:t>
      </w:r>
      <w:r w:rsidRPr="0072600F">
        <w:rPr>
          <w:rFonts w:ascii="Times New Roman" w:hAnsi="Times New Roman" w:cs="Times New Roman"/>
          <w:sz w:val="26"/>
          <w:szCs w:val="26"/>
        </w:rPr>
        <w:t xml:space="preserve"> shall mean the status of a Generating Facility that has commenced generating electricity for sale, excluding electricity generated during Trial Operation.</w:t>
      </w:r>
    </w:p>
    <w:p w:rsidR="00911580" w:rsidRPr="0072600F" w14:paraId="26C791FD"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Commercial Operation Date</w:t>
      </w:r>
      <w:r w:rsidRPr="0072600F">
        <w:rPr>
          <w:rFonts w:ascii="Times New Roman" w:hAnsi="Times New Roman" w:cs="Times New Roman"/>
          <w:sz w:val="26"/>
          <w:szCs w:val="26"/>
        </w:rPr>
        <w:t xml:space="preserve"> of a unit shall mean the date on which the Generating Facility commences Commercial Operation as agreed to by the Parties pursuant to Appendix E to the Standard Large Generator Interconnection Agreement.</w:t>
      </w:r>
    </w:p>
    <w:p w:rsidR="00911580" w:rsidRPr="0072600F" w14:paraId="51385600" w14:textId="77777777">
      <w:pPr>
        <w:ind w:firstLine="720"/>
        <w:rPr>
          <w:rFonts w:ascii="Times New Roman" w:hAnsi="Times New Roman" w:cs="Times New Roman"/>
          <w:sz w:val="26"/>
          <w:szCs w:val="26"/>
        </w:rPr>
      </w:pPr>
      <w:bookmarkStart w:id="165" w:name="_Hlk102645452"/>
      <w:r w:rsidRPr="0072600F">
        <w:rPr>
          <w:rFonts w:ascii="Times New Roman" w:hAnsi="Times New Roman" w:cs="Times New Roman"/>
          <w:b/>
          <w:bCs/>
          <w:sz w:val="26"/>
          <w:szCs w:val="26"/>
        </w:rPr>
        <w:t xml:space="preserve">Commercial Readiness Deposit </w:t>
      </w:r>
      <w:r w:rsidRPr="0072600F">
        <w:rPr>
          <w:rFonts w:ascii="Times New Roman" w:hAnsi="Times New Roman" w:cs="Times New Roman"/>
          <w:sz w:val="26"/>
          <w:szCs w:val="26"/>
        </w:rPr>
        <w:t>shall mean a deposit paid as set forth in Sections 3.4.2, 7.5, and 8.1 of this LGIP.</w:t>
      </w:r>
    </w:p>
    <w:p w:rsidR="00911580" w:rsidRPr="0072600F" w14:paraId="7948159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Confidential Information </w:t>
      </w:r>
      <w:r w:rsidRPr="0072600F">
        <w:rPr>
          <w:rFonts w:ascii="Times New Roman" w:hAnsi="Times New Roman" w:cs="Times New Roman"/>
          <w:sz w:val="26"/>
          <w:szCs w:val="26"/>
        </w:rPr>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p>
    <w:p w:rsidR="00911580" w:rsidRPr="0072600F" w14:paraId="5D7128A8"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Contingent Facilities </w:t>
      </w:r>
      <w:r w:rsidRPr="0072600F">
        <w:rPr>
          <w:rFonts w:ascii="Times New Roman" w:hAnsi="Times New Roman" w:cs="Times New Roman"/>
          <w:sz w:val="26"/>
          <w:szCs w:val="26"/>
        </w:rPr>
        <w:t>shall mean those unbuilt Interconnection Facilities and Network Upgrades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
    <w:p w:rsidR="00911580" w:rsidRPr="0072600F" w14:paraId="593196F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Customer Engagement Window </w:t>
      </w:r>
      <w:r w:rsidRPr="0072600F">
        <w:rPr>
          <w:rFonts w:ascii="Times New Roman" w:hAnsi="Times New Roman" w:cs="Times New Roman"/>
          <w:sz w:val="26"/>
          <w:szCs w:val="26"/>
        </w:rPr>
        <w:t>shall mean the time period set forth in Section 3.4.5 of this LGIP.</w:t>
      </w:r>
    </w:p>
    <w:p w:rsidR="00911580" w:rsidRPr="0072600F" w14:paraId="5E7944B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Default </w:t>
      </w:r>
      <w:r w:rsidRPr="0072600F">
        <w:rPr>
          <w:rFonts w:ascii="Times New Roman" w:hAnsi="Times New Roman" w:cs="Times New Roman"/>
          <w:sz w:val="26"/>
          <w:szCs w:val="26"/>
        </w:rPr>
        <w:t>shall mean the failure of a Breaching Party to cure its Breach in accordance with Article 17 of the Standard Large Generator Interconnection Agreement.</w:t>
      </w:r>
    </w:p>
    <w:p w:rsidR="00911580" w:rsidRPr="0072600F" w14:paraId="6D4E092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Dispute Resolution</w:t>
      </w:r>
      <w:r w:rsidRPr="0072600F">
        <w:rPr>
          <w:rFonts w:ascii="Times New Roman" w:hAnsi="Times New Roman" w:cs="Times New Roman"/>
          <w:sz w:val="26"/>
          <w:szCs w:val="26"/>
        </w:rPr>
        <w:t xml:space="preserve"> shall mean the procedure for resolution of a dispute between the Parties in which they will first attempt to resolve the dispute on an informal basis.</w:t>
      </w:r>
    </w:p>
    <w:p w:rsidR="00911580" w:rsidRPr="0072600F" w14:paraId="65C213DA"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Distribution System</w:t>
      </w:r>
      <w:r w:rsidRPr="0072600F">
        <w:rPr>
          <w:rFonts w:ascii="Times New Roman" w:hAnsi="Times New Roman" w:cs="Times New Roman"/>
          <w:sz w:val="26"/>
          <w:szCs w:val="26"/>
        </w:rPr>
        <w:t xml:space="preserve"> shall mean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911580" w:rsidRPr="0072600F" w14:paraId="6180879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Distribution Upgrades</w:t>
      </w:r>
      <w:r w:rsidRPr="0072600F">
        <w:rPr>
          <w:rFonts w:ascii="Times New Roman" w:hAnsi="Times New Roman" w:cs="Times New Roman"/>
          <w:sz w:val="26"/>
          <w:szCs w:val="26"/>
        </w:rPr>
        <w:t xml:space="preserve"> shall mean the additions, modifications, and upgrades to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Distribution System at or beyond the Point of Interconnection to facilitate interconnection of the Generating Facility and render the transmission service necessary to effect Interconnection Customer’s wholesale sale of electricity in interstate commerce.  Distribution Upgrades do not include Interconnection Facilities.</w:t>
      </w:r>
    </w:p>
    <w:p w:rsidR="00911580" w:rsidRPr="0072600F" w14:paraId="1ADF375A"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Effective Date </w:t>
      </w:r>
      <w:r w:rsidRPr="0072600F">
        <w:rPr>
          <w:rFonts w:ascii="Times New Roman" w:hAnsi="Times New Roman" w:cs="Times New Roman"/>
          <w:sz w:val="26"/>
          <w:szCs w:val="26"/>
        </w:rPr>
        <w:t>shall mean the date on which the Standard Large Generator Interconnection Agreement becomes effective upon execution by the Parties subject to acceptance by FERC, or if filed unexecuted, upon the date specified by FERC.</w:t>
      </w:r>
    </w:p>
    <w:p w:rsidR="00911580" w:rsidRPr="0072600F" w14:paraId="005B3CB5"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Electric Reliability Organization</w:t>
      </w:r>
      <w:r w:rsidRPr="0072600F">
        <w:rPr>
          <w:rFonts w:ascii="Times New Roman" w:hAnsi="Times New Roman" w:cs="Times New Roman"/>
          <w:sz w:val="26"/>
          <w:szCs w:val="26"/>
        </w:rPr>
        <w:t xml:space="preserve"> shall mean the North American Electric Reliability Corporation</w:t>
      </w:r>
      <w:r w:rsidRPr="0072600F" w:rsidR="001B4CFB">
        <w:rPr>
          <w:rFonts w:ascii="Times New Roman" w:hAnsi="Times New Roman" w:cs="Times New Roman"/>
          <w:sz w:val="26"/>
          <w:szCs w:val="26"/>
        </w:rPr>
        <w:t xml:space="preserve"> </w:t>
      </w:r>
      <w:r w:rsidRPr="0072600F" w:rsidR="001B4CFB">
        <w:rPr>
          <w:rFonts w:ascii="Times New Roman" w:hAnsi="Times New Roman" w:cs="Times New Roman"/>
          <w:i/>
          <w:iCs/>
          <w:sz w:val="26"/>
          <w:szCs w:val="26"/>
        </w:rPr>
        <w:t>(NERC)</w:t>
      </w:r>
      <w:r w:rsidRPr="0072600F">
        <w:rPr>
          <w:rFonts w:ascii="Times New Roman" w:hAnsi="Times New Roman" w:cs="Times New Roman"/>
          <w:sz w:val="26"/>
          <w:szCs w:val="26"/>
        </w:rPr>
        <w:t xml:space="preserve"> or its successor organization</w:t>
      </w:r>
      <w:bookmarkStart w:id="166" w:name="_Hlk96539564"/>
      <w:r w:rsidRPr="0072600F">
        <w:rPr>
          <w:rFonts w:ascii="Times New Roman" w:hAnsi="Times New Roman" w:cs="Times New Roman"/>
          <w:i/>
          <w:iCs/>
          <w:sz w:val="26"/>
          <w:szCs w:val="26"/>
        </w:rPr>
        <w:t>.</w:t>
      </w:r>
    </w:p>
    <w:bookmarkEnd w:id="166"/>
    <w:p w:rsidR="00911580" w:rsidRPr="0072600F" w14:paraId="4734AA65"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Emergency Condition </w:t>
      </w:r>
      <w:r w:rsidRPr="0072600F">
        <w:rPr>
          <w:rFonts w:ascii="Times New Roman" w:hAnsi="Times New Roman" w:cs="Times New Roman"/>
          <w:sz w:val="26"/>
          <w:szCs w:val="26"/>
        </w:rPr>
        <w:t xml:space="preserve">shall mean a condition or situation: </w:t>
      </w:r>
      <w:r w:rsidRPr="0072600F" w:rsidR="00CD11CD">
        <w:rPr>
          <w:rFonts w:ascii="Times New Roman" w:hAnsi="Times New Roman" w:cs="Times New Roman"/>
          <w:sz w:val="26"/>
          <w:szCs w:val="26"/>
        </w:rPr>
        <w:t xml:space="preserve"> </w:t>
      </w:r>
      <w:r w:rsidRPr="0072600F">
        <w:rPr>
          <w:rFonts w:ascii="Times New Roman" w:hAnsi="Times New Roman" w:cs="Times New Roman"/>
          <w:sz w:val="26"/>
          <w:szCs w:val="26"/>
        </w:rPr>
        <w:t xml:space="preserve">(1) that in the judgment of the Party making the claim is imminently likely to endanger life or property; or (2) that, in the case of a Transmission Provider, is imminently likely (as determined in a non-discriminatory manner) to cause a material adverse effect on the security of, or damage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electric systems of others to which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is directly connected; or (3) that, in the case of Interconnection Customer, is imminently likely (as determined in a non-discriminatory manner) to cause a material adverse effect on the security of, or damage to, the Generating Facility or Interconnection Customer</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s Interconnection Facilities.  System restoration and black start shall be considered Emergency Conditions; provided that Interconnection Customer is not obligated by the Standard Large Generator Interconnection Agreement to possess black start capability.</w:t>
      </w:r>
    </w:p>
    <w:p w:rsidR="00911580" w:rsidRPr="0072600F" w14:paraId="4A79B8D6"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 xml:space="preserve"> </w:t>
      </w:r>
      <w:r w:rsidRPr="0072600F">
        <w:rPr>
          <w:rFonts w:ascii="Times New Roman" w:hAnsi="Times New Roman" w:cs="Times New Roman"/>
          <w:b/>
          <w:bCs/>
          <w:sz w:val="26"/>
          <w:szCs w:val="26"/>
        </w:rPr>
        <w:t>Energy Resource Interconnection Service</w:t>
      </w:r>
      <w:r w:rsidRPr="0072600F">
        <w:rPr>
          <w:rFonts w:ascii="Times New Roman" w:hAnsi="Times New Roman" w:cs="Times New Roman"/>
          <w:sz w:val="26"/>
          <w:szCs w:val="26"/>
        </w:rPr>
        <w:t xml:space="preserve"> shall mean an Interconnection Service that allows </w:t>
      </w:r>
      <w:r w:rsidRPr="0072600F" w:rsidR="00555A41">
        <w:rPr>
          <w:rFonts w:ascii="Times New Roman" w:hAnsi="Times New Roman" w:cs="Times New Roman"/>
          <w:sz w:val="26"/>
          <w:szCs w:val="26"/>
        </w:rPr>
        <w:t>[</w:t>
      </w:r>
      <w:r w:rsidRPr="0072600F">
        <w:rPr>
          <w:rFonts w:ascii="Times New Roman" w:hAnsi="Times New Roman" w:cs="Times New Roman"/>
          <w:sz w:val="26"/>
          <w:szCs w:val="26"/>
        </w:rPr>
        <w:t>the</w:t>
      </w:r>
      <w:r w:rsidRPr="0072600F" w:rsidR="00555A4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connect its Generating Facility to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to be eligible to deliver the Generating Facility's electric output using the existing firm or </w:t>
      </w:r>
      <w:r w:rsidRPr="0072600F">
        <w:rPr>
          <w:rFonts w:ascii="Times New Roman" w:hAnsi="Times New Roman" w:cs="Times New Roman"/>
          <w:sz w:val="26"/>
          <w:szCs w:val="26"/>
        </w:rPr>
        <w:t>nonfirm</w:t>
      </w:r>
      <w:r w:rsidRPr="0072600F">
        <w:rPr>
          <w:rFonts w:ascii="Times New Roman" w:hAnsi="Times New Roman" w:cs="Times New Roman"/>
          <w:sz w:val="26"/>
          <w:szCs w:val="26"/>
        </w:rPr>
        <w:t xml:space="preserve"> capacity of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on an as available basis.  Energy Resource Interconnection Service in and of itself does not convey transmission service.</w:t>
      </w:r>
    </w:p>
    <w:p w:rsidR="00911580" w:rsidRPr="0072600F" w:rsidP="00EB6ABF" w14:paraId="3AB4D14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Engineering &amp; Procurement (E&amp;P) Agreement</w:t>
      </w:r>
      <w:r w:rsidRPr="0072600F">
        <w:rPr>
          <w:rFonts w:ascii="Times New Roman" w:hAnsi="Times New Roman" w:cs="Times New Roman"/>
          <w:sz w:val="26"/>
          <w:szCs w:val="26"/>
        </w:rPr>
        <w:t xml:space="preserve"> shall mean an agreement that authorizes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begin engineering and procurement of long lead-time items necessary for the establishment of the interconnection in order to advance the implementation of the Interconnection Request.</w:t>
      </w:r>
    </w:p>
    <w:p w:rsidR="00911580" w:rsidRPr="0072600F" w14:paraId="45CE052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Environmental Law</w:t>
      </w:r>
      <w:r w:rsidRPr="0072600F">
        <w:rPr>
          <w:rFonts w:ascii="Times New Roman" w:hAnsi="Times New Roman" w:cs="Times New Roman"/>
          <w:sz w:val="26"/>
          <w:szCs w:val="26"/>
        </w:rPr>
        <w:t xml:space="preserve"> shall mean Applicable Laws or Regulations relating to pollution or protection of the environment or natural resources.</w:t>
      </w:r>
    </w:p>
    <w:p w:rsidR="00911580" w:rsidRPr="0072600F" w14:paraId="0BA7CFD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Federal Power Act</w:t>
      </w:r>
      <w:r w:rsidRPr="0072600F">
        <w:rPr>
          <w:rFonts w:ascii="Times New Roman" w:hAnsi="Times New Roman" w:cs="Times New Roman"/>
          <w:sz w:val="26"/>
          <w:szCs w:val="26"/>
        </w:rPr>
        <w:t xml:space="preserve"> shall mean the Federal Power Act, as amended, 16 U.S.C. §§ 791a </w:t>
      </w:r>
      <w:r w:rsidRPr="0072600F">
        <w:rPr>
          <w:rFonts w:ascii="Times New Roman" w:hAnsi="Times New Roman" w:cs="Times New Roman"/>
          <w:iCs/>
          <w:sz w:val="26"/>
          <w:szCs w:val="26"/>
        </w:rPr>
        <w:t>et seq</w:t>
      </w:r>
      <w:r w:rsidRPr="0072600F">
        <w:rPr>
          <w:rFonts w:ascii="Times New Roman" w:hAnsi="Times New Roman" w:cs="Times New Roman"/>
          <w:sz w:val="26"/>
          <w:szCs w:val="26"/>
        </w:rPr>
        <w:t>.</w:t>
      </w:r>
    </w:p>
    <w:p w:rsidR="00911580" w:rsidRPr="0072600F" w14:paraId="3FDDCA9E"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FERC</w:t>
      </w:r>
      <w:r w:rsidRPr="0072600F">
        <w:rPr>
          <w:rFonts w:ascii="Times New Roman" w:hAnsi="Times New Roman" w:cs="Times New Roman"/>
          <w:sz w:val="26"/>
          <w:szCs w:val="26"/>
        </w:rPr>
        <w:t xml:space="preserve"> shall mean the Federal Energy Regulatory Commission (Commission) or its successor.</w:t>
      </w:r>
    </w:p>
    <w:p w:rsidR="00911580" w:rsidRPr="0072600F" w14:paraId="3AB2E2DF"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Force Majeure</w:t>
      </w:r>
      <w:r w:rsidRPr="0072600F">
        <w:rPr>
          <w:rFonts w:ascii="Times New Roman" w:hAnsi="Times New Roman" w:cs="Times New Roman"/>
          <w:sz w:val="26"/>
          <w:szCs w:val="26"/>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s control.  A Force Majeure event does not include acts of negligence or intentional wrongdoing by the Party claiming Force Majeure.</w:t>
      </w:r>
    </w:p>
    <w:p w:rsidR="00911580" w:rsidRPr="0072600F" w14:paraId="7BB645D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Generating Facility</w:t>
      </w:r>
      <w:r w:rsidRPr="0072600F">
        <w:rPr>
          <w:rFonts w:ascii="Times New Roman" w:hAnsi="Times New Roman" w:cs="Times New Roman"/>
          <w:sz w:val="26"/>
          <w:szCs w:val="26"/>
        </w:rPr>
        <w:t xml:space="preserve"> shall mean Interconnection Customer’s device(s) for the production and/or storage for later injection of electricity identified in the Interconnection Request, but shall not include Interconnection Customer’s Interconnection Facilities. </w:t>
      </w:r>
    </w:p>
    <w:p w:rsidR="00911580" w:rsidRPr="0072600F" w14:paraId="1AA18E11"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Generating Facility Capacity</w:t>
      </w:r>
      <w:r w:rsidRPr="0072600F">
        <w:rPr>
          <w:rFonts w:ascii="Times New Roman" w:hAnsi="Times New Roman" w:cs="Times New Roman"/>
          <w:sz w:val="26"/>
          <w:szCs w:val="26"/>
        </w:rPr>
        <w:t xml:space="preserve"> shall mean the net capacity of the Generating Facility or the aggregate net capacity of the Generating Facility where it includes more than one device for the production and/or storage for later injection of electricity.</w:t>
      </w:r>
    </w:p>
    <w:p w:rsidR="00911580" w:rsidRPr="0072600F" w14:paraId="42D3D08E"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Good Utility Practice</w:t>
      </w:r>
      <w:r w:rsidRPr="0072600F">
        <w:rPr>
          <w:rFonts w:ascii="Times New Roman" w:hAnsi="Times New Roman" w:cs="Times New Roman"/>
          <w:sz w:val="26"/>
          <w:szCs w:val="26"/>
        </w:rP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911580" w:rsidRPr="0072600F" w14:paraId="52F4C22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Governmental Authority</w:t>
      </w:r>
      <w:r w:rsidRPr="0072600F">
        <w:rPr>
          <w:rFonts w:ascii="Times New Roman" w:hAnsi="Times New Roman" w:cs="Times New Roman"/>
          <w:sz w:val="26"/>
          <w:szCs w:val="26"/>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Transmission Provider, or any Affiliate thereof.</w:t>
      </w:r>
    </w:p>
    <w:p w:rsidR="00911580" w:rsidRPr="0072600F" w14:paraId="12C8776F"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Hazardous Substances</w:t>
      </w:r>
      <w:r w:rsidRPr="0072600F">
        <w:rPr>
          <w:rFonts w:ascii="Times New Roman" w:hAnsi="Times New Roman" w:cs="Times New Roman"/>
          <w:sz w:val="26"/>
          <w:szCs w:val="26"/>
        </w:rPr>
        <w:t xml:space="preserve"> shall mean any chemicals, materials or substances defined as or included in the definition of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hazardous substances,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hazardous wastes,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hazardous materials,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hazardous constituents,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restricted hazardous materials,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extremely hazardous substances,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toxic substances,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radioactive substances,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contaminants,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pollutants,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toxic pollutants</w:t>
      </w:r>
      <w:r w:rsidRPr="0072600F" w:rsidR="0044142C">
        <w:rPr>
          <w:rFonts w:ascii="Times New Roman" w:hAnsi="Times New Roman" w:cs="Times New Roman"/>
          <w:sz w:val="26"/>
          <w:szCs w:val="26"/>
        </w:rPr>
        <w:t>”</w:t>
      </w:r>
      <w:r w:rsidRPr="0072600F">
        <w:rPr>
          <w:rFonts w:ascii="Times New Roman" w:hAnsi="Times New Roman" w:cs="Times New Roman"/>
          <w:sz w:val="26"/>
          <w:szCs w:val="26"/>
        </w:rPr>
        <w:t xml:space="preserve"> or words of similar meaning and regulatory effect under any applicable Environmental Law, or any other chemical, material or substance, exposure to which is prohibited, limited or regulated by any applicable Environmental Law.</w:t>
      </w:r>
    </w:p>
    <w:p w:rsidR="00911580" w:rsidRPr="0072600F" w14:paraId="2F9A9213"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Initial Synchronization Date</w:t>
      </w:r>
      <w:r w:rsidRPr="0072600F">
        <w:rPr>
          <w:rFonts w:ascii="Times New Roman" w:hAnsi="Times New Roman" w:cs="Times New Roman"/>
          <w:sz w:val="26"/>
          <w:szCs w:val="26"/>
        </w:rPr>
        <w:t xml:space="preserve"> shall mean the date upon which the Generating Facility is initially synchronized and upon which Trial Operation begins.</w:t>
      </w:r>
    </w:p>
    <w:p w:rsidR="00911580" w:rsidRPr="0072600F" w14:paraId="57E2B7F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In-Service Date</w:t>
      </w:r>
      <w:r w:rsidRPr="0072600F">
        <w:rPr>
          <w:rFonts w:ascii="Times New Roman" w:hAnsi="Times New Roman" w:cs="Times New Roman"/>
          <w:sz w:val="26"/>
          <w:szCs w:val="26"/>
        </w:rPr>
        <w:t xml:space="preserve"> shall mean the date upon which </w:t>
      </w:r>
      <w:r w:rsidRPr="0072600F" w:rsidR="004A484B">
        <w:rPr>
          <w:rFonts w:ascii="Times New Roman" w:hAnsi="Times New Roman" w:cs="Times New Roman"/>
          <w:sz w:val="26"/>
          <w:szCs w:val="26"/>
        </w:rPr>
        <w:t>[</w:t>
      </w:r>
      <w:r w:rsidRPr="0072600F">
        <w:rPr>
          <w:rFonts w:ascii="Times New Roman" w:hAnsi="Times New Roman" w:cs="Times New Roman"/>
          <w:sz w:val="26"/>
          <w:szCs w:val="26"/>
        </w:rPr>
        <w:t>the</w:t>
      </w:r>
      <w:r w:rsidRPr="0072600F" w:rsidR="004A484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reasonably expects it will be ready to begin use of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to obtain back feed power.</w:t>
      </w:r>
    </w:p>
    <w:p w:rsidR="00911580" w:rsidRPr="0072600F" w14:paraId="2FB79EF9"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Interconnection Customer</w:t>
      </w:r>
      <w:r w:rsidRPr="0072600F">
        <w:rPr>
          <w:rFonts w:ascii="Times New Roman" w:hAnsi="Times New Roman" w:cs="Times New Roman"/>
          <w:sz w:val="26"/>
          <w:szCs w:val="26"/>
        </w:rPr>
        <w:t xml:space="preserve"> shall mean any entity, including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Transmission Owner or any of the Affiliates or subsidiaries of either, that proposes to interconnect its Generating Facility with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911580" w:rsidRPr="0072600F" w14:paraId="325A8B0D"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Interconnection Customer</w:t>
      </w:r>
      <w:r w:rsidRPr="0072600F" w:rsidR="00511ED9">
        <w:rPr>
          <w:rFonts w:ascii="Times New Roman" w:hAnsi="Times New Roman" w:cs="Times New Roman"/>
          <w:b/>
          <w:bCs/>
          <w:sz w:val="26"/>
          <w:szCs w:val="26"/>
        </w:rPr>
        <w:t>’</w:t>
      </w:r>
      <w:r w:rsidRPr="0072600F">
        <w:rPr>
          <w:rFonts w:ascii="Times New Roman" w:hAnsi="Times New Roman" w:cs="Times New Roman"/>
          <w:b/>
          <w:bCs/>
          <w:sz w:val="26"/>
          <w:szCs w:val="26"/>
        </w:rPr>
        <w:t>s Interconnection Facilities</w:t>
      </w:r>
      <w:r w:rsidRPr="0072600F">
        <w:rPr>
          <w:rFonts w:ascii="Times New Roman" w:hAnsi="Times New Roman" w:cs="Times New Roman"/>
          <w:sz w:val="26"/>
          <w:szCs w:val="26"/>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Interconnection Customer</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s Interconnection Facilities are sole use facilities.</w:t>
      </w:r>
    </w:p>
    <w:p w:rsidR="00911580" w:rsidRPr="0072600F" w14:paraId="56954E55" w14:textId="77777777">
      <w:pPr>
        <w:ind w:firstLine="720"/>
        <w:rPr>
          <w:rFonts w:ascii="Times New Roman" w:hAnsi="Times New Roman" w:cs="Times New Roman"/>
          <w:i/>
          <w:sz w:val="26"/>
          <w:szCs w:val="26"/>
        </w:rPr>
      </w:pPr>
      <w:r w:rsidRPr="0072600F">
        <w:rPr>
          <w:rFonts w:ascii="Times New Roman" w:hAnsi="Times New Roman" w:cs="Times New Roman"/>
          <w:b/>
          <w:sz w:val="26"/>
          <w:szCs w:val="26"/>
        </w:rPr>
        <w:t xml:space="preserve">Interconnection Facilities </w:t>
      </w:r>
      <w:r w:rsidRPr="0072600F">
        <w:rPr>
          <w:rFonts w:ascii="Times New Roman" w:hAnsi="Times New Roman" w:cs="Times New Roman"/>
          <w:sz w:val="26"/>
          <w:szCs w:val="26"/>
        </w:rPr>
        <w:t xml:space="preserve">shall mean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Interconnection Customer</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Transmission Provider’s Transmission System. </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Interconnection Facilities are sole use facilities and shall not include Distribution Upgrades, Stand Alone Network Upgrades or Network Upgrades.</w:t>
      </w:r>
      <w:r w:rsidRPr="0072600F">
        <w:rPr>
          <w:rFonts w:ascii="Times New Roman" w:hAnsi="Times New Roman" w:cs="Times New Roman"/>
          <w:i/>
          <w:sz w:val="26"/>
          <w:szCs w:val="26"/>
        </w:rPr>
        <w:t xml:space="preserve">  </w:t>
      </w:r>
    </w:p>
    <w:p w:rsidR="00911580" w:rsidRPr="0072600F" w14:paraId="38EB0033"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Interconnection Facilities Study </w:t>
      </w:r>
      <w:r w:rsidRPr="0072600F">
        <w:rPr>
          <w:rFonts w:ascii="Times New Roman" w:hAnsi="Times New Roman" w:cs="Times New Roman"/>
          <w:sz w:val="26"/>
          <w:szCs w:val="26"/>
        </w:rPr>
        <w:t>shall mean a study conducted by Transmission Provider or a third party consultant for Interconnection Customer to determine a list of facilities (including Transmission Provider’s Interconnection Facilities and Network Upgrades as identified in the</w:t>
      </w:r>
      <w:r w:rsidRPr="0072600F">
        <w:rPr>
          <w:rFonts w:ascii="Times New Roman" w:hAnsi="Times New Roman" w:cs="Times New Roman"/>
          <w:i/>
          <w:iCs/>
          <w:sz w:val="26"/>
          <w:szCs w:val="26"/>
        </w:rPr>
        <w:t xml:space="preserve"> </w:t>
      </w:r>
      <w:r w:rsidRPr="0072600F">
        <w:rPr>
          <w:rFonts w:ascii="Times New Roman" w:hAnsi="Times New Roman" w:cs="Times New Roman"/>
          <w:sz w:val="26"/>
          <w:szCs w:val="26"/>
        </w:rPr>
        <w:t>Cluster Study),</w:t>
      </w:r>
      <w:r w:rsidRPr="0072600F">
        <w:rPr>
          <w:rFonts w:ascii="Times New Roman" w:hAnsi="Times New Roman" w:cs="Times New Roman"/>
          <w:i/>
          <w:iCs/>
          <w:sz w:val="26"/>
          <w:szCs w:val="26"/>
        </w:rPr>
        <w:t xml:space="preserve"> </w:t>
      </w:r>
      <w:r w:rsidRPr="0072600F">
        <w:rPr>
          <w:rFonts w:ascii="Times New Roman" w:hAnsi="Times New Roman" w:cs="Times New Roman"/>
          <w:sz w:val="26"/>
          <w:szCs w:val="26"/>
        </w:rPr>
        <w:t>the cost of those facilities, and the time required to interconnect the Generating Facility with Transmission Provider’s Transmission System.  The scope of the study is defined in Section 8 of this LGIP.</w:t>
      </w:r>
    </w:p>
    <w:p w:rsidR="00911580" w:rsidRPr="0072600F" w14:paraId="2A737EE4"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Interconnection Facilities Study Agreement</w:t>
      </w:r>
      <w:r w:rsidRPr="0072600F">
        <w:rPr>
          <w:rFonts w:ascii="Times New Roman" w:hAnsi="Times New Roman" w:cs="Times New Roman"/>
          <w:sz w:val="26"/>
          <w:szCs w:val="26"/>
        </w:rPr>
        <w:t xml:space="preserve"> shall mean the form of agreement contained in Appendix </w:t>
      </w:r>
      <w:r w:rsidRPr="0072600F">
        <w:rPr>
          <w:rFonts w:ascii="Times New Roman" w:hAnsi="Times New Roman" w:cs="Times New Roman"/>
          <w:iCs/>
          <w:sz w:val="26"/>
          <w:szCs w:val="26"/>
        </w:rPr>
        <w:t xml:space="preserve">3 of this LGIP </w:t>
      </w:r>
      <w:r w:rsidRPr="0072600F">
        <w:rPr>
          <w:rFonts w:ascii="Times New Roman" w:hAnsi="Times New Roman" w:cs="Times New Roman"/>
          <w:sz w:val="26"/>
          <w:szCs w:val="26"/>
        </w:rPr>
        <w:t>for conducting the Interconnection Facilities Study.</w:t>
      </w:r>
    </w:p>
    <w:p w:rsidR="00911580" w:rsidRPr="0072600F" w14:paraId="2BD7CCEB" w14:textId="77777777">
      <w:pPr>
        <w:ind w:firstLine="720"/>
        <w:rPr>
          <w:rFonts w:ascii="Times New Roman" w:hAnsi="Times New Roman" w:cs="Times New Roman"/>
          <w:sz w:val="26"/>
          <w:szCs w:val="26"/>
        </w:rPr>
      </w:pPr>
      <w:bookmarkStart w:id="167" w:name="_Hlk139009398"/>
      <w:bookmarkStart w:id="168" w:name="_Hlk139622862"/>
      <w:r w:rsidRPr="0072600F">
        <w:rPr>
          <w:rFonts w:ascii="Times New Roman" w:hAnsi="Times New Roman" w:cs="Times New Roman"/>
          <w:b/>
          <w:bCs/>
          <w:sz w:val="26"/>
          <w:szCs w:val="26"/>
        </w:rPr>
        <w:t xml:space="preserve">Interconnection Facilities Study </w:t>
      </w:r>
      <w:bookmarkEnd w:id="167"/>
      <w:r w:rsidRPr="0072600F">
        <w:rPr>
          <w:rFonts w:ascii="Times New Roman" w:hAnsi="Times New Roman" w:cs="Times New Roman"/>
          <w:b/>
          <w:bCs/>
          <w:sz w:val="26"/>
          <w:szCs w:val="26"/>
        </w:rPr>
        <w:t xml:space="preserve">Report </w:t>
      </w:r>
      <w:r w:rsidRPr="0072600F">
        <w:rPr>
          <w:rFonts w:ascii="Times New Roman" w:hAnsi="Times New Roman" w:cs="Times New Roman"/>
          <w:sz w:val="26"/>
          <w:szCs w:val="26"/>
        </w:rPr>
        <w:t>shall mean the report issued following completion of an Interconnection Facilities Study pursuant to Section 8 of this LGIP.</w:t>
      </w:r>
    </w:p>
    <w:bookmarkEnd w:id="168"/>
    <w:p w:rsidR="00911580" w:rsidRPr="0072600F" w14:paraId="10DD0FE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Interconnection Request</w:t>
      </w:r>
      <w:r w:rsidRPr="0072600F">
        <w:rPr>
          <w:rFonts w:ascii="Times New Roman" w:hAnsi="Times New Roman" w:cs="Times New Roman"/>
          <w:sz w:val="26"/>
          <w:szCs w:val="26"/>
        </w:rPr>
        <w:t xml:space="preserve"> shall mean an Interconnection Customer's request, in the form of Appendix 1 to this LGIP, in accordance with the Tariff, to interconnect a new Generating Facility, or to increase the capacity of, or make a Material Modification to the operating characteristics of, an existing Generating Facility that is interconnected with </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the</w:t>
      </w:r>
      <w:r w:rsidRPr="0072600F" w:rsidR="00511ED9">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911580" w:rsidRPr="0072600F" w14:paraId="0BB854DC"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Interconnection Service</w:t>
      </w:r>
      <w:r w:rsidRPr="0072600F">
        <w:rPr>
          <w:rFonts w:ascii="Times New Roman" w:hAnsi="Times New Roman" w:cs="Times New Roman"/>
          <w:sz w:val="26"/>
          <w:szCs w:val="26"/>
        </w:rPr>
        <w:t xml:space="preserve"> shall mean the service provided by </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the</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associated with interconnecting </w:t>
      </w:r>
      <w:r w:rsidRPr="0072600F" w:rsidR="00793B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793B3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 xml:space="preserve">s Generating Facility to </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the</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and enabling it to receive electric energy and capacity from the Generating Facility at the Point of Interconnection, pursuant to the terms of the Standard Large Generator Interconnection Agreement and, if applicable, </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the</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w:t>
      </w:r>
    </w:p>
    <w:p w:rsidR="00911580" w:rsidRPr="0072600F" w14:paraId="399C2F0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Interconnection Study </w:t>
      </w:r>
      <w:r w:rsidRPr="0072600F">
        <w:rPr>
          <w:rFonts w:ascii="Times New Roman" w:hAnsi="Times New Roman" w:cs="Times New Roman"/>
          <w:sz w:val="26"/>
          <w:szCs w:val="26"/>
        </w:rPr>
        <w:t xml:space="preserve">shall mean any of the following studies:  the Cluster Study, the Cluster Restudy, the Surplus Interconnection Service </w:t>
      </w:r>
      <w:r w:rsidRPr="0072600F" w:rsidR="0098727C">
        <w:rPr>
          <w:rFonts w:ascii="Times New Roman" w:hAnsi="Times New Roman" w:cs="Times New Roman"/>
          <w:sz w:val="26"/>
          <w:szCs w:val="26"/>
        </w:rPr>
        <w:t>[</w:t>
      </w:r>
      <w:r w:rsidRPr="0072600F">
        <w:rPr>
          <w:rFonts w:ascii="Times New Roman" w:hAnsi="Times New Roman" w:cs="Times New Roman"/>
          <w:sz w:val="26"/>
          <w:szCs w:val="26"/>
        </w:rPr>
        <w:t>System Impact</w:t>
      </w:r>
      <w:r w:rsidRPr="0072600F" w:rsidR="0098727C">
        <w:rPr>
          <w:rFonts w:ascii="Times New Roman" w:hAnsi="Times New Roman" w:cs="Times New Roman"/>
          <w:sz w:val="26"/>
          <w:szCs w:val="26"/>
        </w:rPr>
        <w:t>]</w:t>
      </w:r>
      <w:r w:rsidRPr="0072600F">
        <w:rPr>
          <w:rFonts w:ascii="Times New Roman" w:hAnsi="Times New Roman" w:cs="Times New Roman"/>
          <w:sz w:val="26"/>
          <w:szCs w:val="26"/>
        </w:rPr>
        <w:t xml:space="preserve"> Study, </w:t>
      </w:r>
      <w:r w:rsidRPr="0072600F" w:rsidR="002830E1">
        <w:rPr>
          <w:rFonts w:ascii="Times New Roman" w:hAnsi="Times New Roman" w:cs="Times New Roman"/>
          <w:sz w:val="26"/>
          <w:szCs w:val="26"/>
        </w:rPr>
        <w:t>[</w:t>
      </w:r>
      <w:r w:rsidRPr="0072600F">
        <w:rPr>
          <w:rFonts w:ascii="Times New Roman" w:hAnsi="Times New Roman" w:cs="Times New Roman"/>
          <w:sz w:val="26"/>
          <w:szCs w:val="26"/>
        </w:rPr>
        <w:t>and</w:t>
      </w:r>
      <w:r w:rsidRPr="0072600F" w:rsidR="002830E1">
        <w:rPr>
          <w:rFonts w:ascii="Times New Roman" w:hAnsi="Times New Roman" w:cs="Times New Roman"/>
          <w:sz w:val="26"/>
          <w:szCs w:val="26"/>
        </w:rPr>
        <w:t>]</w:t>
      </w:r>
      <w:r w:rsidRPr="0072600F">
        <w:rPr>
          <w:rFonts w:ascii="Times New Roman" w:hAnsi="Times New Roman" w:cs="Times New Roman"/>
          <w:i/>
          <w:iCs/>
          <w:sz w:val="26"/>
          <w:szCs w:val="26"/>
        </w:rPr>
        <w:t xml:space="preserve"> </w:t>
      </w:r>
      <w:r w:rsidRPr="0072600F">
        <w:rPr>
          <w:rFonts w:ascii="Times New Roman" w:hAnsi="Times New Roman" w:cs="Times New Roman"/>
          <w:sz w:val="26"/>
          <w:szCs w:val="26"/>
        </w:rPr>
        <w:t>the Interconnection Facilities Study,</w:t>
      </w:r>
      <w:r w:rsidRPr="0072600F" w:rsidR="002830E1">
        <w:rPr>
          <w:rFonts w:ascii="Times New Roman" w:hAnsi="Times New Roman" w:cs="Times New Roman"/>
          <w:sz w:val="26"/>
          <w:szCs w:val="26"/>
        </w:rPr>
        <w:t xml:space="preserve"> </w:t>
      </w:r>
      <w:r w:rsidRPr="0072600F" w:rsidR="002830E1">
        <w:rPr>
          <w:rFonts w:ascii="Times New Roman" w:hAnsi="Times New Roman" w:cs="Times New Roman"/>
          <w:i/>
          <w:iCs/>
          <w:sz w:val="26"/>
          <w:szCs w:val="26"/>
        </w:rPr>
        <w:t>the Affected System Study, Optional Interconnection Study, and Material Modification assessment,</w:t>
      </w:r>
      <w:r w:rsidRPr="0072600F">
        <w:rPr>
          <w:rFonts w:ascii="Times New Roman" w:hAnsi="Times New Roman" w:cs="Times New Roman"/>
          <w:i/>
          <w:iCs/>
          <w:sz w:val="26"/>
          <w:szCs w:val="26"/>
        </w:rPr>
        <w:t xml:space="preserve"> </w:t>
      </w:r>
      <w:r w:rsidRPr="0072600F">
        <w:rPr>
          <w:rFonts w:ascii="Times New Roman" w:hAnsi="Times New Roman" w:cs="Times New Roman"/>
          <w:sz w:val="26"/>
          <w:szCs w:val="26"/>
        </w:rPr>
        <w:t>described in</w:t>
      </w:r>
      <w:r w:rsidRPr="0072600F">
        <w:rPr>
          <w:rFonts w:ascii="Times New Roman" w:hAnsi="Times New Roman" w:cs="Times New Roman"/>
          <w:iCs/>
          <w:sz w:val="26"/>
          <w:szCs w:val="26"/>
        </w:rPr>
        <w:t xml:space="preserve"> this LGIP</w:t>
      </w:r>
      <w:r w:rsidRPr="0072600F">
        <w:rPr>
          <w:rFonts w:ascii="Times New Roman" w:hAnsi="Times New Roman" w:cs="Times New Roman"/>
          <w:sz w:val="26"/>
          <w:szCs w:val="26"/>
        </w:rPr>
        <w:t>.</w:t>
      </w:r>
    </w:p>
    <w:p w:rsidR="00911580" w:rsidRPr="0072600F" w14:paraId="37C4CE60"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IRS</w:t>
      </w:r>
      <w:r w:rsidRPr="0072600F">
        <w:rPr>
          <w:rFonts w:ascii="Times New Roman" w:hAnsi="Times New Roman" w:cs="Times New Roman"/>
          <w:sz w:val="26"/>
          <w:szCs w:val="26"/>
        </w:rPr>
        <w:t xml:space="preserve"> shall mean the Internal Revenue Service.</w:t>
      </w:r>
    </w:p>
    <w:p w:rsidR="00911580" w:rsidRPr="0072600F" w14:paraId="142E008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Joint Operating Committee</w:t>
      </w:r>
      <w:r w:rsidRPr="0072600F">
        <w:rPr>
          <w:rFonts w:ascii="Times New Roman" w:hAnsi="Times New Roman" w:cs="Times New Roman"/>
          <w:sz w:val="26"/>
          <w:szCs w:val="26"/>
        </w:rPr>
        <w:t xml:space="preserve"> shall be a group made up of representatives from Interconnection Customers and </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the</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coordinate operating and technical considerations of Interconnection Service.</w:t>
      </w:r>
    </w:p>
    <w:p w:rsidR="00911580" w:rsidRPr="0072600F" w14:paraId="43D64794"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Large Generating Facility</w:t>
      </w:r>
      <w:r w:rsidRPr="0072600F">
        <w:rPr>
          <w:rFonts w:ascii="Times New Roman" w:hAnsi="Times New Roman" w:cs="Times New Roman"/>
          <w:sz w:val="26"/>
          <w:szCs w:val="26"/>
        </w:rPr>
        <w:t xml:space="preserve"> shall mean a Generating Facility having a Generating Facility Capacity of more than 20 MW.</w:t>
      </w:r>
    </w:p>
    <w:p w:rsidR="00911580" w:rsidRPr="0072600F" w14:paraId="0E84D621"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LGIA Deposit</w:t>
      </w:r>
      <w:r w:rsidRPr="0072600F">
        <w:rPr>
          <w:rFonts w:ascii="Times New Roman" w:hAnsi="Times New Roman" w:cs="Times New Roman"/>
          <w:sz w:val="26"/>
          <w:szCs w:val="26"/>
        </w:rPr>
        <w:t xml:space="preserve"> shall mean the deposit Interconnection Customer submits when returning the executed LGIA, or within </w:t>
      </w:r>
      <w:r w:rsidRPr="0072600F" w:rsidR="004C249F">
        <w:rPr>
          <w:rFonts w:ascii="Times New Roman" w:hAnsi="Times New Roman" w:cs="Times New Roman"/>
          <w:i/>
          <w:iCs/>
          <w:sz w:val="26"/>
          <w:szCs w:val="26"/>
        </w:rPr>
        <w:t>ten (</w:t>
      </w:r>
      <w:r w:rsidRPr="0072600F">
        <w:rPr>
          <w:rFonts w:ascii="Times New Roman" w:hAnsi="Times New Roman" w:cs="Times New Roman"/>
          <w:sz w:val="26"/>
          <w:szCs w:val="26"/>
        </w:rPr>
        <w:t>10</w:t>
      </w:r>
      <w:r w:rsidRPr="0072600F" w:rsidR="004C249F">
        <w:rPr>
          <w:rFonts w:ascii="Times New Roman" w:hAnsi="Times New Roman" w:cs="Times New Roman"/>
          <w:i/>
          <w:iCs/>
          <w:sz w:val="26"/>
          <w:szCs w:val="26"/>
        </w:rPr>
        <w:t>)</w:t>
      </w:r>
      <w:r w:rsidRPr="0072600F">
        <w:rPr>
          <w:rFonts w:ascii="Times New Roman" w:hAnsi="Times New Roman" w:cs="Times New Roman"/>
          <w:sz w:val="26"/>
          <w:szCs w:val="26"/>
        </w:rPr>
        <w:t xml:space="preserve"> Business Days of requesting that the LGIA be filed unexecuted at the Commission, in accordance with Section 11.3 of this LGIP.</w:t>
      </w:r>
    </w:p>
    <w:p w:rsidR="00911580" w:rsidRPr="0072600F" w14:paraId="19176FE8"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Loss</w:t>
      </w:r>
      <w:r w:rsidRPr="0072600F">
        <w:rPr>
          <w:rFonts w:ascii="Times New Roman" w:hAnsi="Times New Roman" w:cs="Times New Roman"/>
          <w:sz w:val="26"/>
          <w:szCs w:val="26"/>
        </w:rPr>
        <w:t xml:space="preserve"> shall mean any and all losses relating to injury to or death of any person or damage to property, demand, suits, recoveries, costs and expenses, court costs, attorney fees, and all other obligations by or to third parties, arising out of or resulting from the other Party</w:t>
      </w:r>
      <w:r w:rsidRPr="0072600F" w:rsidR="0039794C">
        <w:rPr>
          <w:rFonts w:ascii="Times New Roman" w:hAnsi="Times New Roman" w:cs="Times New Roman"/>
          <w:sz w:val="26"/>
          <w:szCs w:val="26"/>
        </w:rPr>
        <w:t>’</w:t>
      </w:r>
      <w:r w:rsidRPr="0072600F">
        <w:rPr>
          <w:rFonts w:ascii="Times New Roman" w:hAnsi="Times New Roman" w:cs="Times New Roman"/>
          <w:sz w:val="26"/>
          <w:szCs w:val="26"/>
        </w:rPr>
        <w:t>s performance, or non-performance of its obligations under the Standard Large Generator Interconnection Agreement on behalf of the Indemnifying Party, except in cases of gross negligence or intentional wrongdoing by the  Indemnifying Party.</w:t>
      </w:r>
    </w:p>
    <w:p w:rsidR="00911580" w:rsidRPr="0072600F" w14:paraId="332CC86F"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Material Modification</w:t>
      </w:r>
      <w:r w:rsidRPr="0072600F">
        <w:rPr>
          <w:rFonts w:ascii="Times New Roman" w:hAnsi="Times New Roman" w:cs="Times New Roman"/>
          <w:sz w:val="26"/>
          <w:szCs w:val="26"/>
        </w:rPr>
        <w:t xml:space="preserve"> shall mean</w:t>
      </w:r>
      <w:r w:rsidRPr="0072600F">
        <w:rPr>
          <w:rFonts w:ascii="Times New Roman" w:hAnsi="Times New Roman" w:cs="Times New Roman"/>
          <w:i/>
          <w:iCs/>
          <w:sz w:val="26"/>
          <w:szCs w:val="26"/>
        </w:rPr>
        <w:t xml:space="preserve"> </w:t>
      </w:r>
      <w:r w:rsidRPr="0072600F">
        <w:rPr>
          <w:rFonts w:ascii="Times New Roman" w:hAnsi="Times New Roman" w:cs="Times New Roman"/>
          <w:sz w:val="26"/>
          <w:szCs w:val="26"/>
        </w:rPr>
        <w:t xml:space="preserve">those modifications that have a material impact on the cost or timing of any Interconnection Request with an equal or later </w:t>
      </w:r>
      <w:r w:rsidRPr="0072600F">
        <w:rPr>
          <w:rFonts w:ascii="Times New Roman" w:hAnsi="Times New Roman" w:cs="Times New Roman"/>
          <w:iCs/>
          <w:sz w:val="26"/>
          <w:szCs w:val="26"/>
        </w:rPr>
        <w:t>Queue Position</w:t>
      </w:r>
      <w:r w:rsidRPr="0072600F">
        <w:rPr>
          <w:rFonts w:ascii="Times New Roman" w:hAnsi="Times New Roman" w:cs="Times New Roman"/>
          <w:sz w:val="26"/>
          <w:szCs w:val="26"/>
        </w:rPr>
        <w:t>.</w:t>
      </w:r>
    </w:p>
    <w:p w:rsidR="00911580" w:rsidRPr="0072600F" w14:paraId="58122A28"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 xml:space="preserve">Metering Equipment </w:t>
      </w:r>
      <w:r w:rsidRPr="0072600F">
        <w:rPr>
          <w:rFonts w:ascii="Times New Roman" w:hAnsi="Times New Roman" w:cs="Times New Roman"/>
          <w:iCs/>
          <w:sz w:val="26"/>
          <w:szCs w:val="26"/>
        </w:rPr>
        <w:t>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rsidR="00911580" w:rsidRPr="0072600F" w14:paraId="4BE82695"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Multiparty Affected System Facilities Construction Agreement</w:t>
      </w:r>
      <w:r w:rsidRPr="0072600F">
        <w:rPr>
          <w:rFonts w:ascii="Times New Roman" w:hAnsi="Times New Roman" w:cs="Times New Roman"/>
          <w:iCs/>
          <w:sz w:val="26"/>
          <w:szCs w:val="26"/>
        </w:rPr>
        <w:t xml:space="preserve"> shall mean the agreement contained in Appendix 12 to this LGIP that is made among Transmission Provider and multiple Affected System Interconnection Customers to facilitate the construction of and to set forth cost responsibility for necessary Affected System Network Upgrades on Transmission Provider’s Transmission System.   </w:t>
      </w:r>
    </w:p>
    <w:p w:rsidR="00911580" w:rsidRPr="0072600F" w14:paraId="241D0B1B"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Multiparty Affected System Study Agreement</w:t>
      </w:r>
      <w:r w:rsidRPr="0072600F">
        <w:rPr>
          <w:rFonts w:ascii="Times New Roman" w:hAnsi="Times New Roman" w:cs="Times New Roman"/>
          <w:iCs/>
          <w:sz w:val="26"/>
          <w:szCs w:val="26"/>
        </w:rPr>
        <w:t xml:space="preserve"> shall mean the agreement contained in Appendix 10 to this LGIP that is made among Transmission Provider and multiple Affected System Interconnection Customers to conduct an Affected System Study pursuant to Section 9 of this LGIP.</w:t>
      </w:r>
    </w:p>
    <w:p w:rsidR="00911580" w:rsidRPr="0072600F" w14:paraId="093FD0A5"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Network Resource</w:t>
      </w:r>
      <w:r w:rsidRPr="0072600F">
        <w:rPr>
          <w:rFonts w:ascii="Times New Roman" w:hAnsi="Times New Roman" w:cs="Times New Roman"/>
          <w:iCs/>
          <w:sz w:val="26"/>
          <w:szCs w:val="26"/>
        </w:rPr>
        <w:t xml:space="preserve"> shall mean 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Customer's Network Load on a non-interruptible basis.</w:t>
      </w:r>
    </w:p>
    <w:p w:rsidR="00911580" w:rsidRPr="0072600F" w14:paraId="70340881"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 xml:space="preserve">Network Resource Interconnection Service </w:t>
      </w:r>
      <w:r w:rsidRPr="0072600F">
        <w:rPr>
          <w:rFonts w:ascii="Times New Roman" w:hAnsi="Times New Roman" w:cs="Times New Roman"/>
          <w:iCs/>
          <w:sz w:val="26"/>
          <w:szCs w:val="26"/>
        </w:rPr>
        <w:t xml:space="preserve">shall mean an Interconnection Service that allows </w:t>
      </w:r>
      <w:r w:rsidRPr="0072600F" w:rsidR="00835356">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835356">
        <w:rPr>
          <w:rFonts w:ascii="Times New Roman" w:hAnsi="Times New Roman" w:cs="Times New Roman"/>
          <w:iCs/>
          <w:sz w:val="26"/>
          <w:szCs w:val="26"/>
        </w:rPr>
        <w:t>]</w:t>
      </w:r>
      <w:r w:rsidRPr="0072600F">
        <w:rPr>
          <w:rFonts w:ascii="Times New Roman" w:hAnsi="Times New Roman" w:cs="Times New Roman"/>
          <w:iCs/>
          <w:sz w:val="26"/>
          <w:szCs w:val="26"/>
        </w:rPr>
        <w:t xml:space="preserve"> Interconnection Customer to integrate its Large Generating Facility with </w:t>
      </w:r>
      <w:r w:rsidRPr="0072600F" w:rsidR="0039794C">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39794C">
        <w:rPr>
          <w:rFonts w:ascii="Times New Roman" w:hAnsi="Times New Roman" w:cs="Times New Roman"/>
          <w:iCs/>
          <w:sz w:val="26"/>
          <w:szCs w:val="26"/>
        </w:rPr>
        <w:t>]</w:t>
      </w:r>
      <w:r w:rsidRPr="0072600F">
        <w:rPr>
          <w:rFonts w:ascii="Times New Roman" w:hAnsi="Times New Roman" w:cs="Times New Roman"/>
          <w:iCs/>
          <w:sz w:val="26"/>
          <w:szCs w:val="26"/>
        </w:rPr>
        <w:t xml:space="preserve"> </w:t>
      </w:r>
      <w:r w:rsidRPr="0072600F" w:rsidR="00BD11B3">
        <w:rPr>
          <w:rFonts w:ascii="Times New Roman" w:hAnsi="Times New Roman" w:cs="Times New Roman"/>
          <w:iCs/>
          <w:sz w:val="26"/>
          <w:szCs w:val="26"/>
        </w:rPr>
        <w:t>Transmission Provider’s</w:t>
      </w:r>
      <w:r w:rsidRPr="0072600F">
        <w:rPr>
          <w:rFonts w:ascii="Times New Roman" w:hAnsi="Times New Roman" w:cs="Times New Roman"/>
          <w:iCs/>
          <w:sz w:val="26"/>
          <w:szCs w:val="26"/>
        </w:rPr>
        <w:t xml:space="preserve"> Transmission System (1) in a manner comparable to that in which </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 xml:space="preserve"> Transmission Provider integrates its generating facilities to serve native load customers; or (2) in an RTO or ISO with market based congestion management, in the same manner as Network Resources.  Network Resource Interconnection Service in and of itself does not convey transmission service.</w:t>
      </w:r>
    </w:p>
    <w:p w:rsidR="00911580" w:rsidRPr="0072600F" w14:paraId="17373068" w14:textId="77777777">
      <w:pPr>
        <w:ind w:firstLine="720"/>
        <w:rPr>
          <w:rFonts w:ascii="Times New Roman" w:hAnsi="Times New Roman" w:cs="Times New Roman"/>
          <w:iCs/>
          <w:sz w:val="26"/>
          <w:szCs w:val="26"/>
        </w:rPr>
      </w:pPr>
      <w:r w:rsidRPr="0072600F">
        <w:rPr>
          <w:rFonts w:ascii="Times New Roman" w:hAnsi="Times New Roman" w:cs="Times New Roman"/>
          <w:iCs/>
          <w:sz w:val="26"/>
          <w:szCs w:val="26"/>
        </w:rPr>
        <w:t xml:space="preserve"> </w:t>
      </w:r>
      <w:r w:rsidRPr="0072600F">
        <w:rPr>
          <w:rFonts w:ascii="Times New Roman" w:hAnsi="Times New Roman" w:cs="Times New Roman"/>
          <w:b/>
          <w:bCs/>
          <w:iCs/>
          <w:sz w:val="26"/>
          <w:szCs w:val="26"/>
        </w:rPr>
        <w:t>Network Upgrades</w:t>
      </w:r>
      <w:r w:rsidRPr="0072600F">
        <w:rPr>
          <w:rFonts w:ascii="Times New Roman" w:hAnsi="Times New Roman" w:cs="Times New Roman"/>
          <w:iCs/>
          <w:sz w:val="26"/>
          <w:szCs w:val="26"/>
        </w:rPr>
        <w:t xml:space="preserve"> shall mean the additions, modifications, and upgrades to </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 xml:space="preserve"> </w:t>
      </w:r>
      <w:r w:rsidRPr="0072600F" w:rsidR="00BD11B3">
        <w:rPr>
          <w:rFonts w:ascii="Times New Roman" w:hAnsi="Times New Roman" w:cs="Times New Roman"/>
          <w:iCs/>
          <w:sz w:val="26"/>
          <w:szCs w:val="26"/>
        </w:rPr>
        <w:t>Transmission Provider’s</w:t>
      </w:r>
      <w:r w:rsidRPr="0072600F">
        <w:rPr>
          <w:rFonts w:ascii="Times New Roman" w:hAnsi="Times New Roman" w:cs="Times New Roman"/>
          <w:iCs/>
          <w:sz w:val="26"/>
          <w:szCs w:val="26"/>
        </w:rPr>
        <w:t xml:space="preserve"> Transmission System required at or beyond the point at which the Interconnection Facilities connect to </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 xml:space="preserve"> </w:t>
      </w:r>
      <w:r w:rsidRPr="0072600F" w:rsidR="00BD11B3">
        <w:rPr>
          <w:rFonts w:ascii="Times New Roman" w:hAnsi="Times New Roman" w:cs="Times New Roman"/>
          <w:iCs/>
          <w:sz w:val="26"/>
          <w:szCs w:val="26"/>
        </w:rPr>
        <w:t>Transmission Provider’s</w:t>
      </w:r>
      <w:r w:rsidRPr="0072600F">
        <w:rPr>
          <w:rFonts w:ascii="Times New Roman" w:hAnsi="Times New Roman" w:cs="Times New Roman"/>
          <w:iCs/>
          <w:sz w:val="26"/>
          <w:szCs w:val="26"/>
        </w:rPr>
        <w:t xml:space="preserve"> Transmission System to accommodate the interconnection of the Large Generating Facility to </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F8713A">
        <w:rPr>
          <w:rFonts w:ascii="Times New Roman" w:hAnsi="Times New Roman" w:cs="Times New Roman"/>
          <w:iCs/>
          <w:sz w:val="26"/>
          <w:szCs w:val="26"/>
        </w:rPr>
        <w:t>]</w:t>
      </w:r>
      <w:r w:rsidRPr="0072600F">
        <w:rPr>
          <w:rFonts w:ascii="Times New Roman" w:hAnsi="Times New Roman" w:cs="Times New Roman"/>
          <w:iCs/>
          <w:sz w:val="26"/>
          <w:szCs w:val="26"/>
        </w:rPr>
        <w:t xml:space="preserve"> </w:t>
      </w:r>
      <w:r w:rsidRPr="0072600F" w:rsidR="00BD11B3">
        <w:rPr>
          <w:rFonts w:ascii="Times New Roman" w:hAnsi="Times New Roman" w:cs="Times New Roman"/>
          <w:iCs/>
          <w:sz w:val="26"/>
          <w:szCs w:val="26"/>
        </w:rPr>
        <w:t>Transmission Provider’s</w:t>
      </w:r>
      <w:r w:rsidRPr="0072600F">
        <w:rPr>
          <w:rFonts w:ascii="Times New Roman" w:hAnsi="Times New Roman" w:cs="Times New Roman"/>
          <w:iCs/>
          <w:sz w:val="26"/>
          <w:szCs w:val="26"/>
        </w:rPr>
        <w:t xml:space="preserve"> Transmission System.</w:t>
      </w:r>
    </w:p>
    <w:p w:rsidR="00911580" w:rsidRPr="0072600F" w14:paraId="3B48BCDB"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Notice of Dispute</w:t>
      </w:r>
      <w:r w:rsidRPr="0072600F">
        <w:rPr>
          <w:rFonts w:ascii="Times New Roman" w:hAnsi="Times New Roman" w:cs="Times New Roman"/>
          <w:iCs/>
          <w:sz w:val="26"/>
          <w:szCs w:val="26"/>
        </w:rPr>
        <w:t xml:space="preserve"> shall mean a written notice of a dispute or claim that arises out of or in connection with the Standard Large Generator Interconnection Agreement or its performance.</w:t>
      </w:r>
    </w:p>
    <w:p w:rsidR="00911580" w:rsidRPr="0072600F" w14:paraId="7081E470"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Optional Interconnection Study</w:t>
      </w:r>
      <w:r w:rsidRPr="0072600F">
        <w:rPr>
          <w:rFonts w:ascii="Times New Roman" w:hAnsi="Times New Roman" w:cs="Times New Roman"/>
          <w:iCs/>
          <w:sz w:val="26"/>
          <w:szCs w:val="26"/>
        </w:rPr>
        <w:t xml:space="preserve"> shall mean a sensitivity analysis based on assumptions specified by </w:t>
      </w:r>
      <w:r w:rsidRPr="0072600F" w:rsidR="00835356">
        <w:rPr>
          <w:rFonts w:ascii="Times New Roman" w:hAnsi="Times New Roman" w:cs="Times New Roman"/>
          <w:iCs/>
          <w:sz w:val="26"/>
          <w:szCs w:val="26"/>
        </w:rPr>
        <w:t>[</w:t>
      </w:r>
      <w:r w:rsidRPr="0072600F">
        <w:rPr>
          <w:rFonts w:ascii="Times New Roman" w:hAnsi="Times New Roman" w:cs="Times New Roman"/>
          <w:iCs/>
          <w:sz w:val="26"/>
          <w:szCs w:val="26"/>
        </w:rPr>
        <w:t>the</w:t>
      </w:r>
      <w:r w:rsidRPr="0072600F" w:rsidR="00835356">
        <w:rPr>
          <w:rFonts w:ascii="Times New Roman" w:hAnsi="Times New Roman" w:cs="Times New Roman"/>
          <w:iCs/>
          <w:sz w:val="26"/>
          <w:szCs w:val="26"/>
        </w:rPr>
        <w:t>]</w:t>
      </w:r>
      <w:r w:rsidRPr="0072600F">
        <w:rPr>
          <w:rFonts w:ascii="Times New Roman" w:hAnsi="Times New Roman" w:cs="Times New Roman"/>
          <w:iCs/>
          <w:sz w:val="26"/>
          <w:szCs w:val="26"/>
        </w:rPr>
        <w:t xml:space="preserve"> Interconnection Customer in the Optional Interconnection Study Agreement.</w:t>
      </w:r>
    </w:p>
    <w:p w:rsidR="00911580" w:rsidRPr="0072600F" w14:paraId="42259672" w14:textId="77777777">
      <w:pPr>
        <w:ind w:firstLine="720"/>
        <w:rPr>
          <w:rFonts w:ascii="Times New Roman" w:hAnsi="Times New Roman" w:cs="Times New Roman"/>
          <w:iCs/>
          <w:sz w:val="26"/>
          <w:szCs w:val="26"/>
        </w:rPr>
      </w:pPr>
      <w:r w:rsidRPr="0072600F">
        <w:rPr>
          <w:rFonts w:ascii="Times New Roman" w:hAnsi="Times New Roman" w:cs="Times New Roman"/>
          <w:b/>
          <w:bCs/>
          <w:iCs/>
          <w:sz w:val="26"/>
          <w:szCs w:val="26"/>
        </w:rPr>
        <w:t>Optional Interconnection Study Agreement</w:t>
      </w:r>
      <w:r w:rsidRPr="0072600F">
        <w:rPr>
          <w:rFonts w:ascii="Times New Roman" w:hAnsi="Times New Roman" w:cs="Times New Roman"/>
          <w:iCs/>
          <w:sz w:val="26"/>
          <w:szCs w:val="26"/>
        </w:rPr>
        <w:t xml:space="preserve"> shall mean the form of agreement contained in Appendix 4 of this LGIP for conducting the Optional Interconnection Study.</w:t>
      </w:r>
    </w:p>
    <w:p w:rsidR="00911580" w:rsidRPr="0072600F" w14:paraId="370973B3"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Party or Parties</w:t>
      </w:r>
      <w:r w:rsidRPr="0072600F">
        <w:rPr>
          <w:rFonts w:ascii="Times New Roman" w:hAnsi="Times New Roman" w:cs="Times New Roman"/>
          <w:sz w:val="26"/>
          <w:szCs w:val="26"/>
        </w:rPr>
        <w:t xml:space="preserve"> shall mean Transmission Provider, Transmission Owner, Interconnection Customer or any combination of the above.</w:t>
      </w:r>
    </w:p>
    <w:p w:rsidR="00911580" w:rsidRPr="0072600F" w14:paraId="00A85D2B"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Permissible Technological Advancement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inserts definition here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911580" w:rsidRPr="0072600F" w14:paraId="560AE481"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Point of Change of Ownership</w:t>
      </w:r>
      <w:r w:rsidRPr="0072600F">
        <w:rPr>
          <w:rFonts w:ascii="Times New Roman" w:hAnsi="Times New Roman" w:cs="Times New Roman"/>
          <w:sz w:val="26"/>
          <w:szCs w:val="26"/>
        </w:rPr>
        <w:t xml:space="preserve"> shall mean the point, as set forth in Appendix A to the Standard Large Generator Interconnection Agreement, where </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the</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Interconnection Facilities connect to </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the</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w:t>
      </w:r>
    </w:p>
    <w:p w:rsidR="00911580" w:rsidRPr="0072600F" w14:paraId="7AED174E"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Point of Interconnection</w:t>
      </w:r>
      <w:r w:rsidRPr="0072600F">
        <w:rPr>
          <w:rFonts w:ascii="Times New Roman" w:hAnsi="Times New Roman" w:cs="Times New Roman"/>
          <w:sz w:val="26"/>
          <w:szCs w:val="26"/>
        </w:rPr>
        <w:t xml:space="preserve"> shall mean the point, as set forth in Appendix A to the Standard Large Generator Interconnection Agreement, where the Interconnection Facilities connect to </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the</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911580" w:rsidRPr="0072600F" w14:paraId="74A40CF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Proportional Impact Method</w:t>
      </w:r>
      <w:r w:rsidRPr="0072600F">
        <w:rPr>
          <w:rFonts w:ascii="Times New Roman" w:hAnsi="Times New Roman" w:cs="Times New Roman"/>
          <w:sz w:val="26"/>
          <w:szCs w:val="26"/>
        </w:rPr>
        <w:t xml:space="preserve"> shall mean a technical analysis conducted by Transmission Provider to determine the degree to which each Generating Facility in the Cluster Study contributes to the need for a specific System Network Upgrade.</w:t>
      </w:r>
    </w:p>
    <w:p w:rsidR="00911580" w:rsidRPr="0072600F" w14:paraId="54921C7F"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Provisional Interconnection Service </w:t>
      </w:r>
      <w:r w:rsidRPr="0072600F">
        <w:rPr>
          <w:rFonts w:ascii="Times New Roman" w:hAnsi="Times New Roman" w:cs="Times New Roman"/>
          <w:sz w:val="26"/>
          <w:szCs w:val="26"/>
        </w:rPr>
        <w:t xml:space="preserve">shall mean Interconnection Service provided by Transmission Provider associated with interconnecting </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the</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Generating Facility to Transmission Provider’s Transmission System and enabling that Transmission System to receive electric energy and capacity from the Generating Facility at the Point of Interconnection, pursuant to the terms of the Provisional Large Generator Interconnection Agreement and, if applicable, the Tariff. </w:t>
      </w:r>
    </w:p>
    <w:p w:rsidR="00911580" w:rsidRPr="0072600F" w14:paraId="045C19F8"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Provisional Large Generator Interconnection Agreement </w:t>
      </w:r>
      <w:r w:rsidRPr="0072600F">
        <w:rPr>
          <w:rFonts w:ascii="Times New Roman" w:hAnsi="Times New Roman" w:cs="Times New Roman"/>
          <w:sz w:val="26"/>
          <w:szCs w:val="26"/>
        </w:rPr>
        <w:t xml:space="preserve">shall mean the interconnection agreement for Provisional Interconnection Service established between Transmission Provider and/or </w:t>
      </w:r>
      <w:r w:rsidRPr="0072600F" w:rsidR="202D3F62">
        <w:rPr>
          <w:rFonts w:ascii="Times New Roman" w:hAnsi="Times New Roman" w:cs="Times New Roman"/>
          <w:sz w:val="26"/>
          <w:szCs w:val="26"/>
        </w:rPr>
        <w:t>[</w:t>
      </w:r>
      <w:r w:rsidRPr="0072600F">
        <w:rPr>
          <w:rFonts w:ascii="Times New Roman" w:hAnsi="Times New Roman" w:cs="Times New Roman"/>
          <w:sz w:val="26"/>
          <w:szCs w:val="26"/>
        </w:rPr>
        <w:t>the</w:t>
      </w:r>
      <w:r w:rsidRPr="0072600F" w:rsidR="72D35BA4">
        <w:rPr>
          <w:rFonts w:ascii="Times New Roman" w:hAnsi="Times New Roman" w:cs="Times New Roman"/>
          <w:sz w:val="26"/>
          <w:szCs w:val="26"/>
        </w:rPr>
        <w:t>]</w:t>
      </w:r>
      <w:r w:rsidRPr="0072600F">
        <w:rPr>
          <w:rFonts w:ascii="Times New Roman" w:hAnsi="Times New Roman" w:cs="Times New Roman"/>
          <w:sz w:val="26"/>
          <w:szCs w:val="26"/>
        </w:rPr>
        <w:t xml:space="preserve"> Transmission Owner and </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the</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This agreement shall take the form of the </w:t>
      </w:r>
      <w:r w:rsidRPr="0072600F" w:rsidR="00DD78F3">
        <w:rPr>
          <w:rFonts w:ascii="Times New Roman" w:hAnsi="Times New Roman" w:cs="Times New Roman"/>
          <w:i/>
          <w:iCs/>
          <w:sz w:val="26"/>
          <w:szCs w:val="26"/>
        </w:rPr>
        <w:t xml:space="preserve">Standard </w:t>
      </w:r>
      <w:r w:rsidRPr="0072600F">
        <w:rPr>
          <w:rFonts w:ascii="Times New Roman" w:hAnsi="Times New Roman" w:cs="Times New Roman"/>
          <w:sz w:val="26"/>
          <w:szCs w:val="26"/>
        </w:rPr>
        <w:t xml:space="preserve">Large Generator Interconnection Agreement, modified for provisional purposes. </w:t>
      </w:r>
    </w:p>
    <w:p w:rsidR="00911580" w:rsidRPr="0072600F" w14:paraId="5C5CECCC" w14:textId="77777777">
      <w:pPr>
        <w:ind w:firstLine="720"/>
        <w:rPr>
          <w:rFonts w:ascii="Times New Roman" w:hAnsi="Times New Roman" w:cs="Times New Roman"/>
          <w:i/>
          <w:sz w:val="26"/>
          <w:szCs w:val="26"/>
        </w:rPr>
      </w:pPr>
      <w:r w:rsidRPr="0072600F">
        <w:rPr>
          <w:rFonts w:ascii="Times New Roman" w:hAnsi="Times New Roman" w:cs="Times New Roman"/>
          <w:b/>
          <w:bCs/>
          <w:sz w:val="26"/>
          <w:szCs w:val="26"/>
        </w:rPr>
        <w:t xml:space="preserve">Queue Position </w:t>
      </w:r>
      <w:r w:rsidRPr="0072600F">
        <w:rPr>
          <w:rFonts w:ascii="Times New Roman" w:hAnsi="Times New Roman" w:cs="Times New Roman"/>
          <w:sz w:val="26"/>
          <w:szCs w:val="26"/>
        </w:rPr>
        <w:t xml:space="preserve">shall mean the order of a valid Interconnection Request, relative to all other pending valid Interconnection Requests, established pursuant to Section 4.1 of this LGIP. </w:t>
      </w:r>
    </w:p>
    <w:p w:rsidR="00911580" w:rsidRPr="0072600F" w14:paraId="73F546AB" w14:textId="77777777">
      <w:pPr>
        <w:ind w:firstLine="720"/>
        <w:rPr>
          <w:rFonts w:ascii="Times New Roman" w:hAnsi="Times New Roman" w:cs="Times New Roman"/>
          <w:i/>
          <w:sz w:val="26"/>
          <w:szCs w:val="26"/>
        </w:rPr>
      </w:pPr>
      <w:r w:rsidRPr="0072600F">
        <w:rPr>
          <w:rFonts w:ascii="Times New Roman" w:hAnsi="Times New Roman" w:cs="Times New Roman"/>
          <w:b/>
          <w:bCs/>
          <w:sz w:val="26"/>
          <w:szCs w:val="26"/>
        </w:rPr>
        <w:t>Reasonable Efforts</w:t>
      </w:r>
      <w:r w:rsidRPr="0072600F">
        <w:rPr>
          <w:rFonts w:ascii="Times New Roman" w:hAnsi="Times New Roman" w:cs="Times New Roman"/>
          <w:sz w:val="26"/>
          <w:szCs w:val="26"/>
        </w:rPr>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  </w:t>
      </w:r>
    </w:p>
    <w:p w:rsidR="00911580" w:rsidRPr="0072600F" w14:paraId="23A4F1ED"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Scoping Meeting </w:t>
      </w:r>
      <w:r w:rsidRPr="0072600F">
        <w:rPr>
          <w:rFonts w:ascii="Times New Roman" w:hAnsi="Times New Roman" w:cs="Times New Roman"/>
          <w:sz w:val="26"/>
          <w:szCs w:val="26"/>
        </w:rPr>
        <w:t>shall mean the meeting between representatives of Interconnection Customer</w:t>
      </w:r>
      <w:r w:rsidRPr="0072600F">
        <w:rPr>
          <w:rFonts w:ascii="Times New Roman" w:hAnsi="Times New Roman" w:cs="Times New Roman"/>
          <w:iCs/>
          <w:sz w:val="26"/>
          <w:szCs w:val="26"/>
        </w:rPr>
        <w:t>(s)</w:t>
      </w:r>
      <w:r w:rsidRPr="0072600F">
        <w:rPr>
          <w:rFonts w:ascii="Times New Roman" w:hAnsi="Times New Roman" w:cs="Times New Roman"/>
          <w:sz w:val="26"/>
          <w:szCs w:val="26"/>
        </w:rPr>
        <w:t xml:space="preserve"> and Transmission Provider conducted for the purpose of discussing </w:t>
      </w:r>
      <w:r w:rsidRPr="0072600F">
        <w:rPr>
          <w:rFonts w:ascii="Times New Roman" w:hAnsi="Times New Roman" w:cs="Times New Roman"/>
          <w:iCs/>
          <w:sz w:val="26"/>
          <w:szCs w:val="26"/>
        </w:rPr>
        <w:t>the proposed Interconnection Request and any</w:t>
      </w:r>
      <w:r w:rsidRPr="0072600F">
        <w:rPr>
          <w:rFonts w:ascii="Times New Roman" w:hAnsi="Times New Roman" w:cs="Times New Roman"/>
          <w:sz w:val="26"/>
          <w:szCs w:val="26"/>
        </w:rPr>
        <w:t xml:space="preserve"> alternative interconnection options, exchanging information including any transmission data and earlier study evaluations that would be reasonably expected to impact such interconnection options, </w:t>
      </w:r>
      <w:r w:rsidRPr="0072600F">
        <w:rPr>
          <w:rFonts w:ascii="Times New Roman" w:hAnsi="Times New Roman" w:cs="Times New Roman"/>
          <w:iCs/>
          <w:sz w:val="26"/>
          <w:szCs w:val="26"/>
        </w:rPr>
        <w:t>refining information and models provided by Interconnection Customer(s), discussing the Cluster Study materials posted to OASIS pursuant to Section 3.5 of this LGIP, and</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analyzing such information.</w:t>
      </w:r>
    </w:p>
    <w:p w:rsidR="00911580" w:rsidRPr="0072600F" w14:paraId="09E1E8D8" w14:textId="77777777">
      <w:pPr>
        <w:ind w:firstLine="720"/>
        <w:rPr>
          <w:rFonts w:ascii="Times New Roman" w:hAnsi="Times New Roman" w:cs="Times New Roman"/>
          <w:i/>
          <w:iCs/>
          <w:sz w:val="26"/>
          <w:szCs w:val="26"/>
        </w:rPr>
      </w:pPr>
      <w:bookmarkStart w:id="169" w:name="_Hlk137807716"/>
      <w:r w:rsidRPr="0072600F">
        <w:rPr>
          <w:rFonts w:ascii="Times New Roman" w:hAnsi="Times New Roman" w:cs="Times New Roman"/>
          <w:b/>
          <w:iCs/>
          <w:sz w:val="26"/>
          <w:szCs w:val="26"/>
        </w:rPr>
        <w:t xml:space="preserve">Site Control </w:t>
      </w:r>
      <w:r w:rsidRPr="0072600F">
        <w:rPr>
          <w:rFonts w:ascii="Times New Roman" w:hAnsi="Times New Roman" w:cs="Times New Roman"/>
          <w:sz w:val="26"/>
          <w:szCs w:val="26"/>
        </w:rPr>
        <w:t>shall mean</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the exclusive land right to develop, construct, operate, and maintain the Generating Facility over the term of expected operation of the Generating Facility.  Site Control may be demonstrated by documentation establishing:   (1) ownership of, a leasehold interest in, or a right to develop a site of sufficient size to construct and operate</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the Generating Facility</w:t>
      </w:r>
      <w:r w:rsidRPr="0072600F">
        <w:rPr>
          <w:rFonts w:ascii="Times New Roman" w:hAnsi="Times New Roman" w:cs="Times New Roman"/>
          <w:iCs/>
          <w:sz w:val="26"/>
          <w:szCs w:val="26"/>
        </w:rPr>
        <w:t>;</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(2) an option to purchase or acquire a leasehold</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 xml:space="preserve">site </w:t>
      </w:r>
      <w:r w:rsidRPr="0072600F">
        <w:rPr>
          <w:rFonts w:ascii="Times New Roman" w:hAnsi="Times New Roman" w:cs="Times New Roman"/>
          <w:iCs/>
          <w:sz w:val="26"/>
          <w:szCs w:val="26"/>
        </w:rPr>
        <w:t>of sufficient size to construct and operate the Generating Facility</w:t>
      </w:r>
      <w:r w:rsidRPr="0072600F">
        <w:rPr>
          <w:rFonts w:ascii="Times New Roman" w:hAnsi="Times New Roman" w:cs="Times New Roman"/>
          <w:sz w:val="26"/>
          <w:szCs w:val="26"/>
        </w:rPr>
        <w:t xml:space="preserve">; or (3)  any other documentation that clearly demonstrates the right of Interconnection Customer to exclusively occupy a site of sufficient size to construct and operate the Generating Facility.  Transmission Provider will maintain acreage requirements for each Generating Facility type on its OASIS or public website. </w:t>
      </w:r>
      <w:r w:rsidRPr="0072600F">
        <w:rPr>
          <w:rFonts w:ascii="Times New Roman" w:hAnsi="Times New Roman" w:cs="Times New Roman"/>
          <w:i/>
          <w:sz w:val="26"/>
          <w:szCs w:val="26"/>
        </w:rPr>
        <w:t xml:space="preserve">  </w:t>
      </w:r>
      <w:bookmarkEnd w:id="169"/>
    </w:p>
    <w:p w:rsidR="00911580" w:rsidRPr="0072600F" w14:paraId="3AAE4E7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Small Generating Facility</w:t>
      </w:r>
      <w:r w:rsidRPr="0072600F">
        <w:rPr>
          <w:rFonts w:ascii="Times New Roman" w:hAnsi="Times New Roman" w:cs="Times New Roman"/>
          <w:sz w:val="26"/>
          <w:szCs w:val="26"/>
        </w:rPr>
        <w:t xml:space="preserve"> shall mean a Generating Facility that has a Generating Facility Capacity of no more than 20 MW.</w:t>
      </w:r>
    </w:p>
    <w:p w:rsidR="00911580" w:rsidRPr="0072600F" w14:paraId="4C059E5F" w14:textId="77777777">
      <w:pPr>
        <w:ind w:firstLine="720"/>
        <w:rPr>
          <w:rFonts w:ascii="Times New Roman" w:hAnsi="Times New Roman" w:cs="Times New Roman"/>
          <w:bCs/>
          <w:sz w:val="26"/>
          <w:szCs w:val="26"/>
        </w:rPr>
      </w:pPr>
      <w:r w:rsidRPr="0072600F">
        <w:rPr>
          <w:rFonts w:ascii="Times New Roman" w:hAnsi="Times New Roman" w:cs="Times New Roman"/>
          <w:b/>
          <w:sz w:val="26"/>
          <w:szCs w:val="26"/>
        </w:rPr>
        <w:t>Stand Alone Network Upgrades</w:t>
      </w:r>
      <w:r w:rsidRPr="0072600F">
        <w:rPr>
          <w:rFonts w:ascii="Times New Roman" w:hAnsi="Times New Roman" w:cs="Times New Roman"/>
          <w:bCs/>
          <w:sz w:val="26"/>
          <w:szCs w:val="26"/>
        </w:rPr>
        <w:t xml:space="preserve"> shall mean Network Upgrades that are not part of an Affected System that </w:t>
      </w:r>
      <w:r w:rsidRPr="0072600F" w:rsidR="00DD78F3">
        <w:rPr>
          <w:rFonts w:ascii="Times New Roman" w:hAnsi="Times New Roman" w:cs="Times New Roman"/>
          <w:bCs/>
          <w:sz w:val="26"/>
          <w:szCs w:val="26"/>
        </w:rPr>
        <w:t>[</w:t>
      </w:r>
      <w:r w:rsidRPr="0072600F">
        <w:rPr>
          <w:rFonts w:ascii="Times New Roman" w:hAnsi="Times New Roman" w:cs="Times New Roman"/>
          <w:bCs/>
          <w:sz w:val="26"/>
          <w:szCs w:val="26"/>
        </w:rPr>
        <w:t>an</w:t>
      </w:r>
      <w:r w:rsidRPr="0072600F" w:rsidR="00DD78F3">
        <w:rPr>
          <w:rFonts w:ascii="Times New Roman" w:hAnsi="Times New Roman" w:cs="Times New Roman"/>
          <w:bCs/>
          <w:sz w:val="26"/>
          <w:szCs w:val="26"/>
        </w:rPr>
        <w:t>]</w:t>
      </w:r>
      <w:r w:rsidRPr="0072600F">
        <w:rPr>
          <w:rFonts w:ascii="Times New Roman" w:hAnsi="Times New Roman" w:cs="Times New Roman"/>
          <w:bCs/>
          <w:sz w:val="26"/>
          <w:szCs w:val="26"/>
        </w:rPr>
        <w:t xml:space="preserve"> Interconnection Customer may construct without affecting day-to-day operations of the Transmission System during their construction </w:t>
      </w:r>
      <w:r w:rsidRPr="0072600F" w:rsidR="00F23978">
        <w:rPr>
          <w:rFonts w:ascii="Times New Roman" w:hAnsi="Times New Roman" w:cs="Times New Roman"/>
          <w:bCs/>
          <w:sz w:val="26"/>
          <w:szCs w:val="26"/>
        </w:rPr>
        <w:t>[</w:t>
      </w:r>
      <w:r w:rsidRPr="0072600F">
        <w:rPr>
          <w:rFonts w:ascii="Times New Roman" w:hAnsi="Times New Roman" w:cs="Times New Roman"/>
          <w:bCs/>
          <w:sz w:val="26"/>
          <w:szCs w:val="26"/>
        </w:rPr>
        <w:t>and</w:t>
      </w:r>
      <w:r w:rsidRPr="0072600F">
        <w:rPr>
          <w:rFonts w:ascii="Times New Roman" w:hAnsi="Times New Roman" w:cs="Times New Roman"/>
          <w:sz w:val="26"/>
          <w:szCs w:val="26"/>
        </w:rPr>
        <w:t xml:space="preserve"> the following conditions are met: </w:t>
      </w:r>
      <w:r w:rsidRPr="0072600F" w:rsidR="00CD11CD">
        <w:rPr>
          <w:rFonts w:ascii="Times New Roman" w:hAnsi="Times New Roman" w:cs="Times New Roman"/>
          <w:sz w:val="26"/>
          <w:szCs w:val="26"/>
        </w:rPr>
        <w:t xml:space="preserve"> </w:t>
      </w:r>
      <w:r w:rsidRPr="0072600F">
        <w:rPr>
          <w:rFonts w:ascii="Times New Roman" w:hAnsi="Times New Roman" w:cs="Times New Roman"/>
          <w:sz w:val="26"/>
          <w:szCs w:val="26"/>
        </w:rPr>
        <w:t xml:space="preserve">(1) a Substation Network Upgrade must only be required for a single Interconnection Customer in the Cluster </w:t>
      </w:r>
      <w:bookmarkStart w:id="170" w:name="_Hlk139621093"/>
      <w:r w:rsidRPr="0072600F">
        <w:rPr>
          <w:rFonts w:ascii="Times New Roman" w:hAnsi="Times New Roman" w:cs="Times New Roman"/>
          <w:sz w:val="26"/>
          <w:szCs w:val="26"/>
        </w:rPr>
        <w:t>and no other Interconnection Customer in that Cluster is required to interconnect to the same Substation Network Upgrades</w:t>
      </w:r>
      <w:bookmarkEnd w:id="170"/>
      <w:r w:rsidRPr="0072600F">
        <w:rPr>
          <w:rFonts w:ascii="Times New Roman" w:hAnsi="Times New Roman" w:cs="Times New Roman"/>
          <w:sz w:val="26"/>
          <w:szCs w:val="26"/>
        </w:rPr>
        <w:t xml:space="preserve">, and (2) a System Network Upgrade must </w:t>
      </w:r>
      <w:r w:rsidRPr="0072600F">
        <w:rPr>
          <w:rFonts w:ascii="Times New Roman" w:hAnsi="Times New Roman" w:cs="Times New Roman"/>
          <w:bCs/>
          <w:sz w:val="26"/>
          <w:szCs w:val="26"/>
        </w:rPr>
        <w:t xml:space="preserve">only </w:t>
      </w:r>
      <w:r w:rsidRPr="0072600F">
        <w:rPr>
          <w:rFonts w:ascii="Times New Roman" w:hAnsi="Times New Roman" w:cs="Times New Roman"/>
          <w:sz w:val="26"/>
          <w:szCs w:val="26"/>
        </w:rPr>
        <w:t>be</w:t>
      </w:r>
      <w:r w:rsidRPr="0072600F">
        <w:rPr>
          <w:rFonts w:ascii="Times New Roman" w:hAnsi="Times New Roman" w:cs="Times New Roman"/>
          <w:bCs/>
          <w:sz w:val="26"/>
          <w:szCs w:val="26"/>
        </w:rPr>
        <w:t xml:space="preserve"> required for a single Interconnection Customer </w:t>
      </w:r>
      <w:r w:rsidRPr="0072600F">
        <w:rPr>
          <w:rFonts w:ascii="Times New Roman" w:hAnsi="Times New Roman" w:cs="Times New Roman"/>
          <w:sz w:val="26"/>
          <w:szCs w:val="26"/>
        </w:rPr>
        <w:t>in the Cluster,</w:t>
      </w:r>
      <w:r w:rsidRPr="0072600F">
        <w:rPr>
          <w:rFonts w:ascii="Times New Roman" w:hAnsi="Times New Roman" w:cs="Times New Roman"/>
          <w:sz w:val="26"/>
          <w:szCs w:val="26"/>
        </w:rPr>
        <w:t xml:space="preserve"> as</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indicated</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 xml:space="preserve">under </w:t>
      </w:r>
      <w:r w:rsidRPr="0072600F">
        <w:rPr>
          <w:rFonts w:ascii="Times New Roman" w:hAnsi="Times New Roman" w:cs="Times New Roman"/>
          <w:sz w:val="26"/>
          <w:szCs w:val="26"/>
        </w:rPr>
        <w:t>the Transmission Provider’s</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P</w:t>
      </w:r>
      <w:r w:rsidRPr="0072600F">
        <w:rPr>
          <w:rFonts w:ascii="Times New Roman" w:hAnsi="Times New Roman" w:cs="Times New Roman"/>
          <w:sz w:val="26"/>
          <w:szCs w:val="26"/>
        </w:rPr>
        <w:t xml:space="preserve">roportional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mpact </w:t>
      </w:r>
      <w:r w:rsidRPr="0072600F">
        <w:rPr>
          <w:rFonts w:ascii="Times New Roman" w:hAnsi="Times New Roman" w:cs="Times New Roman"/>
          <w:sz w:val="26"/>
          <w:szCs w:val="26"/>
        </w:rPr>
        <w:t>Method</w:t>
      </w:r>
      <w:r w:rsidRPr="0072600F" w:rsidR="00F23978">
        <w:rPr>
          <w:rFonts w:ascii="Times New Roman" w:hAnsi="Times New Roman" w:cs="Times New Roman"/>
          <w:sz w:val="26"/>
          <w:szCs w:val="26"/>
        </w:rPr>
        <w:t>]</w:t>
      </w:r>
      <w:r w:rsidRPr="0072600F">
        <w:rPr>
          <w:rFonts w:ascii="Times New Roman" w:hAnsi="Times New Roman" w:cs="Times New Roman"/>
          <w:bCs/>
          <w:sz w:val="26"/>
          <w:szCs w:val="26"/>
        </w:rPr>
        <w:t xml:space="preserve">.  Both Transmission Provider and Interconnection Customer must agree as to what constitutes Stand Alone Network Upgrades and identify them in Appendix A to the Standard Large Generator Interconnection Agreement.  If Transmission Provider and Interconnection Customer disagree about whether a particular Network Upgrade is a Stand Alone Network Upgrade, Transmission Provider must provide Interconnection Customer a written technical explanation outlining why Transmission Provider does not consider the Network Upgrade to be a Stand Alone Network Upgrade within </w:t>
      </w:r>
      <w:r w:rsidRPr="0072600F" w:rsidR="004C249F">
        <w:rPr>
          <w:rFonts w:ascii="Times New Roman" w:hAnsi="Times New Roman" w:cs="Times New Roman"/>
          <w:bCs/>
          <w:i/>
          <w:iCs/>
          <w:sz w:val="26"/>
          <w:szCs w:val="26"/>
        </w:rPr>
        <w:t>fifteen (</w:t>
      </w:r>
      <w:r w:rsidRPr="0072600F">
        <w:rPr>
          <w:rFonts w:ascii="Times New Roman" w:hAnsi="Times New Roman" w:cs="Times New Roman"/>
          <w:bCs/>
          <w:sz w:val="26"/>
          <w:szCs w:val="26"/>
        </w:rPr>
        <w:t>15</w:t>
      </w:r>
      <w:r w:rsidRPr="0072600F" w:rsidR="004C249F">
        <w:rPr>
          <w:rFonts w:ascii="Times New Roman" w:hAnsi="Times New Roman" w:cs="Times New Roman"/>
          <w:bCs/>
          <w:i/>
          <w:iCs/>
          <w:sz w:val="26"/>
          <w:szCs w:val="26"/>
        </w:rPr>
        <w:t xml:space="preserve">) Business </w:t>
      </w:r>
      <w:r w:rsidRPr="0072600F" w:rsidR="0056592A">
        <w:rPr>
          <w:rFonts w:ascii="Times New Roman" w:hAnsi="Times New Roman" w:cs="Times New Roman"/>
          <w:bCs/>
          <w:sz w:val="26"/>
          <w:szCs w:val="26"/>
        </w:rPr>
        <w:t>[</w:t>
      </w:r>
      <w:r w:rsidRPr="0072600F">
        <w:rPr>
          <w:rFonts w:ascii="Times New Roman" w:hAnsi="Times New Roman" w:cs="Times New Roman"/>
          <w:bCs/>
          <w:sz w:val="26"/>
          <w:szCs w:val="26"/>
        </w:rPr>
        <w:t>d</w:t>
      </w:r>
      <w:r w:rsidRPr="0072600F" w:rsidR="0056592A">
        <w:rPr>
          <w:rFonts w:ascii="Times New Roman" w:hAnsi="Times New Roman" w:cs="Times New Roman"/>
          <w:bCs/>
          <w:sz w:val="26"/>
          <w:szCs w:val="26"/>
        </w:rPr>
        <w:t>]</w:t>
      </w:r>
      <w:r w:rsidRPr="0072600F" w:rsidR="00912799">
        <w:rPr>
          <w:rFonts w:ascii="Times New Roman" w:hAnsi="Times New Roman" w:cs="Times New Roman"/>
          <w:bCs/>
          <w:i/>
          <w:iCs/>
          <w:sz w:val="26"/>
          <w:szCs w:val="26"/>
        </w:rPr>
        <w:t>D</w:t>
      </w:r>
      <w:r w:rsidRPr="0072600F">
        <w:rPr>
          <w:rFonts w:ascii="Times New Roman" w:hAnsi="Times New Roman" w:cs="Times New Roman"/>
          <w:bCs/>
          <w:sz w:val="26"/>
          <w:szCs w:val="26"/>
        </w:rPr>
        <w:t>ays of its determination.</w:t>
      </w:r>
    </w:p>
    <w:p w:rsidR="00911580" w:rsidRPr="0072600F" w14:paraId="0E998C9D" w14:textId="77777777">
      <w:pPr>
        <w:ind w:firstLine="720"/>
        <w:rPr>
          <w:rFonts w:ascii="Times New Roman" w:hAnsi="Times New Roman" w:cs="Times New Roman"/>
          <w:bCs/>
          <w:sz w:val="26"/>
          <w:szCs w:val="26"/>
        </w:rPr>
      </w:pPr>
      <w:r w:rsidRPr="0072600F">
        <w:rPr>
          <w:rFonts w:ascii="Times New Roman" w:hAnsi="Times New Roman" w:cs="Times New Roman"/>
          <w:b/>
          <w:bCs/>
          <w:sz w:val="26"/>
          <w:szCs w:val="26"/>
        </w:rPr>
        <w:t>Standard Large Generator Interconnection Agreement (LGIA)</w:t>
      </w:r>
      <w:r w:rsidRPr="0072600F">
        <w:rPr>
          <w:rFonts w:ascii="Times New Roman" w:hAnsi="Times New Roman" w:cs="Times New Roman"/>
          <w:bCs/>
          <w:sz w:val="26"/>
          <w:szCs w:val="26"/>
        </w:rPr>
        <w:t xml:space="preserve"> shall mean the form of interconnection agreement applicable to an Interconnection Request pertaining to a Large Generating Facility that is included in </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sidR="00BD11B3">
        <w:rPr>
          <w:rFonts w:ascii="Times New Roman" w:hAnsi="Times New Roman" w:cs="Times New Roman"/>
          <w:bCs/>
          <w:sz w:val="26"/>
          <w:szCs w:val="26"/>
        </w:rPr>
        <w:t>Transmission Provider’s</w:t>
      </w:r>
      <w:r w:rsidRPr="0072600F">
        <w:rPr>
          <w:rFonts w:ascii="Times New Roman" w:hAnsi="Times New Roman" w:cs="Times New Roman"/>
          <w:bCs/>
          <w:sz w:val="26"/>
          <w:szCs w:val="26"/>
        </w:rPr>
        <w:t xml:space="preserve"> Tariff.</w:t>
      </w:r>
    </w:p>
    <w:p w:rsidR="00911580" w:rsidRPr="0072600F" w14:paraId="33B41E4E" w14:textId="77777777">
      <w:pPr>
        <w:ind w:firstLine="720"/>
        <w:rPr>
          <w:rFonts w:ascii="Times New Roman" w:hAnsi="Times New Roman" w:cs="Times New Roman"/>
          <w:bCs/>
          <w:sz w:val="26"/>
          <w:szCs w:val="26"/>
        </w:rPr>
      </w:pPr>
      <w:r w:rsidRPr="0072600F">
        <w:rPr>
          <w:rFonts w:ascii="Times New Roman" w:hAnsi="Times New Roman" w:cs="Times New Roman"/>
          <w:b/>
          <w:bCs/>
          <w:sz w:val="26"/>
          <w:szCs w:val="26"/>
        </w:rPr>
        <w:t>Standard Large Generator Interconnection Procedures (LGIP)</w:t>
      </w:r>
      <w:r w:rsidRPr="0072600F">
        <w:rPr>
          <w:rFonts w:ascii="Times New Roman" w:hAnsi="Times New Roman" w:cs="Times New Roman"/>
          <w:bCs/>
          <w:sz w:val="26"/>
          <w:szCs w:val="26"/>
        </w:rPr>
        <w:t xml:space="preserve"> shall mean the interconnection procedures applicable to an Interconnection Request pertaining to a Large Generating Facility that are included in </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sidR="00BD11B3">
        <w:rPr>
          <w:rFonts w:ascii="Times New Roman" w:hAnsi="Times New Roman" w:cs="Times New Roman"/>
          <w:bCs/>
          <w:sz w:val="26"/>
          <w:szCs w:val="26"/>
        </w:rPr>
        <w:t>Transmission Provider’s</w:t>
      </w:r>
      <w:r w:rsidRPr="0072600F">
        <w:rPr>
          <w:rFonts w:ascii="Times New Roman" w:hAnsi="Times New Roman" w:cs="Times New Roman"/>
          <w:bCs/>
          <w:sz w:val="26"/>
          <w:szCs w:val="26"/>
        </w:rPr>
        <w:t xml:space="preserve"> Tariff.</w:t>
      </w:r>
    </w:p>
    <w:p w:rsidR="00911580" w:rsidRPr="0072600F" w14:paraId="1FFB63D0" w14:textId="77777777">
      <w:pPr>
        <w:ind w:firstLine="720"/>
        <w:rPr>
          <w:rFonts w:ascii="Times New Roman" w:hAnsi="Times New Roman" w:cs="Times New Roman"/>
          <w:iCs/>
          <w:sz w:val="26"/>
          <w:szCs w:val="26"/>
        </w:rPr>
      </w:pPr>
      <w:r w:rsidRPr="0072600F">
        <w:rPr>
          <w:rFonts w:ascii="Times New Roman" w:hAnsi="Times New Roman" w:cs="Times New Roman"/>
          <w:b/>
          <w:iCs/>
          <w:sz w:val="26"/>
          <w:szCs w:val="26"/>
        </w:rPr>
        <w:t xml:space="preserve">Substation Network Upgrades </w:t>
      </w:r>
      <w:r w:rsidRPr="0072600F">
        <w:rPr>
          <w:rFonts w:ascii="Times New Roman" w:hAnsi="Times New Roman" w:cs="Times New Roman"/>
          <w:iCs/>
          <w:sz w:val="26"/>
          <w:szCs w:val="26"/>
        </w:rPr>
        <w:t xml:space="preserve">shall mean Network Upgrades that are required at the substation located at the Point of Interconnection. </w:t>
      </w:r>
    </w:p>
    <w:p w:rsidR="00911580" w:rsidRPr="0072600F" w14:paraId="0A30F55D" w14:textId="77777777">
      <w:pPr>
        <w:ind w:firstLine="720"/>
        <w:rPr>
          <w:rFonts w:ascii="Times New Roman" w:hAnsi="Times New Roman" w:cs="Times New Roman"/>
          <w:bCs/>
          <w:sz w:val="26"/>
          <w:szCs w:val="26"/>
        </w:rPr>
      </w:pPr>
      <w:r w:rsidRPr="0072600F">
        <w:rPr>
          <w:rFonts w:ascii="Times New Roman" w:hAnsi="Times New Roman" w:cs="Times New Roman"/>
          <w:b/>
          <w:bCs/>
          <w:sz w:val="26"/>
          <w:szCs w:val="26"/>
        </w:rPr>
        <w:t xml:space="preserve">Surplus Interconnection Service </w:t>
      </w:r>
      <w:r w:rsidRPr="0072600F">
        <w:rPr>
          <w:rFonts w:ascii="Times New Roman" w:hAnsi="Times New Roman" w:cs="Times New Roman"/>
          <w:bCs/>
          <w:sz w:val="26"/>
          <w:szCs w:val="26"/>
        </w:rPr>
        <w:t xml:space="preserve">shall mean any unneeded portion of Interconnection Service established in a </w:t>
      </w:r>
      <w:r w:rsidRPr="0072600F" w:rsidR="450C8A65">
        <w:rPr>
          <w:rFonts w:ascii="Times New Roman" w:hAnsi="Times New Roman" w:cs="Times New Roman"/>
          <w:i/>
          <w:iCs/>
          <w:sz w:val="26"/>
          <w:szCs w:val="26"/>
        </w:rPr>
        <w:t xml:space="preserve">Standard </w:t>
      </w:r>
      <w:r w:rsidRPr="0072600F">
        <w:rPr>
          <w:rFonts w:ascii="Times New Roman" w:hAnsi="Times New Roman" w:cs="Times New Roman"/>
          <w:bCs/>
          <w:sz w:val="26"/>
          <w:szCs w:val="26"/>
        </w:rPr>
        <w:t xml:space="preserve">Large Generator Interconnection Agreement, such that if Surplus Interconnection Service is utilized, the total amount of Interconnection Service at the Point of Interconnection would remain the same.  </w:t>
      </w:r>
    </w:p>
    <w:p w:rsidR="00911580" w:rsidRPr="0072600F" w14:paraId="13419940" w14:textId="77777777">
      <w:pPr>
        <w:ind w:firstLine="720"/>
        <w:rPr>
          <w:rFonts w:ascii="Times New Roman" w:hAnsi="Times New Roman" w:cs="Times New Roman"/>
          <w:iCs/>
          <w:sz w:val="26"/>
          <w:szCs w:val="26"/>
        </w:rPr>
      </w:pPr>
      <w:r w:rsidRPr="0072600F">
        <w:rPr>
          <w:rFonts w:ascii="Times New Roman" w:hAnsi="Times New Roman" w:cs="Times New Roman"/>
          <w:b/>
          <w:iCs/>
          <w:sz w:val="26"/>
          <w:szCs w:val="26"/>
        </w:rPr>
        <w:t xml:space="preserve">System Network Upgrades </w:t>
      </w:r>
      <w:r w:rsidRPr="0072600F">
        <w:rPr>
          <w:rFonts w:ascii="Times New Roman" w:hAnsi="Times New Roman" w:cs="Times New Roman"/>
          <w:iCs/>
          <w:sz w:val="26"/>
          <w:szCs w:val="26"/>
        </w:rPr>
        <w:t>shall mean Network Upgrades that are required beyond the substation located at the Point of Interconnection.</w:t>
      </w:r>
    </w:p>
    <w:p w:rsidR="00911580" w:rsidRPr="0072600F" w14:paraId="56A0E306" w14:textId="77777777">
      <w:pPr>
        <w:ind w:firstLine="720"/>
        <w:rPr>
          <w:rFonts w:ascii="Times New Roman" w:hAnsi="Times New Roman" w:cs="Times New Roman"/>
          <w:bCs/>
          <w:sz w:val="26"/>
          <w:szCs w:val="26"/>
        </w:rPr>
      </w:pPr>
      <w:r w:rsidRPr="0072600F">
        <w:rPr>
          <w:rFonts w:ascii="Times New Roman" w:hAnsi="Times New Roman" w:cs="Times New Roman"/>
          <w:b/>
          <w:bCs/>
          <w:sz w:val="26"/>
          <w:szCs w:val="26"/>
        </w:rPr>
        <w:t>System Protection Facilities</w:t>
      </w:r>
      <w:r w:rsidRPr="0072600F">
        <w:rPr>
          <w:rFonts w:ascii="Times New Roman" w:hAnsi="Times New Roman" w:cs="Times New Roman"/>
          <w:bCs/>
          <w:sz w:val="26"/>
          <w:szCs w:val="26"/>
        </w:rPr>
        <w:t xml:space="preserve"> shall mean the equipment, including necessary protection signal communications equipment, required to protect (1) </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sidR="00BD11B3">
        <w:rPr>
          <w:rFonts w:ascii="Times New Roman" w:hAnsi="Times New Roman" w:cs="Times New Roman"/>
          <w:bCs/>
          <w:sz w:val="26"/>
          <w:szCs w:val="26"/>
        </w:rPr>
        <w:t>Transmission Provider’s</w:t>
      </w:r>
      <w:r w:rsidRPr="0072600F">
        <w:rPr>
          <w:rFonts w:ascii="Times New Roman" w:hAnsi="Times New Roman" w:cs="Times New Roman"/>
          <w:bCs/>
          <w:sz w:val="26"/>
          <w:szCs w:val="26"/>
        </w:rPr>
        <w:t xml:space="preserve"> Transmission System from faults or other electrical disturbances occurring at the Generating Facility and (2) the Generating Facility from faults or other electrical system disturbances occurring on </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sidR="00BD11B3">
        <w:rPr>
          <w:rFonts w:ascii="Times New Roman" w:hAnsi="Times New Roman" w:cs="Times New Roman"/>
          <w:bCs/>
          <w:sz w:val="26"/>
          <w:szCs w:val="26"/>
        </w:rPr>
        <w:t>Transmission Provider’s</w:t>
      </w:r>
      <w:r w:rsidRPr="0072600F">
        <w:rPr>
          <w:rFonts w:ascii="Times New Roman" w:hAnsi="Times New Roman" w:cs="Times New Roman"/>
          <w:bCs/>
          <w:sz w:val="26"/>
          <w:szCs w:val="26"/>
        </w:rPr>
        <w:t xml:space="preserve"> Transmission System or on other delivery systems or other generating systems to which </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sidR="00BD11B3">
        <w:rPr>
          <w:rFonts w:ascii="Times New Roman" w:hAnsi="Times New Roman" w:cs="Times New Roman"/>
          <w:bCs/>
          <w:sz w:val="26"/>
          <w:szCs w:val="26"/>
        </w:rPr>
        <w:t>Transmission Provider’s</w:t>
      </w:r>
      <w:r w:rsidRPr="0072600F">
        <w:rPr>
          <w:rFonts w:ascii="Times New Roman" w:hAnsi="Times New Roman" w:cs="Times New Roman"/>
          <w:bCs/>
          <w:sz w:val="26"/>
          <w:szCs w:val="26"/>
        </w:rPr>
        <w:t xml:space="preserve"> Transmission System is directly connected.</w:t>
      </w:r>
    </w:p>
    <w:p w:rsidR="00911580" w:rsidRPr="0072600F" w14:paraId="75322E8D" w14:textId="77777777">
      <w:pPr>
        <w:ind w:firstLine="720"/>
        <w:rPr>
          <w:rFonts w:ascii="Times New Roman" w:hAnsi="Times New Roman" w:cs="Times New Roman"/>
          <w:bCs/>
          <w:sz w:val="26"/>
          <w:szCs w:val="26"/>
        </w:rPr>
      </w:pPr>
      <w:r w:rsidRPr="0072600F">
        <w:rPr>
          <w:rFonts w:ascii="Times New Roman" w:hAnsi="Times New Roman" w:cs="Times New Roman"/>
          <w:b/>
          <w:bCs/>
          <w:sz w:val="26"/>
          <w:szCs w:val="26"/>
        </w:rPr>
        <w:t>Tariff</w:t>
      </w:r>
      <w:r w:rsidRPr="0072600F">
        <w:rPr>
          <w:rFonts w:ascii="Times New Roman" w:hAnsi="Times New Roman" w:cs="Times New Roman"/>
          <w:bCs/>
          <w:sz w:val="26"/>
          <w:szCs w:val="26"/>
        </w:rPr>
        <w:t xml:space="preserve"> shall mean </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F8713A">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sidR="00BD11B3">
        <w:rPr>
          <w:rFonts w:ascii="Times New Roman" w:hAnsi="Times New Roman" w:cs="Times New Roman"/>
          <w:bCs/>
          <w:sz w:val="26"/>
          <w:szCs w:val="26"/>
        </w:rPr>
        <w:t>Transmission Provider’s</w:t>
      </w:r>
      <w:r w:rsidRPr="0072600F">
        <w:rPr>
          <w:rFonts w:ascii="Times New Roman" w:hAnsi="Times New Roman" w:cs="Times New Roman"/>
          <w:bCs/>
          <w:sz w:val="26"/>
          <w:szCs w:val="26"/>
        </w:rPr>
        <w:t xml:space="preserve"> Tariff through which open access transmission service and Interconnection Service are offered, as filed with FERC, and as amended or supplemented from time to time, or any successor tariff.  </w:t>
      </w:r>
    </w:p>
    <w:p w:rsidR="00911580" w:rsidRPr="0072600F" w14:paraId="2130BB1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Transitional Cluster Study </w:t>
      </w:r>
      <w:r w:rsidRPr="0072600F">
        <w:rPr>
          <w:rFonts w:ascii="Times New Roman" w:hAnsi="Times New Roman" w:cs="Times New Roman"/>
          <w:sz w:val="26"/>
          <w:szCs w:val="26"/>
        </w:rPr>
        <w:t>shall mean an Interconnection Study evaluating a Cluster of Interconnection Requests during the transition to the Cluster Study Process, as set forth in Section 5.1.1.2 of this LGIP.</w:t>
      </w:r>
    </w:p>
    <w:p w:rsidR="002809B0" w:rsidRPr="0072600F" w14:paraId="6586B33A" w14:textId="77777777">
      <w:pPr>
        <w:ind w:firstLine="720"/>
        <w:rPr>
          <w:rFonts w:ascii="Times New Roman" w:hAnsi="Times New Roman" w:cs="Times New Roman"/>
          <w:i/>
          <w:iCs/>
          <w:sz w:val="26"/>
          <w:szCs w:val="26"/>
        </w:rPr>
      </w:pPr>
      <w:r w:rsidRPr="0072600F">
        <w:rPr>
          <w:rFonts w:ascii="Times New Roman" w:hAnsi="Times New Roman" w:cs="Times New Roman"/>
          <w:b/>
          <w:bCs/>
          <w:i/>
          <w:iCs/>
          <w:sz w:val="26"/>
          <w:szCs w:val="26"/>
        </w:rPr>
        <w:t>Transitional Cluster Study Agreement</w:t>
      </w:r>
      <w:r w:rsidRPr="0072600F">
        <w:rPr>
          <w:rFonts w:ascii="Times New Roman" w:hAnsi="Times New Roman" w:cs="Times New Roman"/>
          <w:i/>
          <w:iCs/>
          <w:sz w:val="26"/>
          <w:szCs w:val="26"/>
        </w:rPr>
        <w:t xml:space="preserve"> shall mean </w:t>
      </w:r>
      <w:r w:rsidRPr="0072600F" w:rsidR="00C86B91">
        <w:rPr>
          <w:rFonts w:ascii="Times New Roman" w:hAnsi="Times New Roman" w:cs="Times New Roman"/>
          <w:i/>
          <w:iCs/>
          <w:sz w:val="26"/>
          <w:szCs w:val="26"/>
        </w:rPr>
        <w:t xml:space="preserve">the agreement contained in Appendix </w:t>
      </w:r>
      <w:r w:rsidRPr="0072600F" w:rsidR="003F1832">
        <w:rPr>
          <w:rFonts w:ascii="Times New Roman" w:hAnsi="Times New Roman" w:cs="Times New Roman"/>
          <w:i/>
          <w:iCs/>
          <w:sz w:val="26"/>
          <w:szCs w:val="26"/>
        </w:rPr>
        <w:t>7</w:t>
      </w:r>
      <w:r w:rsidRPr="0072600F" w:rsidR="00C86B91">
        <w:rPr>
          <w:rFonts w:ascii="Times New Roman" w:hAnsi="Times New Roman" w:cs="Times New Roman"/>
          <w:i/>
          <w:iCs/>
          <w:sz w:val="26"/>
          <w:szCs w:val="26"/>
        </w:rPr>
        <w:t xml:space="preserve"> </w:t>
      </w:r>
      <w:r w:rsidRPr="0072600F" w:rsidR="00C86B91">
        <w:rPr>
          <w:rFonts w:ascii="Times New Roman" w:hAnsi="Times New Roman" w:cs="Times New Roman"/>
          <w:i/>
          <w:iCs/>
          <w:sz w:val="26"/>
          <w:szCs w:val="26"/>
        </w:rPr>
        <w:t>to this LGIP that is made between Transmission Provider and Interconnection Customer to conduct a</w:t>
      </w:r>
      <w:r w:rsidRPr="0072600F" w:rsidR="00AB1D49">
        <w:rPr>
          <w:rFonts w:ascii="Times New Roman" w:hAnsi="Times New Roman" w:cs="Times New Roman"/>
          <w:i/>
          <w:iCs/>
          <w:sz w:val="26"/>
          <w:szCs w:val="26"/>
        </w:rPr>
        <w:t xml:space="preserve"> Transitional Cluster</w:t>
      </w:r>
      <w:r w:rsidRPr="0072600F" w:rsidR="00C86B91">
        <w:rPr>
          <w:rFonts w:ascii="Times New Roman" w:hAnsi="Times New Roman" w:cs="Times New Roman"/>
          <w:i/>
          <w:iCs/>
          <w:sz w:val="26"/>
          <w:szCs w:val="26"/>
        </w:rPr>
        <w:t xml:space="preserve"> Study pursuant to Section </w:t>
      </w:r>
      <w:r w:rsidRPr="0072600F" w:rsidR="00AB1D49">
        <w:rPr>
          <w:rFonts w:ascii="Times New Roman" w:hAnsi="Times New Roman" w:cs="Times New Roman"/>
          <w:i/>
          <w:iCs/>
          <w:sz w:val="26"/>
          <w:szCs w:val="26"/>
        </w:rPr>
        <w:t>5.1.1.2</w:t>
      </w:r>
      <w:r w:rsidRPr="0072600F" w:rsidR="00C86B91">
        <w:rPr>
          <w:rFonts w:ascii="Times New Roman" w:hAnsi="Times New Roman" w:cs="Times New Roman"/>
          <w:i/>
          <w:iCs/>
          <w:sz w:val="26"/>
          <w:szCs w:val="26"/>
        </w:rPr>
        <w:t xml:space="preserve"> of this LGIP</w:t>
      </w:r>
      <w:r w:rsidRPr="0072600F" w:rsidR="00AB1D49">
        <w:rPr>
          <w:rFonts w:ascii="Times New Roman" w:hAnsi="Times New Roman" w:cs="Times New Roman"/>
          <w:i/>
          <w:iCs/>
          <w:sz w:val="26"/>
          <w:szCs w:val="26"/>
        </w:rPr>
        <w:t>.</w:t>
      </w:r>
    </w:p>
    <w:p w:rsidR="00911580" w:rsidRPr="0072600F" w14:paraId="7B96AFA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Transitional Cluster Study Report</w:t>
      </w:r>
      <w:r w:rsidRPr="0072600F">
        <w:rPr>
          <w:rFonts w:ascii="Times New Roman" w:hAnsi="Times New Roman" w:cs="Times New Roman"/>
          <w:sz w:val="26"/>
          <w:szCs w:val="26"/>
        </w:rPr>
        <w:t xml:space="preserve"> shall mean the report issued following completion of a Transitional Cluster Study pursuant to Section 5.1.1.2 of this LGIP.</w:t>
      </w:r>
    </w:p>
    <w:p w:rsidR="00911580" w:rsidRPr="0072600F" w14:paraId="5EDD95F9"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Transitional Serial Interconnection Facilities Study </w:t>
      </w:r>
      <w:r w:rsidRPr="0072600F">
        <w:rPr>
          <w:rFonts w:ascii="Times New Roman" w:hAnsi="Times New Roman" w:cs="Times New Roman"/>
          <w:sz w:val="26"/>
          <w:szCs w:val="26"/>
        </w:rPr>
        <w:t>shall mean an Interconnection Facilities Study evaluating an Interconnection Request on a serial basis during the transition to the Cluster Study Process, as set forth in Section 5.1.1.1 of this LGIP.</w:t>
      </w:r>
    </w:p>
    <w:p w:rsidR="0017533B" w:rsidRPr="0072600F" w14:paraId="75CF587B" w14:textId="77777777">
      <w:pPr>
        <w:ind w:firstLine="720"/>
        <w:rPr>
          <w:rFonts w:ascii="Times New Roman" w:hAnsi="Times New Roman" w:cs="Times New Roman"/>
          <w:sz w:val="26"/>
          <w:szCs w:val="26"/>
        </w:rPr>
      </w:pPr>
      <w:r w:rsidRPr="0072600F">
        <w:rPr>
          <w:rFonts w:ascii="Times New Roman" w:hAnsi="Times New Roman" w:cs="Times New Roman"/>
          <w:b/>
          <w:bCs/>
          <w:i/>
          <w:iCs/>
          <w:sz w:val="26"/>
          <w:szCs w:val="26"/>
        </w:rPr>
        <w:t>Transitional Serial Interconnection Facilities Study Agreement</w:t>
      </w:r>
      <w:r w:rsidRPr="0072600F">
        <w:rPr>
          <w:rFonts w:ascii="Times New Roman" w:hAnsi="Times New Roman" w:cs="Times New Roman"/>
          <w:i/>
          <w:iCs/>
          <w:sz w:val="26"/>
          <w:szCs w:val="26"/>
        </w:rPr>
        <w:t xml:space="preserve"> shall mean</w:t>
      </w:r>
      <w:r w:rsidRPr="0072600F" w:rsidR="00582B69">
        <w:rPr>
          <w:rFonts w:ascii="Times New Roman" w:hAnsi="Times New Roman" w:cs="Times New Roman"/>
          <w:i/>
          <w:iCs/>
          <w:sz w:val="26"/>
          <w:szCs w:val="26"/>
        </w:rPr>
        <w:t xml:space="preserve"> </w:t>
      </w:r>
      <w:r w:rsidRPr="0072600F" w:rsidR="00471E3B">
        <w:rPr>
          <w:rFonts w:ascii="Times New Roman" w:hAnsi="Times New Roman" w:cs="Times New Roman"/>
          <w:i/>
          <w:iCs/>
          <w:sz w:val="26"/>
          <w:szCs w:val="26"/>
        </w:rPr>
        <w:t xml:space="preserve">the agreement contained in Appendix 8 to this LGIP that is made between Transmission Provider and Interconnection Customer to </w:t>
      </w:r>
      <w:r w:rsidRPr="0072600F" w:rsidR="001F5959">
        <w:rPr>
          <w:rFonts w:ascii="Times New Roman" w:hAnsi="Times New Roman" w:cs="Times New Roman"/>
          <w:i/>
          <w:iCs/>
          <w:sz w:val="26"/>
          <w:szCs w:val="26"/>
        </w:rPr>
        <w:t xml:space="preserve">conduct </w:t>
      </w:r>
      <w:r w:rsidRPr="0072600F" w:rsidR="006B03D4">
        <w:rPr>
          <w:rFonts w:ascii="Times New Roman" w:hAnsi="Times New Roman" w:cs="Times New Roman"/>
          <w:i/>
          <w:iCs/>
          <w:sz w:val="26"/>
          <w:szCs w:val="26"/>
        </w:rPr>
        <w:t xml:space="preserve">a Transitional </w:t>
      </w:r>
      <w:r w:rsidRPr="0072600F" w:rsidR="00D2695F">
        <w:rPr>
          <w:rFonts w:ascii="Times New Roman" w:hAnsi="Times New Roman" w:cs="Times New Roman"/>
          <w:i/>
          <w:iCs/>
          <w:sz w:val="26"/>
          <w:szCs w:val="26"/>
        </w:rPr>
        <w:t>Serial Interconnection Facilities Study pursuant to Section 5.1.1.1 of this LGIP.</w:t>
      </w:r>
    </w:p>
    <w:p w:rsidR="00911580" w:rsidRPr="0072600F" w14:paraId="2E825D85"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Transitional Serial Interconnection Facilities Study Report </w:t>
      </w:r>
      <w:r w:rsidRPr="0072600F">
        <w:rPr>
          <w:rFonts w:ascii="Times New Roman" w:hAnsi="Times New Roman" w:cs="Times New Roman"/>
          <w:sz w:val="26"/>
          <w:szCs w:val="26"/>
        </w:rPr>
        <w:t xml:space="preserve">shall mean the report issued following completion of a Transitional </w:t>
      </w:r>
      <w:r w:rsidRPr="0072600F" w:rsidR="1C90A9D5">
        <w:rPr>
          <w:rFonts w:ascii="Times New Roman" w:hAnsi="Times New Roman" w:cs="Times New Roman"/>
          <w:i/>
          <w:iCs/>
          <w:sz w:val="26"/>
          <w:szCs w:val="26"/>
        </w:rPr>
        <w:t>Serial</w:t>
      </w:r>
      <w:r w:rsidRPr="0072600F">
        <w:rPr>
          <w:rFonts w:ascii="Times New Roman" w:hAnsi="Times New Roman" w:cs="Times New Roman"/>
          <w:sz w:val="26"/>
          <w:szCs w:val="26"/>
        </w:rPr>
        <w:t xml:space="preserve"> Interconnection Facilities Study pursuant to Section 5.1.1.1 of this LGIP.</w:t>
      </w:r>
    </w:p>
    <w:p w:rsidR="00F23978" w:rsidRPr="0072600F" w:rsidP="00F23978" w14:paraId="5A4A9473" w14:textId="77777777">
      <w:pPr>
        <w:ind w:firstLine="720"/>
        <w:rPr>
          <w:rFonts w:ascii="Times New Roman" w:hAnsi="Times New Roman" w:cs="Times New Roman"/>
          <w:i/>
          <w:sz w:val="26"/>
          <w:szCs w:val="26"/>
        </w:rPr>
      </w:pPr>
      <w:r w:rsidRPr="0072600F">
        <w:rPr>
          <w:rFonts w:ascii="Times New Roman" w:hAnsi="Times New Roman" w:cs="Times New Roman"/>
          <w:b/>
          <w:bCs/>
          <w:i/>
          <w:iCs/>
          <w:sz w:val="26"/>
          <w:szCs w:val="26"/>
        </w:rPr>
        <w:t xml:space="preserve">Transitional Withdrawal Penalty </w:t>
      </w:r>
      <w:r w:rsidRPr="0072600F">
        <w:rPr>
          <w:rFonts w:ascii="Times New Roman" w:hAnsi="Times New Roman" w:cs="Times New Roman"/>
          <w:i/>
          <w:iCs/>
          <w:sz w:val="26"/>
          <w:szCs w:val="26"/>
        </w:rPr>
        <w:t xml:space="preserve">shall mean </w:t>
      </w:r>
      <w:r w:rsidRPr="0072600F">
        <w:rPr>
          <w:rFonts w:ascii="Times New Roman" w:hAnsi="Times New Roman" w:cs="Times New Roman"/>
          <w:bCs/>
          <w:i/>
          <w:iCs/>
          <w:sz w:val="26"/>
          <w:szCs w:val="26"/>
        </w:rPr>
        <w:t>the penalty assessed by Transmission Provider to Interconnection Customer that has entered the Transitional Cluster Study or Transitional Serial Interconnection Facilities Study and chooses to withdraw or is deemed withdrawn from Transmission Provider’s interconnection queue or whose Generating Facility does not otherwise reach Commercial Operation.  The calculation of the Transitional Withdrawal Penalty is set forth in Sections 5.1.1.1 and 5.1.1.2 of this LGIP</w:t>
      </w:r>
      <w:r w:rsidRPr="0072600F">
        <w:rPr>
          <w:rFonts w:ascii="Times New Roman" w:hAnsi="Times New Roman" w:cs="Times New Roman"/>
          <w:i/>
          <w:iCs/>
          <w:sz w:val="26"/>
          <w:szCs w:val="26"/>
        </w:rPr>
        <w:t>.</w:t>
      </w:r>
    </w:p>
    <w:p w:rsidR="00911580" w:rsidRPr="0072600F" w14:paraId="7A2DF78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Transmission Owner</w:t>
      </w:r>
      <w:r w:rsidRPr="0072600F">
        <w:rPr>
          <w:rFonts w:ascii="Times New Roman" w:hAnsi="Times New Roman" w:cs="Times New Roman"/>
          <w:sz w:val="26"/>
          <w:szCs w:val="26"/>
        </w:rPr>
        <w:t xml:space="preserve"> shall mean an entity that owns, leases or otherwise possesses an interest in the portion of the Transmission System at the Point of Interconnection and may be a Party to the Standard Large Generator Interconnection Agreement to the extent necessary.</w:t>
      </w:r>
    </w:p>
    <w:p w:rsidR="00911580" w:rsidRPr="0072600F" w14:paraId="507D4078"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Transmission Provider</w:t>
      </w:r>
      <w:r w:rsidRPr="0072600F">
        <w:rPr>
          <w:rFonts w:ascii="Times New Roman" w:hAnsi="Times New Roman" w:cs="Times New Roman"/>
          <w:sz w:val="26"/>
          <w:szCs w:val="26"/>
        </w:rPr>
        <w:t xml:space="preserve"> shall mean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the</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p>
    <w:p w:rsidR="00911580" w:rsidRPr="0072600F" w14:paraId="701F1A60" w14:textId="77777777">
      <w:pPr>
        <w:ind w:firstLine="720"/>
        <w:rPr>
          <w:rFonts w:ascii="Times New Roman" w:hAnsi="Times New Roman" w:cs="Times New Roman"/>
          <w:i/>
          <w:iCs/>
          <w:sz w:val="26"/>
          <w:szCs w:val="26"/>
        </w:rPr>
      </w:pPr>
      <w:r w:rsidRPr="0072600F">
        <w:rPr>
          <w:rFonts w:ascii="Times New Roman" w:hAnsi="Times New Roman" w:cs="Times New Roman"/>
          <w:b/>
          <w:bCs/>
          <w:sz w:val="26"/>
          <w:szCs w:val="26"/>
        </w:rPr>
        <w:t xml:space="preserve">Transmission Provider’s Interconnection Facilities </w:t>
      </w:r>
      <w:r w:rsidRPr="0072600F">
        <w:rPr>
          <w:rFonts w:ascii="Times New Roman" w:hAnsi="Times New Roman" w:cs="Times New Roman"/>
          <w:sz w:val="26"/>
          <w:szCs w:val="26"/>
        </w:rPr>
        <w:t xml:space="preserve">shall mean all facilities and equipment owned, controlled, or operated by Transmission Provider from the Point of Change of Ownership to the Point of Interconnection as identified in Appendix A to the Standard Large Generator Interconnection Agreement, including any modifications, additions or upgrades to such facilities and equipment.  Transmission Provider’s Interconnection Facilities are sole use facilities and shall not include Distribution Upgrades, Stand Alone Network Upgrades or Network Upgrades.  </w:t>
      </w:r>
      <w:r w:rsidRPr="0072600F">
        <w:rPr>
          <w:rFonts w:ascii="Times New Roman" w:hAnsi="Times New Roman" w:cs="Times New Roman"/>
          <w:i/>
          <w:iCs/>
          <w:sz w:val="26"/>
          <w:szCs w:val="26"/>
        </w:rPr>
        <w:t xml:space="preserve">  </w:t>
      </w:r>
    </w:p>
    <w:p w:rsidR="00911580" w:rsidRPr="0072600F" w14:paraId="7443CC75"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Transmission System</w:t>
      </w:r>
      <w:r w:rsidRPr="0072600F">
        <w:rPr>
          <w:rFonts w:ascii="Times New Roman" w:hAnsi="Times New Roman" w:cs="Times New Roman"/>
          <w:sz w:val="26"/>
          <w:szCs w:val="26"/>
        </w:rPr>
        <w:t xml:space="preserve"> shall mean the facilities owned, controlled or operated by </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the</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Transmission Owner that are used to provide transmission service under the Tariff.</w:t>
      </w:r>
    </w:p>
    <w:p w:rsidR="00911580" w:rsidRPr="0072600F" w14:paraId="6807A0CF"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 xml:space="preserve"> </w:t>
      </w:r>
      <w:r w:rsidRPr="0072600F">
        <w:rPr>
          <w:rFonts w:ascii="Times New Roman" w:hAnsi="Times New Roman" w:cs="Times New Roman"/>
          <w:b/>
          <w:bCs/>
          <w:sz w:val="26"/>
          <w:szCs w:val="26"/>
        </w:rPr>
        <w:t>Trial Operation</w:t>
      </w:r>
      <w:r w:rsidRPr="0072600F">
        <w:rPr>
          <w:rFonts w:ascii="Times New Roman" w:hAnsi="Times New Roman" w:cs="Times New Roman"/>
          <w:sz w:val="26"/>
          <w:szCs w:val="26"/>
        </w:rPr>
        <w:t xml:space="preserve"> shall mean the period during which Interconnection Customer is engaged in on-site test operations and commissioning of the Generating Facility prior to Commercial Operation.</w:t>
      </w:r>
    </w:p>
    <w:p w:rsidR="00911580" w:rsidRPr="0072600F" w14:paraId="07B10C3B" w14:textId="77777777">
      <w:pPr>
        <w:ind w:firstLine="720"/>
        <w:rPr>
          <w:rFonts w:ascii="Times New Roman" w:hAnsi="Times New Roman" w:cs="Times New Roman"/>
          <w:iCs/>
          <w:sz w:val="26"/>
          <w:szCs w:val="26"/>
        </w:rPr>
      </w:pPr>
      <w:r w:rsidRPr="0072600F">
        <w:rPr>
          <w:rFonts w:ascii="Times New Roman" w:hAnsi="Times New Roman" w:cs="Times New Roman"/>
          <w:b/>
          <w:iCs/>
          <w:sz w:val="26"/>
          <w:szCs w:val="26"/>
        </w:rPr>
        <w:t>Withdrawal Penalty</w:t>
      </w:r>
      <w:r w:rsidRPr="0072600F">
        <w:rPr>
          <w:rFonts w:ascii="Times New Roman" w:hAnsi="Times New Roman" w:cs="Times New Roman"/>
          <w:iCs/>
          <w:sz w:val="26"/>
          <w:szCs w:val="26"/>
        </w:rPr>
        <w:t xml:space="preserve"> shall mean the penalty assessed by Transmission Provider to an Interconnection Customer that chooses to withdraw or is deemed withdrawn from Transmission Provider’s interconnection queue or whose Generating Facility does not otherwise reach Commercial Operation.  The calculation of the Withdrawal Penalty is set forth in Section 3.7.1 of this LGIP.</w:t>
      </w:r>
    </w:p>
    <w:bookmarkEnd w:id="165"/>
    <w:p w:rsidR="00911580" w:rsidRPr="0072600F" w14:paraId="2E2EDD8B" w14:textId="77777777">
      <w:pPr>
        <w:rPr>
          <w:rFonts w:ascii="Times New Roman" w:hAnsi="Times New Roman" w:cs="Times New Roman"/>
          <w:sz w:val="26"/>
          <w:szCs w:val="26"/>
        </w:rPr>
      </w:pPr>
    </w:p>
    <w:p w:rsidR="003B75EE" w:rsidP="00561642" w14:paraId="5C3463AA" w14:textId="77777777">
      <w:pPr>
        <w:pStyle w:val="Heading2"/>
        <w:rPr>
          <w:b/>
          <w:bCs/>
          <w:sz w:val="26"/>
          <w:szCs w:val="26"/>
        </w:rPr>
      </w:pPr>
      <w:bookmarkStart w:id="171" w:name="_Toc149903598"/>
    </w:p>
    <w:p w:rsidR="003B75EE" w:rsidP="00561642" w14:paraId="7F172E19" w14:textId="77777777">
      <w:pPr>
        <w:pStyle w:val="Heading2"/>
        <w:rPr>
          <w:b/>
          <w:bCs/>
          <w:sz w:val="26"/>
          <w:szCs w:val="26"/>
        </w:rPr>
      </w:pPr>
    </w:p>
    <w:p w:rsidR="003B75EE" w:rsidP="00561642" w14:paraId="0F2F79BC" w14:textId="77777777">
      <w:pPr>
        <w:pStyle w:val="Heading2"/>
        <w:rPr>
          <w:b/>
          <w:bCs/>
          <w:sz w:val="26"/>
          <w:szCs w:val="26"/>
        </w:rPr>
      </w:pPr>
    </w:p>
    <w:p w:rsidR="003B75EE" w:rsidP="00561642" w14:paraId="1491BA5D" w14:textId="77777777">
      <w:pPr>
        <w:pStyle w:val="Heading2"/>
        <w:rPr>
          <w:b/>
          <w:bCs/>
          <w:sz w:val="26"/>
          <w:szCs w:val="26"/>
        </w:rPr>
      </w:pPr>
    </w:p>
    <w:p w:rsidR="00911580" w:rsidRPr="0072600F" w:rsidP="00561642" w14:paraId="56F5FA7B" w14:textId="6BAADA9D">
      <w:pPr>
        <w:pStyle w:val="Heading2"/>
        <w:rPr>
          <w:b/>
          <w:bCs/>
          <w:sz w:val="26"/>
          <w:szCs w:val="26"/>
        </w:rPr>
      </w:pPr>
      <w:r w:rsidRPr="0072600F">
        <w:rPr>
          <w:b/>
          <w:bCs/>
          <w:sz w:val="26"/>
          <w:szCs w:val="26"/>
        </w:rPr>
        <w:t>Section 2.</w:t>
      </w:r>
      <w:r w:rsidRPr="0072600F">
        <w:rPr>
          <w:b/>
          <w:bCs/>
          <w:sz w:val="26"/>
          <w:szCs w:val="26"/>
        </w:rPr>
        <w:tab/>
        <w:t>Scope and Application</w:t>
      </w:r>
      <w:bookmarkEnd w:id="171"/>
    </w:p>
    <w:p w:rsidR="00911580" w:rsidRPr="0072600F" w14:paraId="35972A7C" w14:textId="77777777">
      <w:pPr>
        <w:rPr>
          <w:rFonts w:ascii="Times New Roman" w:hAnsi="Times New Roman" w:cs="Times New Roman"/>
          <w:sz w:val="26"/>
          <w:szCs w:val="26"/>
        </w:rPr>
      </w:pPr>
    </w:p>
    <w:p w:rsidR="00911580" w:rsidRPr="0072600F" w:rsidP="00FE47B2" w14:paraId="03459CCF" w14:textId="77777777">
      <w:pPr>
        <w:pStyle w:val="AppendixSecondLevel"/>
      </w:pPr>
      <w:bookmarkStart w:id="172" w:name="_Toc149903599"/>
      <w:r w:rsidRPr="0072600F">
        <w:t>2.1</w:t>
      </w:r>
      <w:r w:rsidRPr="0072600F">
        <w:tab/>
        <w:t>Application of Standard Large Generator Interconnection Procedures.</w:t>
      </w:r>
      <w:bookmarkEnd w:id="172"/>
    </w:p>
    <w:p w:rsidR="00911580" w:rsidRPr="0072600F" w14:paraId="209D68CC"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Sections 2 through 13 </w:t>
      </w:r>
      <w:r w:rsidRPr="0072600F" w:rsidR="18887702">
        <w:rPr>
          <w:rFonts w:ascii="Times New Roman" w:hAnsi="Times New Roman" w:cs="Times New Roman"/>
          <w:i/>
          <w:iCs/>
          <w:sz w:val="26"/>
          <w:szCs w:val="26"/>
        </w:rPr>
        <w:t xml:space="preserve">of this LGIP </w:t>
      </w:r>
      <w:r w:rsidRPr="0072600F">
        <w:rPr>
          <w:rFonts w:ascii="Times New Roman" w:hAnsi="Times New Roman" w:cs="Times New Roman"/>
          <w:sz w:val="26"/>
          <w:szCs w:val="26"/>
        </w:rPr>
        <w:t>apply to processing an Interconnection Request pertaining to a Large Generating Facility.</w:t>
      </w:r>
    </w:p>
    <w:p w:rsidR="00911580" w:rsidRPr="0072600F" w14:paraId="51CA2B68" w14:textId="77777777">
      <w:pPr>
        <w:rPr>
          <w:rFonts w:ascii="Times New Roman" w:hAnsi="Times New Roman" w:cs="Times New Roman"/>
          <w:sz w:val="26"/>
          <w:szCs w:val="26"/>
        </w:rPr>
      </w:pPr>
    </w:p>
    <w:p w:rsidR="00911580" w:rsidRPr="0072600F" w:rsidP="00FE47B2" w14:paraId="53F028B2" w14:textId="77777777">
      <w:pPr>
        <w:pStyle w:val="AppendixSecondLevel"/>
      </w:pPr>
      <w:bookmarkStart w:id="173" w:name="_Toc149903600"/>
      <w:r w:rsidRPr="0072600F">
        <w:t>2.2</w:t>
      </w:r>
      <w:r w:rsidRPr="0072600F">
        <w:tab/>
        <w:t>Comparability.</w:t>
      </w:r>
      <w:bookmarkEnd w:id="173"/>
    </w:p>
    <w:p w:rsidR="00911580" w:rsidRPr="0072600F" w14:paraId="3F560E6E"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Transmission Provider shall receive, process and analyze all Interconnection Requests in a timely manner as set forth in this LGIP.  Transmission Provider shall process and analyze Interconnection Requests from all Interconnection Customers comparably, regardless of whether the Generating Facilities are owned by Transmission Provider, its subsidiaries or Affiliates or others.</w:t>
      </w:r>
    </w:p>
    <w:p w:rsidR="00911580" w:rsidRPr="0072600F" w14:paraId="63745CAA" w14:textId="77777777">
      <w:pPr>
        <w:rPr>
          <w:rFonts w:ascii="Times New Roman" w:hAnsi="Times New Roman" w:cs="Times New Roman"/>
          <w:sz w:val="26"/>
          <w:szCs w:val="26"/>
        </w:rPr>
      </w:pPr>
    </w:p>
    <w:p w:rsidR="00911580" w:rsidRPr="0072600F" w:rsidP="00FE47B2" w14:paraId="0213C346" w14:textId="77777777">
      <w:pPr>
        <w:pStyle w:val="AppendixSecondLevel"/>
      </w:pPr>
      <w:bookmarkStart w:id="174" w:name="_Toc149903601"/>
      <w:r w:rsidRPr="0072600F">
        <w:t>2.3</w:t>
      </w:r>
      <w:r w:rsidRPr="0072600F">
        <w:tab/>
        <w:t>Base Case Data.</w:t>
      </w:r>
      <w:bookmarkEnd w:id="174"/>
    </w:p>
    <w:p w:rsidR="00911580" w:rsidRPr="0072600F" w14:paraId="4B36FBEB"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maintain base power flow, short circuit and stability databases, including all underlying assumptions, and contingency list on either its OASIS site or a password-protected website, subject to confidentiality provisions in LGIP Section 13.1.  In addition, Transmission Provider shall maintain network models and underlying assumptions on either its OASIS site or a password-protected website.  Such network models and underlying assumptions should reasonably represent those used during the most recent </w:t>
      </w:r>
      <w:r w:rsidRPr="0072600F" w:rsidR="00DD78F3">
        <w:rPr>
          <w:rFonts w:ascii="Times New Roman" w:hAnsi="Times New Roman" w:cs="Times New Roman"/>
          <w:sz w:val="26"/>
          <w:szCs w:val="26"/>
        </w:rPr>
        <w:t>[</w:t>
      </w:r>
      <w:r w:rsidRPr="0072600F">
        <w:rPr>
          <w:rFonts w:ascii="Times New Roman" w:hAnsi="Times New Roman" w:cs="Times New Roman"/>
          <w:sz w:val="26"/>
          <w:szCs w:val="26"/>
        </w:rPr>
        <w:t>i</w:t>
      </w:r>
      <w:r w:rsidRPr="0072600F" w:rsidR="00DD78F3">
        <w:rPr>
          <w:rFonts w:ascii="Times New Roman" w:hAnsi="Times New Roman" w:cs="Times New Roman"/>
          <w:sz w:val="26"/>
          <w:szCs w:val="26"/>
        </w:rPr>
        <w:t>]</w:t>
      </w:r>
      <w:r w:rsidRPr="0072600F" w:rsidR="00DD78F3">
        <w:rPr>
          <w:rFonts w:ascii="Times New Roman" w:hAnsi="Times New Roman" w:cs="Times New Roman"/>
          <w:i/>
          <w:iCs/>
          <w:sz w:val="26"/>
          <w:szCs w:val="26"/>
        </w:rPr>
        <w:t>I</w:t>
      </w:r>
      <w:r w:rsidRPr="0072600F">
        <w:rPr>
          <w:rFonts w:ascii="Times New Roman" w:hAnsi="Times New Roman" w:cs="Times New Roman"/>
          <w:sz w:val="26"/>
          <w:szCs w:val="26"/>
        </w:rPr>
        <w:t xml:space="preserve">nterconnection </w:t>
      </w:r>
      <w:r w:rsidRPr="0072600F" w:rsidR="00DD78F3">
        <w:rPr>
          <w:rFonts w:ascii="Times New Roman" w:hAnsi="Times New Roman" w:cs="Times New Roman"/>
          <w:sz w:val="26"/>
          <w:szCs w:val="26"/>
        </w:rPr>
        <w:t>[</w:t>
      </w:r>
      <w:r w:rsidRPr="0072600F">
        <w:rPr>
          <w:rFonts w:ascii="Times New Roman" w:hAnsi="Times New Roman" w:cs="Times New Roman"/>
          <w:sz w:val="26"/>
          <w:szCs w:val="26"/>
        </w:rPr>
        <w:t>s</w:t>
      </w:r>
      <w:r w:rsidRPr="0072600F" w:rsidR="00DD78F3">
        <w:rPr>
          <w:rFonts w:ascii="Times New Roman" w:hAnsi="Times New Roman" w:cs="Times New Roman"/>
          <w:sz w:val="26"/>
          <w:szCs w:val="26"/>
        </w:rPr>
        <w:t>]</w:t>
      </w:r>
      <w:r w:rsidRPr="0072600F" w:rsidR="00DD78F3">
        <w:rPr>
          <w:rFonts w:ascii="Times New Roman" w:hAnsi="Times New Roman" w:cs="Times New Roman"/>
          <w:i/>
          <w:iCs/>
          <w:sz w:val="26"/>
          <w:szCs w:val="26"/>
        </w:rPr>
        <w:t>S</w:t>
      </w:r>
      <w:r w:rsidRPr="0072600F">
        <w:rPr>
          <w:rFonts w:ascii="Times New Roman" w:hAnsi="Times New Roman" w:cs="Times New Roman"/>
          <w:sz w:val="26"/>
          <w:szCs w:val="26"/>
        </w:rPr>
        <w:t>tudy and be representative of current system conditions.  If Transmission Provider posts this information on a password-protected website, a link to the information must be provided on Transmission Provider’s OASIS site.  Transmission Provider is permitted to require that Interconnection Customers, OASIS site users and password-protected website users sign a confidentiality agreement before the release of commercially sensitive information or Critical Energy Infrastructure Information in the Base Case data.  Such databases and lists, hereinafter referred to as Base Cases, shall include all (1) generation projects and (2) transmission projects, including merchant transmission projects that are proposed for the Transmission System for which a transmission expansion plan has been submitted and approved by the applicable authority.</w:t>
      </w:r>
    </w:p>
    <w:p w:rsidR="00911580" w14:paraId="176B35A6" w14:textId="4DB61097">
      <w:pPr>
        <w:rPr>
          <w:rFonts w:ascii="Times New Roman" w:hAnsi="Times New Roman" w:cs="Times New Roman"/>
          <w:sz w:val="26"/>
          <w:szCs w:val="26"/>
        </w:rPr>
      </w:pPr>
    </w:p>
    <w:p w:rsidR="003B75EE" w:rsidRPr="0072600F" w14:paraId="5CA7558F" w14:textId="77777777">
      <w:pPr>
        <w:rPr>
          <w:rFonts w:ascii="Times New Roman" w:hAnsi="Times New Roman" w:cs="Times New Roman"/>
          <w:sz w:val="26"/>
          <w:szCs w:val="26"/>
        </w:rPr>
      </w:pPr>
    </w:p>
    <w:p w:rsidR="00911580" w:rsidRPr="0072600F" w:rsidP="00FE47B2" w14:paraId="06F5F288" w14:textId="77777777">
      <w:pPr>
        <w:pStyle w:val="AppendixSecondLevel"/>
      </w:pPr>
      <w:bookmarkStart w:id="175" w:name="_Toc149903602"/>
      <w:r w:rsidRPr="0072600F">
        <w:t>2.4</w:t>
      </w:r>
      <w:r w:rsidRPr="0072600F">
        <w:tab/>
        <w:t>No Applicability to Transmission Service.</w:t>
      </w:r>
      <w:bookmarkEnd w:id="175"/>
    </w:p>
    <w:p w:rsidR="00911580" w:rsidRPr="0072600F" w:rsidP="00EB6ABF" w14:paraId="2465FAFD" w14:textId="77777777">
      <w:pPr>
        <w:ind w:left="1440"/>
        <w:rPr>
          <w:rFonts w:ascii="Times New Roman" w:hAnsi="Times New Roman" w:cs="Times New Roman"/>
          <w:sz w:val="26"/>
          <w:szCs w:val="26"/>
        </w:rPr>
      </w:pPr>
      <w:r w:rsidRPr="0072600F">
        <w:rPr>
          <w:rFonts w:ascii="Times New Roman" w:hAnsi="Times New Roman" w:cs="Times New Roman"/>
          <w:sz w:val="26"/>
          <w:szCs w:val="26"/>
        </w:rPr>
        <w:t>Nothing in this LGIP shall constitute a request for transmission service or confer upon an Interconnection Customer any right to receive transmission service.</w:t>
      </w:r>
    </w:p>
    <w:p w:rsidR="00911580" w:rsidRPr="0072600F" w14:paraId="775A7C7F" w14:textId="77777777">
      <w:pPr>
        <w:rPr>
          <w:rFonts w:ascii="Times New Roman" w:hAnsi="Times New Roman" w:cs="Times New Roman"/>
          <w:sz w:val="26"/>
          <w:szCs w:val="26"/>
        </w:rPr>
      </w:pPr>
    </w:p>
    <w:p w:rsidR="00911580" w:rsidRPr="0072600F" w:rsidP="00FE47B2" w14:paraId="65670401" w14:textId="77777777">
      <w:pPr>
        <w:pStyle w:val="AppendixFirstLevel"/>
      </w:pPr>
      <w:bookmarkStart w:id="176" w:name="_Toc149903603"/>
      <w:bookmarkStart w:id="177" w:name="_Hlk148390181"/>
      <w:r w:rsidRPr="0072600F">
        <w:t>Section 3.</w:t>
      </w:r>
      <w:r w:rsidRPr="0072600F">
        <w:tab/>
        <w:t>Interconnection Requests</w:t>
      </w:r>
      <w:bookmarkEnd w:id="176"/>
    </w:p>
    <w:p w:rsidR="00911580" w:rsidRPr="0072600F" w14:paraId="3C117B8C" w14:textId="77777777">
      <w:pPr>
        <w:rPr>
          <w:rFonts w:ascii="Times New Roman" w:hAnsi="Times New Roman" w:cs="Times New Roman"/>
          <w:sz w:val="26"/>
          <w:szCs w:val="26"/>
        </w:rPr>
      </w:pPr>
    </w:p>
    <w:p w:rsidR="00911580" w:rsidRPr="0072600F" w:rsidP="00FE47B2" w14:paraId="05BD73E4" w14:textId="77777777">
      <w:pPr>
        <w:pStyle w:val="AppendixSecondLevel"/>
      </w:pPr>
      <w:bookmarkStart w:id="178" w:name="_Toc149903604"/>
      <w:r w:rsidRPr="0072600F">
        <w:t>3.1</w:t>
      </w:r>
      <w:r w:rsidRPr="0072600F">
        <w:tab/>
        <w:t>Interconnection Requests.</w:t>
      </w:r>
      <w:bookmarkEnd w:id="178"/>
    </w:p>
    <w:p w:rsidR="00911580" w:rsidRPr="0072600F" w14:paraId="5013B6FC" w14:textId="77777777">
      <w:pPr>
        <w:rPr>
          <w:rFonts w:ascii="Times New Roman" w:hAnsi="Times New Roman" w:cs="Times New Roman"/>
          <w:sz w:val="26"/>
          <w:szCs w:val="26"/>
        </w:rPr>
      </w:pPr>
    </w:p>
    <w:p w:rsidR="00911580" w:rsidRPr="0072600F" w:rsidP="002339A2" w14:paraId="1F5FD47D" w14:textId="77777777">
      <w:pPr>
        <w:pStyle w:val="Heading4"/>
        <w:rPr>
          <w:rFonts w:eastAsia="Calibri"/>
          <w:b/>
          <w:sz w:val="26"/>
        </w:rPr>
      </w:pPr>
      <w:bookmarkStart w:id="179" w:name="_Toc149903605"/>
      <w:r w:rsidRPr="0072600F">
        <w:rPr>
          <w:rFonts w:eastAsia="Calibri"/>
          <w:b/>
          <w:bCs/>
          <w:sz w:val="26"/>
        </w:rPr>
        <w:tab/>
      </w:r>
      <w:r w:rsidRPr="0072600F">
        <w:rPr>
          <w:rFonts w:eastAsia="Calibri"/>
          <w:b/>
          <w:sz w:val="26"/>
        </w:rPr>
        <w:t xml:space="preserve">3.1.1 </w:t>
      </w:r>
      <w:r w:rsidRPr="0072600F">
        <w:rPr>
          <w:rFonts w:eastAsia="Calibri"/>
          <w:b/>
          <w:sz w:val="26"/>
        </w:rPr>
        <w:tab/>
        <w:t>Study Deposits.</w:t>
      </w:r>
      <w:bookmarkEnd w:id="179"/>
    </w:p>
    <w:p w:rsidR="00911580" w:rsidRPr="0072600F" w14:paraId="3A678B50" w14:textId="77777777">
      <w:pPr>
        <w:rPr>
          <w:rFonts w:ascii="Times New Roman" w:hAnsi="Times New Roman" w:cs="Times New Roman"/>
          <w:sz w:val="26"/>
          <w:szCs w:val="26"/>
        </w:rPr>
      </w:pPr>
    </w:p>
    <w:p w:rsidR="00911580" w:rsidRPr="0072600F" w:rsidP="0044142C" w14:paraId="315855FA" w14:textId="77777777">
      <w:pPr>
        <w:pStyle w:val="Heading4"/>
        <w:tabs>
          <w:tab w:val="clear" w:pos="1440"/>
        </w:tabs>
        <w:ind w:left="3600" w:hanging="2160"/>
        <w:rPr>
          <w:sz w:val="26"/>
        </w:rPr>
      </w:pPr>
      <w:r w:rsidRPr="0072600F">
        <w:rPr>
          <w:rStyle w:val="Heading4Char"/>
          <w:rFonts w:eastAsia="Calibri"/>
          <w:b/>
          <w:bCs/>
          <w:sz w:val="26"/>
        </w:rPr>
        <w:tab/>
      </w:r>
      <w:r w:rsidRPr="0072600F">
        <w:rPr>
          <w:rStyle w:val="Heading4Char"/>
          <w:rFonts w:eastAsia="Calibri"/>
          <w:b/>
          <w:sz w:val="26"/>
        </w:rPr>
        <w:t>3.1.1.1</w:t>
      </w:r>
      <w:r w:rsidRPr="0072600F">
        <w:rPr>
          <w:rStyle w:val="Heading4Char"/>
          <w:rFonts w:eastAsia="Calibri"/>
          <w:b/>
          <w:sz w:val="26"/>
        </w:rPr>
        <w:tab/>
        <w:t xml:space="preserve"> </w:t>
      </w:r>
      <w:r w:rsidRPr="0072600F">
        <w:rPr>
          <w:rStyle w:val="Heading4Char"/>
          <w:rFonts w:eastAsia="Calibri"/>
          <w:b/>
          <w:sz w:val="26"/>
        </w:rPr>
        <w:tab/>
        <w:t>Study Deposit</w:t>
      </w:r>
      <w:r w:rsidRPr="0072600F">
        <w:rPr>
          <w:rStyle w:val="Heading4Char"/>
          <w:rFonts w:eastAsia="Calibri"/>
          <w:sz w:val="26"/>
        </w:rPr>
        <w:t>.</w:t>
      </w:r>
      <w:r w:rsidRPr="0072600F">
        <w:rPr>
          <w:sz w:val="26"/>
        </w:rPr>
        <w:t xml:space="preserve">  Interconnection Customer </w:t>
      </w:r>
      <w:bookmarkEnd w:id="177"/>
      <w:r w:rsidRPr="0072600F">
        <w:rPr>
          <w:sz w:val="26"/>
        </w:rPr>
        <w:t>shall submit to Transmission Provider, during a Cluster Request Window, an Interconnection Request in the form of Appendix 1 to this LGIP, a</w:t>
      </w:r>
      <w:r w:rsidRPr="0072600F" w:rsidR="00DD78F3">
        <w:rPr>
          <w:sz w:val="26"/>
        </w:rPr>
        <w:t>[</w:t>
      </w:r>
      <w:r w:rsidRPr="0072600F">
        <w:rPr>
          <w:sz w:val="26"/>
        </w:rPr>
        <w:t>n</w:t>
      </w:r>
      <w:r w:rsidRPr="0072600F" w:rsidR="00DD78F3">
        <w:rPr>
          <w:sz w:val="26"/>
        </w:rPr>
        <w:t xml:space="preserve">] </w:t>
      </w:r>
      <w:r w:rsidRPr="0072600F" w:rsidR="00DD78F3">
        <w:rPr>
          <w:i/>
          <w:iCs/>
          <w:sz w:val="26"/>
        </w:rPr>
        <w:t>non-refundable</w:t>
      </w:r>
      <w:r w:rsidRPr="0072600F">
        <w:rPr>
          <w:sz w:val="26"/>
        </w:rPr>
        <w:t xml:space="preserve"> application fee of $5,000, and a refundable study deposit of: </w:t>
      </w:r>
    </w:p>
    <w:p w:rsidR="00911580" w:rsidRPr="0072600F" w14:paraId="24E73076" w14:textId="77777777">
      <w:pPr>
        <w:tabs>
          <w:tab w:val="left" w:pos="2160"/>
          <w:tab w:val="left" w:pos="2880"/>
          <w:tab w:val="left" w:pos="3600"/>
        </w:tabs>
        <w:ind w:left="3600" w:hanging="1440"/>
        <w:rPr>
          <w:rFonts w:ascii="Times New Roman" w:hAnsi="Times New Roman" w:cs="Times New Roman"/>
          <w:sz w:val="26"/>
          <w:szCs w:val="26"/>
        </w:rPr>
      </w:pPr>
    </w:p>
    <w:p w:rsidR="00911580" w:rsidRPr="0072600F" w:rsidP="00655736" w14:paraId="543AF422" w14:textId="77777777">
      <w:pPr>
        <w:tabs>
          <w:tab w:val="left" w:pos="2160"/>
          <w:tab w:val="left" w:pos="2880"/>
          <w:tab w:val="left" w:pos="3600"/>
        </w:tabs>
        <w:ind w:left="360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(a) $35,000 plus $1,000 per MW for Interconnection Requests </w:t>
      </w:r>
      <w:r w:rsidRPr="0072600F" w:rsidR="00F23978">
        <w:rPr>
          <w:rFonts w:ascii="Times New Roman" w:hAnsi="Times New Roman" w:cs="Times New Roman"/>
          <w:sz w:val="26"/>
          <w:szCs w:val="26"/>
        </w:rPr>
        <w:t>[</w:t>
      </w:r>
      <w:r w:rsidRPr="0072600F">
        <w:rPr>
          <w:rFonts w:ascii="Times New Roman" w:hAnsi="Times New Roman" w:cs="Times New Roman"/>
          <w:sz w:val="26"/>
          <w:szCs w:val="26"/>
        </w:rPr>
        <w:t>≥ 20 MW</w:t>
      </w:r>
      <w:r w:rsidRPr="0072600F" w:rsidR="00F23978">
        <w:rPr>
          <w:rFonts w:ascii="Times New Roman" w:hAnsi="Times New Roman" w:cs="Times New Roman"/>
          <w:sz w:val="26"/>
          <w:szCs w:val="26"/>
        </w:rPr>
        <w:t>]</w:t>
      </w:r>
      <w:r w:rsidRPr="0072600F">
        <w:rPr>
          <w:rFonts w:ascii="Times New Roman" w:hAnsi="Times New Roman" w:cs="Times New Roman"/>
          <w:sz w:val="26"/>
          <w:szCs w:val="26"/>
        </w:rPr>
        <w:t xml:space="preserve"> &lt; 80 MW; or </w:t>
      </w:r>
    </w:p>
    <w:p w:rsidR="00911580" w:rsidRPr="0072600F" w14:paraId="74B4B150" w14:textId="77777777">
      <w:pPr>
        <w:tabs>
          <w:tab w:val="left" w:pos="2160"/>
          <w:tab w:val="left" w:pos="2880"/>
          <w:tab w:val="left" w:pos="3600"/>
        </w:tabs>
        <w:ind w:left="3600" w:hanging="1440"/>
        <w:rPr>
          <w:rFonts w:ascii="Times New Roman" w:hAnsi="Times New Roman" w:cs="Times New Roman"/>
          <w:sz w:val="26"/>
          <w:szCs w:val="26"/>
        </w:rPr>
      </w:pPr>
    </w:p>
    <w:p w:rsidR="00911580" w:rsidRPr="0072600F" w14:paraId="530338A8" w14:textId="77777777">
      <w:pPr>
        <w:tabs>
          <w:tab w:val="left" w:pos="2160"/>
          <w:tab w:val="left" w:pos="2880"/>
          <w:tab w:val="left" w:pos="3600"/>
        </w:tabs>
        <w:ind w:left="360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(b) $150,000 for Interconnection Requests ≥ 80 MW  &lt; 200 MW; or </w:t>
      </w:r>
    </w:p>
    <w:p w:rsidR="00911580" w:rsidRPr="0072600F" w14:paraId="3DA162C4" w14:textId="77777777">
      <w:pPr>
        <w:tabs>
          <w:tab w:val="left" w:pos="2160"/>
          <w:tab w:val="left" w:pos="2880"/>
          <w:tab w:val="left" w:pos="3600"/>
        </w:tabs>
        <w:ind w:left="3600" w:hanging="1440"/>
        <w:rPr>
          <w:rFonts w:ascii="Times New Roman" w:hAnsi="Times New Roman" w:cs="Times New Roman"/>
          <w:sz w:val="26"/>
          <w:szCs w:val="26"/>
        </w:rPr>
      </w:pPr>
    </w:p>
    <w:p w:rsidR="00911580" w:rsidRPr="0072600F" w14:paraId="7356DBF5" w14:textId="77777777">
      <w:pPr>
        <w:tabs>
          <w:tab w:val="left" w:pos="2160"/>
          <w:tab w:val="left" w:pos="2880"/>
          <w:tab w:val="left" w:pos="3600"/>
        </w:tabs>
        <w:ind w:left="360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(c) $250,000 for Interconnection Requests ≥ 200 MW.  </w:t>
      </w:r>
    </w:p>
    <w:p w:rsidR="00911580" w:rsidRPr="0072600F" w14:paraId="66412F47" w14:textId="77777777">
      <w:pPr>
        <w:tabs>
          <w:tab w:val="left" w:pos="2160"/>
          <w:tab w:val="left" w:pos="2880"/>
          <w:tab w:val="left" w:pos="3600"/>
        </w:tabs>
        <w:ind w:left="3600" w:hanging="1440"/>
        <w:rPr>
          <w:rFonts w:ascii="Times New Roman" w:hAnsi="Times New Roman" w:cs="Times New Roman"/>
          <w:sz w:val="26"/>
          <w:szCs w:val="26"/>
        </w:rPr>
      </w:pPr>
    </w:p>
    <w:p w:rsidR="00911580" w:rsidRPr="0072600F" w14:paraId="6DBF9892" w14:textId="77777777">
      <w:pPr>
        <w:tabs>
          <w:tab w:val="left" w:pos="2160"/>
          <w:tab w:val="left" w:pos="2880"/>
          <w:tab w:val="left" w:pos="3600"/>
        </w:tabs>
        <w:ind w:left="360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Transmission Provider shall apply the study deposit toward the cost of the Cluster Study Process.  </w:t>
      </w:r>
    </w:p>
    <w:p w:rsidR="00911580" w:rsidRPr="0072600F" w14:paraId="6A4D1AD0" w14:textId="77777777">
      <w:pPr>
        <w:ind w:left="1440"/>
        <w:rPr>
          <w:rFonts w:ascii="Times New Roman" w:hAnsi="Times New Roman" w:cs="Times New Roman"/>
          <w:sz w:val="26"/>
          <w:szCs w:val="26"/>
        </w:rPr>
      </w:pPr>
    </w:p>
    <w:p w:rsidR="002339A2" w:rsidRPr="0072600F" w:rsidP="00056EC2" w14:paraId="2B0A8E7B" w14:textId="77777777">
      <w:pPr>
        <w:pStyle w:val="BodyText"/>
        <w:rPr>
          <w:sz w:val="26"/>
          <w:szCs w:val="26"/>
        </w:rPr>
      </w:pPr>
      <w:bookmarkStart w:id="180" w:name="_Toc149903606"/>
      <w:r w:rsidRPr="0072600F">
        <w:rPr>
          <w:rFonts w:eastAsia="Calibri"/>
          <w:b/>
          <w:bCs/>
          <w:sz w:val="26"/>
          <w:szCs w:val="26"/>
        </w:rPr>
        <w:tab/>
      </w:r>
      <w:r w:rsidRPr="0072600F" w:rsidR="00911580">
        <w:rPr>
          <w:rFonts w:eastAsia="Calibri"/>
          <w:b/>
          <w:sz w:val="26"/>
          <w:szCs w:val="26"/>
        </w:rPr>
        <w:t xml:space="preserve">3.1.2 </w:t>
      </w:r>
      <w:r w:rsidRPr="0072600F" w:rsidR="00911580">
        <w:rPr>
          <w:rFonts w:eastAsia="Calibri"/>
          <w:b/>
          <w:sz w:val="26"/>
          <w:szCs w:val="26"/>
        </w:rPr>
        <w:tab/>
        <w:t>Submission.</w:t>
      </w:r>
      <w:bookmarkEnd w:id="180"/>
      <w:r w:rsidRPr="0072600F" w:rsidR="00911580">
        <w:rPr>
          <w:rFonts w:eastAsia="Calibri"/>
          <w:b/>
          <w:sz w:val="26"/>
          <w:szCs w:val="26"/>
        </w:rPr>
        <w:t xml:space="preserve"> </w:t>
      </w:r>
    </w:p>
    <w:p w:rsidR="00911580" w:rsidRPr="0072600F" w14:paraId="4F08D442"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Interconnection Customer shall submit a separate Interconnection Request for each site.  Where multiple Generating Facilities share a site, Interconnection Customer(s) may submit separate Interconnection Requests or a single Interconnection Request. </w:t>
      </w:r>
      <w:bookmarkStart w:id="181" w:name="_Hlk101443515"/>
      <w:r w:rsidRPr="0072600F">
        <w:rPr>
          <w:rFonts w:ascii="Times New Roman" w:hAnsi="Times New Roman" w:cs="Times New Roman"/>
          <w:sz w:val="26"/>
          <w:szCs w:val="26"/>
        </w:rPr>
        <w:t xml:space="preserve"> An Interconnection Request to evaluate one site at two different voltage levels shall be treated as two Interconnection Requests</w:t>
      </w:r>
      <w:bookmarkEnd w:id="181"/>
      <w:r w:rsidRPr="0072600F">
        <w:rPr>
          <w:rFonts w:ascii="Times New Roman" w:hAnsi="Times New Roman" w:cs="Times New Roman"/>
          <w:sz w:val="26"/>
          <w:szCs w:val="26"/>
        </w:rPr>
        <w:t xml:space="preserve">.  </w:t>
      </w:r>
    </w:p>
    <w:p w:rsidR="00911580" w:rsidRPr="0072600F" w14:paraId="20C3BE12" w14:textId="77777777">
      <w:pPr>
        <w:ind w:left="2160"/>
        <w:rPr>
          <w:rFonts w:ascii="Times New Roman" w:hAnsi="Times New Roman" w:cs="Times New Roman"/>
          <w:i/>
          <w:iCs/>
          <w:sz w:val="26"/>
          <w:szCs w:val="26"/>
        </w:rPr>
      </w:pPr>
    </w:p>
    <w:p w:rsidR="00911580" w:rsidRPr="0072600F" w14:paraId="105F8711" w14:textId="77777777">
      <w:pPr>
        <w:ind w:left="2160"/>
        <w:rPr>
          <w:rFonts w:ascii="Times New Roman" w:hAnsi="Times New Roman" w:cs="Times New Roman"/>
          <w:i/>
          <w:iCs/>
          <w:sz w:val="26"/>
          <w:szCs w:val="26"/>
        </w:rPr>
      </w:pPr>
      <w:r w:rsidRPr="0072600F">
        <w:rPr>
          <w:rFonts w:ascii="Times New Roman" w:hAnsi="Times New Roman" w:cs="Times New Roman"/>
          <w:sz w:val="26"/>
          <w:szCs w:val="26"/>
        </w:rPr>
        <w:t>At Interconnection Customer’s option, Transmission Provider and Interconnection Customer will identify alternative Point(s) of Interconnection and configurations at a</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Scoping Meeting within the Customer Engagement Window to evaluate in this process and attempt to eliminate alternatives in a reasonable fashion given resources and information available.  Interconnection Customer will select the definitive Point of Interconnection to be studied no later than the execution of the Cluster Study Agreement.  For purposes of clustering Interconnection Requests, Transmission Provider may propose changes to the requested Point of Interconnection to facilitate efficient interconnection of Interconnection Customers at common Point(s) of Interconnection.  Transmission Provider shall notify Interconnection Customers in writing of any intended changes to the requested Point of Interconnection within the Customer Engagement Window, and the Point of Interconnection shall only change upon mutual agreement.</w:t>
      </w:r>
    </w:p>
    <w:p w:rsidR="00911580" w:rsidRPr="0072600F" w14:paraId="3BCD5870" w14:textId="77777777">
      <w:pPr>
        <w:ind w:left="2160"/>
        <w:rPr>
          <w:rFonts w:ascii="Times New Roman" w:hAnsi="Times New Roman" w:cs="Times New Roman"/>
          <w:i/>
          <w:iCs/>
          <w:sz w:val="26"/>
          <w:szCs w:val="26"/>
        </w:rPr>
      </w:pPr>
    </w:p>
    <w:p w:rsidR="00911580" w:rsidRPr="0072600F" w14:paraId="4FC6A28B"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have a process in place to consider requests for Interconnection Service below the Generating Facility Capacity.  These requests for Interconnection Service shall be studied at the level of Interconnection Service requested for purposes of Interconnection Facilities, Network Upgrades, and associated costs, but may be subject to other studies at the full Generating Facility Capacity to ensure safety and reliability of the system, with the study costs borne by Interconnection Customer.  If after the additional studies are complete, Transmission Provider determines that additional Network Upgrades are necessary, then Transmission Provider must: </w:t>
      </w:r>
      <w:r w:rsidRPr="0072600F" w:rsidR="00CD11CD">
        <w:rPr>
          <w:rFonts w:ascii="Times New Roman" w:hAnsi="Times New Roman" w:cs="Times New Roman"/>
          <w:sz w:val="26"/>
          <w:szCs w:val="26"/>
        </w:rPr>
        <w:t xml:space="preserve"> </w:t>
      </w:r>
      <w:r w:rsidRPr="0072600F">
        <w:rPr>
          <w:rFonts w:ascii="Times New Roman" w:hAnsi="Times New Roman" w:cs="Times New Roman"/>
          <w:sz w:val="26"/>
          <w:szCs w:val="26"/>
        </w:rPr>
        <w:t>(1) specify which additional Network Upgrade costs are based on which studies; and (2) provide a detailed explanation of why the additional Network Upgrades are necessary.  Any Interconnection Facility and/or Network Upgrade costs required for safety and reliability also would be borne by Interconnection Customer.  Interconnection Customers may be subject to additional control technologies as well as testing and validation of those technologies consistent with Article 6 of the LGIA.  The necessary control technologies and protection systems shall be established in Appendix C of that executed, or requested to be filed unexecuted, LGIA.</w:t>
      </w:r>
    </w:p>
    <w:p w:rsidR="00911580" w:rsidRPr="0072600F" w14:paraId="125690E1" w14:textId="77777777">
      <w:pPr>
        <w:ind w:left="2160"/>
        <w:rPr>
          <w:rFonts w:ascii="Times New Roman" w:hAnsi="Times New Roman" w:cs="Times New Roman"/>
          <w:sz w:val="26"/>
          <w:szCs w:val="26"/>
        </w:rPr>
      </w:pPr>
    </w:p>
    <w:p w:rsidR="00911580" w:rsidRPr="0072600F" w14:paraId="1E00CE2C" w14:textId="77777777">
      <w:pPr>
        <w:ind w:left="2160"/>
        <w:rPr>
          <w:rFonts w:ascii="Times New Roman" w:hAnsi="Times New Roman" w:cs="Times New Roman"/>
          <w:sz w:val="26"/>
          <w:szCs w:val="26"/>
        </w:rPr>
      </w:pPr>
      <w:r w:rsidRPr="0072600F">
        <w:rPr>
          <w:rFonts w:ascii="Times New Roman" w:hAnsi="Times New Roman" w:cs="Times New Roman"/>
          <w:sz w:val="26"/>
          <w:szCs w:val="26"/>
        </w:rPr>
        <w:t>Transmission Provider shall have a process in place to study Generating Facilities that include at least one electric storage resource using operating assumptions (i.e., whether the interconnecting Generating Facility will or will not charge at peak load) that reflect the proposed charging behavior of the Generating Facility as requested by Interconnection Customer, unless Transmission Provider determines that Good Utility Practice, including Applicable Reliability Standards, otherwise requires the use of different operating assumptions.  If Transmission Provider finds Interconnection Customer’s requested operating assumptions conflict with Good Utility Practice, Transmission Provider must provide Interconnection Customer an explanation in writing of why the submit</w:t>
      </w:r>
      <w:r w:rsidRPr="0072600F" w:rsidR="00F8713A">
        <w:rPr>
          <w:rFonts w:ascii="Times New Roman" w:hAnsi="Times New Roman" w:cs="Times New Roman"/>
          <w:sz w:val="26"/>
          <w:szCs w:val="26"/>
        </w:rPr>
        <w:t>t</w:t>
      </w:r>
      <w:r w:rsidRPr="0072600F">
        <w:rPr>
          <w:rFonts w:ascii="Times New Roman" w:hAnsi="Times New Roman" w:cs="Times New Roman"/>
          <w:sz w:val="26"/>
          <w:szCs w:val="26"/>
        </w:rPr>
        <w:t xml:space="preserve">ed operating assumptions are insufficient or inappropriate by no later than thirty (30) Calendar Days before the end of the Customer Engagement Window and allow Interconnection Customer to revise and resubmit requested operating assumptions one time at least ten (10) Calendar Days prior to the end of the Customer Engagement Window.  Transmission Provider shall study these requests for Interconnection Service, with the study costs borne by Interconnection Customer, using the submitted operating assumptions for purposes of Interconnection Facilities, Network Upgrades, and associated costs.  These requests for Interconnection Service also may be subject to other studies at the full Generating Facility Capacity to ensure safety and reliability of the system, with the study costs borne by Interconnection Customer.  Interconnection Customer’s Generating Facility may be subject to additional control technologies as well as testing and validation of such additional control technologies consistent with Article 6 of the LGIA.  The necessary control technologies and protection systems shall be set forth in Appendix C of </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the</w:t>
      </w:r>
      <w:r w:rsidRPr="0072600F" w:rsidR="00E4060E">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LGIA.</w:t>
      </w:r>
    </w:p>
    <w:p w:rsidR="00911580" w:rsidRPr="0072600F" w14:paraId="1FF23DEF" w14:textId="77777777">
      <w:pPr>
        <w:rPr>
          <w:rFonts w:ascii="Times New Roman" w:hAnsi="Times New Roman" w:cs="Times New Roman"/>
          <w:sz w:val="26"/>
          <w:szCs w:val="26"/>
        </w:rPr>
      </w:pPr>
    </w:p>
    <w:p w:rsidR="00911580" w:rsidRPr="0072600F" w:rsidP="002339A2" w14:paraId="2B3ECC66" w14:textId="77777777">
      <w:pPr>
        <w:pStyle w:val="Heading3"/>
        <w:ind w:left="0" w:firstLine="0"/>
        <w:rPr>
          <w:b/>
          <w:sz w:val="26"/>
        </w:rPr>
      </w:pPr>
      <w:r w:rsidRPr="0072600F">
        <w:rPr>
          <w:sz w:val="26"/>
        </w:rPr>
        <w:tab/>
      </w:r>
      <w:bookmarkStart w:id="182" w:name="_Toc149903607"/>
      <w:r w:rsidRPr="0072600F">
        <w:rPr>
          <w:b/>
          <w:sz w:val="26"/>
        </w:rPr>
        <w:t>3.2</w:t>
      </w:r>
      <w:r w:rsidRPr="0072600F">
        <w:rPr>
          <w:b/>
          <w:sz w:val="26"/>
        </w:rPr>
        <w:tab/>
        <w:t>Identification of Types of Interconnection Services.</w:t>
      </w:r>
      <w:bookmarkEnd w:id="182"/>
    </w:p>
    <w:p w:rsidR="00911580" w:rsidRPr="0072600F" w14:paraId="23341EFA"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At the time the Interconnection Request is submitted, Interconnection Customer must request either Energy Resource Interconnection Service or Network Resource Interconnection Service, as described; provided, however, any Interconnection Customer requesting Network Resource Interconnection Service may also request that it be concurrently studied for Energy Resource Interconnection Service, up to the point when an Interconnection Facilities Study Agreement is executed.  Interconnection Customer may then elect to proceed with Network Resource Interconnection Service or to proceed under a lower level of interconnection service to the extent that only certain upgrades will be completed.</w:t>
      </w:r>
    </w:p>
    <w:p w:rsidR="00911580" w:rsidRPr="0072600F" w14:paraId="21951FF5" w14:textId="77777777">
      <w:pPr>
        <w:rPr>
          <w:rFonts w:ascii="Times New Roman" w:hAnsi="Times New Roman" w:cs="Times New Roman"/>
          <w:sz w:val="26"/>
          <w:szCs w:val="26"/>
        </w:rPr>
      </w:pPr>
    </w:p>
    <w:p w:rsidR="00911580" w:rsidRPr="0072600F" w:rsidP="002339A2" w14:paraId="70F7CA40" w14:textId="77777777">
      <w:pPr>
        <w:pStyle w:val="Heading4"/>
        <w:rPr>
          <w:b/>
          <w:sz w:val="26"/>
        </w:rPr>
      </w:pPr>
      <w:r w:rsidRPr="0072600F">
        <w:rPr>
          <w:sz w:val="26"/>
        </w:rPr>
        <w:tab/>
      </w:r>
      <w:bookmarkStart w:id="183" w:name="_Hlk148390208"/>
      <w:bookmarkStart w:id="184" w:name="_Toc149903608"/>
      <w:r w:rsidRPr="0072600F">
        <w:rPr>
          <w:b/>
          <w:sz w:val="26"/>
        </w:rPr>
        <w:t>3.2.1</w:t>
      </w:r>
      <w:r w:rsidRPr="0072600F">
        <w:rPr>
          <w:b/>
          <w:sz w:val="26"/>
        </w:rPr>
        <w:tab/>
        <w:t>Energy Resource Interconnection Service.</w:t>
      </w:r>
      <w:bookmarkEnd w:id="183"/>
      <w:bookmarkEnd w:id="184"/>
    </w:p>
    <w:p w:rsidR="00911580" w:rsidRPr="0072600F" w14:paraId="6D16E7B1" w14:textId="77777777">
      <w:pPr>
        <w:rPr>
          <w:rFonts w:ascii="Times New Roman" w:hAnsi="Times New Roman" w:cs="Times New Roman"/>
          <w:sz w:val="26"/>
          <w:szCs w:val="26"/>
        </w:rPr>
      </w:pPr>
    </w:p>
    <w:p w:rsidR="00911580" w:rsidRPr="0072600F" w:rsidP="00C84FBF" w14:paraId="22C3679D" w14:textId="77777777">
      <w:pPr>
        <w:pStyle w:val="Heading5"/>
        <w:ind w:left="3600" w:hanging="3600"/>
        <w:rPr>
          <w:b w:val="0"/>
          <w:bCs w:val="0"/>
          <w:sz w:val="26"/>
          <w:szCs w:val="26"/>
        </w:rPr>
      </w:pPr>
      <w:r w:rsidRPr="0072600F">
        <w:rPr>
          <w:rStyle w:val="Heading4Char"/>
          <w:rFonts w:eastAsia="Calibri"/>
          <w:b w:val="0"/>
          <w:bCs w:val="0"/>
          <w:sz w:val="26"/>
        </w:rPr>
        <w:tab/>
      </w:r>
      <w:r w:rsidRPr="0072600F">
        <w:rPr>
          <w:rStyle w:val="Heading4Char"/>
          <w:rFonts w:eastAsia="Calibri"/>
          <w:b w:val="0"/>
          <w:bCs w:val="0"/>
          <w:sz w:val="26"/>
        </w:rPr>
        <w:tab/>
      </w:r>
      <w:r w:rsidRPr="0072600F">
        <w:rPr>
          <w:rStyle w:val="Heading4Char"/>
          <w:rFonts w:eastAsia="Calibri"/>
          <w:b w:val="0"/>
          <w:bCs w:val="0"/>
          <w:sz w:val="26"/>
        </w:rPr>
        <w:tab/>
      </w:r>
      <w:r w:rsidRPr="0072600F">
        <w:rPr>
          <w:rStyle w:val="Heading4Char"/>
          <w:rFonts w:eastAsia="Calibri"/>
          <w:sz w:val="26"/>
        </w:rPr>
        <w:t>3.2.1.1</w:t>
      </w:r>
      <w:r w:rsidRPr="0072600F">
        <w:rPr>
          <w:sz w:val="26"/>
          <w:szCs w:val="26"/>
        </w:rPr>
        <w:tab/>
      </w:r>
      <w:r w:rsidRPr="0072600F">
        <w:rPr>
          <w:sz w:val="26"/>
          <w:szCs w:val="26"/>
        </w:rPr>
        <w:tab/>
        <w:t>The Product.</w:t>
      </w:r>
      <w:r w:rsidRPr="0072600F">
        <w:rPr>
          <w:b w:val="0"/>
          <w:bCs w:val="0"/>
          <w:sz w:val="26"/>
          <w:szCs w:val="26"/>
        </w:rPr>
        <w:t xml:space="preserve">  Energy Resource Interconnection Service allows Interconnection Customer to connect the Large Generating Facility to the Transmission System and be eligible to deliver the Large Generating Facil</w:t>
      </w:r>
      <w:r w:rsidRPr="0072600F" w:rsidR="00C84FBF">
        <w:rPr>
          <w:b w:val="0"/>
          <w:bCs w:val="0"/>
          <w:sz w:val="26"/>
          <w:szCs w:val="26"/>
        </w:rPr>
        <w:t>i</w:t>
      </w:r>
      <w:r w:rsidRPr="0072600F">
        <w:rPr>
          <w:b w:val="0"/>
          <w:bCs w:val="0"/>
          <w:sz w:val="26"/>
          <w:szCs w:val="26"/>
        </w:rPr>
        <w:t xml:space="preserve">ty's output using the existing firm or non-firm capacity of the Transmission System on </w:t>
      </w:r>
      <w:r w:rsidRPr="0072600F" w:rsidR="00C84FBF">
        <w:rPr>
          <w:b w:val="0"/>
          <w:bCs w:val="0"/>
          <w:sz w:val="26"/>
          <w:szCs w:val="26"/>
        </w:rPr>
        <w:t>a</w:t>
      </w:r>
      <w:r w:rsidRPr="0072600F">
        <w:rPr>
          <w:b w:val="0"/>
          <w:bCs w:val="0"/>
          <w:sz w:val="26"/>
          <w:szCs w:val="26"/>
        </w:rPr>
        <w:t>n "as availa</w:t>
      </w:r>
      <w:r w:rsidRPr="0072600F" w:rsidR="00C84FBF">
        <w:rPr>
          <w:b w:val="0"/>
          <w:bCs w:val="0"/>
          <w:sz w:val="26"/>
          <w:szCs w:val="26"/>
        </w:rPr>
        <w:t>b</w:t>
      </w:r>
      <w:r w:rsidRPr="0072600F">
        <w:rPr>
          <w:b w:val="0"/>
          <w:bCs w:val="0"/>
          <w:sz w:val="26"/>
          <w:szCs w:val="26"/>
        </w:rPr>
        <w:t>le" basis.  Energy Resource Interconnection Service does not in and of itself convey any right to deliver electricity to any specific customer or Point of Delivery.</w:t>
      </w:r>
    </w:p>
    <w:p w:rsidR="00911580" w:rsidRPr="0072600F" w14:paraId="3D6AC4AE" w14:textId="77777777">
      <w:pPr>
        <w:rPr>
          <w:rFonts w:ascii="Times New Roman" w:hAnsi="Times New Roman" w:cs="Times New Roman"/>
          <w:sz w:val="26"/>
          <w:szCs w:val="26"/>
        </w:rPr>
      </w:pPr>
    </w:p>
    <w:p w:rsidR="00911580" w:rsidRPr="0072600F" w:rsidP="0044142C" w14:paraId="44082E76" w14:textId="77777777">
      <w:pPr>
        <w:pStyle w:val="Heading5"/>
        <w:ind w:left="3600" w:hanging="3600"/>
        <w:rPr>
          <w:b w:val="0"/>
          <w:bCs w:val="0"/>
          <w:sz w:val="26"/>
          <w:szCs w:val="26"/>
        </w:rPr>
      </w:pPr>
      <w:r w:rsidRPr="0072600F">
        <w:rPr>
          <w:rStyle w:val="Heading4Char"/>
          <w:rFonts w:eastAsiaTheme="minorHAnsi"/>
          <w:b w:val="0"/>
          <w:bCs w:val="0"/>
          <w:sz w:val="26"/>
        </w:rPr>
        <w:tab/>
      </w:r>
      <w:r w:rsidRPr="0072600F">
        <w:rPr>
          <w:rStyle w:val="Heading4Char"/>
          <w:rFonts w:eastAsiaTheme="minorHAnsi"/>
          <w:b w:val="0"/>
          <w:bCs w:val="0"/>
          <w:sz w:val="26"/>
        </w:rPr>
        <w:tab/>
      </w:r>
      <w:r w:rsidRPr="0072600F">
        <w:rPr>
          <w:rStyle w:val="Heading4Char"/>
          <w:rFonts w:eastAsiaTheme="minorHAnsi"/>
          <w:b w:val="0"/>
          <w:bCs w:val="0"/>
          <w:sz w:val="26"/>
        </w:rPr>
        <w:tab/>
      </w:r>
      <w:r w:rsidRPr="0072600F">
        <w:rPr>
          <w:rStyle w:val="Heading4Char"/>
          <w:rFonts w:eastAsiaTheme="minorHAnsi"/>
          <w:sz w:val="26"/>
        </w:rPr>
        <w:t>3.2.1.2</w:t>
      </w:r>
      <w:r w:rsidRPr="0072600F">
        <w:rPr>
          <w:b w:val="0"/>
          <w:bCs w:val="0"/>
          <w:sz w:val="26"/>
          <w:szCs w:val="26"/>
        </w:rPr>
        <w:tab/>
      </w:r>
      <w:r w:rsidRPr="0072600F">
        <w:rPr>
          <w:b w:val="0"/>
          <w:bCs w:val="0"/>
          <w:sz w:val="26"/>
          <w:szCs w:val="26"/>
        </w:rPr>
        <w:tab/>
      </w:r>
      <w:r w:rsidRPr="0072600F">
        <w:rPr>
          <w:sz w:val="26"/>
          <w:szCs w:val="26"/>
        </w:rPr>
        <w:t>The Study.</w:t>
      </w:r>
      <w:r w:rsidRPr="0072600F">
        <w:rPr>
          <w:b w:val="0"/>
          <w:bCs w:val="0"/>
          <w:sz w:val="26"/>
          <w:szCs w:val="26"/>
        </w:rPr>
        <w:t xml:space="preserve">  The study consists of short circuit/fault duty, steady state (thermal and voltage) and stability analyses.  The short circuit/fault duty analysis would identify direct Interconnection Facilities required and the Network Upgrades necessary to address short circuit issues associated with the Interconnection Facilities. The stability and steady state studies would identify necessary upgrades to allow full output of the proposed Large Generating Facility</w:t>
      </w:r>
      <w:r w:rsidRPr="0072600F">
        <w:rPr>
          <w:b w:val="0"/>
          <w:bCs w:val="0"/>
          <w:i/>
          <w:sz w:val="26"/>
          <w:szCs w:val="26"/>
        </w:rPr>
        <w:t xml:space="preserve">, </w:t>
      </w:r>
      <w:r w:rsidRPr="0072600F">
        <w:rPr>
          <w:b w:val="0"/>
          <w:bCs w:val="0"/>
          <w:iCs/>
          <w:sz w:val="26"/>
          <w:szCs w:val="26"/>
        </w:rPr>
        <w:t xml:space="preserve">except for Generating Facilities that include at least one electric storage resource that request to use operating assumptions pursuant to Section 3.1.2, unless </w:t>
      </w:r>
      <w:r w:rsidRPr="0072600F" w:rsidR="00F8713A">
        <w:rPr>
          <w:b w:val="0"/>
          <w:bCs w:val="0"/>
          <w:iCs/>
          <w:sz w:val="26"/>
          <w:szCs w:val="26"/>
        </w:rPr>
        <w:t>[</w:t>
      </w:r>
      <w:r w:rsidRPr="0072600F">
        <w:rPr>
          <w:b w:val="0"/>
          <w:bCs w:val="0"/>
          <w:iCs/>
          <w:sz w:val="26"/>
          <w:szCs w:val="26"/>
        </w:rPr>
        <w:t>the</w:t>
      </w:r>
      <w:r w:rsidRPr="0072600F" w:rsidR="00F8713A">
        <w:rPr>
          <w:b w:val="0"/>
          <w:bCs w:val="0"/>
          <w:iCs/>
          <w:sz w:val="26"/>
          <w:szCs w:val="26"/>
        </w:rPr>
        <w:t>]</w:t>
      </w:r>
      <w:r w:rsidRPr="0072600F">
        <w:rPr>
          <w:b w:val="0"/>
          <w:bCs w:val="0"/>
          <w:iCs/>
          <w:sz w:val="26"/>
          <w:szCs w:val="26"/>
        </w:rPr>
        <w:t xml:space="preserve"> Transmission Provider determines that Good Utility Practice, including Applicable Reliability Standards, otherwise requires the use of different operating assumptions, </w:t>
      </w:r>
      <w:r w:rsidRPr="0072600F">
        <w:rPr>
          <w:b w:val="0"/>
          <w:bCs w:val="0"/>
          <w:sz w:val="26"/>
          <w:szCs w:val="26"/>
        </w:rPr>
        <w:t>and would also identify the maximum allowed output, at the time the study is performed, of the interconnecting Large Generating Facility without requiring additional Network Upgrades.</w:t>
      </w:r>
    </w:p>
    <w:p w:rsidR="00911580" w:rsidRPr="0072600F" w:rsidP="003F1A21" w14:paraId="08EB4A40" w14:textId="77777777">
      <w:pPr>
        <w:pStyle w:val="Heading4"/>
        <w:rPr>
          <w:b/>
          <w:sz w:val="26"/>
        </w:rPr>
      </w:pPr>
      <w:r w:rsidRPr="0072600F">
        <w:rPr>
          <w:sz w:val="26"/>
        </w:rPr>
        <w:tab/>
      </w:r>
      <w:bookmarkStart w:id="185" w:name="_Toc149903609"/>
      <w:r w:rsidRPr="0072600F">
        <w:rPr>
          <w:b/>
          <w:sz w:val="26"/>
        </w:rPr>
        <w:t>3.2.2</w:t>
      </w:r>
      <w:r w:rsidRPr="0072600F">
        <w:rPr>
          <w:b/>
          <w:sz w:val="26"/>
        </w:rPr>
        <w:tab/>
        <w:t>Network Resource Interconnection Service.</w:t>
      </w:r>
      <w:bookmarkEnd w:id="185"/>
    </w:p>
    <w:p w:rsidR="00911580" w:rsidRPr="0072600F" w14:paraId="458C2382" w14:textId="77777777">
      <w:pPr>
        <w:rPr>
          <w:rFonts w:ascii="Times New Roman" w:hAnsi="Times New Roman" w:cs="Times New Roman"/>
          <w:sz w:val="26"/>
          <w:szCs w:val="26"/>
        </w:rPr>
      </w:pPr>
    </w:p>
    <w:p w:rsidR="00911580" w:rsidRPr="0072600F" w:rsidP="0044142C" w14:paraId="2C3B1D27" w14:textId="77777777">
      <w:pPr>
        <w:pStyle w:val="Heading5"/>
        <w:ind w:left="3600" w:hanging="3600"/>
        <w:rPr>
          <w:b w:val="0"/>
          <w:bCs w:val="0"/>
          <w:sz w:val="26"/>
          <w:szCs w:val="26"/>
        </w:rPr>
      </w:pPr>
      <w:bookmarkStart w:id="186" w:name="_Hlk148390292"/>
      <w:r w:rsidRPr="0072600F">
        <w:rPr>
          <w:rStyle w:val="Heading4Char"/>
          <w:rFonts w:eastAsiaTheme="minorHAnsi"/>
          <w:b w:val="0"/>
          <w:bCs w:val="0"/>
          <w:sz w:val="26"/>
        </w:rPr>
        <w:tab/>
      </w:r>
      <w:r w:rsidRPr="0072600F">
        <w:rPr>
          <w:rStyle w:val="Heading4Char"/>
          <w:rFonts w:eastAsiaTheme="minorHAnsi"/>
          <w:b w:val="0"/>
          <w:bCs w:val="0"/>
          <w:sz w:val="26"/>
        </w:rPr>
        <w:tab/>
      </w:r>
      <w:r w:rsidRPr="0072600F">
        <w:rPr>
          <w:rStyle w:val="Heading4Char"/>
          <w:rFonts w:eastAsiaTheme="minorHAnsi"/>
          <w:sz w:val="26"/>
        </w:rPr>
        <w:tab/>
      </w:r>
      <w:r w:rsidRPr="0072600F">
        <w:rPr>
          <w:rStyle w:val="Heading4Char"/>
          <w:rFonts w:eastAsiaTheme="minorHAnsi"/>
          <w:sz w:val="26"/>
        </w:rPr>
        <w:t>3.2.2.1</w:t>
      </w:r>
      <w:r w:rsidRPr="0072600F">
        <w:rPr>
          <w:sz w:val="26"/>
          <w:szCs w:val="26"/>
        </w:rPr>
        <w:tab/>
      </w:r>
      <w:r w:rsidRPr="0072600F">
        <w:rPr>
          <w:sz w:val="26"/>
          <w:szCs w:val="26"/>
        </w:rPr>
        <w:tab/>
        <w:t>The Product.</w:t>
      </w:r>
      <w:r w:rsidRPr="0072600F">
        <w:rPr>
          <w:b w:val="0"/>
          <w:bCs w:val="0"/>
          <w:sz w:val="26"/>
          <w:szCs w:val="26"/>
        </w:rPr>
        <w:t xml:space="preserve">  Transmission Provider must conduct </w:t>
      </w:r>
      <w:bookmarkEnd w:id="186"/>
      <w:r w:rsidRPr="0072600F">
        <w:rPr>
          <w:b w:val="0"/>
          <w:bCs w:val="0"/>
          <w:sz w:val="26"/>
          <w:szCs w:val="26"/>
        </w:rPr>
        <w:t xml:space="preserve">the necessary studies and construct the Network Upgrades needed to integrate the Large Generating Facility (1) in a manner comparable to that in which Transmission Provider integrates its generating facilities to serve native load customers; or (2) in an ISO or RTO with market based congestion management, in the same manner as Network Resources.  Network Resource Interconnection Service </w:t>
      </w:r>
      <w:r w:rsidRPr="0072600F" w:rsidR="00D01D00">
        <w:rPr>
          <w:b w:val="0"/>
          <w:bCs w:val="0"/>
          <w:sz w:val="26"/>
          <w:szCs w:val="26"/>
        </w:rPr>
        <w:t>[</w:t>
      </w:r>
      <w:r w:rsidRPr="0072600F">
        <w:rPr>
          <w:b w:val="0"/>
          <w:bCs w:val="0"/>
          <w:sz w:val="26"/>
          <w:szCs w:val="26"/>
        </w:rPr>
        <w:t>A</w:t>
      </w:r>
      <w:r w:rsidRPr="0072600F" w:rsidR="00D01D00">
        <w:rPr>
          <w:b w:val="0"/>
          <w:bCs w:val="0"/>
          <w:sz w:val="26"/>
          <w:szCs w:val="26"/>
        </w:rPr>
        <w:t>]</w:t>
      </w:r>
      <w:r w:rsidRPr="0072600F" w:rsidR="00D01D00">
        <w:rPr>
          <w:b w:val="0"/>
          <w:bCs w:val="0"/>
          <w:i/>
          <w:iCs/>
          <w:sz w:val="26"/>
          <w:szCs w:val="26"/>
        </w:rPr>
        <w:t>a</w:t>
      </w:r>
      <w:r w:rsidRPr="0072600F">
        <w:rPr>
          <w:b w:val="0"/>
          <w:bCs w:val="0"/>
          <w:sz w:val="26"/>
          <w:szCs w:val="26"/>
        </w:rPr>
        <w:t>llows Interconnection Customer</w:t>
      </w:r>
      <w:r w:rsidRPr="0072600F" w:rsidR="00F8713A">
        <w:rPr>
          <w:b w:val="0"/>
          <w:bCs w:val="0"/>
          <w:sz w:val="26"/>
          <w:szCs w:val="26"/>
        </w:rPr>
        <w:t>’</w:t>
      </w:r>
      <w:r w:rsidRPr="0072600F">
        <w:rPr>
          <w:b w:val="0"/>
          <w:bCs w:val="0"/>
          <w:sz w:val="26"/>
          <w:szCs w:val="26"/>
        </w:rPr>
        <w:t>s Large Generating Facility to be designated as a Network Resource, up to the Large Generating Facility</w:t>
      </w:r>
      <w:r w:rsidRPr="0072600F" w:rsidR="00F8713A">
        <w:rPr>
          <w:b w:val="0"/>
          <w:bCs w:val="0"/>
          <w:sz w:val="26"/>
          <w:szCs w:val="26"/>
        </w:rPr>
        <w:t>’</w:t>
      </w:r>
      <w:r w:rsidRPr="0072600F">
        <w:rPr>
          <w:b w:val="0"/>
          <w:bCs w:val="0"/>
          <w:sz w:val="26"/>
          <w:szCs w:val="26"/>
        </w:rPr>
        <w:t xml:space="preserve">s full output, on the same basis as existing Network Resources interconnected to </w:t>
      </w:r>
      <w:r w:rsidRPr="0072600F" w:rsidR="00BD11B3">
        <w:rPr>
          <w:b w:val="0"/>
          <w:bCs w:val="0"/>
          <w:sz w:val="26"/>
          <w:szCs w:val="26"/>
        </w:rPr>
        <w:t>Transmission Provider’s</w:t>
      </w:r>
      <w:r w:rsidRPr="0072600F">
        <w:rPr>
          <w:b w:val="0"/>
          <w:bCs w:val="0"/>
          <w:sz w:val="26"/>
          <w:szCs w:val="26"/>
        </w:rPr>
        <w:t xml:space="preserve"> Transmission System, and to be studied as a Network Resource on the assumption that such a designation will occur.</w:t>
      </w:r>
    </w:p>
    <w:p w:rsidR="00911580" w:rsidRPr="0072600F" w14:paraId="72DA1C5C" w14:textId="77777777">
      <w:pPr>
        <w:rPr>
          <w:rFonts w:ascii="Times New Roman" w:hAnsi="Times New Roman" w:cs="Times New Roman"/>
          <w:sz w:val="26"/>
          <w:szCs w:val="26"/>
        </w:rPr>
      </w:pPr>
    </w:p>
    <w:p w:rsidR="00911580" w:rsidRPr="0072600F" w:rsidP="0044142C" w14:paraId="347EE24B" w14:textId="77777777">
      <w:pPr>
        <w:pStyle w:val="Heading5"/>
        <w:ind w:left="3600" w:hanging="3600"/>
        <w:rPr>
          <w:b w:val="0"/>
          <w:bCs w:val="0"/>
          <w:sz w:val="26"/>
          <w:szCs w:val="26"/>
        </w:rPr>
      </w:pPr>
      <w:r w:rsidRPr="0072600F">
        <w:rPr>
          <w:rStyle w:val="Heading4Char"/>
          <w:rFonts w:eastAsiaTheme="minorHAnsi"/>
          <w:b w:val="0"/>
          <w:bCs w:val="0"/>
          <w:sz w:val="26"/>
        </w:rPr>
        <w:tab/>
      </w:r>
      <w:r w:rsidRPr="0072600F">
        <w:rPr>
          <w:rStyle w:val="Heading4Char"/>
          <w:rFonts w:eastAsiaTheme="minorHAnsi"/>
          <w:b w:val="0"/>
          <w:bCs w:val="0"/>
          <w:sz w:val="26"/>
        </w:rPr>
        <w:tab/>
      </w:r>
      <w:r w:rsidRPr="0072600F">
        <w:rPr>
          <w:rStyle w:val="Heading4Char"/>
          <w:rFonts w:eastAsiaTheme="minorHAnsi"/>
          <w:b w:val="0"/>
          <w:bCs w:val="0"/>
          <w:sz w:val="26"/>
        </w:rPr>
        <w:tab/>
      </w:r>
      <w:r w:rsidRPr="0072600F">
        <w:rPr>
          <w:rStyle w:val="Heading4Char"/>
          <w:rFonts w:eastAsiaTheme="minorHAnsi"/>
          <w:sz w:val="26"/>
        </w:rPr>
        <w:t>3.2.2.2</w:t>
      </w:r>
      <w:r w:rsidRPr="0072600F">
        <w:rPr>
          <w:b w:val="0"/>
          <w:bCs w:val="0"/>
          <w:sz w:val="26"/>
          <w:szCs w:val="26"/>
        </w:rPr>
        <w:tab/>
      </w:r>
      <w:r w:rsidRPr="0072600F">
        <w:rPr>
          <w:b w:val="0"/>
          <w:bCs w:val="0"/>
          <w:sz w:val="26"/>
          <w:szCs w:val="26"/>
        </w:rPr>
        <w:tab/>
      </w:r>
      <w:r w:rsidRPr="0072600F">
        <w:rPr>
          <w:sz w:val="26"/>
          <w:szCs w:val="26"/>
        </w:rPr>
        <w:t>The Study.</w:t>
      </w:r>
      <w:r w:rsidRPr="0072600F">
        <w:rPr>
          <w:b w:val="0"/>
          <w:bCs w:val="0"/>
          <w:sz w:val="26"/>
          <w:szCs w:val="26"/>
        </w:rPr>
        <w:t xml:space="preserve">  The Interconnection Study for Network Resource Interconnection Service shall assure that Interconnection Customer</w:t>
      </w:r>
      <w:r w:rsidRPr="0072600F" w:rsidR="00F8713A">
        <w:rPr>
          <w:b w:val="0"/>
          <w:bCs w:val="0"/>
          <w:sz w:val="26"/>
          <w:szCs w:val="26"/>
        </w:rPr>
        <w:t>’</w:t>
      </w:r>
      <w:r w:rsidRPr="0072600F">
        <w:rPr>
          <w:b w:val="0"/>
          <w:bCs w:val="0"/>
          <w:sz w:val="26"/>
          <w:szCs w:val="26"/>
        </w:rPr>
        <w:t>s Large Generating Facility meets the requirements for Network Resource Interconnection Service and as a general matter, that such Large Generating Facility</w:t>
      </w:r>
      <w:r w:rsidRPr="0072600F" w:rsidR="00F8713A">
        <w:rPr>
          <w:b w:val="0"/>
          <w:bCs w:val="0"/>
          <w:sz w:val="26"/>
          <w:szCs w:val="26"/>
        </w:rPr>
        <w:t>’</w:t>
      </w:r>
      <w:r w:rsidRPr="0072600F">
        <w:rPr>
          <w:b w:val="0"/>
          <w:bCs w:val="0"/>
          <w:sz w:val="26"/>
          <w:szCs w:val="26"/>
        </w:rPr>
        <w:t xml:space="preserve">s interconnection is also studied with </w:t>
      </w:r>
      <w:r w:rsidRPr="0072600F" w:rsidR="00BD11B3">
        <w:rPr>
          <w:b w:val="0"/>
          <w:bCs w:val="0"/>
          <w:sz w:val="26"/>
          <w:szCs w:val="26"/>
        </w:rPr>
        <w:t>Transmission Provider’s</w:t>
      </w:r>
      <w:r w:rsidRPr="0072600F">
        <w:rPr>
          <w:b w:val="0"/>
          <w:bCs w:val="0"/>
          <w:sz w:val="26"/>
          <w:szCs w:val="26"/>
        </w:rPr>
        <w:t xml:space="preserve"> Transmission System at peak load, under a variety of severely stressed conditions, to determine whether, with the Large Generating Facility at full output,</w:t>
      </w:r>
      <w:r w:rsidRPr="0072600F">
        <w:rPr>
          <w:b w:val="0"/>
          <w:bCs w:val="0"/>
          <w:i/>
          <w:sz w:val="26"/>
          <w:szCs w:val="26"/>
        </w:rPr>
        <w:t xml:space="preserve"> </w:t>
      </w:r>
      <w:r w:rsidRPr="0072600F">
        <w:rPr>
          <w:b w:val="0"/>
          <w:bCs w:val="0"/>
          <w:iCs/>
          <w:sz w:val="26"/>
          <w:szCs w:val="26"/>
        </w:rPr>
        <w:t>except for Generating Facilities that include at least one electric storage resource that request to use, and for which</w:t>
      </w:r>
      <w:r w:rsidRPr="0072600F">
        <w:rPr>
          <w:b w:val="0"/>
          <w:bCs w:val="0"/>
          <w:iCs/>
          <w:sz w:val="26"/>
          <w:szCs w:val="26"/>
        </w:rPr>
        <w:t xml:space="preserve"> </w:t>
      </w:r>
      <w:r w:rsidRPr="0072600F">
        <w:rPr>
          <w:b w:val="0"/>
          <w:bCs w:val="0"/>
          <w:iCs/>
          <w:sz w:val="26"/>
          <w:szCs w:val="26"/>
        </w:rPr>
        <w:t xml:space="preserve">Transmission Provider approves, operating assumptions pursuant to Section 3.1.2, </w:t>
      </w:r>
      <w:r w:rsidRPr="0072600F">
        <w:rPr>
          <w:b w:val="0"/>
          <w:bCs w:val="0"/>
          <w:sz w:val="26"/>
          <w:szCs w:val="26"/>
        </w:rPr>
        <w:t xml:space="preserve">the aggregate of generation in the local area can be delivered to the aggregate of load on </w:t>
      </w:r>
      <w:r w:rsidRPr="0072600F" w:rsidR="00BD11B3">
        <w:rPr>
          <w:b w:val="0"/>
          <w:bCs w:val="0"/>
          <w:sz w:val="26"/>
          <w:szCs w:val="26"/>
        </w:rPr>
        <w:t>Transmission Provider’s</w:t>
      </w:r>
      <w:r w:rsidRPr="0072600F">
        <w:rPr>
          <w:b w:val="0"/>
          <w:bCs w:val="0"/>
          <w:sz w:val="26"/>
          <w:szCs w:val="26"/>
        </w:rPr>
        <w:t xml:space="preserve"> Transmission System, consistent with </w:t>
      </w:r>
      <w:r w:rsidRPr="0072600F" w:rsidR="00BD11B3">
        <w:rPr>
          <w:b w:val="0"/>
          <w:bCs w:val="0"/>
          <w:sz w:val="26"/>
          <w:szCs w:val="26"/>
        </w:rPr>
        <w:t>Transmission Provider’s</w:t>
      </w:r>
      <w:r w:rsidRPr="0072600F">
        <w:rPr>
          <w:b w:val="0"/>
          <w:bCs w:val="0"/>
          <w:sz w:val="26"/>
          <w:szCs w:val="26"/>
        </w:rPr>
        <w:t xml:space="preserve"> reliability criteria and procedures. This approach assumes that some portion of existing Network Resources are displaced by the output of Interconnection Customer</w:t>
      </w:r>
      <w:r w:rsidRPr="0072600F" w:rsidR="00F8713A">
        <w:rPr>
          <w:b w:val="0"/>
          <w:bCs w:val="0"/>
          <w:sz w:val="26"/>
          <w:szCs w:val="26"/>
        </w:rPr>
        <w:t>’</w:t>
      </w:r>
      <w:r w:rsidRPr="0072600F">
        <w:rPr>
          <w:b w:val="0"/>
          <w:bCs w:val="0"/>
          <w:sz w:val="26"/>
          <w:szCs w:val="26"/>
        </w:rPr>
        <w:t xml:space="preserve">s Large Generating Facility. Network Resource Interconnection Service in and of itself does not convey any right to deliver electricity to any specific customer or Point of Delivery.  </w:t>
      </w:r>
      <w:r w:rsidRPr="0072600F" w:rsidR="00F8713A">
        <w:rPr>
          <w:b w:val="0"/>
          <w:bCs w:val="0"/>
          <w:sz w:val="26"/>
          <w:szCs w:val="26"/>
        </w:rPr>
        <w:t>[</w:t>
      </w:r>
      <w:r w:rsidRPr="0072600F">
        <w:rPr>
          <w:b w:val="0"/>
          <w:bCs w:val="0"/>
          <w:sz w:val="26"/>
          <w:szCs w:val="26"/>
        </w:rPr>
        <w:t>The</w:t>
      </w:r>
      <w:r w:rsidRPr="0072600F" w:rsidR="00F8713A">
        <w:rPr>
          <w:b w:val="0"/>
          <w:bCs w:val="0"/>
          <w:sz w:val="26"/>
          <w:szCs w:val="26"/>
        </w:rPr>
        <w:t>]</w:t>
      </w:r>
      <w:r w:rsidRPr="0072600F">
        <w:rPr>
          <w:b w:val="0"/>
          <w:bCs w:val="0"/>
          <w:sz w:val="26"/>
          <w:szCs w:val="26"/>
        </w:rPr>
        <w:t xml:space="preserve"> Transmission Provider may also study the Transmission System under non-peak load conditions. However, upon request by </w:t>
      </w:r>
      <w:r w:rsidRPr="0072600F" w:rsidR="00E4060E">
        <w:rPr>
          <w:b w:val="0"/>
          <w:bCs w:val="0"/>
          <w:sz w:val="26"/>
          <w:szCs w:val="26"/>
        </w:rPr>
        <w:t>[</w:t>
      </w:r>
      <w:r w:rsidRPr="0072600F">
        <w:rPr>
          <w:b w:val="0"/>
          <w:bCs w:val="0"/>
          <w:sz w:val="26"/>
          <w:szCs w:val="26"/>
        </w:rPr>
        <w:t>the</w:t>
      </w:r>
      <w:r w:rsidRPr="0072600F" w:rsidR="00E4060E">
        <w:rPr>
          <w:b w:val="0"/>
          <w:bCs w:val="0"/>
          <w:sz w:val="26"/>
          <w:szCs w:val="26"/>
        </w:rPr>
        <w:t>]</w:t>
      </w:r>
      <w:r w:rsidRPr="0072600F">
        <w:rPr>
          <w:b w:val="0"/>
          <w:bCs w:val="0"/>
          <w:sz w:val="26"/>
          <w:szCs w:val="26"/>
        </w:rPr>
        <w:t xml:space="preserve"> Interconnection Customer, </w:t>
      </w:r>
      <w:r w:rsidRPr="0072600F" w:rsidR="00F8713A">
        <w:rPr>
          <w:b w:val="0"/>
          <w:bCs w:val="0"/>
          <w:sz w:val="26"/>
          <w:szCs w:val="26"/>
        </w:rPr>
        <w:t>[</w:t>
      </w:r>
      <w:r w:rsidRPr="0072600F">
        <w:rPr>
          <w:b w:val="0"/>
          <w:bCs w:val="0"/>
          <w:sz w:val="26"/>
          <w:szCs w:val="26"/>
        </w:rPr>
        <w:t>the</w:t>
      </w:r>
      <w:r w:rsidRPr="0072600F" w:rsidR="00F8713A">
        <w:rPr>
          <w:b w:val="0"/>
          <w:bCs w:val="0"/>
          <w:sz w:val="26"/>
          <w:szCs w:val="26"/>
        </w:rPr>
        <w:t>]</w:t>
      </w:r>
      <w:r w:rsidRPr="0072600F">
        <w:rPr>
          <w:b w:val="0"/>
          <w:bCs w:val="0"/>
          <w:sz w:val="26"/>
          <w:szCs w:val="26"/>
        </w:rPr>
        <w:t xml:space="preserve"> Transmission Provider must explain in writing to </w:t>
      </w:r>
      <w:r w:rsidRPr="0072600F" w:rsidR="00CD5C7D">
        <w:rPr>
          <w:b w:val="0"/>
          <w:bCs w:val="0"/>
          <w:sz w:val="26"/>
          <w:szCs w:val="26"/>
        </w:rPr>
        <w:t>[</w:t>
      </w:r>
      <w:r w:rsidRPr="0072600F">
        <w:rPr>
          <w:b w:val="0"/>
          <w:bCs w:val="0"/>
          <w:sz w:val="26"/>
          <w:szCs w:val="26"/>
        </w:rPr>
        <w:t>the</w:t>
      </w:r>
      <w:r w:rsidRPr="0072600F" w:rsidR="00CD5C7D">
        <w:rPr>
          <w:b w:val="0"/>
          <w:bCs w:val="0"/>
          <w:sz w:val="26"/>
          <w:szCs w:val="26"/>
        </w:rPr>
        <w:t>]</w:t>
      </w:r>
      <w:r w:rsidRPr="0072600F">
        <w:rPr>
          <w:b w:val="0"/>
          <w:bCs w:val="0"/>
          <w:sz w:val="26"/>
          <w:szCs w:val="26"/>
        </w:rPr>
        <w:t xml:space="preserve"> Interconnection Customer why the study of non-peak load conditions is required for reliability purposes.</w:t>
      </w:r>
    </w:p>
    <w:p w:rsidR="00911580" w:rsidRPr="0072600F" w14:paraId="02BC2E3E" w14:textId="77777777">
      <w:pPr>
        <w:ind w:left="3600" w:hanging="1440"/>
        <w:rPr>
          <w:rFonts w:ascii="Times New Roman" w:hAnsi="Times New Roman" w:cs="Times New Roman"/>
          <w:sz w:val="26"/>
          <w:szCs w:val="26"/>
        </w:rPr>
      </w:pPr>
    </w:p>
    <w:p w:rsidR="00911580" w:rsidRPr="0072600F" w:rsidP="003F1A21" w14:paraId="0846AF95" w14:textId="77777777">
      <w:pPr>
        <w:pStyle w:val="Heading4"/>
        <w:rPr>
          <w:b/>
          <w:sz w:val="26"/>
        </w:rPr>
      </w:pPr>
      <w:bookmarkStart w:id="187" w:name="threepointthree"/>
      <w:bookmarkStart w:id="188" w:name="_Toc149903610"/>
      <w:r w:rsidRPr="0072600F">
        <w:rPr>
          <w:b/>
          <w:sz w:val="26"/>
        </w:rPr>
        <w:t>3.3</w:t>
      </w:r>
      <w:r w:rsidRPr="0072600F">
        <w:rPr>
          <w:b/>
          <w:sz w:val="26"/>
        </w:rPr>
        <w:tab/>
        <w:t>Utilization of Surplus Interconnection Service.</w:t>
      </w:r>
      <w:bookmarkEnd w:id="187"/>
      <w:bookmarkEnd w:id="188"/>
    </w:p>
    <w:p w:rsidR="00911580" w:rsidRPr="0072600F" w14:paraId="1ACA9D4F" w14:textId="77777777">
      <w:pPr>
        <w:ind w:left="1440"/>
        <w:rPr>
          <w:rFonts w:ascii="Times New Roman" w:hAnsi="Times New Roman" w:cs="Times New Roman"/>
          <w:sz w:val="26"/>
          <w:szCs w:val="26"/>
        </w:rPr>
      </w:pPr>
      <w:r w:rsidRPr="0072600F">
        <w:rPr>
          <w:rFonts w:ascii="Times New Roman" w:hAnsi="Times New Roman" w:cs="Times New Roman"/>
          <w:sz w:val="26"/>
          <w:szCs w:val="26"/>
        </w:rPr>
        <w:t>Transmission Provider must provide a process that allows an Interconnection Customer to utilize or transfer Surplus Interconnection Service at an existing Point of Interconnection.  The original Interconnection Customer or one of its affiliates shall have priority to utilize Surplus Interconnection Service.  If the existing Interconnection Customer or one of its affiliates does not exercise its priority, then that service may be made available to other potential Interconnection Customers.</w:t>
      </w:r>
    </w:p>
    <w:p w:rsidR="00911580" w:rsidRPr="0072600F" w14:paraId="6A019051" w14:textId="77777777">
      <w:pPr>
        <w:ind w:left="1440"/>
        <w:rPr>
          <w:rFonts w:ascii="Times New Roman" w:hAnsi="Times New Roman" w:cs="Times New Roman"/>
          <w:sz w:val="26"/>
          <w:szCs w:val="26"/>
        </w:rPr>
      </w:pPr>
    </w:p>
    <w:p w:rsidR="00911580" w:rsidRPr="0072600F" w:rsidP="003F1A21" w14:paraId="590A5FF5" w14:textId="77777777">
      <w:pPr>
        <w:pStyle w:val="Heading4"/>
        <w:rPr>
          <w:sz w:val="26"/>
        </w:rPr>
      </w:pPr>
      <w:bookmarkStart w:id="189" w:name="threepointthreepoint1"/>
      <w:r w:rsidRPr="0072600F">
        <w:rPr>
          <w:sz w:val="26"/>
        </w:rPr>
        <w:tab/>
      </w:r>
      <w:bookmarkStart w:id="190" w:name="_Toc149903611"/>
      <w:r w:rsidRPr="0072600F">
        <w:rPr>
          <w:rStyle w:val="Heading5Char"/>
          <w:sz w:val="26"/>
          <w:szCs w:val="26"/>
        </w:rPr>
        <w:t>3.3.1</w:t>
      </w:r>
      <w:r w:rsidRPr="0072600F">
        <w:rPr>
          <w:sz w:val="26"/>
        </w:rPr>
        <w:tab/>
      </w:r>
      <w:r w:rsidRPr="0072600F">
        <w:rPr>
          <w:b/>
          <w:sz w:val="26"/>
        </w:rPr>
        <w:t>Surplus Interconnection Service Requests.</w:t>
      </w:r>
      <w:bookmarkEnd w:id="189"/>
      <w:bookmarkEnd w:id="190"/>
    </w:p>
    <w:p w:rsidR="00911580" w:rsidRPr="0072600F" w14:paraId="7E102B24"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Surplus Interconnection Service requests may be made by the existing Interconnection Customer or one of its affiliates or may be submitted once Interconnection Customer has executed the LGIA or requested that the LGIA be filed unexecuted.  Surplus Interconnection Service requests also may be made by another Interconnection Customer.  Transmission Provider shall provide a process for evaluating Interconnection Requests for Surplus Interconnection Service.  Studies for Surplus Interconnection Service shall consist of reactive power, short circuit/fault duty, stability analyses, and any other appropriate studies. Steady-state (thermal/voltage) analyses may be performed as necessary to ensure that all required reliability conditions are studied.  If the Surplus Interconnection Service was not studied under off-peak conditions, off-peak steady state analyses shall be performed to the required level necessary to demonstrate reliable operation of the Surplus Interconnection Service.  If the original system impact study report or Cluster Study Report is not available for the Surplus Interconnection Service, both off-peak and peak analysis may need to be performed for the existing Generating Facility associated with the request for Surplus Interconnection Service.  The reactive power, short circuit/fault duty, stability, and steady-state analyses for Surplus Interconnection Service will identify any additional Interconnection Facilities and/or Network Upgrades necessary. </w:t>
      </w:r>
    </w:p>
    <w:p w:rsidR="00911580" w:rsidRPr="0072600F" w14:paraId="4D540EEB" w14:textId="77777777">
      <w:pPr>
        <w:ind w:left="2160"/>
        <w:rPr>
          <w:rFonts w:ascii="Times New Roman" w:eastAsia="Calibri" w:hAnsi="Times New Roman" w:cs="Times New Roman"/>
          <w:sz w:val="26"/>
          <w:szCs w:val="26"/>
        </w:rPr>
      </w:pPr>
    </w:p>
    <w:p w:rsidR="00911580" w:rsidRPr="0072600F" w14:paraId="2CCD3D8A" w14:textId="77777777">
      <w:pPr>
        <w:ind w:left="2160"/>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Transmission Provider shall study Surplus Interconnection Service requests for a Generating Facility that includes at least one electric storage resource using operating assumptions (i.e., whether the interconnecting Generating Facility will or will not charge at peak load) that reflect the proposed charging behavior of the Generating Facility as requested by Interconnection Customer, unless Transmission Provider determines that Good Utility Practice, including Applicable Reliability Standards, otherwise requires the use of different operating assumptions.</w:t>
      </w:r>
    </w:p>
    <w:p w:rsidR="00911580" w:rsidRPr="0072600F" w14:paraId="58BEADC0" w14:textId="77777777">
      <w:pPr>
        <w:rPr>
          <w:rFonts w:ascii="Times New Roman" w:hAnsi="Times New Roman" w:cs="Times New Roman"/>
          <w:sz w:val="26"/>
          <w:szCs w:val="26"/>
        </w:rPr>
      </w:pPr>
    </w:p>
    <w:p w:rsidR="00911580" w:rsidRPr="0072600F" w:rsidP="005409C8" w14:paraId="261C77B1" w14:textId="77777777">
      <w:pPr>
        <w:pStyle w:val="Heading3"/>
        <w:rPr>
          <w:b/>
          <w:sz w:val="26"/>
        </w:rPr>
      </w:pPr>
      <w:bookmarkStart w:id="191" w:name="_Toc149903612"/>
      <w:r w:rsidRPr="0072600F">
        <w:rPr>
          <w:b/>
          <w:sz w:val="26"/>
        </w:rPr>
        <w:t>3.4</w:t>
      </w:r>
      <w:r w:rsidRPr="0072600F">
        <w:rPr>
          <w:b/>
          <w:sz w:val="26"/>
        </w:rPr>
        <w:tab/>
        <w:t>Valid Interconnection Request.</w:t>
      </w:r>
      <w:bookmarkEnd w:id="191"/>
    </w:p>
    <w:p w:rsidR="00911580" w:rsidRPr="0072600F" w14:paraId="2D288C15" w14:textId="77777777">
      <w:pPr>
        <w:rPr>
          <w:rFonts w:ascii="Times New Roman" w:hAnsi="Times New Roman" w:cs="Times New Roman"/>
          <w:sz w:val="26"/>
          <w:szCs w:val="26"/>
        </w:rPr>
      </w:pPr>
      <w:r w:rsidRPr="0072600F">
        <w:rPr>
          <w:rFonts w:ascii="Times New Roman" w:hAnsi="Times New Roman" w:cs="Times New Roman"/>
          <w:b/>
          <w:bCs/>
          <w:sz w:val="26"/>
          <w:szCs w:val="26"/>
        </w:rPr>
        <w:t xml:space="preserve"> </w:t>
      </w:r>
    </w:p>
    <w:p w:rsidR="00911580" w:rsidRPr="0072600F" w:rsidP="00561642" w14:paraId="0792BFC0" w14:textId="77777777">
      <w:pPr>
        <w:pStyle w:val="Heading3"/>
        <w:rPr>
          <w:b/>
          <w:sz w:val="26"/>
        </w:rPr>
      </w:pPr>
      <w:r w:rsidRPr="0072600F">
        <w:rPr>
          <w:sz w:val="26"/>
        </w:rPr>
        <w:tab/>
      </w:r>
      <w:bookmarkStart w:id="192" w:name="_Toc149903613"/>
      <w:r w:rsidRPr="0072600F">
        <w:rPr>
          <w:rStyle w:val="Heading4Char"/>
          <w:b/>
          <w:sz w:val="26"/>
        </w:rPr>
        <w:t>3.4.1</w:t>
      </w:r>
      <w:r w:rsidRPr="0072600F">
        <w:rPr>
          <w:b/>
          <w:sz w:val="26"/>
        </w:rPr>
        <w:tab/>
        <w:t>Cluster Request Window.</w:t>
      </w:r>
      <w:bookmarkEnd w:id="192"/>
    </w:p>
    <w:p w:rsidR="00911580" w:rsidRPr="0072600F" w14:paraId="23D2CC1E"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accept Interconnection Requests during a forty-five (45) Calendar Day period (the Cluster Request Window).  The initial Cluster Request Window shall open for Interconnection Requests beginning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to provide number of Calendar Days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after the conclusion of the transition process set out in Section 5.1 of this LGIP and successive Cluster Request Windows shall open annually every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to provide Month and Day (e.g., January 1)</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thereafter.</w:t>
      </w:r>
    </w:p>
    <w:p w:rsidR="00911580" w:rsidRPr="0072600F" w14:paraId="68ED6A8C" w14:textId="77777777">
      <w:pPr>
        <w:ind w:left="2160"/>
        <w:rPr>
          <w:rFonts w:ascii="Times New Roman" w:hAnsi="Times New Roman" w:cs="Times New Roman"/>
          <w:sz w:val="26"/>
          <w:szCs w:val="26"/>
        </w:rPr>
      </w:pPr>
    </w:p>
    <w:p w:rsidR="00911580" w:rsidRPr="0072600F" w:rsidP="00561642" w14:paraId="771D59EB" w14:textId="77777777">
      <w:pPr>
        <w:pStyle w:val="Heading3"/>
        <w:rPr>
          <w:rFonts w:eastAsia="Calibri"/>
          <w:b/>
          <w:sz w:val="26"/>
        </w:rPr>
      </w:pPr>
      <w:r w:rsidRPr="0072600F">
        <w:rPr>
          <w:rFonts w:eastAsia="Calibri"/>
          <w:sz w:val="26"/>
        </w:rPr>
        <w:tab/>
      </w:r>
      <w:bookmarkStart w:id="193" w:name="_Toc149903614"/>
      <w:r w:rsidRPr="0072600F">
        <w:rPr>
          <w:rStyle w:val="Heading4Char"/>
          <w:rFonts w:eastAsia="Calibri"/>
          <w:b/>
          <w:sz w:val="26"/>
        </w:rPr>
        <w:t>3.4.2</w:t>
      </w:r>
      <w:r w:rsidRPr="0072600F">
        <w:rPr>
          <w:rFonts w:eastAsia="Calibri"/>
          <w:b/>
          <w:sz w:val="26"/>
        </w:rPr>
        <w:t xml:space="preserve"> </w:t>
      </w:r>
      <w:r w:rsidRPr="0072600F">
        <w:rPr>
          <w:rFonts w:eastAsia="Calibri"/>
          <w:b/>
          <w:sz w:val="26"/>
        </w:rPr>
        <w:tab/>
        <w:t>Initiating an Interconnection Request.</w:t>
      </w:r>
      <w:bookmarkEnd w:id="193"/>
      <w:r w:rsidRPr="0072600F">
        <w:rPr>
          <w:rFonts w:eastAsia="Calibri"/>
          <w:b/>
          <w:sz w:val="26"/>
        </w:rPr>
        <w:t xml:space="preserve">  </w:t>
      </w:r>
    </w:p>
    <w:p w:rsidR="00911580" w:rsidRPr="0072600F" w14:paraId="3C0F7D24" w14:textId="77777777">
      <w:pPr>
        <w:ind w:left="2160"/>
        <w:rPr>
          <w:rFonts w:ascii="Times New Roman" w:eastAsia="Calibri" w:hAnsi="Times New Roman" w:cs="Times New Roman"/>
          <w:b/>
          <w:bCs/>
          <w:sz w:val="26"/>
          <w:szCs w:val="26"/>
        </w:rPr>
      </w:pPr>
      <w:r w:rsidRPr="0072600F">
        <w:rPr>
          <w:rFonts w:ascii="Times New Roman" w:eastAsia="Calibri" w:hAnsi="Times New Roman" w:cs="Times New Roman"/>
          <w:sz w:val="26"/>
          <w:szCs w:val="26"/>
        </w:rPr>
        <w:t xml:space="preserve">An Interconnection Customer seeking to join a Cluster shall submit its Interconnection Request to Transmission Provider within, and no later than the close of, the Cluster Request Window.  Interconnection Requests submitted outside of the Cluster Request Window will not be considered. </w:t>
      </w:r>
      <w:r w:rsidRPr="0072600F">
        <w:rPr>
          <w:rFonts w:ascii="Times New Roman" w:eastAsia="Calibri" w:hAnsi="Times New Roman" w:cs="Times New Roman"/>
          <w:i/>
          <w:iCs/>
          <w:sz w:val="26"/>
          <w:szCs w:val="26"/>
        </w:rPr>
        <w:t xml:space="preserve"> </w:t>
      </w:r>
      <w:r w:rsidRPr="0072600F">
        <w:rPr>
          <w:rFonts w:ascii="Times New Roman" w:eastAsia="Calibri" w:hAnsi="Times New Roman" w:cs="Times New Roman"/>
          <w:sz w:val="26"/>
          <w:szCs w:val="26"/>
        </w:rPr>
        <w:t xml:space="preserve">To initiate an Interconnection Request, Interconnection Customer must submit all of the following: </w:t>
      </w:r>
    </w:p>
    <w:p w:rsidR="00911580" w:rsidRPr="0072600F" w14:paraId="39408FCA" w14:textId="77777777">
      <w:pPr>
        <w:ind w:left="2160"/>
        <w:rPr>
          <w:rFonts w:ascii="Times New Roman" w:eastAsia="Calibri" w:hAnsi="Times New Roman" w:cs="Times New Roman"/>
          <w:sz w:val="26"/>
          <w:szCs w:val="26"/>
        </w:rPr>
      </w:pPr>
    </w:p>
    <w:p w:rsidR="00911580" w:rsidRPr="0072600F" w:rsidP="008E5FA5" w14:paraId="7CD91DAF" w14:textId="77777777">
      <w:pPr>
        <w:ind w:left="2880"/>
        <w:rPr>
          <w:rFonts w:ascii="Times New Roman" w:eastAsia="Calibri"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w:t>
      </w:r>
      <w:r w:rsidRPr="0072600F" w:rsidR="0086779D">
        <w:rPr>
          <w:rFonts w:ascii="Times New Roman" w:hAnsi="Times New Roman" w:cs="Times New Roman"/>
          <w:sz w:val="26"/>
          <w:szCs w:val="26"/>
        </w:rPr>
        <w:t>[</w:t>
      </w:r>
      <w:r w:rsidRPr="0072600F">
        <w:rPr>
          <w:rFonts w:ascii="Times New Roman" w:hAnsi="Times New Roman" w:cs="Times New Roman"/>
          <w:sz w:val="26"/>
          <w:szCs w:val="26"/>
        </w:rPr>
        <w:t>a</w:t>
      </w:r>
      <w:r w:rsidRPr="0072600F" w:rsidR="0086779D">
        <w:rPr>
          <w:rFonts w:ascii="Times New Roman" w:hAnsi="Times New Roman" w:cs="Times New Roman"/>
          <w:sz w:val="26"/>
          <w:szCs w:val="26"/>
        </w:rPr>
        <w:t>]</w:t>
      </w:r>
      <w:r w:rsidRPr="0072600F" w:rsidR="0086779D">
        <w:rPr>
          <w:rFonts w:ascii="Times New Roman" w:hAnsi="Times New Roman" w:cs="Times New Roman"/>
          <w:i/>
          <w:iCs/>
          <w:sz w:val="26"/>
          <w:szCs w:val="26"/>
        </w:rPr>
        <w:t>A</w:t>
      </w:r>
      <w:r w:rsidRPr="0072600F">
        <w:rPr>
          <w:rFonts w:ascii="Times New Roman" w:hAnsi="Times New Roman" w:cs="Times New Roman"/>
          <w:sz w:val="26"/>
          <w:szCs w:val="26"/>
        </w:rPr>
        <w:t>pplicable study deposit amount, pursuant to Section 3.1.1.1 of this LGIP,</w:t>
      </w:r>
    </w:p>
    <w:p w:rsidR="00911580" w:rsidRPr="0072600F" w14:paraId="3054B298" w14:textId="77777777">
      <w:pPr>
        <w:ind w:left="2880"/>
        <w:rPr>
          <w:rFonts w:ascii="Times New Roman" w:eastAsia="Calibri" w:hAnsi="Times New Roman" w:cs="Times New Roman"/>
          <w:i/>
          <w:iCs/>
          <w:sz w:val="26"/>
          <w:szCs w:val="26"/>
          <w:highlight w:val="yellow"/>
        </w:rPr>
      </w:pPr>
    </w:p>
    <w:p w:rsidR="00911580" w:rsidRPr="0072600F" w14:paraId="3C5439FA" w14:textId="77777777">
      <w:pPr>
        <w:ind w:left="288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(ii) </w:t>
      </w:r>
      <w:r w:rsidRPr="0072600F" w:rsidR="0086779D">
        <w:rPr>
          <w:rFonts w:ascii="Times New Roman" w:eastAsia="Calibri" w:hAnsi="Times New Roman" w:cs="Times New Roman"/>
          <w:sz w:val="26"/>
          <w:szCs w:val="26"/>
        </w:rPr>
        <w:t>[</w:t>
      </w:r>
      <w:r w:rsidRPr="0072600F">
        <w:rPr>
          <w:rFonts w:ascii="Times New Roman" w:eastAsia="Calibri" w:hAnsi="Times New Roman" w:cs="Times New Roman"/>
          <w:sz w:val="26"/>
          <w:szCs w:val="26"/>
        </w:rPr>
        <w:t>a</w:t>
      </w:r>
      <w:r w:rsidRPr="0072600F" w:rsidR="0086779D">
        <w:rPr>
          <w:rFonts w:ascii="Times New Roman" w:eastAsia="Calibri" w:hAnsi="Times New Roman" w:cs="Times New Roman"/>
          <w:sz w:val="26"/>
          <w:szCs w:val="26"/>
        </w:rPr>
        <w:t>]</w:t>
      </w:r>
      <w:r w:rsidRPr="0072600F" w:rsidR="0086779D">
        <w:rPr>
          <w:rFonts w:ascii="Times New Roman" w:eastAsia="Calibri" w:hAnsi="Times New Roman" w:cs="Times New Roman"/>
          <w:i/>
          <w:iCs/>
          <w:sz w:val="26"/>
          <w:szCs w:val="26"/>
        </w:rPr>
        <w:t>A</w:t>
      </w:r>
      <w:r w:rsidRPr="0072600F">
        <w:rPr>
          <w:rFonts w:ascii="Times New Roman" w:eastAsia="Calibri" w:hAnsi="Times New Roman" w:cs="Times New Roman"/>
          <w:sz w:val="26"/>
          <w:szCs w:val="26"/>
        </w:rPr>
        <w:t xml:space="preserve"> completed application in the form of Appendix 1</w:t>
      </w:r>
      <w:r w:rsidRPr="0072600F">
        <w:rPr>
          <w:rFonts w:ascii="Times New Roman" w:eastAsia="Calibri" w:hAnsi="Times New Roman" w:cs="Times New Roman"/>
          <w:i/>
          <w:iCs/>
          <w:sz w:val="26"/>
          <w:szCs w:val="26"/>
        </w:rPr>
        <w:t xml:space="preserve">, </w:t>
      </w:r>
    </w:p>
    <w:p w:rsidR="00911580" w:rsidRPr="0072600F" w14:paraId="0640ED9C" w14:textId="77777777">
      <w:pPr>
        <w:ind w:left="2880"/>
        <w:rPr>
          <w:rFonts w:ascii="Times New Roman" w:eastAsia="Calibri" w:hAnsi="Times New Roman" w:cs="Times New Roman"/>
          <w:i/>
          <w:iCs/>
          <w:sz w:val="26"/>
          <w:szCs w:val="26"/>
        </w:rPr>
      </w:pPr>
    </w:p>
    <w:p w:rsidR="00911580" w:rsidRPr="0072600F" w14:paraId="03E83F95" w14:textId="77777777">
      <w:pPr>
        <w:ind w:left="2880"/>
        <w:rPr>
          <w:rFonts w:ascii="Times New Roman" w:eastAsia="Calibri" w:hAnsi="Times New Roman" w:cs="Times New Roman"/>
          <w:iCs/>
          <w:sz w:val="26"/>
          <w:szCs w:val="26"/>
        </w:rPr>
      </w:pPr>
      <w:r w:rsidRPr="0072600F">
        <w:rPr>
          <w:rFonts w:ascii="Times New Roman" w:eastAsia="Calibri" w:hAnsi="Times New Roman" w:cs="Times New Roman"/>
          <w:sz w:val="26"/>
          <w:szCs w:val="26"/>
        </w:rPr>
        <w:t xml:space="preserve">(iii) </w:t>
      </w:r>
      <w:r w:rsidRPr="0072600F" w:rsidR="0086779D">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86779D">
        <w:rPr>
          <w:rFonts w:ascii="Times New Roman" w:eastAsia="Calibri" w:hAnsi="Times New Roman" w:cs="Times New Roman"/>
          <w:sz w:val="26"/>
          <w:szCs w:val="26"/>
        </w:rPr>
        <w:t>]</w:t>
      </w:r>
      <w:r w:rsidRPr="0072600F" w:rsidR="0086779D">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 xml:space="preserve">emonstration of </w:t>
      </w:r>
      <w:r w:rsidRPr="0072600F">
        <w:rPr>
          <w:rFonts w:ascii="Times New Roman" w:eastAsia="Calibri" w:hAnsi="Times New Roman" w:cs="Times New Roman"/>
          <w:iCs/>
          <w:sz w:val="26"/>
          <w:szCs w:val="26"/>
        </w:rPr>
        <w:t xml:space="preserve">no less than ninety percent (90%) </w:t>
      </w:r>
      <w:r w:rsidRPr="0072600F">
        <w:rPr>
          <w:rFonts w:ascii="Times New Roman" w:eastAsia="Calibri" w:hAnsi="Times New Roman" w:cs="Times New Roman"/>
          <w:sz w:val="26"/>
          <w:szCs w:val="26"/>
        </w:rPr>
        <w:t>Site Control or</w:t>
      </w:r>
      <w:r w:rsidRPr="0072600F">
        <w:rPr>
          <w:rFonts w:ascii="Times New Roman" w:eastAsia="Calibri" w:hAnsi="Times New Roman" w:cs="Times New Roman"/>
          <w:iCs/>
          <w:sz w:val="26"/>
          <w:szCs w:val="26"/>
        </w:rPr>
        <w:t xml:space="preserve"> (1) a signed affidavit from an officer of the company indicating that Site Control is unobtainable due to regulatory limitations as such term is defined by </w:t>
      </w:r>
      <w:r w:rsidRPr="0072600F" w:rsidR="00F8713A">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the</w:t>
      </w:r>
      <w:r w:rsidRPr="0072600F" w:rsidR="00F8713A">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 xml:space="preserve"> Transmission Provider; and (2) documentation sufficiently describing and explaining the source and effects of such regulatory limitations, including a description of any conditions that must be met to satisfy the regulatory limitations and the anticipated time by which Interconnection Customer expects to satisfy the regulatory requirements and (3) a deposit in lieu of Site Control</w:t>
      </w:r>
      <w:r w:rsidRPr="0072600F">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of</w:t>
      </w:r>
      <w:r w:rsidRPr="0072600F">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$10,000 per MW, subject to a minimum of $500,000 and a maximum of $2,000,000.</w:t>
      </w:r>
      <w:r w:rsidRPr="0072600F">
        <w:rPr>
          <w:rFonts w:ascii="Times New Roman" w:eastAsia="Calibri" w:hAnsi="Times New Roman" w:cs="Times New Roman"/>
          <w:i/>
          <w:sz w:val="26"/>
          <w:szCs w:val="26"/>
        </w:rPr>
        <w:t xml:space="preserve">  </w:t>
      </w:r>
      <w:r w:rsidRPr="0072600F">
        <w:rPr>
          <w:rFonts w:ascii="Times New Roman" w:eastAsia="Calibri" w:hAnsi="Times New Roman" w:cs="Times New Roman"/>
          <w:iCs/>
          <w:sz w:val="26"/>
          <w:szCs w:val="26"/>
        </w:rPr>
        <w:t>Interconnection Requests from multiple Interconnection Customers for multiple Generating Facilities that share a site must include a contract or other agreement that allows for shared land use</w:t>
      </w:r>
      <w:r w:rsidRPr="0072600F" w:rsidR="0090795E">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w:t>
      </w:r>
      <w:r w:rsidRPr="0072600F" w:rsidR="0090795E">
        <w:rPr>
          <w:rFonts w:ascii="Times New Roman" w:eastAsia="Calibri" w:hAnsi="Times New Roman" w:cs="Times New Roman"/>
          <w:iCs/>
          <w:sz w:val="26"/>
          <w:szCs w:val="26"/>
        </w:rPr>
        <w:t>]</w:t>
      </w:r>
      <w:r w:rsidRPr="0072600F" w:rsidR="0090795E">
        <w:rPr>
          <w:rFonts w:ascii="Times New Roman" w:eastAsia="Calibri" w:hAnsi="Times New Roman" w:cs="Times New Roman"/>
          <w:i/>
          <w:sz w:val="26"/>
          <w:szCs w:val="26"/>
        </w:rPr>
        <w:t>,</w:t>
      </w:r>
    </w:p>
    <w:p w:rsidR="00911580" w:rsidRPr="0072600F" w14:paraId="7FDBFCA9" w14:textId="77777777">
      <w:pPr>
        <w:ind w:left="2880"/>
        <w:rPr>
          <w:rFonts w:ascii="Times New Roman" w:eastAsia="Calibri" w:hAnsi="Times New Roman" w:cs="Times New Roman"/>
          <w:iCs/>
          <w:sz w:val="26"/>
          <w:szCs w:val="26"/>
        </w:rPr>
      </w:pPr>
    </w:p>
    <w:p w:rsidR="00911580" w:rsidRPr="0072600F" w:rsidP="00F6655D" w14:paraId="3578CED0" w14:textId="77777777">
      <w:pPr>
        <w:ind w:left="2880"/>
        <w:rPr>
          <w:rFonts w:ascii="Times New Roman" w:eastAsia="Calibri" w:hAnsi="Times New Roman" w:cs="Times New Roman"/>
          <w:sz w:val="26"/>
          <w:szCs w:val="26"/>
        </w:rPr>
      </w:pPr>
      <w:r w:rsidRPr="0072600F">
        <w:rPr>
          <w:rFonts w:ascii="Times New Roman" w:hAnsi="Times New Roman" w:cs="Times New Roman"/>
          <w:sz w:val="26"/>
          <w:szCs w:val="26"/>
        </w:rPr>
        <w:t>(iv) Generating Facility Capacity (MW) (and requested Interconnection Service level if the requested Interconnection Service is less than the Generating Facility Capacity),</w:t>
      </w:r>
    </w:p>
    <w:p w:rsidR="00911580" w:rsidRPr="0072600F" w14:paraId="76A2DF4B" w14:textId="77777777">
      <w:pPr>
        <w:ind w:left="2880"/>
        <w:rPr>
          <w:rFonts w:ascii="Times New Roman" w:eastAsia="Calibri" w:hAnsi="Times New Roman" w:cs="Times New Roman"/>
          <w:i/>
          <w:iCs/>
          <w:sz w:val="26"/>
          <w:szCs w:val="26"/>
        </w:rPr>
      </w:pPr>
    </w:p>
    <w:p w:rsidR="00911580" w:rsidRPr="0072600F" w:rsidP="00F6655D" w14:paraId="615D495D" w14:textId="77777777">
      <w:pPr>
        <w:ind w:left="2880"/>
        <w:rPr>
          <w:rFonts w:ascii="Times New Roman" w:eastAsia="Calibri" w:hAnsi="Times New Roman" w:cs="Times New Roman"/>
          <w:iCs/>
          <w:sz w:val="26"/>
          <w:szCs w:val="26"/>
        </w:rPr>
      </w:pPr>
      <w:r w:rsidRPr="0072600F">
        <w:rPr>
          <w:rFonts w:ascii="Times New Roman" w:hAnsi="Times New Roman" w:cs="Times New Roman"/>
          <w:sz w:val="26"/>
          <w:szCs w:val="26"/>
        </w:rPr>
        <w:t xml:space="preserve">(v) If </w:t>
      </w:r>
      <w:r w:rsidRPr="0072600F">
        <w:rPr>
          <w:rFonts w:ascii="Times New Roman" w:eastAsia="Calibri" w:hAnsi="Times New Roman" w:cs="Times New Roman"/>
          <w:sz w:val="26"/>
          <w:szCs w:val="26"/>
        </w:rPr>
        <w:t xml:space="preserve">applicable, (1) the requested operating assumptions (i.e., whether the interconnecting Generating Facility will or will not charge at peak load) to be used by Transmission </w:t>
      </w:r>
      <w:r w:rsidRPr="0072600F">
        <w:rPr>
          <w:rFonts w:ascii="Times New Roman" w:eastAsia="Calibri" w:hAnsi="Times New Roman" w:cs="Times New Roman"/>
          <w:iCs/>
          <w:sz w:val="26"/>
          <w:szCs w:val="26"/>
        </w:rPr>
        <w:t>Provider that reflect the proposed charging behavior of the Generating Facility that includes at least one electric storage resource, and (2) a description of any control technologies (software and/or hardware) that will limit the operation of the Generating Facility to the operating assumptions submitted by Interconnection Customer</w:t>
      </w:r>
      <w:r w:rsidRPr="0072600F" w:rsidR="0090795E">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w:t>
      </w:r>
      <w:r w:rsidRPr="0072600F" w:rsidR="0090795E">
        <w:rPr>
          <w:rFonts w:ascii="Times New Roman" w:eastAsia="Calibri" w:hAnsi="Times New Roman" w:cs="Times New Roman"/>
          <w:iCs/>
          <w:sz w:val="26"/>
          <w:szCs w:val="26"/>
        </w:rPr>
        <w:t>]</w:t>
      </w:r>
      <w:r w:rsidRPr="0072600F" w:rsidR="0090795E">
        <w:rPr>
          <w:rFonts w:ascii="Times New Roman" w:eastAsia="Calibri" w:hAnsi="Times New Roman" w:cs="Times New Roman"/>
          <w:i/>
          <w:sz w:val="26"/>
          <w:szCs w:val="26"/>
        </w:rPr>
        <w:t>,</w:t>
      </w:r>
    </w:p>
    <w:p w:rsidR="00911580" w:rsidRPr="0072600F" w14:paraId="52D45E35" w14:textId="77777777">
      <w:pPr>
        <w:ind w:left="2880"/>
        <w:rPr>
          <w:rFonts w:ascii="Times New Roman" w:eastAsia="Calibri" w:hAnsi="Times New Roman" w:cs="Times New Roman"/>
          <w:iCs/>
          <w:sz w:val="26"/>
          <w:szCs w:val="26"/>
        </w:rPr>
      </w:pPr>
    </w:p>
    <w:p w:rsidR="00911580" w:rsidRPr="0072600F" w14:paraId="382F06E6" w14:textId="77777777">
      <w:pPr>
        <w:ind w:left="2880"/>
        <w:rPr>
          <w:rFonts w:ascii="Times New Roman" w:eastAsia="Calibri" w:hAnsi="Times New Roman" w:cs="Times New Roman"/>
          <w:iCs/>
          <w:sz w:val="26"/>
          <w:szCs w:val="26"/>
        </w:rPr>
      </w:pPr>
      <w:bookmarkStart w:id="194" w:name="_Hlk101346091"/>
      <w:r w:rsidRPr="0072600F">
        <w:rPr>
          <w:rFonts w:ascii="Times New Roman" w:eastAsia="Calibri" w:hAnsi="Times New Roman" w:cs="Times New Roman"/>
          <w:iCs/>
          <w:sz w:val="26"/>
          <w:szCs w:val="26"/>
        </w:rPr>
        <w:t xml:space="preserve">(vi) A Commercial Readiness Deposit </w:t>
      </w:r>
      <w:r w:rsidRPr="0072600F">
        <w:rPr>
          <w:rFonts w:ascii="Times New Roman" w:eastAsia="Calibri" w:hAnsi="Times New Roman" w:cs="Times New Roman"/>
          <w:iCs/>
          <w:sz w:val="26"/>
          <w:szCs w:val="26"/>
        </w:rPr>
        <w:t xml:space="preserve">equal to </w:t>
      </w:r>
      <w:r w:rsidRPr="0072600F">
        <w:rPr>
          <w:rFonts w:ascii="Times New Roman" w:eastAsia="Calibri" w:hAnsi="Times New Roman" w:cs="Times New Roman"/>
          <w:iCs/>
          <w:sz w:val="26"/>
          <w:szCs w:val="26"/>
        </w:rPr>
        <w:t>two</w:t>
      </w:r>
      <w:r w:rsidRPr="0072600F">
        <w:rPr>
          <w:rFonts w:ascii="Times New Roman" w:eastAsia="Calibri" w:hAnsi="Times New Roman" w:cs="Times New Roman"/>
          <w:iCs/>
          <w:sz w:val="26"/>
          <w:szCs w:val="26"/>
        </w:rPr>
        <w:t xml:space="preserve"> times the study deposit described in Section 3.1</w:t>
      </w:r>
      <w:r w:rsidRPr="0072600F">
        <w:rPr>
          <w:rFonts w:ascii="Times New Roman" w:eastAsia="Calibri" w:hAnsi="Times New Roman" w:cs="Times New Roman"/>
          <w:iCs/>
          <w:sz w:val="26"/>
          <w:szCs w:val="26"/>
        </w:rPr>
        <w:t>.1.1 of this LGIP</w:t>
      </w:r>
      <w:r w:rsidRPr="0072600F">
        <w:rPr>
          <w:rFonts w:ascii="Times New Roman" w:eastAsia="Calibri" w:hAnsi="Times New Roman" w:cs="Times New Roman"/>
          <w:iCs/>
          <w:sz w:val="26"/>
          <w:szCs w:val="26"/>
        </w:rPr>
        <w:t xml:space="preserve"> in the form of an irrevocable letter of credit</w:t>
      </w:r>
      <w:r w:rsidRPr="0072600F" w:rsidR="006E07E1">
        <w:rPr>
          <w:rFonts w:ascii="Times New Roman" w:eastAsia="Calibri" w:hAnsi="Times New Roman" w:cs="Times New Roman"/>
          <w:i/>
          <w:sz w:val="26"/>
          <w:szCs w:val="26"/>
        </w:rPr>
        <w:t>,</w:t>
      </w:r>
      <w:r w:rsidRPr="0072600F">
        <w:rPr>
          <w:rFonts w:ascii="Times New Roman" w:eastAsia="Calibri" w:hAnsi="Times New Roman" w:cs="Times New Roman"/>
          <w:iCs/>
          <w:sz w:val="26"/>
          <w:szCs w:val="26"/>
        </w:rPr>
        <w:t xml:space="preserve"> </w:t>
      </w:r>
      <w:r w:rsidRPr="0072600F" w:rsidR="006E07E1">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or</w:t>
      </w:r>
      <w:r w:rsidRPr="0072600F" w:rsidR="006E07E1">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 xml:space="preserve"> cash</w:t>
      </w:r>
      <w:r w:rsidRPr="0072600F" w:rsidR="006E07E1">
        <w:rPr>
          <w:rFonts w:ascii="Times New Roman" w:eastAsia="Calibri" w:hAnsi="Times New Roman" w:cs="Times New Roman"/>
          <w:i/>
          <w:sz w:val="26"/>
          <w:szCs w:val="26"/>
        </w:rPr>
        <w:t>, a surety bond, or other form of security that is reasonably acceptable to Transmission Provider</w:t>
      </w:r>
      <w:r w:rsidRPr="0072600F">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Th</w:t>
      </w:r>
      <w:r w:rsidRPr="0072600F">
        <w:rPr>
          <w:rFonts w:ascii="Times New Roman" w:eastAsia="Calibri" w:hAnsi="Times New Roman" w:cs="Times New Roman"/>
          <w:iCs/>
          <w:sz w:val="26"/>
          <w:szCs w:val="26"/>
        </w:rPr>
        <w:t>is</w:t>
      </w:r>
      <w:r w:rsidRPr="0072600F">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Commercial Readiness Deposit</w:t>
      </w:r>
      <w:r w:rsidRPr="0072600F">
        <w:rPr>
          <w:rFonts w:ascii="Times New Roman" w:eastAsia="Calibri" w:hAnsi="Times New Roman" w:cs="Times New Roman"/>
          <w:iCs/>
          <w:sz w:val="26"/>
          <w:szCs w:val="26"/>
        </w:rPr>
        <w:t xml:space="preserve"> is refunded to Interconnection Customer according to Section </w:t>
      </w:r>
      <w:r w:rsidRPr="0072600F">
        <w:rPr>
          <w:rFonts w:ascii="Times New Roman" w:eastAsia="Calibri" w:hAnsi="Times New Roman" w:cs="Times New Roman"/>
          <w:iCs/>
          <w:sz w:val="26"/>
          <w:szCs w:val="26"/>
        </w:rPr>
        <w:t xml:space="preserve">3.7 of this LGIP, </w:t>
      </w:r>
    </w:p>
    <w:bookmarkEnd w:id="194"/>
    <w:p w:rsidR="00911580" w:rsidRPr="0072600F" w14:paraId="7F2871C1" w14:textId="77777777">
      <w:pPr>
        <w:ind w:left="2880"/>
        <w:rPr>
          <w:rFonts w:ascii="Times New Roman" w:eastAsia="Calibri" w:hAnsi="Times New Roman" w:cs="Times New Roman"/>
          <w:i/>
          <w:sz w:val="26"/>
          <w:szCs w:val="26"/>
        </w:rPr>
      </w:pPr>
    </w:p>
    <w:p w:rsidR="00911580" w:rsidRPr="0072600F" w14:paraId="4DA0EEE6" w14:textId="77777777">
      <w:pPr>
        <w:ind w:left="2880"/>
        <w:rPr>
          <w:rFonts w:ascii="Times New Roman" w:eastAsia="Calibri" w:hAnsi="Times New Roman" w:cs="Times New Roman"/>
          <w:sz w:val="26"/>
          <w:szCs w:val="26"/>
        </w:rPr>
      </w:pPr>
      <w:r w:rsidRPr="0072600F">
        <w:rPr>
          <w:rFonts w:ascii="Times New Roman" w:eastAsia="Calibri" w:hAnsi="Times New Roman" w:cs="Times New Roman"/>
          <w:sz w:val="26"/>
          <w:szCs w:val="26"/>
        </w:rPr>
        <w:t>(vii) A Point of Interconnection, and</w:t>
      </w:r>
    </w:p>
    <w:p w:rsidR="00911580" w:rsidRPr="0072600F" w14:paraId="31F9DC13" w14:textId="77777777">
      <w:pPr>
        <w:ind w:left="2880"/>
        <w:rPr>
          <w:rFonts w:ascii="Times New Roman" w:eastAsia="Calibri" w:hAnsi="Times New Roman" w:cs="Times New Roman"/>
          <w:sz w:val="26"/>
          <w:szCs w:val="26"/>
        </w:rPr>
      </w:pPr>
    </w:p>
    <w:p w:rsidR="00911580" w:rsidRPr="0072600F" w14:paraId="597C9BAB" w14:textId="77777777">
      <w:pPr>
        <w:ind w:left="2880"/>
        <w:rPr>
          <w:rFonts w:ascii="Times New Roman" w:eastAsia="Calibri" w:hAnsi="Times New Roman" w:cs="Times New Roman"/>
          <w:sz w:val="26"/>
          <w:szCs w:val="26"/>
        </w:rPr>
      </w:pPr>
      <w:r w:rsidRPr="0072600F">
        <w:rPr>
          <w:rFonts w:ascii="Times New Roman" w:eastAsia="Calibri" w:hAnsi="Times New Roman" w:cs="Times New Roman"/>
          <w:sz w:val="26"/>
          <w:szCs w:val="26"/>
        </w:rPr>
        <w:t>(viii) Whether the Interconnection Request shall be studied for Network Resource Interconnection Service or for Energy Resource Interconnection Service, consistent with Section 3.2 of this LGIP.</w:t>
      </w:r>
    </w:p>
    <w:p w:rsidR="00911580" w:rsidRPr="0072600F" w14:paraId="1C6CD600" w14:textId="77777777">
      <w:pPr>
        <w:ind w:left="2160"/>
        <w:rPr>
          <w:rFonts w:ascii="Times New Roman" w:eastAsia="Calibri" w:hAnsi="Times New Roman" w:cs="Times New Roman"/>
          <w:sz w:val="26"/>
          <w:szCs w:val="26"/>
        </w:rPr>
      </w:pPr>
    </w:p>
    <w:p w:rsidR="00911580" w:rsidRPr="0072600F" w14:paraId="165A808A"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An Interconnection Customer that submits a deposit in lieu of Site Control due to demonstrated regulatory limitations must demonstrate that it is taking identifiable steps to secure the necessary regulatory approvals from the applicable federal, state, and/or tribal entities before execution of the Cluster Study Agreement.  Such deposit will be held by Transmission Provider until Interconnection Customer provides the required Site Control demonstration for its point in the Cluster Study Process.  Interconnection Customers facing qualifying regulatory limitations must demonstrate one</w:t>
      </w:r>
      <w:r w:rsidRPr="0072600F" w:rsidR="00244E31">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244E31">
        <w:rPr>
          <w:rFonts w:ascii="Times New Roman" w:eastAsia="Calibri" w:hAnsi="Times New Roman" w:cs="Times New Roman"/>
          <w:sz w:val="26"/>
          <w:szCs w:val="26"/>
        </w:rPr>
        <w:t>]</w:t>
      </w:r>
      <w:r w:rsidRPr="0072600F" w:rsidR="00DE2005">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hundred percent (100%) Site Control within one</w:t>
      </w:r>
      <w:r w:rsidRPr="0072600F" w:rsidR="00244E31">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244E31">
        <w:rPr>
          <w:rFonts w:ascii="Times New Roman" w:eastAsia="Calibri" w:hAnsi="Times New Roman" w:cs="Times New Roman"/>
          <w:sz w:val="26"/>
          <w:szCs w:val="26"/>
        </w:rPr>
        <w:t>]</w:t>
      </w:r>
      <w:r w:rsidRPr="0072600F" w:rsidR="00DE2005">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hundred eighty (180) Calendar Days of the effective date of the LGIA.</w:t>
      </w:r>
    </w:p>
    <w:p w:rsidR="00911580" w:rsidRPr="0072600F" w14:paraId="2901ED00" w14:textId="77777777">
      <w:pPr>
        <w:ind w:left="2160"/>
        <w:rPr>
          <w:rFonts w:ascii="Times New Roman" w:eastAsia="Calibri" w:hAnsi="Times New Roman" w:cs="Times New Roman"/>
          <w:sz w:val="26"/>
          <w:szCs w:val="26"/>
        </w:rPr>
      </w:pPr>
    </w:p>
    <w:p w:rsidR="00911580" w:rsidRPr="0072600F" w14:paraId="49EDDBB0"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Customer shall promptly inform Transmission Provider</w:t>
      </w:r>
      <w:r w:rsidRPr="0072600F" w:rsidR="00595BB5">
        <w:rPr>
          <w:rFonts w:ascii="Times New Roman" w:eastAsia="Calibri" w:hAnsi="Times New Roman" w:cs="Times New Roman"/>
          <w:i/>
          <w:iCs/>
          <w:sz w:val="26"/>
          <w:szCs w:val="26"/>
        </w:rPr>
        <w:t xml:space="preserve"> </w:t>
      </w:r>
      <w:r w:rsidRPr="0072600F">
        <w:rPr>
          <w:rFonts w:ascii="Times New Roman" w:eastAsia="Calibri" w:hAnsi="Times New Roman" w:cs="Times New Roman"/>
          <w:sz w:val="26"/>
          <w:szCs w:val="26"/>
        </w:rPr>
        <w:t>of any material change to Interconnection Customer’s demonstration of Site Control under Section 3.4.2(iii) of this LGIP.  If Transmission Provider determines, based on Interconnection Customer’s information, that Interconnection Customer no longer satisfies the Site Control requirement, Transmission Provider shall give Interconnection Customer ten (10) Business Days to demonstrate satisfaction with the applicable requirement subject to Transmission Provider’s approval.  Absent such, Transmission Provider shall deem the Interconnection Request withdrawn pursuant to Section 3.7 of this LGIP.</w:t>
      </w:r>
      <w:r w:rsidRPr="0072600F">
        <w:rPr>
          <w:rFonts w:ascii="Times New Roman" w:eastAsia="Calibri" w:hAnsi="Times New Roman" w:cs="Times New Roman"/>
          <w:sz w:val="26"/>
          <w:szCs w:val="26"/>
        </w:rPr>
        <w:t xml:space="preserve"> </w:t>
      </w:r>
    </w:p>
    <w:p w:rsidR="00911580" w:rsidRPr="0072600F" w14:paraId="4511BBBD" w14:textId="77777777">
      <w:pPr>
        <w:ind w:left="2160"/>
        <w:rPr>
          <w:rFonts w:ascii="Times New Roman" w:eastAsia="Calibri" w:hAnsi="Times New Roman" w:cs="Times New Roman"/>
          <w:i/>
          <w:iCs/>
          <w:sz w:val="26"/>
          <w:szCs w:val="26"/>
        </w:rPr>
      </w:pPr>
    </w:p>
    <w:p w:rsidR="00911580" w:rsidRPr="0072600F" w14:paraId="545C2277" w14:textId="77777777">
      <w:pPr>
        <w:ind w:left="2160"/>
        <w:rPr>
          <w:rFonts w:ascii="Times New Roman" w:eastAsia="Calibri" w:hAnsi="Times New Roman" w:cs="Times New Roman"/>
          <w:i/>
          <w:iCs/>
          <w:sz w:val="26"/>
          <w:szCs w:val="26"/>
        </w:rPr>
      </w:pPr>
      <w:r w:rsidRPr="0072600F">
        <w:rPr>
          <w:rFonts w:ascii="Times New Roman" w:eastAsia="Calibri" w:hAnsi="Times New Roman" w:cs="Times New Roman"/>
          <w:sz w:val="26"/>
          <w:szCs w:val="26"/>
        </w:rPr>
        <w:t xml:space="preserve">The expected In-Service Date of the new Large Generating Facility or increase in capacity of the existing Generating Facility shall be no more than the process window for the regional expansion planning period (or in the absence of a regional planning process, the process window for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expansion planning period) not to exceed seven </w:t>
      </w:r>
      <w:r w:rsidRPr="0072600F" w:rsidR="20A32001">
        <w:rPr>
          <w:rFonts w:ascii="Times New Roman" w:eastAsia="Calibri" w:hAnsi="Times New Roman" w:cs="Times New Roman"/>
          <w:i/>
          <w:iCs/>
          <w:sz w:val="26"/>
          <w:szCs w:val="26"/>
        </w:rPr>
        <w:t>(7)</w:t>
      </w:r>
      <w:r w:rsidRPr="0072600F">
        <w:rPr>
          <w:rFonts w:ascii="Times New Roman" w:eastAsia="Calibri" w:hAnsi="Times New Roman" w:cs="Times New Roman"/>
          <w:sz w:val="26"/>
          <w:szCs w:val="26"/>
        </w:rPr>
        <w:t xml:space="preserve"> years from the date the Interconnection Request is received by Transmission Provider, unless Interconnection Customer demonstrates that engineering, permitting and construction of the new Large Generating Facility or increase in capacity of the existing Generating Facility will take longer than the regional expansion planning period.  The In-Service Date may succeed the date the Interconnection Request is received by Transmission Provider by a period up to ten </w:t>
      </w:r>
      <w:r w:rsidRPr="0072600F" w:rsidR="0900108A">
        <w:rPr>
          <w:rFonts w:ascii="Times New Roman" w:eastAsia="Calibri" w:hAnsi="Times New Roman" w:cs="Times New Roman"/>
          <w:i/>
          <w:iCs/>
          <w:sz w:val="26"/>
          <w:szCs w:val="26"/>
        </w:rPr>
        <w:t>(10)</w:t>
      </w:r>
      <w:r w:rsidRPr="0072600F">
        <w:rPr>
          <w:rFonts w:ascii="Times New Roman" w:eastAsia="Calibri" w:hAnsi="Times New Roman" w:cs="Times New Roman"/>
          <w:sz w:val="26"/>
          <w:szCs w:val="26"/>
        </w:rPr>
        <w:t xml:space="preserve"> years, or longer where Interconnection Customer and Transmission Provider agree, such agreement not to be unreasonably withheld.</w:t>
      </w:r>
    </w:p>
    <w:p w:rsidR="00911580" w:rsidRPr="0072600F" w14:paraId="6DA32324" w14:textId="77777777">
      <w:pPr>
        <w:rPr>
          <w:rFonts w:ascii="Times New Roman" w:hAnsi="Times New Roman" w:cs="Times New Roman"/>
          <w:sz w:val="26"/>
          <w:szCs w:val="26"/>
        </w:rPr>
      </w:pPr>
    </w:p>
    <w:p w:rsidR="00911580" w:rsidRPr="0072600F" w:rsidP="00561642" w14:paraId="26881C35" w14:textId="77777777">
      <w:pPr>
        <w:pStyle w:val="Heading3"/>
        <w:rPr>
          <w:b/>
          <w:sz w:val="26"/>
        </w:rPr>
      </w:pPr>
      <w:r w:rsidRPr="0072600F">
        <w:rPr>
          <w:sz w:val="26"/>
        </w:rPr>
        <w:tab/>
      </w:r>
      <w:bookmarkStart w:id="195" w:name="_Toc149903615"/>
      <w:r w:rsidRPr="0072600F">
        <w:rPr>
          <w:rStyle w:val="Heading4Char"/>
          <w:b/>
          <w:sz w:val="26"/>
        </w:rPr>
        <w:t>3.4.3</w:t>
      </w:r>
      <w:r w:rsidRPr="0072600F">
        <w:rPr>
          <w:b/>
          <w:sz w:val="26"/>
        </w:rPr>
        <w:tab/>
        <w:t>Acknowledgment of Interconnection Request.</w:t>
      </w:r>
      <w:bookmarkEnd w:id="195"/>
    </w:p>
    <w:p w:rsidR="00911580" w:rsidRPr="0072600F" w14:paraId="4EAEE81B" w14:textId="77777777">
      <w:pPr>
        <w:ind w:left="2160"/>
        <w:rPr>
          <w:rFonts w:ascii="Times New Roman" w:hAnsi="Times New Roman" w:cs="Times New Roman"/>
          <w:sz w:val="26"/>
          <w:szCs w:val="26"/>
        </w:rPr>
      </w:pPr>
      <w:r w:rsidRPr="0072600F">
        <w:rPr>
          <w:rFonts w:ascii="Times New Roman" w:hAnsi="Times New Roman" w:cs="Times New Roman"/>
          <w:sz w:val="26"/>
          <w:szCs w:val="26"/>
        </w:rPr>
        <w:t>Transmission Provider shall acknowledge receipt of the Interconnection Request within five (5) Business Days of receipt of the request and attach a copy of the received Interconnection Request to the acknowledgement.</w:t>
      </w:r>
    </w:p>
    <w:p w:rsidR="00911580" w:rsidRPr="0072600F" w14:paraId="270B3F42" w14:textId="77777777">
      <w:pPr>
        <w:rPr>
          <w:rFonts w:ascii="Times New Roman" w:hAnsi="Times New Roman" w:cs="Times New Roman"/>
          <w:sz w:val="26"/>
          <w:szCs w:val="26"/>
        </w:rPr>
      </w:pPr>
    </w:p>
    <w:p w:rsidR="00911580" w:rsidRPr="0072600F" w:rsidP="00561642" w14:paraId="75868C95" w14:textId="77777777">
      <w:pPr>
        <w:pStyle w:val="Heading3"/>
        <w:rPr>
          <w:b/>
          <w:sz w:val="26"/>
        </w:rPr>
      </w:pPr>
      <w:r w:rsidRPr="0072600F">
        <w:rPr>
          <w:sz w:val="26"/>
        </w:rPr>
        <w:tab/>
      </w:r>
      <w:bookmarkStart w:id="196" w:name="_Toc149903616"/>
      <w:r w:rsidRPr="0072600F">
        <w:rPr>
          <w:rStyle w:val="Heading4Char"/>
          <w:b/>
          <w:sz w:val="26"/>
        </w:rPr>
        <w:t>3.4.4</w:t>
      </w:r>
      <w:r w:rsidRPr="0072600F">
        <w:rPr>
          <w:b/>
          <w:sz w:val="26"/>
        </w:rPr>
        <w:tab/>
        <w:t>Deficiencies in Interconnection Request.</w:t>
      </w:r>
      <w:bookmarkEnd w:id="196"/>
    </w:p>
    <w:p w:rsidR="00911580" w:rsidRPr="0072600F" w14:paraId="45CC2684"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An Interconnection Request will not be considered to be a valid request until all items in Section 3.4.2 of this LGIP have been received by Transmission Provider</w:t>
      </w:r>
      <w:r w:rsidRPr="0072600F" w:rsidR="00565771">
        <w:rPr>
          <w:rFonts w:ascii="Times New Roman" w:hAnsi="Times New Roman" w:cs="Times New Roman"/>
          <w:i/>
          <w:iCs/>
          <w:sz w:val="26"/>
          <w:szCs w:val="26"/>
        </w:rPr>
        <w:t xml:space="preserve"> during the Cluster Request Window</w:t>
      </w:r>
      <w:r w:rsidRPr="0072600F">
        <w:rPr>
          <w:rFonts w:ascii="Times New Roman" w:eastAsia="Calibri" w:hAnsi="Times New Roman" w:cs="Times New Roman"/>
          <w:sz w:val="26"/>
          <w:szCs w:val="26"/>
        </w:rPr>
        <w:t>.  If an Interconnection Request fails to meet the requirements set forth in Section 3.4.2 of this LGIP, Transmission Provider shall notify Interconnection Customer within five (5) Business Days of receipt of the initial Interconnection Request of the reasons for such failure and that the Interconnection Request does not constitute a valid request. Interconnection Customer shall provide Transmission Provider the additional requested information needed to constitute a valid request within ten (10) Business Days after receipt of such notice but no later than the close of the Cluster Request Window.  At any time, if Transmission Provider finds that the technical data provided by Interconnection Customer is incomplete or contains errors, Interconnection Customer and Transmission Provider shall work expeditiously and in good faith to remedy such issues.  In the event that Interconnection Customer fails to comply with this Section 3.4.4 of this LGIP, Transmission Provider</w:t>
      </w:r>
      <w:r w:rsidRPr="0072600F" w:rsidR="2C4CC15B">
        <w:rPr>
          <w:rFonts w:ascii="Times New Roman" w:eastAsia="Calibri" w:hAnsi="Times New Roman" w:cs="Times New Roman"/>
          <w:sz w:val="26"/>
          <w:szCs w:val="26"/>
        </w:rPr>
        <w:t>[</w:t>
      </w:r>
      <w:r w:rsidRPr="0072600F">
        <w:rPr>
          <w:rFonts w:ascii="Times New Roman" w:eastAsia="Calibri" w:hAnsi="Times New Roman" w:cs="Times New Roman"/>
          <w:sz w:val="26"/>
          <w:szCs w:val="26"/>
        </w:rPr>
        <w:t>s</w:t>
      </w:r>
      <w:r w:rsidRPr="0072600F" w:rsidR="6B931EB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shall deem the Interconnection Request withdrawn (without the cure period provided under Section 3.7 of this LGIP), the application fee is forfeited to </w:t>
      </w:r>
      <w:r w:rsidRPr="0072600F" w:rsidR="00EF484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EF484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and the study deposit and Commercial Readiness Deposit shall be returned to Interconnection Customer. </w:t>
      </w:r>
    </w:p>
    <w:p w:rsidR="00911580" w:rsidRPr="0072600F" w14:paraId="43EE6F7E" w14:textId="77777777">
      <w:pPr>
        <w:rPr>
          <w:rFonts w:ascii="Times New Roman" w:eastAsia="Calibri" w:hAnsi="Times New Roman" w:cs="Times New Roman"/>
          <w:sz w:val="26"/>
          <w:szCs w:val="26"/>
        </w:rPr>
      </w:pPr>
    </w:p>
    <w:p w:rsidR="00911580" w:rsidRPr="0072600F" w:rsidP="00561642" w14:paraId="2D3810F0" w14:textId="77777777">
      <w:pPr>
        <w:pStyle w:val="Heading3"/>
        <w:rPr>
          <w:rFonts w:eastAsia="Calibri"/>
          <w:b/>
          <w:sz w:val="26"/>
        </w:rPr>
      </w:pPr>
      <w:r w:rsidRPr="0072600F">
        <w:rPr>
          <w:rStyle w:val="Heading3Char"/>
          <w:rFonts w:eastAsia="Calibri"/>
          <w:sz w:val="26"/>
        </w:rPr>
        <w:tab/>
      </w:r>
      <w:bookmarkStart w:id="197" w:name="_Toc149903617"/>
      <w:r w:rsidRPr="0072600F">
        <w:rPr>
          <w:rStyle w:val="Heading4Char"/>
          <w:rFonts w:eastAsia="Calibri"/>
          <w:b/>
          <w:sz w:val="26"/>
        </w:rPr>
        <w:t>3.4.5</w:t>
      </w:r>
      <w:r w:rsidRPr="0072600F">
        <w:rPr>
          <w:rFonts w:eastAsia="Calibri"/>
          <w:b/>
          <w:sz w:val="26"/>
        </w:rPr>
        <w:tab/>
        <w:t>Customer Engagement Window.</w:t>
      </w:r>
      <w:bookmarkEnd w:id="197"/>
    </w:p>
    <w:p w:rsidR="00911580" w:rsidRPr="0072600F" w14:paraId="5AEE8AB2" w14:textId="77777777">
      <w:pPr>
        <w:tabs>
          <w:tab w:val="left" w:pos="720"/>
          <w:tab w:val="left" w:pos="1440"/>
          <w:tab w:val="left" w:pos="2160"/>
        </w:tabs>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Upon the close of each Cluster Request Window, Transmission Provider shall open a sixty (60) Calendar Day period (Customer Engagement Window).  During the Customer Engagement Window, Transmission Provider shall hold a Scoping Meeting with all interested Interconnection Customers.  Notwithstanding the preceding requirements and upon written consent of all Interconnection Customers within the Cluster, Transmission Provider may shorten the Customer Engagement Window and begin the Cluster Study.  Within ten (10) Business Days of the opening of the Customer Engagement Window, Transmission Provider shall post on its OASIS a list of Interconnection Requests for that Cluster.  The list shall identify, for each anonymized Interconnection Request: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(1) the requested amount of Interconnection Service; (2) the location by county and state; (3) the station or transmission line or lines where the interconnection will be made; (4) the projected In-Service Date; (5) the type of Interconnection Service requested; and (6) the type of Generating Facility or Facilities to be constructed, including fuel types, such as coal, natural gas, solar, or wind.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must ensure that project information is anonymized and does not reveal the identity or commercial information of </w:t>
      </w:r>
      <w:r w:rsidRPr="0072600F" w:rsidR="67FC297A">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sidR="77FD6173">
        <w:rPr>
          <w:rFonts w:ascii="Times New Roman" w:eastAsia="Calibri" w:hAnsi="Times New Roman" w:cs="Times New Roman"/>
          <w:sz w:val="26"/>
          <w:szCs w:val="26"/>
        </w:rPr>
        <w:t>]</w:t>
      </w:r>
      <w:r w:rsidRPr="0072600F" w:rsidR="77FD6173">
        <w:rPr>
          <w:rFonts w:ascii="Times New Roman" w:eastAsia="Calibri" w:hAnsi="Times New Roman" w:cs="Times New Roman"/>
          <w:i/>
          <w:iCs/>
          <w:sz w:val="26"/>
          <w:szCs w:val="26"/>
        </w:rPr>
        <w:t>I</w:t>
      </w:r>
      <w:r w:rsidRPr="0072600F">
        <w:rPr>
          <w:rFonts w:ascii="Times New Roman" w:eastAsia="Calibri" w:hAnsi="Times New Roman" w:cs="Times New Roman"/>
          <w:sz w:val="26"/>
          <w:szCs w:val="26"/>
        </w:rPr>
        <w:t xml:space="preserve">nterconnection </w:t>
      </w:r>
      <w:r w:rsidRPr="0072600F" w:rsidR="1802FFAD">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4C7095">
        <w:rPr>
          <w:rFonts w:ascii="Times New Roman" w:eastAsia="Calibri" w:hAnsi="Times New Roman" w:cs="Times New Roman"/>
          <w:sz w:val="26"/>
          <w:szCs w:val="26"/>
        </w:rPr>
        <w:t>]</w:t>
      </w:r>
      <w:r w:rsidRPr="0072600F" w:rsidR="6E55EC48">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ustomers with submitted requests.  During the Customer Engagement Window, Transmission Provider shall provide to Interconnection Customer a non-binding updated good faith estimate of the cost and timeframe for completing the </w:t>
      </w:r>
      <w:r w:rsidRPr="0072600F" w:rsidR="00F8713A">
        <w:rPr>
          <w:rFonts w:ascii="Times New Roman" w:eastAsia="Calibri" w:hAnsi="Times New Roman" w:cs="Times New Roman"/>
          <w:sz w:val="26"/>
          <w:szCs w:val="26"/>
        </w:rPr>
        <w:t>c</w:t>
      </w:r>
      <w:r w:rsidRPr="0072600F">
        <w:rPr>
          <w:rFonts w:ascii="Times New Roman" w:eastAsia="Calibri" w:hAnsi="Times New Roman" w:cs="Times New Roman"/>
          <w:sz w:val="26"/>
          <w:szCs w:val="26"/>
        </w:rPr>
        <w:t xml:space="preserve">luster Study and a Cluster Study Agreement to be executed prior to the close of the Customer Engagement Window.  </w:t>
      </w:r>
    </w:p>
    <w:p w:rsidR="00911580" w:rsidRPr="0072600F" w14:paraId="0C4BC1C2" w14:textId="77777777">
      <w:pPr>
        <w:ind w:left="2160"/>
        <w:rPr>
          <w:rFonts w:ascii="Times New Roman" w:eastAsia="Calibri" w:hAnsi="Times New Roman" w:cs="Times New Roman"/>
          <w:sz w:val="26"/>
          <w:szCs w:val="26"/>
        </w:rPr>
      </w:pPr>
    </w:p>
    <w:p w:rsidR="00911580" w:rsidRPr="0072600F" w14:paraId="5154E2F4"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At the end of the Customer Engagement Window, all Interconnection Requests deemed valid that have executed a Cluster Study Agreement in the form of Appendix 2 to this LGIP shall be included in the Cluster Study.  Any Interconnection Requests </w:t>
      </w:r>
      <w:r w:rsidRPr="0072600F" w:rsidR="00F30D01">
        <w:rPr>
          <w:rFonts w:ascii="Times New Roman" w:eastAsia="Calibri" w:hAnsi="Times New Roman" w:cs="Times New Roman"/>
          <w:i/>
          <w:iCs/>
          <w:sz w:val="26"/>
          <w:szCs w:val="26"/>
        </w:rPr>
        <w:t xml:space="preserve">for which Interconnection Customer has not executed a Cluster Study Agreement </w:t>
      </w:r>
      <w:r w:rsidRPr="0072600F" w:rsidR="00F30D01">
        <w:rPr>
          <w:rFonts w:ascii="Times New Roman" w:eastAsia="Calibri" w:hAnsi="Times New Roman" w:cs="Times New Roman"/>
          <w:sz w:val="26"/>
          <w:szCs w:val="26"/>
        </w:rPr>
        <w:t>[</w:t>
      </w:r>
      <w:r w:rsidRPr="0072600F">
        <w:rPr>
          <w:rFonts w:ascii="Times New Roman" w:eastAsia="Calibri" w:hAnsi="Times New Roman" w:cs="Times New Roman"/>
          <w:sz w:val="26"/>
          <w:szCs w:val="26"/>
        </w:rPr>
        <w:t>not deemed valid at the close of the Customer Engagement Window</w:t>
      </w:r>
      <w:r w:rsidRPr="0072600F" w:rsidR="00F9590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shall be deemed withdrawn (without the cure period provided under Section 3.7 of this LGIP) by Transmission Provider, the application fee shall be forfeited to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and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return the study deposit and Commercial Readiness Deposit to Interconnection Customer.  Immediately following the Customer Engagement Window, Transmission Provider shall initiate the Cluster Study described in Section 7 of this LGIP.</w:t>
      </w:r>
    </w:p>
    <w:p w:rsidR="00911580" w:rsidRPr="0072600F" w14:paraId="40937C50" w14:textId="77777777">
      <w:pPr>
        <w:rPr>
          <w:rFonts w:ascii="Times New Roman" w:hAnsi="Times New Roman" w:cs="Times New Roman"/>
          <w:sz w:val="26"/>
          <w:szCs w:val="26"/>
        </w:rPr>
      </w:pPr>
    </w:p>
    <w:p w:rsidR="00911580" w:rsidRPr="0072600F" w:rsidP="00561642" w14:paraId="7514E273" w14:textId="77777777">
      <w:pPr>
        <w:pStyle w:val="Heading3"/>
        <w:rPr>
          <w:b/>
          <w:sz w:val="26"/>
        </w:rPr>
      </w:pPr>
      <w:r w:rsidRPr="0072600F">
        <w:rPr>
          <w:sz w:val="26"/>
        </w:rPr>
        <w:tab/>
      </w:r>
      <w:bookmarkStart w:id="198" w:name="_Toc149903618"/>
      <w:r w:rsidRPr="0072600F">
        <w:rPr>
          <w:rStyle w:val="Heading4Char"/>
          <w:b/>
          <w:sz w:val="26"/>
        </w:rPr>
        <w:t>3.4.6</w:t>
      </w:r>
      <w:r w:rsidRPr="0072600F">
        <w:rPr>
          <w:b/>
          <w:sz w:val="26"/>
        </w:rPr>
        <w:tab/>
        <w:t>Cluster Study Scoping Meeting.</w:t>
      </w:r>
      <w:bookmarkEnd w:id="198"/>
    </w:p>
    <w:p w:rsidR="00911580" w:rsidRPr="0072600F" w14:paraId="3D404A5E" w14:textId="77777777">
      <w:pPr>
        <w:ind w:left="2160"/>
        <w:rPr>
          <w:rFonts w:ascii="Times New Roman" w:eastAsia="Calibri" w:hAnsi="Times New Roman" w:cs="Times New Roman"/>
          <w:i/>
          <w:iCs/>
          <w:sz w:val="26"/>
          <w:szCs w:val="26"/>
        </w:rPr>
      </w:pPr>
      <w:r w:rsidRPr="0072600F">
        <w:rPr>
          <w:rFonts w:ascii="Times New Roman" w:eastAsia="Calibri" w:hAnsi="Times New Roman" w:cs="Times New Roman"/>
          <w:sz w:val="26"/>
          <w:szCs w:val="26"/>
        </w:rPr>
        <w:t xml:space="preserve">During the Customer Engagement Window, Transmission Provider shall hold a Scoping Meeting with all Interconnection Customers whose valid Interconnection Requests were received in that Cluster Request Window.   </w:t>
      </w:r>
    </w:p>
    <w:p w:rsidR="00911580" w:rsidRPr="0072600F" w14:paraId="6671C3E6" w14:textId="77777777">
      <w:pPr>
        <w:ind w:left="2160"/>
        <w:rPr>
          <w:rFonts w:ascii="Times New Roman" w:eastAsia="Calibri" w:hAnsi="Times New Roman" w:cs="Times New Roman"/>
          <w:i/>
          <w:iCs/>
          <w:sz w:val="26"/>
          <w:szCs w:val="26"/>
        </w:rPr>
      </w:pPr>
    </w:p>
    <w:p w:rsidR="00911580" w:rsidRPr="0072600F" w14:paraId="357540E5"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The purpose of the Cluster Study Scoping Meeting shall be to discuss alternative interconnection options, to exchange information including any transmission data and earlier study evaluations that would reasonably be expected to impact such interconnection options, to discuss the Cluster Study materials posted to OASIS pursuant to Section 3.5 of this LGIP, if applicable, and to analyze such information.</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 Transmission Provider and Interconnection Customer(s) will bring to the meeting such technical data, including, but not limited to: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Pr>
          <w:rFonts w:ascii="Times New Roman" w:eastAsia="Calibri" w:hAnsi="Times New Roman" w:cs="Times New Roman"/>
          <w:sz w:val="26"/>
          <w:szCs w:val="26"/>
        </w:rPr>
        <w:t>) general facility loadings, (ii) general instability issues, (iii) general short circuit issues, (iv) general voltage issues, and (v) general reliability issues as may be reasonably required to accomplish the purpose of the meeting.</w:t>
      </w:r>
      <w:r w:rsidRPr="0072600F" w:rsidR="00C20120">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 Transmission Provider and Interconnection Customer(s) will also bring to the meeting personnel and other resources as may be reasonably required to accomplish the purpose of the meeting in the time allocated for the meeting. </w:t>
      </w:r>
      <w:r w:rsidRPr="0072600F" w:rsidR="00C20120">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On the basis of the meeting, Interconnection Customer(s) shall designate its Point of Interconnection </w:t>
      </w:r>
      <w:r w:rsidRPr="0072600F" w:rsidR="005B778A">
        <w:rPr>
          <w:rFonts w:ascii="Times New Roman" w:eastAsia="Calibri" w:hAnsi="Times New Roman" w:cs="Times New Roman"/>
          <w:sz w:val="26"/>
          <w:szCs w:val="26"/>
        </w:rPr>
        <w:t>[</w:t>
      </w:r>
      <w:r w:rsidRPr="0072600F">
        <w:rPr>
          <w:rFonts w:ascii="Times New Roman" w:eastAsia="Calibri" w:hAnsi="Times New Roman" w:cs="Times New Roman"/>
          <w:sz w:val="26"/>
          <w:szCs w:val="26"/>
        </w:rPr>
        <w:t>and one or more available alternative Point(s) of Interconnection</w:t>
      </w:r>
      <w:r w:rsidRPr="0072600F" w:rsidR="005B778A">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C20120">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The duration of the meeting shall be sufficient to accomplish its purpose.  If the Cluster Study Scoping Meeting consists of more than one Interconnection Customer, Transmission Provider shall issue, no later than fifteen (15) Business Days after the commencement of the Customer Engagement Window, and Interconnection Customer shall execute a non-disclosure agreement prior to a group Cluster Study Scoping Meeting, which will provide for confidentiality of identifying</w:t>
      </w:r>
      <w:r w:rsidRPr="0072600F" w:rsidR="006E6C92">
        <w:rPr>
          <w:rFonts w:ascii="Times New Roman" w:eastAsia="Calibri" w:hAnsi="Times New Roman" w:cs="Times New Roman"/>
          <w:sz w:val="26"/>
          <w:szCs w:val="26"/>
        </w:rPr>
        <w:t xml:space="preserve"> </w:t>
      </w:r>
      <w:r w:rsidRPr="0072600F" w:rsidR="006E6C92">
        <w:rPr>
          <w:rFonts w:ascii="Times New Roman" w:eastAsia="Calibri" w:hAnsi="Times New Roman" w:cs="Times New Roman"/>
          <w:i/>
          <w:iCs/>
          <w:sz w:val="26"/>
          <w:szCs w:val="26"/>
        </w:rPr>
        <w:t>information or</w:t>
      </w:r>
      <w:r w:rsidRPr="0072600F">
        <w:rPr>
          <w:rFonts w:ascii="Times New Roman" w:eastAsia="Calibri" w:hAnsi="Times New Roman" w:cs="Times New Roman"/>
          <w:sz w:val="26"/>
          <w:szCs w:val="26"/>
        </w:rPr>
        <w:t xml:space="preserve"> commercially sensitive information pertaining to any other Interconnection Customers.</w:t>
      </w:r>
    </w:p>
    <w:p w:rsidR="00911580" w:rsidRPr="0072600F" w14:paraId="6E477212" w14:textId="77777777">
      <w:pPr>
        <w:rPr>
          <w:rFonts w:ascii="Times New Roman" w:hAnsi="Times New Roman" w:cs="Times New Roman"/>
          <w:sz w:val="26"/>
          <w:szCs w:val="26"/>
        </w:rPr>
      </w:pPr>
    </w:p>
    <w:p w:rsidR="00911580" w:rsidRPr="0072600F" w:rsidP="00306D04" w14:paraId="45F0176C" w14:textId="77777777">
      <w:pPr>
        <w:pStyle w:val="Heading3"/>
        <w:rPr>
          <w:b/>
          <w:sz w:val="26"/>
        </w:rPr>
      </w:pPr>
      <w:bookmarkStart w:id="199" w:name="thirteenpoint5"/>
      <w:bookmarkStart w:id="200" w:name="threepoint5"/>
      <w:bookmarkStart w:id="201" w:name="_Toc149903619"/>
      <w:r w:rsidRPr="0072600F">
        <w:rPr>
          <w:b/>
          <w:sz w:val="26"/>
        </w:rPr>
        <w:t>3.5.</w:t>
      </w:r>
      <w:r w:rsidRPr="0072600F">
        <w:rPr>
          <w:b/>
          <w:sz w:val="26"/>
        </w:rPr>
        <w:tab/>
        <w:t>OASIS Posting.</w:t>
      </w:r>
      <w:bookmarkEnd w:id="199"/>
      <w:bookmarkEnd w:id="200"/>
      <w:bookmarkEnd w:id="201"/>
    </w:p>
    <w:p w:rsidR="00911580" w:rsidRPr="0072600F" w14:paraId="26BF5FE1" w14:textId="77777777">
      <w:pPr>
        <w:tabs>
          <w:tab w:val="left" w:pos="720"/>
          <w:tab w:val="left" w:pos="1440"/>
        </w:tabs>
        <w:ind w:left="2160" w:hanging="1440"/>
        <w:rPr>
          <w:rFonts w:ascii="Times New Roman" w:hAnsi="Times New Roman" w:cs="Times New Roman"/>
          <w:sz w:val="26"/>
          <w:szCs w:val="26"/>
        </w:rPr>
      </w:pPr>
    </w:p>
    <w:p w:rsidR="00911580" w:rsidRPr="0072600F" w:rsidP="00561642" w14:paraId="16CE05D2" w14:textId="77777777">
      <w:pPr>
        <w:pStyle w:val="Heading3"/>
        <w:rPr>
          <w:b/>
          <w:sz w:val="26"/>
        </w:rPr>
      </w:pPr>
      <w:bookmarkStart w:id="202" w:name="threepointfivepoint1"/>
      <w:r w:rsidRPr="0072600F">
        <w:rPr>
          <w:sz w:val="26"/>
        </w:rPr>
        <w:tab/>
      </w:r>
      <w:bookmarkStart w:id="203" w:name="_Toc149903620"/>
      <w:r w:rsidRPr="0072600F">
        <w:rPr>
          <w:rStyle w:val="Heading4Char"/>
          <w:b/>
          <w:sz w:val="26"/>
        </w:rPr>
        <w:t>3.5.1</w:t>
      </w:r>
      <w:bookmarkEnd w:id="202"/>
      <w:r w:rsidRPr="0072600F">
        <w:rPr>
          <w:b/>
          <w:sz w:val="26"/>
        </w:rPr>
        <w:tab/>
        <w:t>OASIS Posting.</w:t>
      </w:r>
      <w:bookmarkEnd w:id="203"/>
    </w:p>
    <w:p w:rsidR="00911580" w:rsidRPr="0072600F" w14:paraId="78C1FCE9"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Transmission Provider will maintain on its OASIS a list of all Interconnection Requests. The list will identify, for each Interconnection Request: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Pr>
          <w:rFonts w:ascii="Times New Roman" w:eastAsia="Calibri" w:hAnsi="Times New Roman" w:cs="Times New Roman"/>
          <w:sz w:val="26"/>
          <w:szCs w:val="26"/>
        </w:rPr>
        <w:t xml:space="preserve">) the maximum summer and winter megawatt electrical output; (ii) the location by county and state; (iii) the station or transmission line or lines where the interconnection will be made; (iv) the projected In-Service Date; (v) the status of the Interconnection Request, including Queue Position; (vi) the type of Interconnection Service being requested; </w:t>
      </w:r>
      <w:r w:rsidRPr="0072600F" w:rsidR="00BD2F0A">
        <w:rPr>
          <w:rFonts w:ascii="Times New Roman" w:eastAsia="Calibri" w:hAnsi="Times New Roman" w:cs="Times New Roman"/>
          <w:sz w:val="26"/>
          <w:szCs w:val="26"/>
        </w:rPr>
        <w:t>[</w:t>
      </w:r>
      <w:r w:rsidRPr="0072600F">
        <w:rPr>
          <w:rFonts w:ascii="Times New Roman" w:eastAsia="Calibri" w:hAnsi="Times New Roman" w:cs="Times New Roman"/>
          <w:sz w:val="26"/>
          <w:szCs w:val="26"/>
        </w:rPr>
        <w:t>and</w:t>
      </w:r>
      <w:r w:rsidRPr="0072600F" w:rsidR="00BD2F0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(vii) the availability of any studies related to the Interconnection Request; (viii) the date of the Interconnection Request; (ix) the type of Generating Facility to be constructed; and (x) for Interconnection Requests that have not resulted in a completed interconnection, an explanation as to why it was not completed.  Except in the case of an Affiliate, the list will not disclose the identity of Interconnection Customer until Interconnection Customer executes an LGIA or requests that Transmission Provider file an unexecuted LGIA with FERC.  Before holding a Scoping Meeting with its Affiliate, Transmission Provider shall post on OASIS an advance notice of its intent to do so.  Transmission Provider shall post to its OASIS site any deviations from the study timelines set forth herein. Interconnection Study reports and Optional Interconnection Study reports shall be posted to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OASIS site subsequent to the meeting between Interconnection Customer and Transmission Provider to discuss the applicable study results. Transmission Provider shall also post any known deviations in the Large Generating Facility’s In-Service Date. </w:t>
      </w:r>
    </w:p>
    <w:p w:rsidR="00911580" w:rsidRPr="0072600F" w14:paraId="45107C9E" w14:textId="77777777">
      <w:pPr>
        <w:ind w:left="2160"/>
        <w:rPr>
          <w:rFonts w:ascii="Times New Roman" w:hAnsi="Times New Roman" w:cs="Times New Roman"/>
          <w:sz w:val="26"/>
          <w:szCs w:val="26"/>
        </w:rPr>
      </w:pPr>
    </w:p>
    <w:p w:rsidR="00911580" w:rsidRPr="0072600F" w:rsidP="00561642" w14:paraId="24898A8C" w14:textId="77777777">
      <w:pPr>
        <w:pStyle w:val="Heading3"/>
        <w:rPr>
          <w:b/>
          <w:sz w:val="26"/>
        </w:rPr>
      </w:pPr>
      <w:bookmarkStart w:id="204" w:name="threepointfivepoint2"/>
      <w:r w:rsidRPr="0072600F">
        <w:rPr>
          <w:sz w:val="26"/>
        </w:rPr>
        <w:tab/>
      </w:r>
      <w:bookmarkStart w:id="205" w:name="_Toc149903621"/>
      <w:r w:rsidRPr="0072600F">
        <w:rPr>
          <w:rStyle w:val="Heading4Char"/>
          <w:b/>
          <w:sz w:val="26"/>
        </w:rPr>
        <w:t>3.5.2</w:t>
      </w:r>
      <w:r w:rsidRPr="0072600F">
        <w:rPr>
          <w:b/>
          <w:sz w:val="26"/>
        </w:rPr>
        <w:t xml:space="preserve">   Requirement to Post Interconnection Study Metrics</w:t>
      </w:r>
      <w:r w:rsidRPr="0072600F" w:rsidR="00F130CC">
        <w:rPr>
          <w:b/>
          <w:bCs/>
          <w:i/>
          <w:iCs/>
          <w:sz w:val="26"/>
        </w:rPr>
        <w:t>.</w:t>
      </w:r>
      <w:bookmarkEnd w:id="205"/>
    </w:p>
    <w:bookmarkEnd w:id="204"/>
    <w:p w:rsidR="00911580" w:rsidRPr="0072600F" w14:paraId="4B94EBD5" w14:textId="77777777">
      <w:pPr>
        <w:ind w:left="2160"/>
        <w:rPr>
          <w:rFonts w:ascii="Times New Roman" w:hAnsi="Times New Roman" w:cs="Times New Roman"/>
          <w:sz w:val="26"/>
          <w:szCs w:val="26"/>
        </w:rPr>
      </w:pPr>
      <w:r w:rsidRPr="0072600F">
        <w:rPr>
          <w:rFonts w:ascii="Times New Roman" w:hAnsi="Times New Roman" w:cs="Times New Roman"/>
          <w:sz w:val="26"/>
          <w:szCs w:val="26"/>
        </w:rPr>
        <w:t>Transmission Provider will maintain on its OASIS or its website summary statistics related to processing Interconnection Studies pursuant to Interconnection Requests, updated quarterly.  If Transmission Provider posts this information on its website, a link to the information must be provided on Transmission Provider’s OASIS site.  For each calendar quarter, Transmission Provider</w:t>
      </w:r>
      <w:r w:rsidRPr="0072600F" w:rsidR="41D77C1D">
        <w:rPr>
          <w:rFonts w:ascii="Times New Roman" w:hAnsi="Times New Roman" w:cs="Times New Roman"/>
          <w:sz w:val="26"/>
          <w:szCs w:val="26"/>
        </w:rPr>
        <w:t>[</w:t>
      </w:r>
      <w:r w:rsidRPr="0072600F">
        <w:rPr>
          <w:rFonts w:ascii="Times New Roman" w:hAnsi="Times New Roman" w:cs="Times New Roman"/>
          <w:sz w:val="26"/>
          <w:szCs w:val="26"/>
        </w:rPr>
        <w:t>s</w:t>
      </w:r>
      <w:r w:rsidRPr="0072600F" w:rsidR="0D66D41B">
        <w:rPr>
          <w:rFonts w:ascii="Times New Roman" w:hAnsi="Times New Roman" w:cs="Times New Roman"/>
          <w:sz w:val="26"/>
          <w:szCs w:val="26"/>
        </w:rPr>
        <w:t>]</w:t>
      </w:r>
      <w:r w:rsidRPr="0072600F">
        <w:rPr>
          <w:rFonts w:ascii="Times New Roman" w:hAnsi="Times New Roman" w:cs="Times New Roman"/>
          <w:sz w:val="26"/>
          <w:szCs w:val="26"/>
        </w:rPr>
        <w:t xml:space="preserve"> must calculate and post the information detailed in Sections 3.5.2.1 through 3.5.2.4 of this LGIP.</w:t>
      </w:r>
    </w:p>
    <w:p w:rsidR="00911580" w:rsidRPr="0072600F" w14:paraId="2B283574" w14:textId="77777777">
      <w:pPr>
        <w:ind w:left="2160"/>
        <w:rPr>
          <w:rFonts w:ascii="Times New Roman" w:hAnsi="Times New Roman" w:cs="Times New Roman"/>
          <w:sz w:val="26"/>
          <w:szCs w:val="26"/>
        </w:rPr>
      </w:pPr>
    </w:p>
    <w:p w:rsidR="00911580" w:rsidRPr="0072600F" w:rsidP="002339A2" w14:paraId="40976C45" w14:textId="77777777">
      <w:pPr>
        <w:pStyle w:val="Heading4"/>
        <w:rPr>
          <w:b/>
          <w:sz w:val="26"/>
        </w:rPr>
      </w:pPr>
      <w:bookmarkStart w:id="206" w:name="threepointfivepoint2point1"/>
      <w:r w:rsidRPr="0072600F">
        <w:rPr>
          <w:rStyle w:val="Heading5Char"/>
          <w:sz w:val="26"/>
          <w:szCs w:val="26"/>
        </w:rPr>
        <w:tab/>
      </w:r>
      <w:r w:rsidRPr="0072600F">
        <w:rPr>
          <w:rStyle w:val="Heading5Char"/>
          <w:sz w:val="26"/>
          <w:szCs w:val="26"/>
        </w:rPr>
        <w:tab/>
      </w:r>
      <w:r w:rsidRPr="0072600F">
        <w:rPr>
          <w:rStyle w:val="Heading5Char"/>
          <w:sz w:val="26"/>
          <w:szCs w:val="26"/>
        </w:rPr>
        <w:t>3.5.2.1</w:t>
      </w:r>
      <w:r w:rsidRPr="0072600F">
        <w:rPr>
          <w:sz w:val="26"/>
        </w:rPr>
        <w:tab/>
      </w:r>
      <w:r w:rsidRPr="0072600F">
        <w:rPr>
          <w:sz w:val="26"/>
        </w:rPr>
        <w:tab/>
      </w:r>
      <w:r w:rsidRPr="0072600F">
        <w:rPr>
          <w:b/>
          <w:sz w:val="26"/>
        </w:rPr>
        <w:t>Interconnection Cluster Study Processing Time.</w:t>
      </w:r>
      <w:bookmarkEnd w:id="206"/>
    </w:p>
    <w:p w:rsidR="00911580" w:rsidRPr="0072600F" w14:paraId="0C2177B3" w14:textId="77777777">
      <w:pPr>
        <w:ind w:left="2160"/>
        <w:rPr>
          <w:rFonts w:ascii="Times New Roman" w:hAnsi="Times New Roman" w:cs="Times New Roman"/>
          <w:b/>
          <w:sz w:val="26"/>
          <w:szCs w:val="26"/>
        </w:rPr>
      </w:pPr>
    </w:p>
    <w:p w:rsidR="00911580" w:rsidRPr="0072600F" w:rsidP="00067A54" w14:paraId="7AF9BF54" w14:textId="77777777">
      <w:pPr>
        <w:tabs>
          <w:tab w:val="left" w:pos="720"/>
          <w:tab w:val="num" w:pos="1890"/>
        </w:tabs>
        <w:ind w:left="3600"/>
        <w:rPr>
          <w:rFonts w:ascii="Times New Roman" w:eastAsia="Calibri" w:hAnsi="Times New Roman" w:cs="Times New Roman"/>
          <w:sz w:val="26"/>
          <w:szCs w:val="26"/>
        </w:rPr>
      </w:pPr>
      <w:r w:rsidRPr="0072600F">
        <w:rPr>
          <w:rFonts w:ascii="Times New Roman" w:hAnsi="Times New Roman" w:cs="Times New Roman"/>
          <w:sz w:val="26"/>
          <w:szCs w:val="26"/>
        </w:rPr>
        <w:t>(A) Number of Interconnection Requests that had Cluster Studies completed within Transmission Provider’s coordinated region during the reporting quarter,</w:t>
      </w:r>
    </w:p>
    <w:p w:rsidR="00911580" w:rsidRPr="0072600F" w14:paraId="5A2DE749" w14:textId="77777777">
      <w:pPr>
        <w:tabs>
          <w:tab w:val="left" w:pos="720"/>
          <w:tab w:val="num" w:pos="1890"/>
        </w:tabs>
        <w:ind w:left="3600"/>
        <w:rPr>
          <w:rFonts w:ascii="Times New Roman" w:eastAsia="Calibri" w:hAnsi="Times New Roman" w:cs="Times New Roman"/>
          <w:sz w:val="26"/>
          <w:szCs w:val="26"/>
        </w:rPr>
      </w:pPr>
    </w:p>
    <w:p w:rsidR="00911580" w:rsidRPr="0072600F" w14:paraId="2E0EB968"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(B) Number of Interconnection Requests that had Cluster Studies completed within Transmission Provider’s coordinated region during the reporting quarter that were completed more than one hundred fifty (150) Calendar Days after the close of the Customer Engagement Window,</w:t>
      </w:r>
    </w:p>
    <w:p w:rsidR="00911580" w:rsidRPr="0072600F" w14:paraId="05EB951D" w14:textId="77777777">
      <w:pPr>
        <w:tabs>
          <w:tab w:val="left" w:pos="0"/>
          <w:tab w:val="num" w:pos="1890"/>
        </w:tabs>
        <w:ind w:left="3600"/>
        <w:rPr>
          <w:rFonts w:ascii="Times New Roman" w:eastAsia="Calibri" w:hAnsi="Times New Roman" w:cs="Times New Roman"/>
          <w:sz w:val="26"/>
          <w:szCs w:val="26"/>
        </w:rPr>
      </w:pPr>
    </w:p>
    <w:p w:rsidR="00911580" w:rsidRPr="0072600F" w:rsidP="00C41E2B" w14:paraId="39C43434" w14:textId="77777777">
      <w:pPr>
        <w:tabs>
          <w:tab w:val="left" w:pos="720"/>
          <w:tab w:val="num" w:pos="1890"/>
        </w:tabs>
        <w:ind w:left="3600"/>
        <w:rPr>
          <w:rFonts w:ascii="Times New Roman" w:eastAsia="Calibri" w:hAnsi="Times New Roman" w:cs="Times New Roman"/>
          <w:i/>
          <w:iCs/>
          <w:sz w:val="26"/>
          <w:szCs w:val="26"/>
        </w:rPr>
      </w:pPr>
      <w:r w:rsidRPr="0072600F">
        <w:rPr>
          <w:rFonts w:ascii="Times New Roman" w:eastAsia="Calibri" w:hAnsi="Times New Roman" w:cs="Times New Roman"/>
          <w:sz w:val="26"/>
          <w:szCs w:val="26"/>
        </w:rPr>
        <w:t>(C) At the end of the reporting quarter, the number of active valid Interconnection Requests with ongoing incomplete Cluster Studies where such Interconnection Requests had executed a Cluster Study Agreement received by Transmission Provider more than one hundred fifty (150) Calendar Days</w:t>
      </w:r>
      <w:r w:rsidRPr="0072600F">
        <w:rPr>
          <w:rFonts w:ascii="Times New Roman" w:eastAsia="Calibri" w:hAnsi="Times New Roman" w:cs="Times New Roman"/>
          <w:i/>
          <w:iCs/>
          <w:sz w:val="26"/>
          <w:szCs w:val="26"/>
        </w:rPr>
        <w:t xml:space="preserve"> </w:t>
      </w:r>
      <w:r w:rsidRPr="0072600F">
        <w:rPr>
          <w:rFonts w:ascii="Times New Roman" w:eastAsia="Calibri" w:hAnsi="Times New Roman" w:cs="Times New Roman"/>
          <w:sz w:val="26"/>
          <w:szCs w:val="26"/>
        </w:rPr>
        <w:t>before the reporting quarter end,</w:t>
      </w:r>
      <w:r w:rsidRPr="0072600F">
        <w:rPr>
          <w:rFonts w:ascii="Times New Roman" w:eastAsia="Calibri" w:hAnsi="Times New Roman" w:cs="Times New Roman"/>
          <w:i/>
          <w:iCs/>
          <w:sz w:val="26"/>
          <w:szCs w:val="26"/>
        </w:rPr>
        <w:t xml:space="preserve"> </w:t>
      </w:r>
    </w:p>
    <w:p w:rsidR="00911580" w:rsidRPr="0072600F" w14:paraId="37139159" w14:textId="77777777">
      <w:pPr>
        <w:tabs>
          <w:tab w:val="left" w:pos="0"/>
          <w:tab w:val="num" w:pos="1890"/>
        </w:tabs>
        <w:ind w:left="3600"/>
        <w:rPr>
          <w:rFonts w:ascii="Times New Roman" w:eastAsia="Calibri" w:hAnsi="Times New Roman" w:cs="Times New Roman"/>
          <w:i/>
          <w:iCs/>
          <w:sz w:val="26"/>
          <w:szCs w:val="26"/>
        </w:rPr>
      </w:pPr>
    </w:p>
    <w:p w:rsidR="00911580" w:rsidRPr="0072600F" w14:paraId="04BBD0BD"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(D) Mean time (in days), Cluster Studies completed within Transmission Provider’s coordinated region during the reporting quarter, from the commencement of the Cluster Study to the date when Transmission Provider provided the completed Cluster Study Report to Interconnection Customer,</w:t>
      </w:r>
    </w:p>
    <w:p w:rsidR="00911580" w:rsidRPr="0072600F" w14:paraId="34438820" w14:textId="77777777">
      <w:pPr>
        <w:tabs>
          <w:tab w:val="left" w:pos="0"/>
          <w:tab w:val="num" w:pos="1890"/>
        </w:tabs>
        <w:ind w:left="3600"/>
        <w:rPr>
          <w:rFonts w:ascii="Times New Roman" w:eastAsia="Calibri" w:hAnsi="Times New Roman" w:cs="Times New Roman"/>
          <w:sz w:val="26"/>
          <w:szCs w:val="26"/>
        </w:rPr>
      </w:pPr>
    </w:p>
    <w:p w:rsidR="00911580" w:rsidRPr="0072600F" w14:paraId="1DCA0693"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(E) Mean time (in days), Cluster Studies were completed within Transmission Provider’s coordinated region during the reporting quarter, from the close of the Cluster Request Window to the date when Transmission Provider provided the completed Cluster Study Report to Interconnection Customer</w:t>
      </w:r>
      <w:r w:rsidRPr="0072600F" w:rsidR="00A057E1">
        <w:rPr>
          <w:rFonts w:ascii="Times New Roman" w:eastAsia="Calibri" w:hAnsi="Times New Roman" w:cs="Times New Roman"/>
          <w:i/>
          <w:iCs/>
          <w:sz w:val="26"/>
          <w:szCs w:val="26"/>
        </w:rPr>
        <w:t>,</w:t>
      </w:r>
      <w:r w:rsidRPr="0072600F" w:rsidR="00A057E1">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A057E1">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p>
    <w:p w:rsidR="00911580" w:rsidRPr="0072600F" w14:paraId="6A6AEBCC" w14:textId="77777777">
      <w:pPr>
        <w:tabs>
          <w:tab w:val="left" w:pos="0"/>
          <w:tab w:val="num" w:pos="1890"/>
        </w:tabs>
        <w:ind w:left="3600"/>
        <w:rPr>
          <w:rFonts w:ascii="Times New Roman" w:eastAsia="Calibri" w:hAnsi="Times New Roman" w:cs="Times New Roman"/>
          <w:sz w:val="26"/>
          <w:szCs w:val="26"/>
        </w:rPr>
      </w:pPr>
    </w:p>
    <w:p w:rsidR="00911580" w:rsidRPr="0072600F" w14:paraId="22E4EC5E"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 Percentage of Cluster Studies exceeding one hundred fifty (150) Calendar Days to complete this reporting quarter, calculated as the sum of </w:t>
      </w:r>
      <w:r w:rsidRPr="0072600F" w:rsidR="191F825F">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3.5.2.1(B) plus </w:t>
      </w:r>
      <w:r w:rsidRPr="0072600F" w:rsidR="23F88075">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3.5.2.1(C) divided by the sum of </w:t>
      </w:r>
      <w:r w:rsidRPr="0072600F" w:rsidR="73A0E0F2">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3.5.2.1(A) plus </w:t>
      </w:r>
      <w:r w:rsidRPr="0072600F" w:rsidR="55DE1BE1">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3.5.2.1(C)</w:t>
      </w:r>
      <w:r w:rsidRPr="0072600F" w:rsidR="304A10FD">
        <w:rPr>
          <w:rFonts w:ascii="Times New Roman" w:eastAsia="Calibri" w:hAnsi="Times New Roman" w:cs="Times New Roman"/>
          <w:sz w:val="26"/>
          <w:szCs w:val="26"/>
        </w:rPr>
        <w:t xml:space="preserve"> </w:t>
      </w:r>
      <w:r w:rsidRPr="0072600F" w:rsidR="304A10FD">
        <w:rPr>
          <w:rFonts w:ascii="Times New Roman" w:eastAsia="Calibri" w:hAnsi="Times New Roman" w:cs="Times New Roman"/>
          <w:i/>
          <w:iCs/>
          <w:sz w:val="26"/>
          <w:szCs w:val="26"/>
        </w:rPr>
        <w:t>of this LGIP</w:t>
      </w:r>
      <w:r w:rsidRPr="0072600F">
        <w:rPr>
          <w:rFonts w:ascii="Times New Roman" w:eastAsia="Calibri" w:hAnsi="Times New Roman" w:cs="Times New Roman"/>
          <w:sz w:val="26"/>
          <w:szCs w:val="26"/>
        </w:rPr>
        <w:t>.</w:t>
      </w:r>
    </w:p>
    <w:p w:rsidR="00911580" w:rsidRPr="0072600F" w14:paraId="434CA445" w14:textId="77777777">
      <w:pPr>
        <w:ind w:left="3600"/>
        <w:rPr>
          <w:rFonts w:ascii="Times New Roman" w:hAnsi="Times New Roman" w:cs="Times New Roman"/>
          <w:b/>
          <w:sz w:val="26"/>
          <w:szCs w:val="26"/>
        </w:rPr>
      </w:pPr>
    </w:p>
    <w:p w:rsidR="00911580" w:rsidRPr="0072600F" w:rsidP="002339A2" w14:paraId="6E46C7E6" w14:textId="77777777">
      <w:pPr>
        <w:pStyle w:val="Heading4"/>
        <w:rPr>
          <w:b/>
          <w:sz w:val="26"/>
        </w:rPr>
      </w:pPr>
      <w:bookmarkStart w:id="207" w:name="threepointfivepoint2point2"/>
      <w:r w:rsidRPr="0072600F">
        <w:rPr>
          <w:rStyle w:val="Heading5Char"/>
          <w:sz w:val="26"/>
          <w:szCs w:val="26"/>
        </w:rPr>
        <w:tab/>
      </w:r>
      <w:r w:rsidRPr="0072600F">
        <w:rPr>
          <w:rStyle w:val="Heading5Char"/>
          <w:sz w:val="26"/>
          <w:szCs w:val="26"/>
        </w:rPr>
        <w:tab/>
      </w:r>
      <w:r w:rsidRPr="0072600F">
        <w:rPr>
          <w:rStyle w:val="Heading5Char"/>
          <w:sz w:val="26"/>
          <w:szCs w:val="26"/>
        </w:rPr>
        <w:t>3.5.2.2</w:t>
      </w:r>
      <w:r w:rsidRPr="0072600F">
        <w:rPr>
          <w:sz w:val="26"/>
        </w:rPr>
        <w:tab/>
      </w:r>
      <w:r w:rsidRPr="0072600F">
        <w:rPr>
          <w:sz w:val="26"/>
        </w:rPr>
        <w:tab/>
      </w:r>
      <w:r w:rsidRPr="0072600F">
        <w:rPr>
          <w:b/>
          <w:sz w:val="26"/>
        </w:rPr>
        <w:t>Cluster Restudies Processing Time.</w:t>
      </w:r>
      <w:bookmarkEnd w:id="207"/>
    </w:p>
    <w:p w:rsidR="00911580" w:rsidRPr="0072600F" w14:paraId="2C6FC4C8" w14:textId="77777777">
      <w:pPr>
        <w:ind w:left="2160"/>
        <w:rPr>
          <w:rFonts w:ascii="Times New Roman" w:hAnsi="Times New Roman" w:cs="Times New Roman"/>
          <w:sz w:val="26"/>
          <w:szCs w:val="26"/>
        </w:rPr>
      </w:pPr>
    </w:p>
    <w:p w:rsidR="00911580" w:rsidRPr="0072600F" w14:paraId="56DCFACE" w14:textId="77777777">
      <w:pPr>
        <w:ind w:left="2160"/>
        <w:rPr>
          <w:rFonts w:ascii="Times New Roman" w:hAnsi="Times New Roman" w:cs="Times New Roman"/>
          <w:sz w:val="26"/>
          <w:szCs w:val="26"/>
        </w:rPr>
      </w:pPr>
    </w:p>
    <w:p w:rsidR="00911580" w:rsidRPr="0072600F" w:rsidP="00067A54" w14:paraId="768E9BFB" w14:textId="77777777">
      <w:pPr>
        <w:tabs>
          <w:tab w:val="left" w:pos="720"/>
          <w:tab w:val="num" w:pos="1890"/>
        </w:tabs>
        <w:ind w:left="3600"/>
        <w:rPr>
          <w:rFonts w:ascii="Times New Roman" w:eastAsia="Calibri" w:hAnsi="Times New Roman" w:cs="Times New Roman"/>
          <w:sz w:val="26"/>
          <w:szCs w:val="26"/>
        </w:rPr>
      </w:pPr>
      <w:r w:rsidRPr="0072600F">
        <w:rPr>
          <w:rFonts w:ascii="Times New Roman" w:hAnsi="Times New Roman" w:cs="Times New Roman"/>
          <w:sz w:val="26"/>
          <w:szCs w:val="26"/>
        </w:rPr>
        <w:t>(A) Number of Interconnection Requests that had Cluster Restudies completed within Transmission Provider’s coordinated region during the reporting quarter,</w:t>
      </w:r>
    </w:p>
    <w:p w:rsidR="00911580" w:rsidRPr="0072600F" w14:paraId="5802E2A5" w14:textId="77777777">
      <w:pPr>
        <w:tabs>
          <w:tab w:val="left" w:pos="0"/>
          <w:tab w:val="num" w:pos="1890"/>
        </w:tabs>
        <w:ind w:left="3600"/>
        <w:rPr>
          <w:rFonts w:ascii="Times New Roman" w:eastAsia="Calibri" w:hAnsi="Times New Roman" w:cs="Times New Roman"/>
          <w:sz w:val="26"/>
          <w:szCs w:val="26"/>
        </w:rPr>
      </w:pPr>
    </w:p>
    <w:p w:rsidR="00911580" w:rsidRPr="0072600F" w:rsidP="00C41E2B" w14:paraId="01BDB487"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(B) Number of Interconnection Requests that had Cluster Restudies completed within Transmission Provider’s coordinated region during the reporting quarter that were completed more than one hundred fifty (150) Calendar Days after Transmission Provider notifies Interconnection Customers in the Cluster that a Cluster Restudy is required pursuant to Section 7.5(4) of this LGIP,</w:t>
      </w:r>
    </w:p>
    <w:p w:rsidR="00911580" w:rsidRPr="0072600F" w14:paraId="65C357B0" w14:textId="77777777">
      <w:pPr>
        <w:tabs>
          <w:tab w:val="left" w:pos="720"/>
          <w:tab w:val="num" w:pos="1890"/>
        </w:tabs>
        <w:ind w:left="3600"/>
        <w:rPr>
          <w:rFonts w:ascii="Times New Roman" w:eastAsia="Calibri" w:hAnsi="Times New Roman" w:cs="Times New Roman"/>
          <w:sz w:val="26"/>
          <w:szCs w:val="26"/>
        </w:rPr>
      </w:pPr>
    </w:p>
    <w:p w:rsidR="00911580" w:rsidRPr="0072600F" w14:paraId="1207E112"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(C) At the end of the reporting quarter, the number of active valid Interconnection Requests with ongoing incomplete Cluster Restudies where Transmission Provider notified Interconnection Customers in the Cluster that a Cluster Restudy is required pursuant to Section 7.5(4) of this LGIP more than one hundred fifty (150) Calendar Days before the reporting quarter end,</w:t>
      </w:r>
    </w:p>
    <w:p w:rsidR="00911580" w:rsidRPr="0072600F" w14:paraId="535229C2" w14:textId="77777777">
      <w:pPr>
        <w:tabs>
          <w:tab w:val="left" w:pos="720"/>
          <w:tab w:val="num" w:pos="1890"/>
        </w:tabs>
        <w:ind w:left="3600"/>
        <w:rPr>
          <w:rFonts w:ascii="Times New Roman" w:eastAsia="Calibri" w:hAnsi="Times New Roman" w:cs="Times New Roman"/>
          <w:sz w:val="26"/>
          <w:szCs w:val="26"/>
        </w:rPr>
      </w:pPr>
    </w:p>
    <w:p w:rsidR="00911580" w:rsidRPr="0072600F" w14:paraId="1218D67D" w14:textId="77777777">
      <w:pPr>
        <w:tabs>
          <w:tab w:val="left" w:pos="720"/>
          <w:tab w:val="num" w:pos="1890"/>
        </w:tabs>
        <w:ind w:left="3600"/>
        <w:rPr>
          <w:rFonts w:ascii="Times New Roman" w:eastAsia="Calibri" w:hAnsi="Times New Roman" w:cs="Times New Roman"/>
          <w:i/>
          <w:iCs/>
          <w:sz w:val="26"/>
          <w:szCs w:val="26"/>
        </w:rPr>
      </w:pPr>
      <w:r w:rsidRPr="0072600F">
        <w:rPr>
          <w:rFonts w:ascii="Times New Roman" w:eastAsia="Calibri" w:hAnsi="Times New Roman" w:cs="Times New Roman"/>
          <w:sz w:val="26"/>
          <w:szCs w:val="26"/>
        </w:rPr>
        <w:t>(D) Mean time (in days), Cluster Restudies completed within Transmission Provider’s coordinated region during the reporting quarter, from the date when Transmission Provider notifies Interconnection Customers in the Cluster that a Cluster Restudy is required pursuant to Section 7.5(4) of this LGIP</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to the date when Transmission Provider provided the completed Cluster Restudy Report to Interconnection Customer,</w:t>
      </w:r>
    </w:p>
    <w:p w:rsidR="00911580" w:rsidRPr="0072600F" w14:paraId="5DE9392C" w14:textId="77777777">
      <w:pPr>
        <w:tabs>
          <w:tab w:val="left" w:pos="720"/>
          <w:tab w:val="num" w:pos="1890"/>
        </w:tabs>
        <w:ind w:left="3600"/>
        <w:rPr>
          <w:rFonts w:ascii="Times New Roman" w:eastAsia="Calibri" w:hAnsi="Times New Roman" w:cs="Times New Roman"/>
          <w:i/>
          <w:sz w:val="26"/>
          <w:szCs w:val="26"/>
        </w:rPr>
      </w:pPr>
    </w:p>
    <w:p w:rsidR="00911580" w:rsidRPr="0072600F" w14:paraId="57433CED"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(E) Mean time (in days), Cluster Restudies completed within Transmission Provider’s coordinated region during the reporting quarter, from the close of the Cluster Request Window to the date when Transmission Provider provided the completed Cluster Restudy Report to Interconnection Customer</w:t>
      </w:r>
      <w:r w:rsidRPr="0072600F" w:rsidR="00F73BFE">
        <w:rPr>
          <w:rFonts w:ascii="Times New Roman" w:eastAsia="Calibri" w:hAnsi="Times New Roman" w:cs="Times New Roman"/>
          <w:i/>
          <w:iCs/>
          <w:sz w:val="26"/>
          <w:szCs w:val="26"/>
        </w:rPr>
        <w:t>,</w:t>
      </w:r>
      <w:r w:rsidRPr="0072600F" w:rsidR="00F73BFE">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F73BF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p>
    <w:p w:rsidR="00911580" w:rsidRPr="0072600F" w14:paraId="4985382C" w14:textId="77777777">
      <w:pPr>
        <w:tabs>
          <w:tab w:val="left" w:pos="720"/>
          <w:tab w:val="num" w:pos="1890"/>
        </w:tabs>
        <w:ind w:left="3600"/>
        <w:rPr>
          <w:rFonts w:ascii="Times New Roman" w:eastAsia="Calibri" w:hAnsi="Times New Roman" w:cs="Times New Roman"/>
          <w:sz w:val="26"/>
          <w:szCs w:val="26"/>
        </w:rPr>
      </w:pPr>
    </w:p>
    <w:p w:rsidR="00911580" w:rsidRPr="0072600F" w14:paraId="16C8D54A"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 Percentage of Cluster Restudies exceeding one hundred fifty (150) Calendar Days to complete this reporting quarter, calculated as the sum of </w:t>
      </w:r>
      <w:r w:rsidRPr="0072600F" w:rsidR="25A6B50D">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3.5.2.2(B) plus </w:t>
      </w:r>
      <w:r w:rsidRPr="0072600F" w:rsidR="27FB734F">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3.5.2.2(C) divided by the sum of </w:t>
      </w:r>
      <w:r w:rsidRPr="0072600F" w:rsidR="28C161D7">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3.5.2.2(A) plus </w:t>
      </w:r>
      <w:r w:rsidRPr="0072600F" w:rsidR="0976FD6A">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3.5.2.2(C)</w:t>
      </w:r>
      <w:r w:rsidRPr="0072600F" w:rsidR="00162E3D">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162E3D">
        <w:rPr>
          <w:rFonts w:ascii="Times New Roman" w:eastAsia="Calibri" w:hAnsi="Times New Roman" w:cs="Times New Roman"/>
          <w:sz w:val="26"/>
          <w:szCs w:val="26"/>
        </w:rPr>
        <w:t>]</w:t>
      </w:r>
      <w:r w:rsidRPr="0072600F" w:rsidR="703373A0">
        <w:rPr>
          <w:rFonts w:ascii="Times New Roman" w:eastAsia="Calibri" w:hAnsi="Times New Roman" w:cs="Times New Roman"/>
          <w:i/>
          <w:iCs/>
          <w:sz w:val="26"/>
          <w:szCs w:val="26"/>
        </w:rPr>
        <w:t xml:space="preserve"> of this LGIP</w:t>
      </w:r>
      <w:r w:rsidRPr="0072600F">
        <w:rPr>
          <w:rFonts w:ascii="Times New Roman" w:eastAsia="Calibri" w:hAnsi="Times New Roman" w:cs="Times New Roman"/>
          <w:i/>
          <w:iCs/>
          <w:sz w:val="26"/>
          <w:szCs w:val="26"/>
        </w:rPr>
        <w:t>.</w:t>
      </w:r>
    </w:p>
    <w:p w:rsidR="00911580" w:rsidRPr="0072600F" w14:paraId="31AB418A" w14:textId="77777777">
      <w:pPr>
        <w:ind w:left="3600"/>
        <w:rPr>
          <w:rFonts w:ascii="Times New Roman" w:hAnsi="Times New Roman" w:cs="Times New Roman"/>
          <w:sz w:val="26"/>
          <w:szCs w:val="26"/>
        </w:rPr>
      </w:pPr>
    </w:p>
    <w:p w:rsidR="00911580" w:rsidRPr="0072600F" w:rsidP="002339A2" w14:paraId="11FE13D1" w14:textId="77777777">
      <w:pPr>
        <w:pStyle w:val="Heading4"/>
        <w:rPr>
          <w:b/>
          <w:sz w:val="26"/>
        </w:rPr>
      </w:pPr>
      <w:bookmarkStart w:id="208" w:name="threepointfivepoint2point3"/>
      <w:r w:rsidRPr="0072600F">
        <w:rPr>
          <w:rStyle w:val="Heading5Char"/>
          <w:sz w:val="26"/>
          <w:szCs w:val="26"/>
        </w:rPr>
        <w:tab/>
      </w:r>
      <w:r w:rsidRPr="0072600F">
        <w:rPr>
          <w:rStyle w:val="Heading5Char"/>
          <w:sz w:val="26"/>
          <w:szCs w:val="26"/>
        </w:rPr>
        <w:tab/>
      </w:r>
      <w:r w:rsidRPr="0072600F">
        <w:rPr>
          <w:rStyle w:val="Heading5Char"/>
          <w:sz w:val="26"/>
          <w:szCs w:val="26"/>
        </w:rPr>
        <w:t>3.5.2.3</w:t>
      </w:r>
      <w:r w:rsidRPr="0072600F">
        <w:rPr>
          <w:sz w:val="26"/>
        </w:rPr>
        <w:tab/>
      </w:r>
      <w:r w:rsidRPr="0072600F">
        <w:rPr>
          <w:sz w:val="26"/>
        </w:rPr>
        <w:tab/>
      </w:r>
      <w:r w:rsidRPr="0072600F">
        <w:rPr>
          <w:b/>
          <w:sz w:val="26"/>
        </w:rPr>
        <w:t>Interconnection Facilities Studies Processing Time.</w:t>
      </w:r>
      <w:bookmarkEnd w:id="208"/>
    </w:p>
    <w:p w:rsidR="00911580" w:rsidRPr="0072600F" w:rsidP="00C41E2B" w14:paraId="5B4AF3BE" w14:textId="77777777">
      <w:pPr>
        <w:rPr>
          <w:rFonts w:ascii="Times New Roman" w:hAnsi="Times New Roman" w:cs="Times New Roman"/>
          <w:b/>
          <w:sz w:val="26"/>
          <w:szCs w:val="26"/>
        </w:rPr>
      </w:pPr>
    </w:p>
    <w:p w:rsidR="00911580" w:rsidRPr="0072600F" w:rsidP="00067A54" w14:paraId="6575B06A" w14:textId="77777777">
      <w:pPr>
        <w:ind w:left="3600"/>
        <w:rPr>
          <w:rFonts w:ascii="Times New Roman" w:hAnsi="Times New Roman" w:cs="Times New Roman"/>
          <w:sz w:val="26"/>
          <w:szCs w:val="26"/>
        </w:rPr>
      </w:pPr>
      <w:r w:rsidRPr="0072600F">
        <w:rPr>
          <w:rFonts w:ascii="Times New Roman" w:hAnsi="Times New Roman" w:cs="Times New Roman"/>
          <w:sz w:val="26"/>
          <w:szCs w:val="26"/>
        </w:rPr>
        <w:t>(A) Number of Interconnection Requests that had Interconnection Facilities Studies that are completed within Transmission Provider’s coordinated region during the reporting quarter,</w:t>
      </w:r>
    </w:p>
    <w:p w:rsidR="00911580" w:rsidRPr="0072600F" w14:paraId="6EFDBE07" w14:textId="77777777">
      <w:pPr>
        <w:ind w:left="3600"/>
        <w:rPr>
          <w:rFonts w:ascii="Times New Roman" w:hAnsi="Times New Roman" w:cs="Times New Roman"/>
          <w:b/>
          <w:sz w:val="26"/>
          <w:szCs w:val="26"/>
        </w:rPr>
      </w:pPr>
    </w:p>
    <w:p w:rsidR="00911580" w:rsidRPr="0072600F" w14:paraId="1770057C" w14:textId="77777777">
      <w:pPr>
        <w:ind w:left="3600"/>
        <w:rPr>
          <w:rFonts w:ascii="Times New Roman" w:hAnsi="Times New Roman" w:cs="Times New Roman"/>
          <w:sz w:val="26"/>
          <w:szCs w:val="26"/>
        </w:rPr>
      </w:pPr>
      <w:r w:rsidRPr="0072600F">
        <w:rPr>
          <w:rFonts w:ascii="Times New Roman" w:hAnsi="Times New Roman" w:cs="Times New Roman"/>
          <w:sz w:val="26"/>
          <w:szCs w:val="26"/>
        </w:rPr>
        <w:t xml:space="preserve">(B) Number of Interconnection Requests that had Interconnection Facilities Studies that are completed within Transmission Provider’s coordinated region during the reporting quarter that were completed more than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timeline as listed in Transmission Provider’s LGIP</w:t>
      </w:r>
      <w:r w:rsidRPr="0072600F" w:rsidR="5F1BD9E6">
        <w:rPr>
          <w:rFonts w:ascii="Times New Roman" w:hAnsi="Times New Roman" w:cs="Times New Roman"/>
          <w:i/>
          <w:sz w:val="26"/>
          <w:szCs w:val="26"/>
        </w:rPr>
        <w:t>}</w:t>
      </w:r>
      <w:r w:rsidRPr="0072600F">
        <w:rPr>
          <w:rFonts w:ascii="Times New Roman" w:hAnsi="Times New Roman" w:cs="Times New Roman"/>
          <w:sz w:val="26"/>
          <w:szCs w:val="26"/>
        </w:rPr>
        <w:t xml:space="preserve"> after receipt by Transmission Provider of </w:t>
      </w:r>
      <w:r w:rsidRPr="0072600F" w:rsidR="00CD5C7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D5C7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executed Interconnection Facilities Study Agreement,</w:t>
      </w:r>
    </w:p>
    <w:p w:rsidR="00911580" w:rsidRPr="0072600F" w14:paraId="3F8F3219" w14:textId="77777777">
      <w:pPr>
        <w:ind w:left="3600"/>
        <w:rPr>
          <w:rFonts w:ascii="Times New Roman" w:hAnsi="Times New Roman" w:cs="Times New Roman"/>
          <w:sz w:val="26"/>
          <w:szCs w:val="26"/>
        </w:rPr>
      </w:pPr>
    </w:p>
    <w:p w:rsidR="00911580" w:rsidRPr="0072600F" w14:paraId="7381D0EE" w14:textId="77777777">
      <w:pPr>
        <w:ind w:left="3600"/>
        <w:rPr>
          <w:rFonts w:ascii="Times New Roman" w:hAnsi="Times New Roman" w:cs="Times New Roman"/>
          <w:sz w:val="26"/>
          <w:szCs w:val="26"/>
        </w:rPr>
      </w:pPr>
      <w:r w:rsidRPr="0072600F">
        <w:rPr>
          <w:rFonts w:ascii="Times New Roman" w:hAnsi="Times New Roman" w:cs="Times New Roman"/>
          <w:sz w:val="26"/>
          <w:szCs w:val="26"/>
        </w:rPr>
        <w:t xml:space="preserve">(C) At the end of the reporting quarter, the number of active valid Interconnection Service requests with ongoing incomplete Interconnection Facilities Studies where such Interconnection Requests had executed Interconnection Facilities Studies Agreement received by Transmission Provider more than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timeline as listed in Transmission Provider’s LGIP</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before the reporting quarter end,</w:t>
      </w:r>
    </w:p>
    <w:p w:rsidR="00911580" w:rsidRPr="0072600F" w14:paraId="56393139" w14:textId="77777777">
      <w:pPr>
        <w:ind w:left="3600"/>
        <w:rPr>
          <w:rFonts w:ascii="Times New Roman" w:hAnsi="Times New Roman" w:cs="Times New Roman"/>
          <w:sz w:val="26"/>
          <w:szCs w:val="26"/>
        </w:rPr>
      </w:pPr>
    </w:p>
    <w:p w:rsidR="00911580" w:rsidRPr="0072600F" w14:paraId="6B222DCC" w14:textId="77777777">
      <w:pPr>
        <w:ind w:left="3600"/>
        <w:rPr>
          <w:rFonts w:ascii="Times New Roman" w:hAnsi="Times New Roman" w:cs="Times New Roman"/>
          <w:sz w:val="26"/>
          <w:szCs w:val="26"/>
        </w:rPr>
      </w:pPr>
      <w:r w:rsidRPr="0072600F">
        <w:rPr>
          <w:rFonts w:ascii="Times New Roman" w:hAnsi="Times New Roman" w:cs="Times New Roman"/>
          <w:sz w:val="26"/>
          <w:szCs w:val="26"/>
        </w:rPr>
        <w:t xml:space="preserve">(D) Mean time (in days), for Interconnection Facilities Studies completed within Transmission Provider’s coordinated region during the reporting quarter, calculated from the date when Transmission Provider received the executed Interconnection Facilities Study Agreement to the date when Transmission Provider provided the completed Interconnection Facilities Study to </w:t>
      </w:r>
      <w:r w:rsidRPr="0072600F" w:rsidR="00CD5C7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D5C7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911580" w:rsidRPr="0072600F" w14:paraId="1943E000" w14:textId="77777777">
      <w:pPr>
        <w:ind w:left="3600"/>
        <w:rPr>
          <w:rFonts w:ascii="Times New Roman" w:hAnsi="Times New Roman" w:cs="Times New Roman"/>
          <w:sz w:val="26"/>
          <w:szCs w:val="26"/>
        </w:rPr>
      </w:pPr>
    </w:p>
    <w:p w:rsidR="00911580" w:rsidRPr="0072600F" w14:paraId="5BF52143"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(E) Mean time (in days), Interconnection Facilities Studies completed within Transmission Provider’s coordinated region during the reporting quarter, from the close of the Cluster Request Window to the date when Transmission Provider provided the completed Interconnection Facilities Study to Interconnection Customer</w:t>
      </w:r>
      <w:r w:rsidRPr="0072600F" w:rsidR="00B329ED">
        <w:rPr>
          <w:rFonts w:ascii="Times New Roman" w:eastAsia="Calibri" w:hAnsi="Times New Roman" w:cs="Times New Roman"/>
          <w:i/>
          <w:iCs/>
          <w:sz w:val="26"/>
          <w:szCs w:val="26"/>
        </w:rPr>
        <w:t>,</w:t>
      </w:r>
      <w:r w:rsidRPr="0072600F" w:rsidR="00B329ED">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E15DC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p>
    <w:p w:rsidR="00911580" w:rsidRPr="0072600F" w14:paraId="6609E932" w14:textId="77777777">
      <w:pPr>
        <w:tabs>
          <w:tab w:val="left" w:pos="720"/>
          <w:tab w:val="num" w:pos="1890"/>
        </w:tabs>
        <w:ind w:left="3600"/>
        <w:rPr>
          <w:rFonts w:ascii="Times New Roman" w:eastAsia="Calibri" w:hAnsi="Times New Roman" w:cs="Times New Roman"/>
          <w:sz w:val="26"/>
          <w:szCs w:val="26"/>
        </w:rPr>
      </w:pPr>
    </w:p>
    <w:p w:rsidR="00911580" w:rsidRPr="0072600F" w14:paraId="2544058C" w14:textId="77777777">
      <w:pPr>
        <w:tabs>
          <w:tab w:val="left" w:pos="720"/>
          <w:tab w:val="num" w:pos="1890"/>
        </w:tabs>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 Percentage of delayed Interconnection Facilities Studies this reporting quarter, calculated as the sum of </w:t>
      </w:r>
      <w:r w:rsidRPr="0072600F" w:rsidR="474F7D0B">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3.5.2.3(B) plus </w:t>
      </w:r>
      <w:r w:rsidRPr="0072600F" w:rsidR="4510FC11">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3.5.2.3(C) divided by the sum of </w:t>
      </w:r>
      <w:r w:rsidRPr="0072600F" w:rsidR="48101E72">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 xml:space="preserve">3.5.2.3(A) plus </w:t>
      </w:r>
      <w:r w:rsidRPr="0072600F" w:rsidR="76F58810">
        <w:rPr>
          <w:rFonts w:ascii="Times New Roman" w:eastAsia="Calibri" w:hAnsi="Times New Roman" w:cs="Times New Roman"/>
          <w:i/>
          <w:iCs/>
          <w:sz w:val="26"/>
          <w:szCs w:val="26"/>
        </w:rPr>
        <w:t xml:space="preserve">Section </w:t>
      </w:r>
      <w:r w:rsidRPr="0072600F">
        <w:rPr>
          <w:rFonts w:ascii="Times New Roman" w:eastAsia="Calibri" w:hAnsi="Times New Roman" w:cs="Times New Roman"/>
          <w:sz w:val="26"/>
          <w:szCs w:val="26"/>
        </w:rPr>
        <w:t>3.5.2.3(C)</w:t>
      </w:r>
      <w:r w:rsidRPr="0072600F" w:rsidR="00AD0E7D">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r w:rsidRPr="0072600F" w:rsidR="00AD0E7D">
        <w:rPr>
          <w:rFonts w:ascii="Times New Roman" w:eastAsia="Calibri" w:hAnsi="Times New Roman" w:cs="Times New Roman"/>
          <w:sz w:val="26"/>
          <w:szCs w:val="26"/>
        </w:rPr>
        <w:t>]</w:t>
      </w:r>
      <w:r w:rsidRPr="0072600F" w:rsidR="42DF4EAD">
        <w:rPr>
          <w:rFonts w:ascii="Times New Roman" w:eastAsia="Calibri" w:hAnsi="Times New Roman" w:cs="Times New Roman"/>
          <w:i/>
          <w:iCs/>
          <w:sz w:val="26"/>
          <w:szCs w:val="26"/>
        </w:rPr>
        <w:t xml:space="preserve"> of this LGIP</w:t>
      </w:r>
      <w:r w:rsidRPr="0072600F">
        <w:rPr>
          <w:rFonts w:ascii="Times New Roman" w:eastAsia="Calibri" w:hAnsi="Times New Roman" w:cs="Times New Roman"/>
          <w:i/>
          <w:iCs/>
          <w:sz w:val="26"/>
          <w:szCs w:val="26"/>
        </w:rPr>
        <w:t>.</w:t>
      </w:r>
    </w:p>
    <w:p w:rsidR="00911580" w:rsidRPr="0072600F" w14:paraId="3D95924B" w14:textId="77777777">
      <w:pPr>
        <w:ind w:left="3600"/>
        <w:rPr>
          <w:rFonts w:ascii="Times New Roman" w:hAnsi="Times New Roman" w:cs="Times New Roman"/>
          <w:sz w:val="26"/>
          <w:szCs w:val="26"/>
        </w:rPr>
      </w:pPr>
    </w:p>
    <w:p w:rsidR="00911580" w:rsidRPr="0072600F" w:rsidP="00C41E2B" w14:paraId="2E1A1732" w14:textId="77777777">
      <w:pPr>
        <w:pStyle w:val="Heading4"/>
        <w:ind w:left="3600" w:hanging="2880"/>
        <w:rPr>
          <w:sz w:val="26"/>
        </w:rPr>
      </w:pPr>
      <w:bookmarkStart w:id="209" w:name="threepointfivepoint2point4"/>
      <w:r w:rsidRPr="0072600F">
        <w:rPr>
          <w:rStyle w:val="Heading5Char"/>
          <w:sz w:val="26"/>
          <w:szCs w:val="26"/>
        </w:rPr>
        <w:tab/>
      </w:r>
      <w:r w:rsidRPr="0072600F">
        <w:rPr>
          <w:rStyle w:val="Heading5Char"/>
          <w:sz w:val="26"/>
          <w:szCs w:val="26"/>
        </w:rPr>
        <w:tab/>
      </w:r>
      <w:r w:rsidRPr="0072600F">
        <w:rPr>
          <w:rStyle w:val="Heading5Char"/>
          <w:sz w:val="26"/>
          <w:szCs w:val="26"/>
        </w:rPr>
        <w:t>3.5.2.4</w:t>
      </w:r>
      <w:r w:rsidRPr="0072600F">
        <w:rPr>
          <w:rStyle w:val="Heading5Char"/>
          <w:sz w:val="26"/>
          <w:szCs w:val="26"/>
        </w:rPr>
        <w:tab/>
      </w:r>
      <w:r w:rsidRPr="0072600F">
        <w:rPr>
          <w:rStyle w:val="Heading5Char"/>
          <w:sz w:val="26"/>
          <w:szCs w:val="26"/>
        </w:rPr>
        <w:tab/>
      </w:r>
      <w:r w:rsidRPr="0072600F">
        <w:rPr>
          <w:b/>
          <w:sz w:val="26"/>
        </w:rPr>
        <w:t>Interconnection Service Requests Withdrawn from Interconnection Queue.</w:t>
      </w:r>
      <w:bookmarkEnd w:id="209"/>
    </w:p>
    <w:p w:rsidR="00911580" w:rsidRPr="0072600F" w14:paraId="39F8ABBC" w14:textId="77777777">
      <w:pPr>
        <w:ind w:left="2160"/>
        <w:rPr>
          <w:rFonts w:ascii="Times New Roman" w:hAnsi="Times New Roman" w:cs="Times New Roman"/>
          <w:b/>
          <w:sz w:val="26"/>
          <w:szCs w:val="26"/>
        </w:rPr>
      </w:pPr>
    </w:p>
    <w:p w:rsidR="00911580" w:rsidRPr="0072600F" w:rsidP="00067A54" w14:paraId="13E12B95" w14:textId="77777777">
      <w:pPr>
        <w:ind w:left="3600"/>
        <w:rPr>
          <w:rFonts w:ascii="Times New Roman" w:hAnsi="Times New Roman" w:cs="Times New Roman"/>
          <w:sz w:val="26"/>
          <w:szCs w:val="26"/>
        </w:rPr>
      </w:pPr>
      <w:r w:rsidRPr="0072600F">
        <w:rPr>
          <w:rFonts w:ascii="Times New Roman" w:hAnsi="Times New Roman" w:cs="Times New Roman"/>
          <w:sz w:val="26"/>
          <w:szCs w:val="26"/>
        </w:rPr>
        <w:t>(A) Number of Interconnection Requests withdrawn from Transmission Provider’s interconnection queue during the reporting quarter,</w:t>
      </w:r>
    </w:p>
    <w:p w:rsidR="00911580" w:rsidRPr="0072600F" w14:paraId="4051B644" w14:textId="77777777">
      <w:pPr>
        <w:ind w:left="3600"/>
        <w:rPr>
          <w:rFonts w:ascii="Times New Roman" w:hAnsi="Times New Roman" w:cs="Times New Roman"/>
          <w:b/>
          <w:sz w:val="26"/>
          <w:szCs w:val="26"/>
        </w:rPr>
      </w:pPr>
    </w:p>
    <w:p w:rsidR="00911580" w:rsidRPr="0072600F" w14:paraId="19CA1EF4" w14:textId="77777777">
      <w:pPr>
        <w:ind w:left="3600"/>
        <w:rPr>
          <w:rFonts w:ascii="Times New Roman" w:hAnsi="Times New Roman" w:cs="Times New Roman"/>
          <w:sz w:val="26"/>
          <w:szCs w:val="26"/>
        </w:rPr>
      </w:pPr>
      <w:r w:rsidRPr="0072600F">
        <w:rPr>
          <w:rFonts w:ascii="Times New Roman" w:hAnsi="Times New Roman" w:cs="Times New Roman"/>
          <w:sz w:val="26"/>
          <w:szCs w:val="26"/>
        </w:rPr>
        <w:t xml:space="preserve">(B) Number of Interconnection Requests withdrawn from Transmission Provider’s interconnection queue during the reporting quarter before completion of any </w:t>
      </w:r>
      <w:r w:rsidRPr="0072600F" w:rsidR="02A8CEBA">
        <w:rPr>
          <w:rFonts w:ascii="Times New Roman" w:hAnsi="Times New Roman" w:cs="Times New Roman"/>
          <w:sz w:val="26"/>
          <w:szCs w:val="26"/>
        </w:rPr>
        <w:t>[</w:t>
      </w:r>
      <w:r w:rsidRPr="0072600F" w:rsidR="00C41E2B">
        <w:rPr>
          <w:rFonts w:ascii="Times New Roman" w:hAnsi="Times New Roman" w:cs="Times New Roman"/>
          <w:sz w:val="26"/>
          <w:szCs w:val="26"/>
        </w:rPr>
        <w:t>i</w:t>
      </w:r>
      <w:r w:rsidRPr="0072600F" w:rsidR="212D449F">
        <w:rPr>
          <w:rFonts w:ascii="Times New Roman" w:hAnsi="Times New Roman" w:cs="Times New Roman"/>
          <w:sz w:val="26"/>
          <w:szCs w:val="26"/>
        </w:rPr>
        <w:t>]</w:t>
      </w:r>
      <w:r w:rsidRPr="0072600F" w:rsidR="212D449F">
        <w:rPr>
          <w:rFonts w:ascii="Times New Roman" w:hAnsi="Times New Roman" w:cs="Times New Roman"/>
          <w:i/>
          <w:iCs/>
          <w:sz w:val="26"/>
          <w:szCs w:val="26"/>
        </w:rPr>
        <w:t>I</w:t>
      </w:r>
      <w:r w:rsidRPr="0072600F">
        <w:rPr>
          <w:rFonts w:ascii="Times New Roman" w:hAnsi="Times New Roman" w:cs="Times New Roman"/>
          <w:sz w:val="26"/>
          <w:szCs w:val="26"/>
        </w:rPr>
        <w:t xml:space="preserve">nterconnection </w:t>
      </w:r>
      <w:r w:rsidRPr="0072600F" w:rsidR="4602E770">
        <w:rPr>
          <w:rFonts w:ascii="Times New Roman" w:hAnsi="Times New Roman" w:cs="Times New Roman"/>
          <w:sz w:val="26"/>
          <w:szCs w:val="26"/>
        </w:rPr>
        <w:t>[</w:t>
      </w:r>
      <w:r w:rsidRPr="0072600F">
        <w:rPr>
          <w:rFonts w:ascii="Times New Roman" w:hAnsi="Times New Roman" w:cs="Times New Roman"/>
          <w:sz w:val="26"/>
          <w:szCs w:val="26"/>
        </w:rPr>
        <w:t>s</w:t>
      </w:r>
      <w:r w:rsidRPr="0072600F" w:rsidR="15AB47EE">
        <w:rPr>
          <w:rFonts w:ascii="Times New Roman" w:hAnsi="Times New Roman" w:cs="Times New Roman"/>
          <w:sz w:val="26"/>
          <w:szCs w:val="26"/>
        </w:rPr>
        <w:t>]</w:t>
      </w:r>
      <w:r w:rsidRPr="0072600F" w:rsidR="15AB47EE">
        <w:rPr>
          <w:rFonts w:ascii="Times New Roman" w:hAnsi="Times New Roman" w:cs="Times New Roman"/>
          <w:i/>
          <w:iCs/>
          <w:sz w:val="26"/>
          <w:szCs w:val="26"/>
        </w:rPr>
        <w:t>S</w:t>
      </w:r>
      <w:r w:rsidRPr="0072600F">
        <w:rPr>
          <w:rFonts w:ascii="Times New Roman" w:hAnsi="Times New Roman" w:cs="Times New Roman"/>
          <w:sz w:val="26"/>
          <w:szCs w:val="26"/>
        </w:rPr>
        <w:t xml:space="preserve">tudies or execution of any </w:t>
      </w:r>
      <w:r w:rsidRPr="0072600F" w:rsidR="560ED425">
        <w:rPr>
          <w:rFonts w:ascii="Times New Roman" w:hAnsi="Times New Roman" w:cs="Times New Roman"/>
          <w:sz w:val="26"/>
          <w:szCs w:val="26"/>
        </w:rPr>
        <w:t>[</w:t>
      </w:r>
      <w:r w:rsidRPr="0072600F" w:rsidR="00C41E2B">
        <w:rPr>
          <w:rFonts w:ascii="Times New Roman" w:hAnsi="Times New Roman" w:cs="Times New Roman"/>
          <w:sz w:val="26"/>
          <w:szCs w:val="26"/>
        </w:rPr>
        <w:t>i</w:t>
      </w:r>
      <w:r w:rsidRPr="0072600F" w:rsidR="0EE2CD70">
        <w:rPr>
          <w:rFonts w:ascii="Times New Roman" w:hAnsi="Times New Roman" w:cs="Times New Roman"/>
          <w:sz w:val="26"/>
          <w:szCs w:val="26"/>
        </w:rPr>
        <w:t>]</w:t>
      </w:r>
      <w:r w:rsidRPr="0072600F" w:rsidR="0EE2CD70">
        <w:rPr>
          <w:rFonts w:ascii="Times New Roman" w:hAnsi="Times New Roman" w:cs="Times New Roman"/>
          <w:i/>
          <w:iCs/>
          <w:sz w:val="26"/>
          <w:szCs w:val="26"/>
        </w:rPr>
        <w:t>I</w:t>
      </w:r>
      <w:r w:rsidRPr="0072600F">
        <w:rPr>
          <w:rFonts w:ascii="Times New Roman" w:hAnsi="Times New Roman" w:cs="Times New Roman"/>
          <w:sz w:val="26"/>
          <w:szCs w:val="26"/>
        </w:rPr>
        <w:t xml:space="preserve">nterconnection </w:t>
      </w:r>
      <w:r w:rsidRPr="0072600F" w:rsidR="63D7E7B2">
        <w:rPr>
          <w:rFonts w:ascii="Times New Roman" w:hAnsi="Times New Roman" w:cs="Times New Roman"/>
          <w:sz w:val="26"/>
          <w:szCs w:val="26"/>
        </w:rPr>
        <w:t>[</w:t>
      </w:r>
      <w:r w:rsidRPr="0072600F">
        <w:rPr>
          <w:rFonts w:ascii="Times New Roman" w:hAnsi="Times New Roman" w:cs="Times New Roman"/>
          <w:sz w:val="26"/>
          <w:szCs w:val="26"/>
        </w:rPr>
        <w:t>s</w:t>
      </w:r>
      <w:r w:rsidRPr="0072600F" w:rsidR="2EE761FD">
        <w:rPr>
          <w:rFonts w:ascii="Times New Roman" w:hAnsi="Times New Roman" w:cs="Times New Roman"/>
          <w:sz w:val="26"/>
          <w:szCs w:val="26"/>
        </w:rPr>
        <w:t>]</w:t>
      </w:r>
      <w:r w:rsidRPr="0072600F" w:rsidR="2EE761FD">
        <w:rPr>
          <w:rFonts w:ascii="Times New Roman" w:hAnsi="Times New Roman" w:cs="Times New Roman"/>
          <w:i/>
          <w:iCs/>
          <w:sz w:val="26"/>
          <w:szCs w:val="26"/>
        </w:rPr>
        <w:t>S</w:t>
      </w:r>
      <w:r w:rsidRPr="0072600F">
        <w:rPr>
          <w:rFonts w:ascii="Times New Roman" w:hAnsi="Times New Roman" w:cs="Times New Roman"/>
          <w:sz w:val="26"/>
          <w:szCs w:val="26"/>
        </w:rPr>
        <w:t>tudy agreements,</w:t>
      </w:r>
    </w:p>
    <w:p w:rsidR="00911580" w:rsidRPr="0072600F" w14:paraId="7A123EB8" w14:textId="77777777">
      <w:pPr>
        <w:ind w:left="3600"/>
        <w:rPr>
          <w:rFonts w:ascii="Times New Roman" w:hAnsi="Times New Roman" w:cs="Times New Roman"/>
          <w:sz w:val="26"/>
          <w:szCs w:val="26"/>
        </w:rPr>
      </w:pPr>
    </w:p>
    <w:p w:rsidR="00911580" w:rsidRPr="0072600F" w14:paraId="28FD0F02"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(C) Number of Interconnection Requests withdrawn from Transmission Provider’s interconnection queue during the reporting quarter before completion of a Cluster Study,</w:t>
      </w:r>
    </w:p>
    <w:p w:rsidR="00911580" w:rsidRPr="0072600F" w14:paraId="0F358470" w14:textId="77777777">
      <w:pPr>
        <w:ind w:left="3600"/>
        <w:rPr>
          <w:rFonts w:ascii="Times New Roman" w:hAnsi="Times New Roman" w:cs="Times New Roman"/>
          <w:sz w:val="26"/>
          <w:szCs w:val="26"/>
        </w:rPr>
      </w:pPr>
    </w:p>
    <w:p w:rsidR="00911580" w:rsidRPr="0072600F" w14:paraId="132685D2" w14:textId="77777777">
      <w:pPr>
        <w:ind w:left="3600"/>
        <w:rPr>
          <w:rFonts w:ascii="Times New Roman" w:hAnsi="Times New Roman" w:cs="Times New Roman"/>
          <w:sz w:val="26"/>
          <w:szCs w:val="26"/>
        </w:rPr>
      </w:pPr>
      <w:r w:rsidRPr="0072600F">
        <w:rPr>
          <w:rFonts w:ascii="Times New Roman" w:hAnsi="Times New Roman" w:cs="Times New Roman"/>
          <w:sz w:val="26"/>
          <w:szCs w:val="26"/>
        </w:rPr>
        <w:t>(D) Number of Interconnection Requests withdrawn from Transmission Provider’s interconnection queue during the reporting quarter before completion of an Interconnection Facilities Study,</w:t>
      </w:r>
    </w:p>
    <w:p w:rsidR="00911580" w:rsidRPr="0072600F" w14:paraId="47E8878E" w14:textId="77777777">
      <w:pPr>
        <w:ind w:left="3600"/>
        <w:rPr>
          <w:rFonts w:ascii="Times New Roman" w:hAnsi="Times New Roman" w:cs="Times New Roman"/>
          <w:sz w:val="26"/>
          <w:szCs w:val="26"/>
        </w:rPr>
      </w:pPr>
    </w:p>
    <w:p w:rsidR="00911580" w:rsidRPr="0072600F" w14:paraId="3EA52A41" w14:textId="77777777">
      <w:pPr>
        <w:ind w:left="3600"/>
        <w:rPr>
          <w:rFonts w:ascii="Times New Roman" w:hAnsi="Times New Roman" w:cs="Times New Roman"/>
          <w:sz w:val="26"/>
          <w:szCs w:val="26"/>
        </w:rPr>
      </w:pPr>
      <w:r w:rsidRPr="0072600F">
        <w:rPr>
          <w:rFonts w:ascii="Times New Roman" w:hAnsi="Times New Roman" w:cs="Times New Roman"/>
          <w:sz w:val="26"/>
          <w:szCs w:val="26"/>
        </w:rPr>
        <w:t xml:space="preserve">(E) Number of Interconnection Requests withdrawn from Transmission Provider’s interconnection queue after </w:t>
      </w:r>
      <w:r w:rsidRPr="0072600F" w:rsidR="007D2FB7">
        <w:rPr>
          <w:rFonts w:ascii="Times New Roman" w:hAnsi="Times New Roman" w:cs="Times New Roman"/>
          <w:i/>
          <w:iCs/>
          <w:sz w:val="26"/>
          <w:szCs w:val="26"/>
        </w:rPr>
        <w:t xml:space="preserve">completion of an Interconnection Facilities Study but before </w:t>
      </w:r>
      <w:r w:rsidRPr="0072600F">
        <w:rPr>
          <w:rFonts w:ascii="Times New Roman" w:hAnsi="Times New Roman" w:cs="Times New Roman"/>
          <w:sz w:val="26"/>
          <w:szCs w:val="26"/>
        </w:rPr>
        <w:t>execution of a</w:t>
      </w:r>
      <w:r w:rsidRPr="0072600F" w:rsidR="009B2C3D">
        <w:rPr>
          <w:rFonts w:ascii="Times New Roman" w:hAnsi="Times New Roman" w:cs="Times New Roman"/>
          <w:i/>
          <w:iCs/>
          <w:sz w:val="26"/>
          <w:szCs w:val="26"/>
        </w:rPr>
        <w:t>n</w:t>
      </w:r>
      <w:r w:rsidRPr="0072600F">
        <w:rPr>
          <w:rFonts w:ascii="Times New Roman" w:hAnsi="Times New Roman" w:cs="Times New Roman"/>
          <w:sz w:val="26"/>
          <w:szCs w:val="26"/>
        </w:rPr>
        <w:t xml:space="preserve"> </w:t>
      </w:r>
      <w:r w:rsidRPr="0072600F" w:rsidR="62D25B9E">
        <w:rPr>
          <w:rFonts w:ascii="Times New Roman" w:hAnsi="Times New Roman" w:cs="Times New Roman"/>
          <w:sz w:val="26"/>
          <w:szCs w:val="26"/>
        </w:rPr>
        <w:t>[</w:t>
      </w:r>
      <w:r w:rsidRPr="0072600F">
        <w:rPr>
          <w:rFonts w:ascii="Times New Roman" w:hAnsi="Times New Roman" w:cs="Times New Roman"/>
          <w:sz w:val="26"/>
          <w:szCs w:val="26"/>
        </w:rPr>
        <w:t>generator interconnection agreement</w:t>
      </w:r>
      <w:r w:rsidRPr="0072600F" w:rsidR="4D409820">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60FC2C46">
        <w:rPr>
          <w:rFonts w:ascii="Times New Roman" w:hAnsi="Times New Roman" w:cs="Times New Roman"/>
          <w:i/>
          <w:iCs/>
          <w:sz w:val="26"/>
          <w:szCs w:val="26"/>
        </w:rPr>
        <w:t>LGIA</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or Interconnection Customer requests the filing of an unexecuted, new</w:t>
      </w:r>
      <w:r w:rsidRPr="0072600F" w:rsidR="007D2FB7">
        <w:rPr>
          <w:rFonts w:ascii="Times New Roman" w:hAnsi="Times New Roman" w:cs="Times New Roman"/>
          <w:sz w:val="26"/>
          <w:szCs w:val="26"/>
        </w:rPr>
        <w:t xml:space="preserve"> </w:t>
      </w:r>
      <w:r w:rsidRPr="0072600F" w:rsidR="00264CC9">
        <w:rPr>
          <w:rFonts w:ascii="Times New Roman" w:hAnsi="Times New Roman" w:cs="Times New Roman"/>
          <w:sz w:val="26"/>
          <w:szCs w:val="26"/>
        </w:rPr>
        <w:t>[</w:t>
      </w:r>
      <w:r w:rsidRPr="0072600F">
        <w:rPr>
          <w:rFonts w:ascii="Times New Roman" w:hAnsi="Times New Roman" w:cs="Times New Roman"/>
          <w:sz w:val="26"/>
          <w:szCs w:val="26"/>
        </w:rPr>
        <w:t>interconnection agreement</w:t>
      </w:r>
      <w:r w:rsidRPr="0072600F" w:rsidR="0E399C44">
        <w:rPr>
          <w:rFonts w:ascii="Times New Roman" w:hAnsi="Times New Roman" w:cs="Times New Roman"/>
          <w:sz w:val="26"/>
          <w:szCs w:val="26"/>
        </w:rPr>
        <w:t xml:space="preserve">] </w:t>
      </w:r>
      <w:r w:rsidRPr="0072600F" w:rsidR="0E399C44">
        <w:rPr>
          <w:rFonts w:ascii="Times New Roman" w:hAnsi="Times New Roman" w:cs="Times New Roman"/>
          <w:i/>
          <w:iCs/>
          <w:sz w:val="26"/>
          <w:szCs w:val="26"/>
        </w:rPr>
        <w:t>LGIA</w:t>
      </w:r>
      <w:r w:rsidRPr="0072600F">
        <w:rPr>
          <w:rFonts w:ascii="Times New Roman" w:hAnsi="Times New Roman" w:cs="Times New Roman"/>
          <w:sz w:val="26"/>
          <w:szCs w:val="26"/>
        </w:rPr>
        <w:t>,</w:t>
      </w:r>
    </w:p>
    <w:p w:rsidR="007D2FB7" w:rsidRPr="0072600F" w14:paraId="6152C705" w14:textId="77777777">
      <w:pPr>
        <w:ind w:left="3600"/>
        <w:rPr>
          <w:rFonts w:ascii="Times New Roman" w:hAnsi="Times New Roman" w:cs="Times New Roman"/>
          <w:sz w:val="26"/>
          <w:szCs w:val="26"/>
        </w:rPr>
      </w:pPr>
    </w:p>
    <w:p w:rsidR="007D2FB7" w:rsidRPr="0072600F" w:rsidP="007D2FB7" w14:paraId="3FA9E8A1" w14:textId="77777777">
      <w:pPr>
        <w:ind w:left="3600"/>
        <w:rPr>
          <w:rFonts w:ascii="Times New Roman" w:hAnsi="Times New Roman" w:cs="Times New Roman"/>
          <w:i/>
          <w:iCs/>
          <w:sz w:val="26"/>
          <w:szCs w:val="26"/>
        </w:rPr>
      </w:pPr>
      <w:r w:rsidRPr="0072600F">
        <w:rPr>
          <w:rFonts w:ascii="Times New Roman" w:hAnsi="Times New Roman" w:cs="Times New Roman"/>
          <w:i/>
          <w:iCs/>
          <w:sz w:val="26"/>
          <w:szCs w:val="26"/>
        </w:rPr>
        <w:t>(F) Number of Interconnection Requests withdrawn from Transmission Provider’s interconnection queue after execution of a</w:t>
      </w:r>
      <w:r w:rsidRPr="0072600F" w:rsidR="003F4FA4">
        <w:rPr>
          <w:rFonts w:ascii="Times New Roman" w:hAnsi="Times New Roman" w:cs="Times New Roman"/>
          <w:i/>
          <w:iCs/>
          <w:sz w:val="26"/>
          <w:szCs w:val="26"/>
        </w:rPr>
        <w:t xml:space="preserve">n LGIA </w:t>
      </w:r>
      <w:r w:rsidRPr="0072600F">
        <w:rPr>
          <w:rFonts w:ascii="Times New Roman" w:hAnsi="Times New Roman" w:cs="Times New Roman"/>
          <w:i/>
          <w:iCs/>
          <w:sz w:val="26"/>
          <w:szCs w:val="26"/>
        </w:rPr>
        <w:t>or Interconnection Customer requests the filing of an unexecuted, new</w:t>
      </w:r>
      <w:r w:rsidRPr="0072600F">
        <w:rPr>
          <w:rFonts w:ascii="Times New Roman" w:hAnsi="Times New Roman" w:cs="Times New Roman"/>
          <w:i/>
          <w:sz w:val="26"/>
          <w:szCs w:val="26"/>
        </w:rPr>
        <w:t xml:space="preserve"> </w:t>
      </w:r>
      <w:r w:rsidRPr="0072600F" w:rsidR="003F4FA4">
        <w:rPr>
          <w:rFonts w:ascii="Times New Roman" w:hAnsi="Times New Roman" w:cs="Times New Roman"/>
          <w:i/>
          <w:iCs/>
          <w:sz w:val="26"/>
          <w:szCs w:val="26"/>
        </w:rPr>
        <w:t>LGIA</w:t>
      </w:r>
    </w:p>
    <w:p w:rsidR="00681CBB" w:rsidRPr="0072600F" w:rsidP="007D2FB7" w14:paraId="744E2BD9" w14:textId="77777777">
      <w:pPr>
        <w:ind w:left="3600"/>
        <w:rPr>
          <w:rFonts w:ascii="Times New Roman" w:hAnsi="Times New Roman" w:cs="Times New Roman"/>
          <w:i/>
          <w:iCs/>
          <w:sz w:val="26"/>
          <w:szCs w:val="26"/>
        </w:rPr>
      </w:pPr>
    </w:p>
    <w:p w:rsidR="00911580" w:rsidRPr="0072600F" w14:paraId="75F508FB" w14:textId="77777777">
      <w:pPr>
        <w:ind w:left="3600"/>
        <w:rPr>
          <w:rFonts w:ascii="Times New Roman" w:hAnsi="Times New Roman" w:cs="Times New Roman"/>
          <w:sz w:val="26"/>
          <w:szCs w:val="26"/>
        </w:rPr>
      </w:pPr>
      <w:r w:rsidRPr="0072600F">
        <w:rPr>
          <w:rFonts w:ascii="Times New Roman" w:hAnsi="Times New Roman" w:cs="Times New Roman"/>
          <w:sz w:val="26"/>
          <w:szCs w:val="26"/>
        </w:rPr>
        <w:t>(</w:t>
      </w:r>
      <w:r w:rsidRPr="0072600F" w:rsidR="007D2FB7">
        <w:rPr>
          <w:rFonts w:ascii="Times New Roman" w:hAnsi="Times New Roman" w:cs="Times New Roman"/>
          <w:sz w:val="26"/>
          <w:szCs w:val="26"/>
        </w:rPr>
        <w:t>[</w:t>
      </w:r>
      <w:r w:rsidRPr="0072600F">
        <w:rPr>
          <w:rFonts w:ascii="Times New Roman" w:hAnsi="Times New Roman" w:cs="Times New Roman"/>
          <w:sz w:val="26"/>
          <w:szCs w:val="26"/>
        </w:rPr>
        <w:t>F</w:t>
      </w:r>
      <w:r w:rsidRPr="0072600F" w:rsidR="007D2FB7">
        <w:rPr>
          <w:rFonts w:ascii="Times New Roman" w:hAnsi="Times New Roman" w:cs="Times New Roman"/>
          <w:sz w:val="26"/>
          <w:szCs w:val="26"/>
        </w:rPr>
        <w:t>]</w:t>
      </w:r>
      <w:r w:rsidRPr="0072600F" w:rsidR="007D2FB7">
        <w:rPr>
          <w:rFonts w:ascii="Times New Roman" w:hAnsi="Times New Roman" w:cs="Times New Roman"/>
          <w:i/>
          <w:iCs/>
          <w:sz w:val="26"/>
          <w:szCs w:val="26"/>
        </w:rPr>
        <w:t>G</w:t>
      </w:r>
      <w:r w:rsidRPr="0072600F">
        <w:rPr>
          <w:rFonts w:ascii="Times New Roman" w:hAnsi="Times New Roman" w:cs="Times New Roman"/>
          <w:sz w:val="26"/>
          <w:szCs w:val="26"/>
        </w:rPr>
        <w:t>) Mean time (in days), for all withdrawn Interconnection Requests, from the date when the request was determined to be valid to when Transmission Provider received the request to withdraw from the queue.</w:t>
      </w:r>
    </w:p>
    <w:p w:rsidR="00911580" w:rsidRPr="0072600F" w14:paraId="54668DC7" w14:textId="77777777">
      <w:pPr>
        <w:ind w:left="3600"/>
        <w:rPr>
          <w:rFonts w:ascii="Times New Roman" w:hAnsi="Times New Roman" w:cs="Times New Roman"/>
          <w:sz w:val="26"/>
          <w:szCs w:val="26"/>
        </w:rPr>
      </w:pPr>
    </w:p>
    <w:p w:rsidR="00911580" w:rsidRPr="0072600F" w:rsidP="009E61AF" w14:paraId="7D59EA39" w14:textId="77777777">
      <w:pPr>
        <w:pStyle w:val="Heading4"/>
        <w:rPr>
          <w:b/>
          <w:sz w:val="26"/>
        </w:rPr>
      </w:pPr>
      <w:bookmarkStart w:id="210" w:name="threepointfivepoint3"/>
      <w:r w:rsidRPr="0072600F">
        <w:rPr>
          <w:sz w:val="26"/>
        </w:rPr>
        <w:tab/>
      </w:r>
      <w:bookmarkStart w:id="211" w:name="_Toc148644170"/>
      <w:bookmarkStart w:id="212" w:name="_Toc148688505"/>
      <w:bookmarkStart w:id="213" w:name="_Toc148688732"/>
      <w:bookmarkStart w:id="214" w:name="_Toc149903622"/>
      <w:r w:rsidRPr="0072600F">
        <w:rPr>
          <w:b/>
          <w:sz w:val="26"/>
        </w:rPr>
        <w:t>3.5.3</w:t>
      </w:r>
      <w:bookmarkEnd w:id="210"/>
      <w:bookmarkEnd w:id="211"/>
      <w:bookmarkEnd w:id="212"/>
      <w:bookmarkEnd w:id="213"/>
      <w:bookmarkEnd w:id="214"/>
      <w:r w:rsidRPr="0072600F">
        <w:rPr>
          <w:b/>
          <w:sz w:val="26"/>
        </w:rPr>
        <w:tab/>
      </w:r>
    </w:p>
    <w:p w:rsidR="00911580" w:rsidRPr="0072600F" w:rsidP="00F130CC" w14:paraId="7D7B923A" w14:textId="77777777">
      <w:pPr>
        <w:ind w:left="2160" w:hanging="720"/>
        <w:rPr>
          <w:rFonts w:ascii="Times New Roman" w:hAnsi="Times New Roman" w:cs="Times New Roman"/>
          <w:b/>
          <w:sz w:val="26"/>
          <w:szCs w:val="26"/>
        </w:rPr>
      </w:pPr>
      <w:r w:rsidRPr="0072600F">
        <w:rPr>
          <w:rFonts w:ascii="Times New Roman" w:hAnsi="Times New Roman" w:cs="Times New Roman"/>
          <w:b/>
          <w:sz w:val="26"/>
          <w:szCs w:val="26"/>
        </w:rPr>
        <w:tab/>
      </w:r>
      <w:r w:rsidRPr="0072600F">
        <w:rPr>
          <w:rFonts w:ascii="Times New Roman" w:hAnsi="Times New Roman" w:cs="Times New Roman"/>
          <w:sz w:val="26"/>
          <w:szCs w:val="26"/>
        </w:rPr>
        <w:t xml:space="preserve">Transmission Provider is required to post on OASIS or its website the measures in </w:t>
      </w:r>
      <w:r w:rsidRPr="0072600F" w:rsidR="00C0613A">
        <w:rPr>
          <w:rFonts w:ascii="Times New Roman" w:hAnsi="Times New Roman" w:cs="Times New Roman"/>
          <w:sz w:val="26"/>
          <w:szCs w:val="26"/>
        </w:rPr>
        <w:t>[</w:t>
      </w:r>
      <w:r w:rsidRPr="0072600F">
        <w:rPr>
          <w:rFonts w:ascii="Times New Roman" w:hAnsi="Times New Roman" w:cs="Times New Roman"/>
          <w:sz w:val="26"/>
          <w:szCs w:val="26"/>
        </w:rPr>
        <w:t>paragraph</w:t>
      </w:r>
      <w:r w:rsidRPr="0072600F" w:rsidR="00C0613A">
        <w:rPr>
          <w:rFonts w:ascii="Times New Roman" w:hAnsi="Times New Roman" w:cs="Times New Roman"/>
          <w:sz w:val="26"/>
          <w:szCs w:val="26"/>
        </w:rPr>
        <w:t xml:space="preserve">] </w:t>
      </w:r>
      <w:r w:rsidRPr="0072600F" w:rsidR="00C0613A">
        <w:rPr>
          <w:rFonts w:ascii="Times New Roman" w:hAnsi="Times New Roman" w:cs="Times New Roman"/>
          <w:i/>
          <w:iCs/>
          <w:sz w:val="26"/>
          <w:szCs w:val="26"/>
        </w:rPr>
        <w:t>Section</w:t>
      </w:r>
      <w:r w:rsidRPr="0072600F">
        <w:rPr>
          <w:rFonts w:ascii="Times New Roman" w:hAnsi="Times New Roman" w:cs="Times New Roman"/>
          <w:sz w:val="26"/>
          <w:szCs w:val="26"/>
        </w:rPr>
        <w:t xml:space="preserve"> 3.5.2.1(A) through </w:t>
      </w:r>
      <w:r w:rsidRPr="0072600F" w:rsidR="00011C6B">
        <w:rPr>
          <w:rFonts w:ascii="Times New Roman" w:hAnsi="Times New Roman" w:cs="Times New Roman"/>
          <w:sz w:val="26"/>
          <w:szCs w:val="26"/>
        </w:rPr>
        <w:t>[</w:t>
      </w:r>
      <w:r w:rsidRPr="0072600F">
        <w:rPr>
          <w:rFonts w:ascii="Times New Roman" w:hAnsi="Times New Roman" w:cs="Times New Roman"/>
          <w:sz w:val="26"/>
          <w:szCs w:val="26"/>
        </w:rPr>
        <w:t>paragraph</w:t>
      </w:r>
      <w:r w:rsidRPr="0072600F" w:rsidR="00011C6B">
        <w:rPr>
          <w:rFonts w:ascii="Times New Roman" w:hAnsi="Times New Roman" w:cs="Times New Roman"/>
          <w:sz w:val="26"/>
          <w:szCs w:val="26"/>
        </w:rPr>
        <w:t xml:space="preserve">] </w:t>
      </w:r>
      <w:r w:rsidRPr="0072600F" w:rsidR="00011C6B">
        <w:rPr>
          <w:rFonts w:ascii="Times New Roman" w:hAnsi="Times New Roman" w:cs="Times New Roman"/>
          <w:i/>
          <w:iCs/>
          <w:sz w:val="26"/>
          <w:szCs w:val="26"/>
        </w:rPr>
        <w:t>Section</w:t>
      </w:r>
      <w:r w:rsidRPr="0072600F">
        <w:rPr>
          <w:rFonts w:ascii="Times New Roman" w:hAnsi="Times New Roman" w:cs="Times New Roman"/>
          <w:sz w:val="26"/>
          <w:szCs w:val="26"/>
        </w:rPr>
        <w:t xml:space="preserve"> 3.5.2.4(</w:t>
      </w:r>
      <w:r w:rsidRPr="0072600F" w:rsidR="00264CC9">
        <w:rPr>
          <w:rFonts w:ascii="Times New Roman" w:hAnsi="Times New Roman" w:cs="Times New Roman"/>
          <w:sz w:val="26"/>
          <w:szCs w:val="26"/>
        </w:rPr>
        <w:t>[</w:t>
      </w:r>
      <w:r w:rsidRPr="0072600F">
        <w:rPr>
          <w:rFonts w:ascii="Times New Roman" w:hAnsi="Times New Roman" w:cs="Times New Roman"/>
          <w:sz w:val="26"/>
          <w:szCs w:val="26"/>
        </w:rPr>
        <w:t>F</w:t>
      </w:r>
      <w:r w:rsidRPr="0072600F" w:rsidR="00264CC9">
        <w:rPr>
          <w:rFonts w:ascii="Times New Roman" w:hAnsi="Times New Roman" w:cs="Times New Roman"/>
          <w:sz w:val="26"/>
          <w:szCs w:val="26"/>
        </w:rPr>
        <w:t>]</w:t>
      </w:r>
      <w:r w:rsidRPr="0072600F" w:rsidR="00264CC9">
        <w:rPr>
          <w:rFonts w:ascii="Times New Roman" w:hAnsi="Times New Roman" w:cs="Times New Roman"/>
          <w:i/>
          <w:iCs/>
          <w:sz w:val="26"/>
          <w:szCs w:val="26"/>
        </w:rPr>
        <w:t>G</w:t>
      </w:r>
      <w:r w:rsidRPr="0072600F">
        <w:rPr>
          <w:rFonts w:ascii="Times New Roman" w:hAnsi="Times New Roman" w:cs="Times New Roman"/>
          <w:sz w:val="26"/>
          <w:szCs w:val="26"/>
        </w:rPr>
        <w:t xml:space="preserve">) for each calendar quarter within </w:t>
      </w:r>
      <w:r w:rsidRPr="0072600F" w:rsidR="004C249F">
        <w:rPr>
          <w:rFonts w:ascii="Times New Roman" w:hAnsi="Times New Roman" w:cs="Times New Roman"/>
          <w:i/>
          <w:iCs/>
          <w:sz w:val="26"/>
          <w:szCs w:val="26"/>
        </w:rPr>
        <w:t>thirty (</w:t>
      </w:r>
      <w:r w:rsidRPr="0072600F">
        <w:rPr>
          <w:rFonts w:ascii="Times New Roman" w:hAnsi="Times New Roman" w:cs="Times New Roman"/>
          <w:sz w:val="26"/>
          <w:szCs w:val="26"/>
        </w:rPr>
        <w:t>30</w:t>
      </w:r>
      <w:r w:rsidRPr="0072600F" w:rsidR="004C249F">
        <w:rPr>
          <w:rFonts w:ascii="Times New Roman" w:hAnsi="Times New Roman" w:cs="Times New Roman"/>
          <w:i/>
          <w:iCs/>
          <w:sz w:val="26"/>
          <w:szCs w:val="26"/>
        </w:rPr>
        <w:t>) Calendar</w:t>
      </w:r>
      <w:r w:rsidRPr="0072600F">
        <w:rPr>
          <w:rFonts w:ascii="Times New Roman" w:hAnsi="Times New Roman" w:cs="Times New Roman"/>
          <w:sz w:val="26"/>
          <w:szCs w:val="26"/>
        </w:rPr>
        <w:t xml:space="preserve"> </w:t>
      </w:r>
      <w:r w:rsidRPr="0072600F" w:rsidR="00912799">
        <w:rPr>
          <w:rFonts w:ascii="Times New Roman" w:hAnsi="Times New Roman" w:cs="Times New Roman"/>
          <w:sz w:val="26"/>
          <w:szCs w:val="26"/>
        </w:rPr>
        <w:t>[</w:t>
      </w:r>
      <w:r w:rsidRPr="0072600F">
        <w:rPr>
          <w:rFonts w:ascii="Times New Roman" w:hAnsi="Times New Roman" w:cs="Times New Roman"/>
          <w:sz w:val="26"/>
          <w:szCs w:val="26"/>
        </w:rPr>
        <w:t>d</w:t>
      </w:r>
      <w:r w:rsidRPr="0072600F" w:rsidR="00912799">
        <w:rPr>
          <w:rFonts w:ascii="Times New Roman" w:hAnsi="Times New Roman" w:cs="Times New Roman"/>
          <w:sz w:val="26"/>
          <w:szCs w:val="26"/>
        </w:rPr>
        <w:t>]</w:t>
      </w:r>
      <w:r w:rsidRPr="0072600F" w:rsidR="00912799">
        <w:rPr>
          <w:rFonts w:ascii="Times New Roman" w:hAnsi="Times New Roman" w:cs="Times New Roman"/>
          <w:i/>
          <w:iCs/>
          <w:sz w:val="26"/>
          <w:szCs w:val="26"/>
        </w:rPr>
        <w:t>D</w:t>
      </w:r>
      <w:r w:rsidRPr="0072600F">
        <w:rPr>
          <w:rFonts w:ascii="Times New Roman" w:hAnsi="Times New Roman" w:cs="Times New Roman"/>
          <w:sz w:val="26"/>
          <w:szCs w:val="26"/>
        </w:rPr>
        <w:t xml:space="preserve">ays of the end of the calendar quarter.  Transmission Provider will keep the quarterly measures posted on OASIS or its website for three </w:t>
      </w:r>
      <w:r w:rsidRPr="0072600F" w:rsidR="23C65BDA">
        <w:rPr>
          <w:rFonts w:ascii="Times New Roman" w:hAnsi="Times New Roman" w:cs="Times New Roman"/>
          <w:i/>
          <w:iCs/>
          <w:sz w:val="26"/>
          <w:szCs w:val="26"/>
        </w:rPr>
        <w:t>(3)</w:t>
      </w:r>
      <w:r w:rsidRPr="0072600F">
        <w:rPr>
          <w:rFonts w:ascii="Times New Roman" w:hAnsi="Times New Roman" w:cs="Times New Roman"/>
          <w:sz w:val="26"/>
          <w:szCs w:val="26"/>
        </w:rPr>
        <w:t xml:space="preserve"> calendar years with the first required report to be in the first quarter of 2020.  If Transmission Provider retains this information on its website, a link to the information must be provided on Transmission Provider’s OASIS site.   </w:t>
      </w:r>
    </w:p>
    <w:p w:rsidR="00911580" w:rsidRPr="0072600F" w14:paraId="08A5AF4A" w14:textId="77777777">
      <w:pPr>
        <w:ind w:left="3600"/>
        <w:rPr>
          <w:rFonts w:ascii="Times New Roman" w:hAnsi="Times New Roman" w:cs="Times New Roman"/>
          <w:sz w:val="26"/>
          <w:szCs w:val="26"/>
        </w:rPr>
      </w:pPr>
    </w:p>
    <w:p w:rsidR="00911580" w:rsidRPr="0072600F" w:rsidP="009E61AF" w14:paraId="574252DE" w14:textId="77777777">
      <w:pPr>
        <w:pStyle w:val="Heading4"/>
        <w:rPr>
          <w:b/>
          <w:sz w:val="26"/>
        </w:rPr>
      </w:pPr>
      <w:bookmarkStart w:id="215" w:name="threepointfivepoint4"/>
      <w:r w:rsidRPr="0072600F">
        <w:rPr>
          <w:sz w:val="26"/>
        </w:rPr>
        <w:tab/>
      </w:r>
      <w:bookmarkStart w:id="216" w:name="_Toc148644171"/>
      <w:bookmarkStart w:id="217" w:name="_Toc148688506"/>
      <w:bookmarkStart w:id="218" w:name="_Toc148688733"/>
      <w:bookmarkStart w:id="219" w:name="_Toc149903623"/>
      <w:r w:rsidRPr="0072600F">
        <w:rPr>
          <w:b/>
          <w:sz w:val="26"/>
        </w:rPr>
        <w:t>3.5.4</w:t>
      </w:r>
      <w:bookmarkEnd w:id="215"/>
      <w:bookmarkEnd w:id="216"/>
      <w:bookmarkEnd w:id="217"/>
      <w:bookmarkEnd w:id="218"/>
      <w:bookmarkEnd w:id="219"/>
      <w:r w:rsidRPr="0072600F">
        <w:rPr>
          <w:b/>
          <w:sz w:val="26"/>
        </w:rPr>
        <w:tab/>
      </w:r>
    </w:p>
    <w:p w:rsidR="00911580" w:rsidRPr="0072600F" w:rsidP="00F130CC" w14:paraId="2671F634" w14:textId="77777777">
      <w:pPr>
        <w:ind w:left="2160" w:hanging="720"/>
        <w:rPr>
          <w:rFonts w:ascii="Times New Roman" w:hAnsi="Times New Roman" w:cs="Times New Roman"/>
          <w:sz w:val="26"/>
          <w:szCs w:val="26"/>
        </w:rPr>
      </w:pPr>
      <w:r w:rsidRPr="0072600F">
        <w:rPr>
          <w:rFonts w:ascii="Times New Roman" w:hAnsi="Times New Roman" w:cs="Times New Roman"/>
          <w:b/>
          <w:sz w:val="26"/>
          <w:szCs w:val="26"/>
        </w:rPr>
        <w:tab/>
      </w:r>
      <w:r w:rsidRPr="0072600F">
        <w:rPr>
          <w:rFonts w:ascii="Times New Roman" w:hAnsi="Times New Roman" w:cs="Times New Roman"/>
          <w:sz w:val="26"/>
          <w:szCs w:val="26"/>
        </w:rPr>
        <w:t xml:space="preserve">In the event that any of the values calculated in </w:t>
      </w:r>
      <w:r w:rsidRPr="0072600F" w:rsidR="00C0613A">
        <w:rPr>
          <w:rFonts w:ascii="Times New Roman" w:hAnsi="Times New Roman" w:cs="Times New Roman"/>
          <w:sz w:val="26"/>
          <w:szCs w:val="26"/>
        </w:rPr>
        <w:t>[</w:t>
      </w:r>
      <w:r w:rsidRPr="0072600F">
        <w:rPr>
          <w:rFonts w:ascii="Times New Roman" w:hAnsi="Times New Roman" w:cs="Times New Roman"/>
          <w:sz w:val="26"/>
          <w:szCs w:val="26"/>
        </w:rPr>
        <w:t>paragraphs</w:t>
      </w:r>
      <w:r w:rsidRPr="0072600F" w:rsidR="00C0613A">
        <w:rPr>
          <w:rFonts w:ascii="Times New Roman" w:hAnsi="Times New Roman" w:cs="Times New Roman"/>
          <w:sz w:val="26"/>
          <w:szCs w:val="26"/>
        </w:rPr>
        <w:t xml:space="preserve">] </w:t>
      </w:r>
      <w:r w:rsidRPr="0072600F" w:rsidR="00C0613A">
        <w:rPr>
          <w:rFonts w:ascii="Times New Roman" w:hAnsi="Times New Roman" w:cs="Times New Roman"/>
          <w:i/>
          <w:iCs/>
          <w:sz w:val="26"/>
          <w:szCs w:val="26"/>
        </w:rPr>
        <w:t>Sections</w:t>
      </w:r>
      <w:r w:rsidRPr="0072600F">
        <w:rPr>
          <w:rFonts w:ascii="Times New Roman" w:hAnsi="Times New Roman" w:cs="Times New Roman"/>
          <w:sz w:val="26"/>
          <w:szCs w:val="26"/>
        </w:rPr>
        <w:t xml:space="preserve"> 3.5.2.1(E), 3.5.2.2(E) or 3.5.2.3(E) exceeds </w:t>
      </w:r>
      <w:r w:rsidRPr="0072600F" w:rsidR="1D95F950">
        <w:rPr>
          <w:rFonts w:ascii="Times New Roman" w:hAnsi="Times New Roman" w:cs="Times New Roman"/>
          <w:i/>
          <w:iCs/>
          <w:sz w:val="26"/>
          <w:szCs w:val="26"/>
        </w:rPr>
        <w:t>twenty-five</w:t>
      </w:r>
      <w:r w:rsidRPr="0072600F">
        <w:rPr>
          <w:rFonts w:ascii="Times New Roman" w:hAnsi="Times New Roman" w:cs="Times New Roman"/>
          <w:sz w:val="26"/>
          <w:szCs w:val="26"/>
        </w:rPr>
        <w:t xml:space="preserve"> </w:t>
      </w:r>
      <w:r w:rsidRPr="0072600F" w:rsidR="739FA310">
        <w:rPr>
          <w:rFonts w:ascii="Times New Roman" w:hAnsi="Times New Roman" w:cs="Times New Roman"/>
          <w:sz w:val="26"/>
          <w:szCs w:val="26"/>
        </w:rPr>
        <w:t>[</w:t>
      </w:r>
      <w:r w:rsidRPr="0072600F">
        <w:rPr>
          <w:rFonts w:ascii="Times New Roman" w:hAnsi="Times New Roman" w:cs="Times New Roman"/>
          <w:sz w:val="26"/>
          <w:szCs w:val="26"/>
        </w:rPr>
        <w:t>25</w:t>
      </w:r>
      <w:r w:rsidRPr="0072600F" w:rsidR="13A431DD">
        <w:rPr>
          <w:rFonts w:ascii="Times New Roman" w:hAnsi="Times New Roman" w:cs="Times New Roman"/>
          <w:sz w:val="26"/>
          <w:szCs w:val="26"/>
        </w:rPr>
        <w:t>]</w:t>
      </w:r>
      <w:r w:rsidRPr="0072600F">
        <w:rPr>
          <w:rFonts w:ascii="Times New Roman" w:hAnsi="Times New Roman" w:cs="Times New Roman"/>
          <w:sz w:val="26"/>
          <w:szCs w:val="26"/>
        </w:rPr>
        <w:t xml:space="preserve"> percent </w:t>
      </w:r>
      <w:r w:rsidRPr="0072600F" w:rsidR="32D0468D">
        <w:rPr>
          <w:rFonts w:ascii="Times New Roman" w:hAnsi="Times New Roman" w:cs="Times New Roman"/>
          <w:i/>
          <w:iCs/>
          <w:sz w:val="26"/>
          <w:szCs w:val="26"/>
        </w:rPr>
        <w:t>(25%)</w:t>
      </w:r>
      <w:r w:rsidRPr="0072600F">
        <w:rPr>
          <w:rFonts w:ascii="Times New Roman" w:hAnsi="Times New Roman" w:cs="Times New Roman"/>
          <w:sz w:val="26"/>
          <w:szCs w:val="26"/>
        </w:rPr>
        <w:t xml:space="preserve"> for two</w:t>
      </w:r>
      <w:r w:rsidRPr="0072600F" w:rsidR="2346BD83">
        <w:rPr>
          <w:rFonts w:ascii="Times New Roman" w:hAnsi="Times New Roman" w:cs="Times New Roman"/>
          <w:sz w:val="26"/>
          <w:szCs w:val="26"/>
        </w:rPr>
        <w:t xml:space="preserve"> </w:t>
      </w:r>
      <w:r w:rsidRPr="0072600F" w:rsidR="2346BD83">
        <w:rPr>
          <w:rFonts w:ascii="Times New Roman" w:hAnsi="Times New Roman" w:cs="Times New Roman"/>
          <w:i/>
          <w:iCs/>
          <w:sz w:val="26"/>
          <w:szCs w:val="26"/>
        </w:rPr>
        <w:t>(2)</w:t>
      </w:r>
      <w:r w:rsidRPr="0072600F">
        <w:rPr>
          <w:rFonts w:ascii="Times New Roman" w:hAnsi="Times New Roman" w:cs="Times New Roman"/>
          <w:sz w:val="26"/>
          <w:szCs w:val="26"/>
        </w:rPr>
        <w:t xml:space="preserve"> consecutive calendar quarters, Transmission Provider will have to comply with the measures below for the next four </w:t>
      </w:r>
      <w:r w:rsidRPr="0072600F" w:rsidR="55A5D655">
        <w:rPr>
          <w:rFonts w:ascii="Times New Roman" w:hAnsi="Times New Roman" w:cs="Times New Roman"/>
          <w:i/>
          <w:iCs/>
          <w:sz w:val="26"/>
          <w:szCs w:val="26"/>
        </w:rPr>
        <w:t>(4)</w:t>
      </w:r>
      <w:r w:rsidRPr="0072600F">
        <w:rPr>
          <w:rFonts w:ascii="Times New Roman" w:hAnsi="Times New Roman" w:cs="Times New Roman"/>
          <w:sz w:val="26"/>
          <w:szCs w:val="26"/>
        </w:rPr>
        <w:t xml:space="preserve"> consecutive calendar quarters and must continue reporting this information until Transmission Provider reports four </w:t>
      </w:r>
      <w:r w:rsidRPr="0072600F" w:rsidR="18FFEF0C">
        <w:rPr>
          <w:rFonts w:ascii="Times New Roman" w:hAnsi="Times New Roman" w:cs="Times New Roman"/>
          <w:i/>
          <w:sz w:val="26"/>
          <w:szCs w:val="26"/>
        </w:rPr>
        <w:t>(</w:t>
      </w:r>
      <w:r w:rsidRPr="0072600F" w:rsidR="18FFEF0C">
        <w:rPr>
          <w:rFonts w:ascii="Times New Roman" w:hAnsi="Times New Roman" w:cs="Times New Roman"/>
          <w:i/>
          <w:iCs/>
          <w:sz w:val="26"/>
          <w:szCs w:val="26"/>
        </w:rPr>
        <w:t>4)</w:t>
      </w:r>
      <w:r w:rsidRPr="0072600F">
        <w:rPr>
          <w:rFonts w:ascii="Times New Roman" w:hAnsi="Times New Roman" w:cs="Times New Roman"/>
          <w:sz w:val="26"/>
          <w:szCs w:val="26"/>
        </w:rPr>
        <w:t xml:space="preserve"> consecutive calendar quarters without the values calculated in </w:t>
      </w:r>
      <w:r w:rsidRPr="0072600F" w:rsidR="00DA0E94">
        <w:rPr>
          <w:rFonts w:ascii="Times New Roman" w:hAnsi="Times New Roman" w:cs="Times New Roman"/>
          <w:i/>
          <w:iCs/>
          <w:sz w:val="26"/>
          <w:szCs w:val="26"/>
        </w:rPr>
        <w:t xml:space="preserve">Sections </w:t>
      </w:r>
      <w:r w:rsidRPr="0072600F">
        <w:rPr>
          <w:rFonts w:ascii="Times New Roman" w:hAnsi="Times New Roman" w:cs="Times New Roman"/>
          <w:sz w:val="26"/>
          <w:szCs w:val="26"/>
        </w:rPr>
        <w:t xml:space="preserve">3.5.2.1(E), 3.5.2.2(E) or 3.5.2.3(E) exceeding </w:t>
      </w:r>
      <w:r w:rsidRPr="0072600F" w:rsidR="51CD7ACE">
        <w:rPr>
          <w:rFonts w:ascii="Times New Roman" w:hAnsi="Times New Roman" w:cs="Times New Roman"/>
          <w:sz w:val="26"/>
          <w:szCs w:val="26"/>
        </w:rPr>
        <w:t>[</w:t>
      </w:r>
      <w:r w:rsidRPr="0072600F">
        <w:rPr>
          <w:rFonts w:ascii="Times New Roman" w:hAnsi="Times New Roman" w:cs="Times New Roman"/>
          <w:sz w:val="26"/>
          <w:szCs w:val="26"/>
        </w:rPr>
        <w:t>25</w:t>
      </w:r>
      <w:r w:rsidRPr="0072600F" w:rsidR="1DB7416B">
        <w:rPr>
          <w:rFonts w:ascii="Times New Roman" w:hAnsi="Times New Roman" w:cs="Times New Roman"/>
          <w:sz w:val="26"/>
          <w:szCs w:val="26"/>
        </w:rPr>
        <w:t xml:space="preserve">] </w:t>
      </w:r>
      <w:r w:rsidRPr="0072600F" w:rsidR="1DB7416B">
        <w:rPr>
          <w:rFonts w:ascii="Times New Roman" w:hAnsi="Times New Roman" w:cs="Times New Roman"/>
          <w:i/>
          <w:iCs/>
          <w:sz w:val="26"/>
          <w:szCs w:val="26"/>
        </w:rPr>
        <w:t>twenty-five</w:t>
      </w:r>
      <w:r w:rsidRPr="0072600F">
        <w:rPr>
          <w:rFonts w:ascii="Times New Roman" w:hAnsi="Times New Roman" w:cs="Times New Roman"/>
          <w:sz w:val="26"/>
          <w:szCs w:val="26"/>
        </w:rPr>
        <w:t xml:space="preserve"> percent </w:t>
      </w:r>
      <w:r w:rsidRPr="0072600F" w:rsidR="03B3163B">
        <w:rPr>
          <w:rFonts w:ascii="Times New Roman" w:hAnsi="Times New Roman" w:cs="Times New Roman"/>
          <w:i/>
          <w:iCs/>
          <w:sz w:val="26"/>
          <w:szCs w:val="26"/>
        </w:rPr>
        <w:t>(25%)</w:t>
      </w:r>
      <w:r w:rsidRPr="0072600F">
        <w:rPr>
          <w:rFonts w:ascii="Times New Roman" w:hAnsi="Times New Roman" w:cs="Times New Roman"/>
          <w:sz w:val="26"/>
          <w:szCs w:val="26"/>
        </w:rPr>
        <w:t xml:space="preserve"> for two </w:t>
      </w:r>
      <w:r w:rsidRPr="0072600F" w:rsidR="78EA347B">
        <w:rPr>
          <w:rFonts w:ascii="Times New Roman" w:hAnsi="Times New Roman" w:cs="Times New Roman"/>
          <w:i/>
          <w:iCs/>
          <w:sz w:val="26"/>
          <w:szCs w:val="26"/>
        </w:rPr>
        <w:t>(2)</w:t>
      </w:r>
      <w:r w:rsidRPr="0072600F">
        <w:rPr>
          <w:rFonts w:ascii="Times New Roman" w:hAnsi="Times New Roman" w:cs="Times New Roman"/>
          <w:sz w:val="26"/>
          <w:szCs w:val="26"/>
        </w:rPr>
        <w:t xml:space="preserve"> consecutive calendar quarters:</w:t>
      </w:r>
    </w:p>
    <w:p w:rsidR="00911580" w:rsidRPr="0072600F" w14:paraId="7CFEDD69" w14:textId="77777777">
      <w:pPr>
        <w:ind w:left="1440"/>
        <w:rPr>
          <w:rFonts w:ascii="Times New Roman" w:hAnsi="Times New Roman" w:cs="Times New Roman"/>
          <w:sz w:val="26"/>
          <w:szCs w:val="26"/>
        </w:rPr>
      </w:pPr>
    </w:p>
    <w:p w:rsidR="00911580" w:rsidRPr="0072600F" w:rsidP="00067A54" w14:paraId="58811202" w14:textId="77777777">
      <w:pPr>
        <w:ind w:left="2880"/>
        <w:rPr>
          <w:rFonts w:ascii="Times New Roman" w:eastAsia="Calibri"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w:t>
      </w:r>
      <w:r w:rsidRPr="0072600F">
        <w:rPr>
          <w:rFonts w:ascii="Times New Roman" w:eastAsia="Calibri" w:hAnsi="Times New Roman" w:cs="Times New Roman"/>
          <w:sz w:val="26"/>
          <w:szCs w:val="26"/>
        </w:rPr>
        <w:t xml:space="preserve">Transmission Provider must submit a report to the Commission describing the reason for each Cluster Study, Cluster Restudy, or individual Interconnection Facilities Study pursuant to one or more Interconnection Request(s) that exceeded its deadline (i.e., 150, 90 or 180 </w:t>
      </w:r>
      <w:r w:rsidRPr="0072600F" w:rsidR="00912799">
        <w:rPr>
          <w:rFonts w:ascii="Times New Roman" w:eastAsia="Calibri" w:hAnsi="Times New Roman" w:cs="Times New Roman"/>
          <w:i/>
          <w:iCs/>
          <w:sz w:val="26"/>
          <w:szCs w:val="26"/>
        </w:rPr>
        <w:t xml:space="preserve">Calendar </w:t>
      </w:r>
      <w:r w:rsidRPr="0072600F" w:rsidR="00912799">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912799">
        <w:rPr>
          <w:rFonts w:ascii="Times New Roman" w:eastAsia="Calibri" w:hAnsi="Times New Roman" w:cs="Times New Roman"/>
          <w:sz w:val="26"/>
          <w:szCs w:val="26"/>
        </w:rPr>
        <w:t>]</w:t>
      </w:r>
      <w:r w:rsidRPr="0072600F" w:rsidR="00912799">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 xml:space="preserve">ays) for completion.  Transmission Provider must describe the reasons for each study delay and any steps taken to remedy these specific issues and, if applicable, prevent such delays in the future.  The report must be filed at the Commission within </w:t>
      </w:r>
      <w:r w:rsidRPr="0072600F" w:rsidR="004C249F">
        <w:rPr>
          <w:rFonts w:ascii="Times New Roman" w:eastAsia="Calibri" w:hAnsi="Times New Roman" w:cs="Times New Roman"/>
          <w:i/>
          <w:iCs/>
          <w:sz w:val="26"/>
          <w:szCs w:val="26"/>
        </w:rPr>
        <w:t>forty-five (</w:t>
      </w:r>
      <w:r w:rsidRPr="0072600F">
        <w:rPr>
          <w:rFonts w:ascii="Times New Roman" w:eastAsia="Calibri" w:hAnsi="Times New Roman" w:cs="Times New Roman"/>
          <w:sz w:val="26"/>
          <w:szCs w:val="26"/>
        </w:rPr>
        <w:t>45</w:t>
      </w:r>
      <w:r w:rsidRPr="0072600F" w:rsidR="004C249F">
        <w:rPr>
          <w:rFonts w:ascii="Times New Roman" w:eastAsia="Calibri" w:hAnsi="Times New Roman" w:cs="Times New Roman"/>
          <w:i/>
          <w:iCs/>
          <w:sz w:val="26"/>
          <w:szCs w:val="26"/>
        </w:rPr>
        <w:t>) Calendar</w:t>
      </w:r>
      <w:r w:rsidRPr="0072600F">
        <w:rPr>
          <w:rFonts w:ascii="Times New Roman" w:eastAsia="Calibri" w:hAnsi="Times New Roman" w:cs="Times New Roman"/>
          <w:sz w:val="26"/>
          <w:szCs w:val="26"/>
        </w:rPr>
        <w:t xml:space="preserve"> </w:t>
      </w:r>
      <w:r w:rsidRPr="0072600F" w:rsidR="00912799">
        <w:rPr>
          <w:rFonts w:ascii="Times New Roman" w:eastAsia="Calibri" w:hAnsi="Times New Roman" w:cs="Times New Roman"/>
          <w:sz w:val="26"/>
          <w:szCs w:val="26"/>
        </w:rPr>
        <w:t>[</w:t>
      </w:r>
      <w:r w:rsidRPr="0072600F">
        <w:rPr>
          <w:rFonts w:ascii="Times New Roman" w:hAnsi="Times New Roman" w:cs="Times New Roman"/>
          <w:sz w:val="26"/>
          <w:szCs w:val="26"/>
        </w:rPr>
        <w:t>d</w:t>
      </w:r>
      <w:r w:rsidRPr="0072600F" w:rsidR="00912799">
        <w:rPr>
          <w:rFonts w:ascii="Times New Roman" w:hAnsi="Times New Roman" w:cs="Times New Roman"/>
          <w:sz w:val="26"/>
          <w:szCs w:val="26"/>
        </w:rPr>
        <w:t>]</w:t>
      </w:r>
      <w:r w:rsidRPr="0072600F" w:rsidR="00912799">
        <w:rPr>
          <w:rFonts w:ascii="Times New Roman" w:hAnsi="Times New Roman" w:cs="Times New Roman"/>
          <w:i/>
          <w:iCs/>
          <w:sz w:val="26"/>
          <w:szCs w:val="26"/>
        </w:rPr>
        <w:t>D</w:t>
      </w:r>
      <w:r w:rsidRPr="0072600F">
        <w:rPr>
          <w:rFonts w:ascii="Times New Roman" w:eastAsia="Calibri" w:hAnsi="Times New Roman" w:cs="Times New Roman"/>
          <w:sz w:val="26"/>
          <w:szCs w:val="26"/>
        </w:rPr>
        <w:t>ays of the end of the calendar quarter.</w:t>
      </w:r>
    </w:p>
    <w:p w:rsidR="00911580" w:rsidRPr="0072600F" w14:paraId="6A9CC325" w14:textId="77777777">
      <w:pPr>
        <w:ind w:left="2880"/>
        <w:rPr>
          <w:rFonts w:ascii="Times New Roman" w:hAnsi="Times New Roman" w:cs="Times New Roman"/>
          <w:sz w:val="26"/>
          <w:szCs w:val="26"/>
        </w:rPr>
      </w:pPr>
    </w:p>
    <w:p w:rsidR="00911580" w:rsidRPr="0072600F" w14:paraId="1AF75C47"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(ii) Transmission Provider shall aggregate the total number of employee-hours and third party consultant hours expended towards </w:t>
      </w:r>
      <w:r w:rsidRPr="0072600F" w:rsidR="6DF17B70">
        <w:rPr>
          <w:rFonts w:ascii="Times New Roman" w:hAnsi="Times New Roman" w:cs="Times New Roman"/>
          <w:sz w:val="26"/>
          <w:szCs w:val="26"/>
        </w:rPr>
        <w:t>[</w:t>
      </w:r>
      <w:r w:rsidRPr="0072600F">
        <w:rPr>
          <w:rFonts w:ascii="Times New Roman" w:hAnsi="Times New Roman" w:cs="Times New Roman"/>
          <w:sz w:val="26"/>
          <w:szCs w:val="26"/>
        </w:rPr>
        <w:t>i</w:t>
      </w:r>
      <w:r w:rsidRPr="0072600F" w:rsidR="4EAE9D78">
        <w:rPr>
          <w:rFonts w:ascii="Times New Roman" w:hAnsi="Times New Roman" w:cs="Times New Roman"/>
          <w:sz w:val="26"/>
          <w:szCs w:val="26"/>
        </w:rPr>
        <w:t>]</w:t>
      </w:r>
      <w:r w:rsidRPr="0072600F" w:rsidR="4EAE9D78">
        <w:rPr>
          <w:rFonts w:ascii="Times New Roman" w:hAnsi="Times New Roman" w:cs="Times New Roman"/>
          <w:i/>
          <w:iCs/>
          <w:sz w:val="26"/>
          <w:szCs w:val="26"/>
        </w:rPr>
        <w:t>I</w:t>
      </w:r>
      <w:r w:rsidRPr="0072600F">
        <w:rPr>
          <w:rFonts w:ascii="Times New Roman" w:hAnsi="Times New Roman" w:cs="Times New Roman"/>
          <w:sz w:val="26"/>
          <w:szCs w:val="26"/>
        </w:rPr>
        <w:t xml:space="preserve">nterconnection </w:t>
      </w:r>
      <w:r w:rsidRPr="0072600F" w:rsidR="356F5163">
        <w:rPr>
          <w:rFonts w:ascii="Times New Roman" w:hAnsi="Times New Roman" w:cs="Times New Roman"/>
          <w:sz w:val="26"/>
          <w:szCs w:val="26"/>
        </w:rPr>
        <w:t>[</w:t>
      </w:r>
      <w:r w:rsidRPr="0072600F">
        <w:rPr>
          <w:rFonts w:ascii="Times New Roman" w:hAnsi="Times New Roman" w:cs="Times New Roman"/>
          <w:sz w:val="26"/>
          <w:szCs w:val="26"/>
        </w:rPr>
        <w:t>s</w:t>
      </w:r>
      <w:r w:rsidRPr="0072600F" w:rsidR="05CB7FB2">
        <w:rPr>
          <w:rFonts w:ascii="Times New Roman" w:hAnsi="Times New Roman" w:cs="Times New Roman"/>
          <w:sz w:val="26"/>
          <w:szCs w:val="26"/>
        </w:rPr>
        <w:t>]</w:t>
      </w:r>
      <w:r w:rsidRPr="0072600F" w:rsidR="05CB7FB2">
        <w:rPr>
          <w:rFonts w:ascii="Times New Roman" w:hAnsi="Times New Roman" w:cs="Times New Roman"/>
          <w:i/>
          <w:iCs/>
          <w:sz w:val="26"/>
          <w:szCs w:val="26"/>
        </w:rPr>
        <w:t>S</w:t>
      </w:r>
      <w:r w:rsidRPr="0072600F">
        <w:rPr>
          <w:rFonts w:ascii="Times New Roman" w:hAnsi="Times New Roman" w:cs="Times New Roman"/>
          <w:sz w:val="26"/>
          <w:szCs w:val="26"/>
        </w:rPr>
        <w:t xml:space="preserve">tudies within its coordinated region that quarter and post on OASIS or its website.  If Transmission Provider posts this information on its website, a link to the information must be provided on Transmission Provider’s OASIS site.  This information is to be posted within </w:t>
      </w:r>
      <w:r w:rsidRPr="0072600F" w:rsidR="004C249F">
        <w:rPr>
          <w:rFonts w:ascii="Times New Roman" w:hAnsi="Times New Roman" w:cs="Times New Roman"/>
          <w:i/>
          <w:iCs/>
          <w:sz w:val="26"/>
          <w:szCs w:val="26"/>
        </w:rPr>
        <w:t>thirty (</w:t>
      </w:r>
      <w:r w:rsidRPr="0072600F">
        <w:rPr>
          <w:rFonts w:ascii="Times New Roman" w:hAnsi="Times New Roman" w:cs="Times New Roman"/>
          <w:sz w:val="26"/>
          <w:szCs w:val="26"/>
        </w:rPr>
        <w:t>30</w:t>
      </w:r>
      <w:r w:rsidRPr="0072600F" w:rsidR="004C249F">
        <w:rPr>
          <w:rFonts w:ascii="Times New Roman" w:hAnsi="Times New Roman" w:cs="Times New Roman"/>
          <w:i/>
          <w:iCs/>
          <w:sz w:val="26"/>
          <w:szCs w:val="26"/>
        </w:rPr>
        <w:t>) Calendar</w:t>
      </w:r>
      <w:r w:rsidRPr="0072600F">
        <w:rPr>
          <w:rFonts w:ascii="Times New Roman" w:hAnsi="Times New Roman" w:cs="Times New Roman"/>
          <w:sz w:val="26"/>
          <w:szCs w:val="26"/>
        </w:rPr>
        <w:t xml:space="preserve"> </w:t>
      </w:r>
      <w:r w:rsidRPr="0072600F" w:rsidR="00912799">
        <w:rPr>
          <w:rFonts w:ascii="Times New Roman" w:hAnsi="Times New Roman" w:cs="Times New Roman"/>
          <w:sz w:val="26"/>
          <w:szCs w:val="26"/>
        </w:rPr>
        <w:t>[</w:t>
      </w:r>
      <w:r w:rsidRPr="0072600F">
        <w:rPr>
          <w:rFonts w:ascii="Times New Roman" w:hAnsi="Times New Roman" w:cs="Times New Roman"/>
          <w:sz w:val="26"/>
          <w:szCs w:val="26"/>
        </w:rPr>
        <w:t>d</w:t>
      </w:r>
      <w:r w:rsidRPr="0072600F" w:rsidR="00912799">
        <w:rPr>
          <w:rFonts w:ascii="Times New Roman" w:hAnsi="Times New Roman" w:cs="Times New Roman"/>
          <w:sz w:val="26"/>
          <w:szCs w:val="26"/>
        </w:rPr>
        <w:t>]</w:t>
      </w:r>
      <w:r w:rsidRPr="0072600F" w:rsidR="00912799">
        <w:rPr>
          <w:rFonts w:ascii="Times New Roman" w:hAnsi="Times New Roman" w:cs="Times New Roman"/>
          <w:i/>
          <w:iCs/>
          <w:sz w:val="26"/>
          <w:szCs w:val="26"/>
        </w:rPr>
        <w:t>D</w:t>
      </w:r>
      <w:r w:rsidRPr="0072600F">
        <w:rPr>
          <w:rFonts w:ascii="Times New Roman" w:hAnsi="Times New Roman" w:cs="Times New Roman"/>
          <w:sz w:val="26"/>
          <w:szCs w:val="26"/>
        </w:rPr>
        <w:t>ays of the end of the calendar quarter.</w:t>
      </w:r>
    </w:p>
    <w:p w:rsidR="00911580" w:rsidRPr="0072600F" w14:paraId="1E9BD09C" w14:textId="77777777">
      <w:pPr>
        <w:rPr>
          <w:rFonts w:ascii="Times New Roman" w:hAnsi="Times New Roman" w:cs="Times New Roman"/>
          <w:sz w:val="26"/>
          <w:szCs w:val="26"/>
        </w:rPr>
      </w:pPr>
    </w:p>
    <w:p w:rsidR="00911580" w:rsidRPr="0072600F" w:rsidP="00293506" w14:paraId="5A9EA8B8" w14:textId="77777777">
      <w:pPr>
        <w:pStyle w:val="Heading3"/>
        <w:rPr>
          <w:b/>
          <w:sz w:val="26"/>
        </w:rPr>
      </w:pPr>
      <w:bookmarkStart w:id="220" w:name="_Toc149903624"/>
      <w:r w:rsidRPr="0072600F">
        <w:rPr>
          <w:rStyle w:val="Heading3Char"/>
          <w:b/>
          <w:sz w:val="26"/>
        </w:rPr>
        <w:t>3.6</w:t>
      </w:r>
      <w:r w:rsidRPr="0072600F">
        <w:rPr>
          <w:b/>
          <w:sz w:val="26"/>
        </w:rPr>
        <w:tab/>
        <w:t>Coordination with Affected Systems.</w:t>
      </w:r>
      <w:bookmarkEnd w:id="220"/>
    </w:p>
    <w:p w:rsidR="00911580" w:rsidRPr="0072600F" w14:paraId="13BB6F97"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Transmission Provider will coordinate the conduct of any studies required to determine the impact of the Interconnection Request on Affected Systems with Affected System Operators.  Interconnection Customer will cooperate with Transmission Provider and Affected System Operator in all matters related to the conduct of studies and the determination of modifications to Affected Systems.  </w:t>
      </w:r>
    </w:p>
    <w:p w:rsidR="00911580" w:rsidRPr="0072600F" w14:paraId="18B4B80B" w14:textId="77777777">
      <w:pPr>
        <w:ind w:left="1440"/>
        <w:rPr>
          <w:rFonts w:ascii="Times New Roman" w:eastAsia="Calibri" w:hAnsi="Times New Roman" w:cs="Times New Roman"/>
          <w:sz w:val="26"/>
          <w:szCs w:val="26"/>
        </w:rPr>
      </w:pPr>
    </w:p>
    <w:p w:rsidR="00911580" w:rsidRPr="0072600F" w14:paraId="68053CB5"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A Transmission Provider whose system may be impacted by a proposed interconnection on another transmission provider’s transmission system</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shall cooperate with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with whom interconnection has been requested in all matters related to the conduct of studies and the determination of modifications to Transmission Provider’s Transmission System. </w:t>
      </w:r>
    </w:p>
    <w:p w:rsidR="00911580" w:rsidRPr="0072600F" w14:paraId="2BF6ED3B" w14:textId="77777777">
      <w:pPr>
        <w:ind w:left="1440"/>
        <w:rPr>
          <w:rFonts w:ascii="Times New Roman" w:eastAsia="Calibri" w:hAnsi="Times New Roman" w:cs="Times New Roman"/>
          <w:sz w:val="26"/>
          <w:szCs w:val="26"/>
        </w:rPr>
      </w:pPr>
    </w:p>
    <w:p w:rsidR="00911580" w:rsidRPr="0072600F" w:rsidP="00B70398" w14:paraId="3AF7C57A" w14:textId="77777777">
      <w:pPr>
        <w:pStyle w:val="Heading4"/>
        <w:rPr>
          <w:rFonts w:eastAsia="Calibri"/>
          <w:b/>
          <w:sz w:val="26"/>
        </w:rPr>
      </w:pPr>
      <w:bookmarkStart w:id="221" w:name="_Hlk95293866"/>
      <w:r w:rsidRPr="0072600F">
        <w:rPr>
          <w:rStyle w:val="Heading4Char"/>
          <w:rFonts w:eastAsia="Calibri"/>
          <w:sz w:val="26"/>
        </w:rPr>
        <w:tab/>
      </w:r>
      <w:r w:rsidRPr="0072600F">
        <w:rPr>
          <w:rStyle w:val="Heading4Char"/>
          <w:rFonts w:eastAsia="Calibri"/>
          <w:b/>
          <w:sz w:val="26"/>
        </w:rPr>
        <w:t>3.6.1</w:t>
      </w:r>
      <w:r w:rsidRPr="0072600F">
        <w:rPr>
          <w:rFonts w:eastAsia="Calibri"/>
          <w:b/>
          <w:sz w:val="26"/>
        </w:rPr>
        <w:t xml:space="preserve"> </w:t>
      </w:r>
      <w:r w:rsidRPr="0072600F">
        <w:rPr>
          <w:rFonts w:eastAsia="Calibri"/>
          <w:b/>
          <w:sz w:val="26"/>
        </w:rPr>
        <w:tab/>
        <w:t>Initial Notification.</w:t>
      </w:r>
    </w:p>
    <w:p w:rsidR="00911580" w:rsidRPr="0072600F" w14:paraId="4E5FB961"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Transmission Provider must notify Affected System Operator of a potential Affected System impact caused by an Interconnection Request within ten (10) Business Days of the completion of the Cluster Study</w:t>
      </w:r>
      <w:r w:rsidRPr="0072600F" w:rsidR="00740BF1">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or, if the potential Affected System impact is only determined in the Cluster Restudy, the completion of the Cluster Restudy</w:t>
      </w:r>
      <w:r w:rsidRPr="0072600F" w:rsidR="00740BF1">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p>
    <w:p w:rsidR="00911580" w:rsidRPr="0072600F" w14:paraId="495792D5" w14:textId="77777777">
      <w:pPr>
        <w:ind w:left="2160"/>
        <w:rPr>
          <w:rFonts w:ascii="Times New Roman" w:eastAsia="Calibri" w:hAnsi="Times New Roman" w:cs="Times New Roman"/>
          <w:sz w:val="26"/>
          <w:szCs w:val="26"/>
        </w:rPr>
      </w:pPr>
    </w:p>
    <w:p w:rsidR="00911580" w:rsidRPr="0072600F" w14:paraId="3FA8D1FE"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At the time of initial notification, Transmission Provider must provide Interconnection Customer with a list of potential Affected Systems, along with relevant contact information.  </w:t>
      </w:r>
    </w:p>
    <w:p w:rsidR="00160294" w:rsidRPr="0072600F" w:rsidP="00056EC2" w14:paraId="4A8CC43B" w14:textId="77777777">
      <w:pPr>
        <w:ind w:left="720" w:firstLine="720"/>
        <w:rPr>
          <w:rFonts w:ascii="Times New Roman" w:eastAsia="Calibri" w:hAnsi="Times New Roman" w:cs="Times New Roman"/>
          <w:b/>
          <w:i/>
          <w:sz w:val="26"/>
          <w:szCs w:val="26"/>
        </w:rPr>
      </w:pPr>
      <w:r w:rsidRPr="0072600F">
        <w:rPr>
          <w:rFonts w:ascii="Times New Roman" w:eastAsia="Calibri" w:hAnsi="Times New Roman" w:cs="Times New Roman"/>
          <w:b/>
          <w:i/>
          <w:sz w:val="26"/>
          <w:szCs w:val="26"/>
        </w:rPr>
        <w:t>3.6.2 Notification of Cluster Restudy.</w:t>
      </w:r>
    </w:p>
    <w:p w:rsidR="00160294" w:rsidRPr="0072600F" w:rsidP="00160294" w14:paraId="1550E5CD" w14:textId="77777777">
      <w:pPr>
        <w:ind w:left="2160"/>
        <w:rPr>
          <w:rFonts w:ascii="Times New Roman" w:eastAsia="Calibri" w:hAnsi="Times New Roman" w:cs="Times New Roman"/>
          <w:i/>
          <w:iCs/>
          <w:sz w:val="26"/>
          <w:szCs w:val="26"/>
        </w:rPr>
      </w:pPr>
      <w:r w:rsidRPr="0072600F">
        <w:rPr>
          <w:rFonts w:ascii="Times New Roman" w:eastAsia="Calibri" w:hAnsi="Times New Roman" w:cs="Times New Roman"/>
          <w:i/>
          <w:iCs/>
          <w:sz w:val="26"/>
          <w:szCs w:val="26"/>
        </w:rPr>
        <w:t xml:space="preserve">Transmission Provider must notify Affected System Operator of a Cluster Restudy concurrently with its notification of such Cluster Restudy to Interconnection Customers.  </w:t>
      </w:r>
    </w:p>
    <w:p w:rsidR="00160294" w:rsidRPr="0072600F" w:rsidP="00C41E2B" w14:paraId="5B8C9F32" w14:textId="77777777">
      <w:pPr>
        <w:ind w:left="720" w:firstLine="720"/>
        <w:rPr>
          <w:rFonts w:ascii="Times New Roman" w:eastAsia="Calibri" w:hAnsi="Times New Roman" w:cs="Times New Roman"/>
          <w:b/>
          <w:i/>
          <w:sz w:val="26"/>
          <w:szCs w:val="26"/>
        </w:rPr>
      </w:pPr>
      <w:r w:rsidRPr="0072600F">
        <w:rPr>
          <w:rFonts w:ascii="Times New Roman" w:eastAsia="Calibri" w:hAnsi="Times New Roman" w:cs="Times New Roman"/>
          <w:b/>
          <w:i/>
          <w:sz w:val="26"/>
          <w:szCs w:val="26"/>
        </w:rPr>
        <w:t>3.6.3 Notification of Cluster Restudy Completion.</w:t>
      </w:r>
    </w:p>
    <w:p w:rsidR="00160294" w:rsidRPr="0072600F" w:rsidP="00160294" w14:paraId="3CC42412" w14:textId="77777777">
      <w:pPr>
        <w:ind w:left="2160"/>
        <w:rPr>
          <w:rFonts w:ascii="Times New Roman" w:eastAsia="Calibri" w:hAnsi="Times New Roman" w:cs="Times New Roman"/>
          <w:i/>
          <w:iCs/>
          <w:sz w:val="26"/>
          <w:szCs w:val="26"/>
        </w:rPr>
      </w:pPr>
      <w:r w:rsidRPr="0072600F">
        <w:rPr>
          <w:rFonts w:ascii="Times New Roman" w:eastAsia="Calibri" w:hAnsi="Times New Roman" w:cs="Times New Roman"/>
          <w:i/>
          <w:iCs/>
          <w:sz w:val="26"/>
          <w:szCs w:val="26"/>
        </w:rPr>
        <w:t>Upon the completion of Transmission Provider’s Cluster Restudy, Transmission Provider will notify Affected System Operator of a potential Affected System impact caused by an Interconnection Request within ten (10) Business Days of the completion of the Cluster Restudy, regardless of whether that potential Affected System impact was previously identified.  At the time of the notification of the completion of the Cluster Restudy to the Affected System Operator, Transmission Provider must provide Interconnection Customer with a list of potential Affected System</w:t>
      </w:r>
      <w:r w:rsidRPr="0072600F" w:rsidR="001D518F">
        <w:rPr>
          <w:rFonts w:ascii="Times New Roman" w:eastAsia="Calibri" w:hAnsi="Times New Roman" w:cs="Times New Roman"/>
          <w:i/>
          <w:iCs/>
          <w:sz w:val="26"/>
          <w:szCs w:val="26"/>
        </w:rPr>
        <w:t xml:space="preserve"> Operator</w:t>
      </w:r>
      <w:r w:rsidRPr="0072600F">
        <w:rPr>
          <w:rFonts w:ascii="Times New Roman" w:eastAsia="Calibri" w:hAnsi="Times New Roman" w:cs="Times New Roman"/>
          <w:i/>
          <w:iCs/>
          <w:sz w:val="26"/>
          <w:szCs w:val="26"/>
        </w:rPr>
        <w:t xml:space="preserve">s, along with relevant contact information.     </w:t>
      </w:r>
    </w:p>
    <w:bookmarkEnd w:id="221"/>
    <w:p w:rsidR="00911580" w:rsidRPr="0072600F" w14:paraId="4BA89763" w14:textId="77777777">
      <w:pPr>
        <w:ind w:left="1440"/>
        <w:rPr>
          <w:rFonts w:ascii="Times New Roman" w:eastAsia="Calibri" w:hAnsi="Times New Roman" w:cs="Times New Roman"/>
          <w:i/>
          <w:iCs/>
          <w:sz w:val="26"/>
          <w:szCs w:val="26"/>
        </w:rPr>
      </w:pPr>
    </w:p>
    <w:p w:rsidR="00911580" w:rsidRPr="0072600F" w14:paraId="1DC48A6E" w14:textId="77777777">
      <w:pPr>
        <w:pStyle w:val="Heading2"/>
        <w:rPr>
          <w:b/>
          <w:sz w:val="26"/>
          <w:szCs w:val="26"/>
        </w:rPr>
      </w:pPr>
      <w:r w:rsidRPr="0072600F">
        <w:rPr>
          <w:sz w:val="26"/>
          <w:szCs w:val="26"/>
        </w:rPr>
        <w:tab/>
      </w:r>
      <w:bookmarkStart w:id="222" w:name="_Toc149903625"/>
      <w:r w:rsidRPr="0072600F">
        <w:rPr>
          <w:rStyle w:val="Heading3Char"/>
          <w:b/>
          <w:sz w:val="26"/>
        </w:rPr>
        <w:t>3.7</w:t>
      </w:r>
      <w:r w:rsidRPr="0072600F">
        <w:rPr>
          <w:rStyle w:val="Heading3Char"/>
          <w:b/>
          <w:sz w:val="26"/>
        </w:rPr>
        <w:tab/>
        <w:t>Withdrawal</w:t>
      </w:r>
      <w:r w:rsidRPr="0072600F">
        <w:rPr>
          <w:b/>
          <w:sz w:val="26"/>
          <w:szCs w:val="26"/>
        </w:rPr>
        <w:t>.</w:t>
      </w:r>
      <w:bookmarkEnd w:id="222"/>
    </w:p>
    <w:p w:rsidR="00911580" w:rsidRPr="0072600F" w14:paraId="17FF7328" w14:textId="77777777">
      <w:pPr>
        <w:ind w:left="1440"/>
        <w:rPr>
          <w:rFonts w:ascii="Times New Roman" w:hAnsi="Times New Roman" w:cs="Times New Roman"/>
          <w:sz w:val="26"/>
          <w:szCs w:val="26"/>
        </w:rPr>
      </w:pPr>
      <w:r w:rsidRPr="0072600F">
        <w:rPr>
          <w:rFonts w:ascii="Times New Roman" w:hAnsi="Times New Roman" w:cs="Times New Roman"/>
          <w:sz w:val="26"/>
          <w:szCs w:val="26"/>
        </w:rPr>
        <w:t>Interconnection Customer may withdraw its Interconnection Request at any time by written notice of such withdrawal to Transmission Provider.  In addition, if Interconnection Customer fails to adhere to all requirements of this LGIP, except as provided in Section 13.5 (Disputes), Transmission Provider shall deem the Interconnection Request to be withdrawn and shall provide written notice to Interconnection Customer of the deemed withdrawal and an explanation of the reasons for such deemed withdrawal.  Upon receipt of such written notice, Interconnection Customer shall have fifteen (15) Business Days in which to either respond with information or actions that cures the deficiency or to notify Transmission Provider of its intent to pursue Dispute Resolution.</w:t>
      </w:r>
    </w:p>
    <w:p w:rsidR="00911580" w:rsidRPr="0072600F" w14:paraId="3DF18D2A" w14:textId="77777777">
      <w:pPr>
        <w:rPr>
          <w:rFonts w:ascii="Times New Roman" w:hAnsi="Times New Roman" w:cs="Times New Roman"/>
          <w:sz w:val="26"/>
          <w:szCs w:val="26"/>
        </w:rPr>
      </w:pPr>
    </w:p>
    <w:p w:rsidR="00911580" w:rsidRPr="0072600F" w14:paraId="76C1509B" w14:textId="77777777">
      <w:pPr>
        <w:ind w:left="1440"/>
        <w:rPr>
          <w:rFonts w:ascii="Times New Roman" w:hAnsi="Times New Roman" w:cs="Times New Roman"/>
          <w:sz w:val="26"/>
          <w:szCs w:val="26"/>
        </w:rPr>
      </w:pPr>
      <w:r w:rsidRPr="0072600F">
        <w:rPr>
          <w:rFonts w:ascii="Times New Roman" w:hAnsi="Times New Roman" w:cs="Times New Roman"/>
          <w:sz w:val="26"/>
          <w:szCs w:val="26"/>
        </w:rPr>
        <w:t>Withdrawal shall result in the loss of Interconnection Customer’s Queue Position.  If an Interconnection Customer disputes the withdrawal and loss of its Queue Position, then during Dispute Resolution, Interconnection Customer’s Interconnection Request is eliminated from the queue until such time that the outcome of Dispute Resolution would restore its Queue Position.  An Interconnection Customer that withdraws or is deemed to have withdrawn its Interconnection Request shall pay to Transmission Provider all costs that Transmission Provider prudently incurs with respect to that Interconnection Request prior to Transmission Provider’s receipt of notice described above.  Interconnection Customer must pay all monies due to Transmission Provider before it is allowed to obtain any Interconnection Study data or results.</w:t>
      </w:r>
    </w:p>
    <w:p w:rsidR="00911580" w:rsidRPr="0072600F" w14:paraId="713E4E08" w14:textId="77777777">
      <w:pPr>
        <w:rPr>
          <w:rFonts w:ascii="Times New Roman" w:hAnsi="Times New Roman" w:cs="Times New Roman"/>
          <w:sz w:val="26"/>
          <w:szCs w:val="26"/>
        </w:rPr>
      </w:pPr>
    </w:p>
    <w:p w:rsidR="00911580" w:rsidRPr="0072600F" w14:paraId="7E446F54"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If Interconnection Customer withdraws its Interconnection Request or is deemed withdrawn by Transmission Provider under Section 3.7 of this LGIP,</w:t>
      </w:r>
      <w:r w:rsidRPr="0072600F">
        <w:rPr>
          <w:rFonts w:ascii="Times New Roman" w:eastAsia="Calibri" w:hAnsi="Times New Roman" w:cs="Times New Roman"/>
          <w:i/>
          <w:iCs/>
          <w:sz w:val="26"/>
          <w:szCs w:val="26"/>
        </w:rPr>
        <w:t xml:space="preserve"> </w:t>
      </w:r>
      <w:r w:rsidRPr="0072600F">
        <w:rPr>
          <w:rFonts w:ascii="Times New Roman" w:eastAsia="Calibri" w:hAnsi="Times New Roman" w:cs="Times New Roman"/>
          <w:sz w:val="26"/>
          <w:szCs w:val="26"/>
        </w:rPr>
        <w:t>Transmission Provider shall (</w:t>
      </w:r>
      <w:r w:rsidRPr="0072600F">
        <w:rPr>
          <w:rFonts w:ascii="Times New Roman" w:eastAsia="Calibri" w:hAnsi="Times New Roman" w:cs="Times New Roman"/>
          <w:sz w:val="26"/>
          <w:szCs w:val="26"/>
        </w:rPr>
        <w:t>i</w:t>
      </w:r>
      <w:r w:rsidRPr="0072600F">
        <w:rPr>
          <w:rFonts w:ascii="Times New Roman" w:eastAsia="Calibri" w:hAnsi="Times New Roman" w:cs="Times New Roman"/>
          <w:sz w:val="26"/>
          <w:szCs w:val="26"/>
        </w:rPr>
        <w:t>) update the OASIS Queue Position posting; (ii)</w:t>
      </w:r>
      <w:r w:rsidRPr="0072600F">
        <w:rPr>
          <w:rFonts w:ascii="Times New Roman" w:eastAsia="Calibri" w:hAnsi="Times New Roman" w:cs="Times New Roman"/>
          <w:iCs/>
          <w:sz w:val="26"/>
          <w:szCs w:val="26"/>
        </w:rPr>
        <w:t xml:space="preserve"> impose the Withdrawal Penalty described in Section 3.7.1 of this LGIP</w:t>
      </w:r>
      <w:r w:rsidRPr="0072600F">
        <w:rPr>
          <w:rFonts w:ascii="Times New Roman" w:eastAsia="Calibri" w:hAnsi="Times New Roman" w:cs="Times New Roman"/>
          <w:sz w:val="26"/>
          <w:szCs w:val="26"/>
        </w:rPr>
        <w:t xml:space="preserve">; and </w:t>
      </w:r>
      <w:r w:rsidRPr="0072600F">
        <w:rPr>
          <w:rFonts w:ascii="Times New Roman" w:eastAsia="Calibri" w:hAnsi="Times New Roman" w:cs="Times New Roman"/>
          <w:iCs/>
          <w:sz w:val="26"/>
          <w:szCs w:val="26"/>
        </w:rPr>
        <w:t>(iii)</w:t>
      </w:r>
      <w:r w:rsidRPr="0072600F">
        <w:rPr>
          <w:rFonts w:ascii="Times New Roman" w:eastAsia="Calibri" w:hAnsi="Times New Roman" w:cs="Times New Roman"/>
          <w:sz w:val="26"/>
          <w:szCs w:val="26"/>
        </w:rPr>
        <w:t xml:space="preserve"> refund to Interconnection Customer any portion </w:t>
      </w:r>
      <w:r w:rsidRPr="0072600F">
        <w:rPr>
          <w:rFonts w:ascii="Times New Roman" w:eastAsia="Calibri" w:hAnsi="Times New Roman" w:cs="Times New Roman"/>
          <w:iCs/>
          <w:sz w:val="26"/>
          <w:szCs w:val="26"/>
        </w:rPr>
        <w:t>of the refundable portion of</w:t>
      </w:r>
      <w:r w:rsidRPr="0072600F">
        <w:rPr>
          <w:rFonts w:ascii="Times New Roman" w:eastAsia="Calibri" w:hAnsi="Times New Roman" w:cs="Times New Roman"/>
          <w:sz w:val="26"/>
          <w:szCs w:val="26"/>
        </w:rPr>
        <w:t xml:space="preserve"> Interconnection Customer’s study deposit that exceeds the costs that Transmission Provider has incurred, including interest calculated in accordance with Section 35.19a(a)(2) of FERC</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s regulations.  Transmission Provider shall also refund any portion of the Commercial Readiness Deposit not applied to the Withdrawal Penalty and, if applicable, the deposit in lieu of site control.  In the event of such withdrawal, Transmission Provider, subject to the confidentiality provisions of Section 13.1 of this LGIP, shall provide, at Interconnection Customer</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s request, all information that Transmission Provider developed for any completed study conducted up to the date of withdrawal of the Interconnection Request.</w:t>
      </w:r>
    </w:p>
    <w:p w:rsidR="00911580" w:rsidRPr="0072600F" w14:paraId="226FF569" w14:textId="77777777">
      <w:pPr>
        <w:rPr>
          <w:rFonts w:ascii="Times New Roman" w:eastAsia="Calibri" w:hAnsi="Times New Roman" w:cs="Times New Roman"/>
          <w:i/>
          <w:iCs/>
          <w:sz w:val="26"/>
          <w:szCs w:val="26"/>
        </w:rPr>
      </w:pPr>
    </w:p>
    <w:p w:rsidR="00911580" w:rsidRPr="0072600F" w:rsidP="00AE3B7A" w14:paraId="3C26756B" w14:textId="77777777">
      <w:pPr>
        <w:pStyle w:val="Heading4"/>
        <w:rPr>
          <w:rFonts w:eastAsia="Calibri"/>
          <w:b/>
          <w:sz w:val="26"/>
        </w:rPr>
      </w:pPr>
      <w:r w:rsidRPr="0072600F">
        <w:rPr>
          <w:rFonts w:eastAsia="Calibri"/>
          <w:i/>
          <w:iCs/>
          <w:sz w:val="26"/>
        </w:rPr>
        <w:t xml:space="preserve">   </w:t>
      </w:r>
      <w:r w:rsidRPr="0072600F">
        <w:rPr>
          <w:rFonts w:eastAsia="Calibri"/>
          <w:i/>
          <w:iCs/>
          <w:sz w:val="26"/>
        </w:rPr>
        <w:tab/>
      </w:r>
      <w:r w:rsidRPr="0072600F">
        <w:rPr>
          <w:rStyle w:val="Heading4Char"/>
          <w:rFonts w:eastAsia="Calibri"/>
          <w:b/>
          <w:sz w:val="26"/>
        </w:rPr>
        <w:t>3.7.1</w:t>
      </w:r>
      <w:r w:rsidRPr="0072600F">
        <w:rPr>
          <w:rFonts w:eastAsia="Calibri"/>
          <w:b/>
          <w:sz w:val="26"/>
        </w:rPr>
        <w:tab/>
        <w:t>Withdrawal Penalty.</w:t>
      </w:r>
    </w:p>
    <w:p w:rsidR="00911580" w:rsidRPr="0072600F" w14:paraId="2A734D29"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Interconnection Customer shall be subject to a Withdrawal Penalty if it withdraws its Interconnection Request or is deemed withdrawn, or the Generating Facility does not otherwise reach Commercial Operation unless: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(1) the withdrawal does not </w:t>
      </w:r>
      <w:bookmarkStart w:id="223" w:name="_Hlk136504370"/>
      <w:r w:rsidRPr="0072600F">
        <w:rPr>
          <w:rFonts w:ascii="Times New Roman" w:eastAsia="Calibri" w:hAnsi="Times New Roman" w:cs="Times New Roman"/>
          <w:sz w:val="26"/>
          <w:szCs w:val="26"/>
        </w:rPr>
        <w:t xml:space="preserve">have a material impact on the cost or timing of any Interconnection Request </w:t>
      </w:r>
      <w:r w:rsidRPr="0072600F" w:rsidR="00F06B7B">
        <w:rPr>
          <w:rFonts w:ascii="Times New Roman" w:eastAsia="Calibri" w:hAnsi="Times New Roman" w:cs="Times New Roman"/>
          <w:sz w:val="26"/>
          <w:szCs w:val="26"/>
        </w:rPr>
        <w:t>[</w:t>
      </w:r>
      <w:r w:rsidRPr="0072600F">
        <w:rPr>
          <w:rFonts w:ascii="Times New Roman" w:eastAsia="Calibri" w:hAnsi="Times New Roman" w:cs="Times New Roman"/>
          <w:sz w:val="26"/>
          <w:szCs w:val="26"/>
        </w:rPr>
        <w:t>with an equal or lower Queue Position</w:t>
      </w:r>
      <w:bookmarkEnd w:id="223"/>
      <w:r w:rsidRPr="0072600F" w:rsidR="00F06B7B">
        <w:rPr>
          <w:rFonts w:ascii="Times New Roman" w:eastAsia="Calibri" w:hAnsi="Times New Roman" w:cs="Times New Roman"/>
          <w:sz w:val="26"/>
          <w:szCs w:val="26"/>
        </w:rPr>
        <w:t>]</w:t>
      </w:r>
      <w:r w:rsidRPr="0072600F" w:rsidR="00F06B7B">
        <w:rPr>
          <w:rFonts w:ascii="Times New Roman" w:eastAsia="Calibri" w:hAnsi="Times New Roman" w:cs="Times New Roman"/>
          <w:i/>
          <w:iCs/>
          <w:sz w:val="26"/>
          <w:szCs w:val="26"/>
        </w:rPr>
        <w:t>in the same Cluster</w:t>
      </w:r>
      <w:r w:rsidRPr="0072600F">
        <w:rPr>
          <w:rFonts w:ascii="Times New Roman" w:eastAsia="Calibri" w:hAnsi="Times New Roman" w:cs="Times New Roman"/>
          <w:sz w:val="26"/>
          <w:szCs w:val="26"/>
        </w:rPr>
        <w:t>; (2) Interconnection Customer withdraws after receiving Interconnection Customer’s most recent Cluster Restudy Report and the Network Upgrade costs assigned to the Interconnection Request identified in that report have increased by more than twenty-five percent (25%) compared to costs identified in Interconnection Customer’s preceding Cluster Study Report or Cluster Restudy Report; or (3) Interconnection Customer withdraws after receiving Interconnection Customer’s Interconnection Facilities Study Report and the Network Upgrade costs assigned to the Interconnection Request identified in that report have increased by more than one hundred percent (100%) compared to costs identified in the Cluster Study Report</w:t>
      </w:r>
      <w:r w:rsidRPr="0072600F" w:rsidR="00E533F3">
        <w:rPr>
          <w:rFonts w:ascii="Times New Roman" w:eastAsia="Calibri" w:hAnsi="Times New Roman" w:cs="Times New Roman"/>
          <w:sz w:val="26"/>
          <w:szCs w:val="26"/>
        </w:rPr>
        <w:t xml:space="preserve"> </w:t>
      </w:r>
      <w:r w:rsidRPr="0072600F" w:rsidR="00E533F3">
        <w:rPr>
          <w:rFonts w:ascii="Times New Roman" w:eastAsia="Calibri" w:hAnsi="Times New Roman" w:cs="Times New Roman"/>
          <w:i/>
          <w:iCs/>
          <w:sz w:val="26"/>
          <w:szCs w:val="26"/>
        </w:rPr>
        <w:t>or Cluster Restudy Report</w:t>
      </w:r>
      <w:r w:rsidRPr="0072600F">
        <w:rPr>
          <w:rFonts w:ascii="Times New Roman" w:eastAsia="Calibri" w:hAnsi="Times New Roman" w:cs="Times New Roman"/>
          <w:sz w:val="26"/>
          <w:szCs w:val="26"/>
        </w:rPr>
        <w:t>.</w:t>
      </w:r>
    </w:p>
    <w:p w:rsidR="00911580" w:rsidRPr="0072600F" w14:paraId="2463D5B8" w14:textId="77777777">
      <w:pPr>
        <w:ind w:left="2160"/>
        <w:rPr>
          <w:rFonts w:ascii="Times New Roman" w:eastAsia="Calibri" w:hAnsi="Times New Roman" w:cs="Times New Roman"/>
          <w:i/>
          <w:iCs/>
          <w:sz w:val="26"/>
          <w:szCs w:val="26"/>
        </w:rPr>
      </w:pPr>
    </w:p>
    <w:p w:rsidR="00911580" w:rsidRPr="0072600F" w:rsidP="00AE3B7A" w14:paraId="250AB3AF" w14:textId="77777777">
      <w:pPr>
        <w:pStyle w:val="Heading5"/>
        <w:rPr>
          <w:sz w:val="26"/>
          <w:szCs w:val="26"/>
        </w:rPr>
      </w:pPr>
      <w:r w:rsidRPr="0072600F">
        <w:rPr>
          <w:sz w:val="26"/>
          <w:szCs w:val="26"/>
        </w:rPr>
        <w:tab/>
      </w:r>
      <w:r w:rsidRPr="0072600F">
        <w:rPr>
          <w:sz w:val="26"/>
          <w:szCs w:val="26"/>
        </w:rPr>
        <w:tab/>
      </w:r>
      <w:r w:rsidRPr="0072600F">
        <w:rPr>
          <w:sz w:val="26"/>
          <w:szCs w:val="26"/>
        </w:rPr>
        <w:tab/>
      </w:r>
      <w:r w:rsidRPr="0072600F">
        <w:rPr>
          <w:rStyle w:val="Heading5Char"/>
          <w:b/>
          <w:bCs/>
          <w:sz w:val="26"/>
          <w:szCs w:val="26"/>
        </w:rPr>
        <w:t>3.7.1.1</w:t>
      </w:r>
      <w:r w:rsidRPr="0072600F">
        <w:rPr>
          <w:rStyle w:val="Heading5Char"/>
          <w:b/>
          <w:bCs/>
          <w:sz w:val="26"/>
          <w:szCs w:val="26"/>
        </w:rPr>
        <w:tab/>
      </w:r>
      <w:r w:rsidRPr="0072600F">
        <w:rPr>
          <w:sz w:val="26"/>
          <w:szCs w:val="26"/>
        </w:rPr>
        <w:tab/>
        <w:t xml:space="preserve"> Calculation of the Withdrawal Penalty. </w:t>
      </w:r>
    </w:p>
    <w:p w:rsidR="00911580" w:rsidRPr="0072600F" w14:paraId="269C1120" w14:textId="77777777">
      <w:pPr>
        <w:ind w:left="369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Interconnection Customer withdraws its Interconnection Request or is deemed withdrawn prior to the commencement of the initial Cluster Study, Interconnection Customer shall not be subject to a Withdrawal Penalty.  If Interconnection Customer withdraws, is deemed withdrawn, or otherwise does not reach Commercial Operation at any point after the commencement of the initial Cluster Study, that Interconnection Customer’s Withdrawal Penalty will be the greater of: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(1) </w:t>
      </w:r>
      <w:r w:rsidRPr="0072600F" w:rsidR="00CD5C7D">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D5C7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study deposit required under Section 3.1.1.1 of this LGIP; or (2) as follows in (a)–(d):</w:t>
      </w:r>
    </w:p>
    <w:p w:rsidR="00911580" w:rsidRPr="0072600F" w14:paraId="4C49B637" w14:textId="77777777">
      <w:pPr>
        <w:ind w:left="3690"/>
        <w:rPr>
          <w:rFonts w:ascii="Times New Roman" w:eastAsia="Calibri" w:hAnsi="Times New Roman" w:cs="Times New Roman"/>
          <w:sz w:val="26"/>
          <w:szCs w:val="26"/>
        </w:rPr>
      </w:pPr>
    </w:p>
    <w:p w:rsidR="00911580" w:rsidRPr="0072600F" w:rsidP="00067A54" w14:paraId="42E041A9" w14:textId="77777777">
      <w:pPr>
        <w:ind w:left="4320"/>
        <w:rPr>
          <w:rFonts w:ascii="Times New Roman" w:eastAsia="Calibri" w:hAnsi="Times New Roman" w:cs="Times New Roman"/>
          <w:sz w:val="26"/>
          <w:szCs w:val="26"/>
        </w:rPr>
      </w:pPr>
      <w:r w:rsidRPr="0072600F">
        <w:rPr>
          <w:rFonts w:ascii="Times New Roman" w:hAnsi="Times New Roman" w:cs="Times New Roman"/>
          <w:sz w:val="26"/>
          <w:szCs w:val="26"/>
        </w:rPr>
        <w:t>(a) If Interconnection Customer withdraws or is deemed withdrawn during the Cluster Study or after receipt of a Cluster Study Report, but prior to commencement of the Cluster Restudy or Interconnection Facilities Study</w:t>
      </w:r>
      <w:r w:rsidRPr="0072600F" w:rsidR="00640E2D">
        <w:rPr>
          <w:rFonts w:ascii="Times New Roman" w:hAnsi="Times New Roman" w:cs="Times New Roman"/>
          <w:sz w:val="26"/>
          <w:szCs w:val="26"/>
        </w:rPr>
        <w:t xml:space="preserve"> </w:t>
      </w:r>
      <w:r w:rsidRPr="0072600F" w:rsidR="00640E2D">
        <w:rPr>
          <w:rFonts w:ascii="Times New Roman" w:hAnsi="Times New Roman" w:cs="Times New Roman"/>
          <w:i/>
          <w:iCs/>
          <w:sz w:val="26"/>
          <w:szCs w:val="26"/>
        </w:rPr>
        <w:t>if no Cluster Restudy is required</w:t>
      </w:r>
      <w:r w:rsidRPr="0072600F">
        <w:rPr>
          <w:rFonts w:ascii="Times New Roman" w:eastAsia="Calibri" w:hAnsi="Times New Roman" w:cs="Times New Roman"/>
          <w:sz w:val="26"/>
          <w:szCs w:val="26"/>
        </w:rPr>
        <w:t>, Interconnection Customer shall be charged two (2) times its actual allocated</w:t>
      </w:r>
      <w:r w:rsidRPr="0072600F">
        <w:rPr>
          <w:rFonts w:ascii="Times New Roman" w:eastAsia="Calibri" w:hAnsi="Times New Roman" w:cs="Times New Roman"/>
          <w:sz w:val="26"/>
          <w:szCs w:val="26"/>
        </w:rPr>
        <w:t xml:space="preserve"> cost</w:t>
      </w:r>
      <w:r w:rsidRPr="0072600F">
        <w:rPr>
          <w:rFonts w:ascii="Times New Roman" w:eastAsia="Calibri" w:hAnsi="Times New Roman" w:cs="Times New Roman"/>
          <w:sz w:val="26"/>
          <w:szCs w:val="26"/>
        </w:rPr>
        <w:t xml:space="preserve"> of all studies performed for Interconnection Customers in the Cluster up until that point in the</w:t>
      </w:r>
      <w:r w:rsidRPr="0072600F">
        <w:rPr>
          <w:rFonts w:ascii="Times New Roman" w:hAnsi="Times New Roman" w:cs="Times New Roman"/>
          <w:sz w:val="26"/>
          <w:szCs w:val="26"/>
        </w:rPr>
        <w:t xml:space="preserve"> </w:t>
      </w:r>
      <w:r w:rsidRPr="0072600F" w:rsidR="12A169FE">
        <w:rPr>
          <w:rFonts w:ascii="Times New Roman" w:eastAsia="Calibri" w:hAnsi="Times New Roman" w:cs="Times New Roman"/>
          <w:sz w:val="26"/>
          <w:szCs w:val="26"/>
        </w:rPr>
        <w:t>[</w:t>
      </w:r>
      <w:r w:rsidRPr="0072600F">
        <w:rPr>
          <w:rFonts w:ascii="Times New Roman" w:hAnsi="Times New Roman" w:cs="Times New Roman"/>
          <w:sz w:val="26"/>
          <w:szCs w:val="26"/>
        </w:rPr>
        <w:t>i</w:t>
      </w:r>
      <w:r w:rsidRPr="0072600F" w:rsidR="3C21711E">
        <w:rPr>
          <w:rFonts w:ascii="Times New Roman" w:eastAsia="Calibri" w:hAnsi="Times New Roman" w:cs="Times New Roman"/>
          <w:sz w:val="26"/>
          <w:szCs w:val="26"/>
        </w:rPr>
        <w:t>]</w:t>
      </w:r>
      <w:r w:rsidRPr="0072600F" w:rsidR="006D3260">
        <w:rPr>
          <w:rFonts w:ascii="Times New Roman" w:eastAsia="Calibri" w:hAnsi="Times New Roman" w:cs="Times New Roman"/>
          <w:i/>
          <w:iCs/>
          <w:sz w:val="26"/>
          <w:szCs w:val="26"/>
        </w:rPr>
        <w:t>I</w:t>
      </w:r>
      <w:r w:rsidRPr="0072600F">
        <w:rPr>
          <w:rFonts w:ascii="Times New Roman" w:eastAsia="Calibri" w:hAnsi="Times New Roman" w:cs="Times New Roman"/>
          <w:sz w:val="26"/>
          <w:szCs w:val="26"/>
        </w:rPr>
        <w:t xml:space="preserve">nterconnection </w:t>
      </w:r>
      <w:r w:rsidRPr="0072600F" w:rsidR="4347997C">
        <w:rPr>
          <w:rFonts w:ascii="Times New Roman" w:eastAsia="Calibri" w:hAnsi="Times New Roman" w:cs="Times New Roman"/>
          <w:sz w:val="26"/>
          <w:szCs w:val="26"/>
        </w:rPr>
        <w:t>[</w:t>
      </w:r>
      <w:r w:rsidRPr="0072600F">
        <w:rPr>
          <w:rFonts w:ascii="Times New Roman" w:eastAsia="Calibri" w:hAnsi="Times New Roman" w:cs="Times New Roman"/>
          <w:sz w:val="26"/>
          <w:szCs w:val="26"/>
        </w:rPr>
        <w:t>s</w:t>
      </w:r>
      <w:r w:rsidRPr="0072600F" w:rsidR="15292DD3">
        <w:rPr>
          <w:rFonts w:ascii="Times New Roman" w:eastAsia="Calibri" w:hAnsi="Times New Roman" w:cs="Times New Roman"/>
          <w:sz w:val="26"/>
          <w:szCs w:val="26"/>
        </w:rPr>
        <w:t>]</w:t>
      </w:r>
      <w:r w:rsidRPr="0072600F" w:rsidR="15292DD3">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tudy process.</w:t>
      </w:r>
    </w:p>
    <w:p w:rsidR="00911580" w:rsidRPr="0072600F" w14:paraId="3043B687" w14:textId="77777777">
      <w:pPr>
        <w:ind w:left="4320"/>
        <w:rPr>
          <w:rFonts w:ascii="Times New Roman" w:eastAsia="Calibri" w:hAnsi="Times New Roman" w:cs="Times New Roman"/>
          <w:sz w:val="26"/>
          <w:szCs w:val="26"/>
        </w:rPr>
      </w:pPr>
    </w:p>
    <w:p w:rsidR="00911580" w:rsidRPr="0072600F" w14:paraId="30BE337C" w14:textId="77777777">
      <w:pPr>
        <w:ind w:left="43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(b) If Interconnection Customer withdraws or is deemed withdrawn during the Cluster Restudy or after receipt of any applicable restudy reports issued pursuant to Section 7.5 of this LGIP, but prior to commencement of the Interconnection Facilities Study, Interconnection Customer shall be charged five percent (5%) its estimated Network Upgrade costs. </w:t>
      </w:r>
    </w:p>
    <w:p w:rsidR="00911580" w:rsidRPr="0072600F" w14:paraId="0BC9D8BE" w14:textId="77777777">
      <w:pPr>
        <w:ind w:left="4320"/>
        <w:rPr>
          <w:rFonts w:ascii="Times New Roman" w:eastAsia="Calibri" w:hAnsi="Times New Roman" w:cs="Times New Roman"/>
          <w:sz w:val="26"/>
          <w:szCs w:val="26"/>
        </w:rPr>
      </w:pPr>
    </w:p>
    <w:p w:rsidR="00911580" w:rsidRPr="0072600F" w14:paraId="598CA971" w14:textId="77777777">
      <w:pPr>
        <w:ind w:left="43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 If Interconnection Customer withdraws or is deemed withdrawn during the Interconnection Facilities Study, after receipt of the Interconnection Facilities Study Report issued pursuant to Section 8.3 of this LGIP, or after receipt of the draft LGIA but before Interconnection Customer has executed an LGIA or has requested that </w:t>
      </w:r>
      <w:r w:rsidRPr="0072600F">
        <w:rPr>
          <w:rFonts w:ascii="Times New Roman" w:eastAsia="Calibri" w:hAnsi="Times New Roman" w:cs="Times New Roman"/>
          <w:sz w:val="26"/>
          <w:szCs w:val="26"/>
        </w:rPr>
        <w:t>its</w:t>
      </w:r>
      <w:r w:rsidRPr="0072600F">
        <w:rPr>
          <w:rFonts w:ascii="Times New Roman" w:eastAsia="Calibri" w:hAnsi="Times New Roman" w:cs="Times New Roman"/>
          <w:sz w:val="26"/>
          <w:szCs w:val="26"/>
        </w:rPr>
        <w:t xml:space="preserve"> LGIA be filed unexecuted, and has satisfied the other requirements described in Section 11.3 of this LGIP (i.e., Site Control demonstration, LGIA Deposit, reasonable evidence of one or more milestones in the development of the Generating Facility), Interconnection Customer shall be charged ten percent (10%) its estimated Network Upgrade costs.  </w:t>
      </w:r>
    </w:p>
    <w:p w:rsidR="00911580" w:rsidRPr="0072600F" w14:paraId="044D4BA4" w14:textId="77777777">
      <w:pPr>
        <w:ind w:left="4320"/>
        <w:rPr>
          <w:rFonts w:ascii="Times New Roman" w:eastAsia="Calibri" w:hAnsi="Times New Roman" w:cs="Times New Roman"/>
          <w:sz w:val="26"/>
          <w:szCs w:val="26"/>
        </w:rPr>
      </w:pPr>
    </w:p>
    <w:p w:rsidR="00911580" w:rsidRPr="0072600F" w14:paraId="245B8229" w14:textId="77777777">
      <w:pPr>
        <w:ind w:left="43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(d) If Interconnection Customer has executed an LGIA or has requested that </w:t>
      </w:r>
      <w:r w:rsidRPr="0072600F">
        <w:rPr>
          <w:rFonts w:ascii="Times New Roman" w:eastAsia="Calibri" w:hAnsi="Times New Roman" w:cs="Times New Roman"/>
          <w:sz w:val="26"/>
          <w:szCs w:val="26"/>
        </w:rPr>
        <w:t>its</w:t>
      </w:r>
      <w:r w:rsidRPr="0072600F">
        <w:rPr>
          <w:rFonts w:ascii="Times New Roman" w:eastAsia="Calibri" w:hAnsi="Times New Roman" w:cs="Times New Roman"/>
          <w:sz w:val="26"/>
          <w:szCs w:val="26"/>
        </w:rPr>
        <w:t xml:space="preserve"> LGIA be filed unexecuted and has satisfied the other requirements described in Section 11.3 of this LGIP (i.e., Site Control demonstration, LGIA Deposit, reasonable evidence of one or more milestones in the development of the Generating Facility) and subsequently withdraws its Interconnection Request or if Interconnection Customer’s Generating Facility otherwise does not reach Commercial Operation, that Interconnection Customer’s Withdrawal Penalty shall be twenty percent (20%) its estimated Network Upgrade costs.  </w:t>
      </w:r>
    </w:p>
    <w:p w:rsidR="00911580" w:rsidRPr="0072600F" w14:paraId="659D1F7B" w14:textId="77777777">
      <w:pPr>
        <w:rPr>
          <w:rFonts w:ascii="Times New Roman" w:eastAsia="Calibri" w:hAnsi="Times New Roman" w:cs="Times New Roman"/>
          <w:i/>
          <w:iCs/>
          <w:sz w:val="26"/>
          <w:szCs w:val="26"/>
        </w:rPr>
      </w:pPr>
    </w:p>
    <w:p w:rsidR="00911580" w:rsidRPr="0072600F" w:rsidP="00AE3B7A" w14:paraId="57CDA18D" w14:textId="77777777">
      <w:pPr>
        <w:pStyle w:val="Heading5"/>
        <w:rPr>
          <w:sz w:val="26"/>
          <w:szCs w:val="26"/>
        </w:rPr>
      </w:pPr>
      <w:bookmarkStart w:id="224" w:name="_Hlk141113621"/>
      <w:r w:rsidRPr="0072600F">
        <w:rPr>
          <w:sz w:val="26"/>
          <w:szCs w:val="26"/>
        </w:rPr>
        <w:tab/>
      </w:r>
      <w:r w:rsidRPr="0072600F">
        <w:rPr>
          <w:sz w:val="26"/>
          <w:szCs w:val="26"/>
        </w:rPr>
        <w:tab/>
      </w:r>
      <w:r w:rsidRPr="0072600F">
        <w:rPr>
          <w:sz w:val="26"/>
          <w:szCs w:val="26"/>
        </w:rPr>
        <w:tab/>
      </w:r>
      <w:r w:rsidRPr="0072600F">
        <w:rPr>
          <w:rStyle w:val="Heading5Char"/>
          <w:b/>
          <w:sz w:val="26"/>
          <w:szCs w:val="26"/>
        </w:rPr>
        <w:t>3.7.1.2</w:t>
      </w:r>
      <w:r w:rsidRPr="0072600F">
        <w:rPr>
          <w:sz w:val="26"/>
          <w:szCs w:val="26"/>
        </w:rPr>
        <w:t xml:space="preserve"> </w:t>
      </w:r>
      <w:r w:rsidRPr="0072600F">
        <w:rPr>
          <w:sz w:val="26"/>
          <w:szCs w:val="26"/>
        </w:rPr>
        <w:tab/>
        <w:t>Distribution of the Withdrawal Penalty.</w:t>
      </w:r>
    </w:p>
    <w:p w:rsidR="00911580" w:rsidRPr="0072600F" w14:paraId="06BB7F55" w14:textId="77777777">
      <w:pPr>
        <w:rPr>
          <w:rFonts w:ascii="Times New Roman" w:eastAsia="Calibri" w:hAnsi="Times New Roman" w:cs="Times New Roman"/>
          <w:b/>
          <w:bCs/>
          <w:sz w:val="26"/>
          <w:szCs w:val="26"/>
        </w:rPr>
      </w:pPr>
    </w:p>
    <w:p w:rsidR="00911580" w:rsidRPr="0072600F" w:rsidP="00AE3B7A" w14:paraId="6210A2F0" w14:textId="77777777">
      <w:pPr>
        <w:pStyle w:val="Heading5"/>
        <w:ind w:left="3600" w:hanging="3600"/>
        <w:rPr>
          <w:sz w:val="26"/>
          <w:szCs w:val="26"/>
        </w:rPr>
      </w:pPr>
      <w:r w:rsidRPr="0072600F">
        <w:rPr>
          <w:sz w:val="26"/>
          <w:szCs w:val="26"/>
        </w:rPr>
        <w:tab/>
      </w:r>
      <w:r w:rsidRPr="0072600F">
        <w:rPr>
          <w:sz w:val="26"/>
          <w:szCs w:val="26"/>
        </w:rPr>
        <w:tab/>
      </w:r>
      <w:r w:rsidRPr="0072600F">
        <w:rPr>
          <w:sz w:val="26"/>
          <w:szCs w:val="26"/>
        </w:rPr>
        <w:tab/>
      </w:r>
      <w:r w:rsidRPr="0072600F">
        <w:rPr>
          <w:rStyle w:val="Heading5Char"/>
          <w:b/>
          <w:sz w:val="26"/>
          <w:szCs w:val="26"/>
        </w:rPr>
        <w:t>3.7.1.2.1</w:t>
      </w:r>
      <w:r w:rsidRPr="0072600F">
        <w:rPr>
          <w:sz w:val="26"/>
          <w:szCs w:val="26"/>
        </w:rPr>
        <w:t xml:space="preserve"> </w:t>
      </w:r>
      <w:r w:rsidRPr="0072600F">
        <w:rPr>
          <w:sz w:val="26"/>
          <w:szCs w:val="26"/>
        </w:rPr>
        <w:tab/>
        <w:t>Initial Distribution of Withdrawal Penalties Prior to Assessment of Network Upgrade Costs Previously Shared with Withdrawn Interconnection Customers in the Same Cluster</w:t>
      </w:r>
      <w:r w:rsidRPr="0072600F" w:rsidR="003F1F02">
        <w:rPr>
          <w:i/>
          <w:iCs/>
          <w:sz w:val="26"/>
          <w:szCs w:val="26"/>
        </w:rPr>
        <w:t>.</w:t>
      </w:r>
    </w:p>
    <w:p w:rsidR="00911580" w:rsidRPr="0072600F" w14:paraId="3347C0D5" w14:textId="77777777">
      <w:pPr>
        <w:ind w:left="3600"/>
        <w:rPr>
          <w:rFonts w:ascii="Times New Roman" w:eastAsia="Calibri" w:hAnsi="Times New Roman" w:cs="Times New Roman"/>
          <w:i/>
          <w:iCs/>
          <w:sz w:val="26"/>
          <w:szCs w:val="26"/>
        </w:rPr>
      </w:pPr>
      <w:r w:rsidRPr="0072600F">
        <w:rPr>
          <w:rFonts w:ascii="Times New Roman" w:eastAsia="Calibri" w:hAnsi="Times New Roman" w:cs="Times New Roman"/>
          <w:sz w:val="26"/>
          <w:szCs w:val="26"/>
        </w:rPr>
        <w:t xml:space="preserve">For a single </w:t>
      </w:r>
      <w:r w:rsidRPr="0072600F" w:rsidR="5BD60A6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4ED3F4D2">
        <w:rPr>
          <w:rFonts w:ascii="Times New Roman" w:eastAsia="Calibri" w:hAnsi="Times New Roman" w:cs="Times New Roman"/>
          <w:sz w:val="26"/>
          <w:szCs w:val="26"/>
        </w:rPr>
        <w:t>]</w:t>
      </w:r>
      <w:r w:rsidRPr="0072600F" w:rsidR="4ED3F4D2">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luster, Transmission Provider shall hold all Withdrawal Penalty funds until</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all Interconnection Customers in that Cluster have either: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(1) withdrawn or been deemed withdrawn; (2) executed an LGIA; or (3)</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requested an LGIA to be filed unexecuted.  Any Withdrawal Penalty funds collected from the Cluster shall first be used to fund studies conducted under the Cluster Study Process for Interconnection Customers in the same Cluster that have executed the LGIA or requested the LGIA to be filed unexecuted.  Next, after the Withdrawal Penalty funds are applied to relevant study costs in the same Cluster, Transmission Provider will apply the remaining Withdrawal Penalty funds to reduce net increases, for Interconnection Customers in the same Cluster, in Interconnection Customers’ Network Upgrade cost assignment and associated financial security requirements under Article 11.5 of the </w:t>
      </w:r>
      <w:r w:rsidRPr="0072600F">
        <w:rPr>
          <w:rFonts w:ascii="Times New Roman" w:eastAsia="Calibri" w:hAnsi="Times New Roman" w:cs="Times New Roman"/>
          <w:i/>
          <w:iCs/>
          <w:sz w:val="26"/>
          <w:szCs w:val="26"/>
        </w:rPr>
        <w:t>pro forma</w:t>
      </w:r>
      <w:r w:rsidRPr="0072600F">
        <w:rPr>
          <w:rFonts w:ascii="Times New Roman" w:eastAsia="Calibri" w:hAnsi="Times New Roman" w:cs="Times New Roman"/>
          <w:sz w:val="26"/>
          <w:szCs w:val="26"/>
        </w:rPr>
        <w:t xml:space="preserve"> LGIA attributable to the impacts of withdrawn Interconnection Customers that shared an obligation with the remaining Interconnection Customers to fund a Network Upgrade, as described in more detail in Sections 3.7.1.2.3 and 3.7.1.2.4. </w:t>
      </w:r>
      <w:r w:rsidRPr="0072600F" w:rsidR="00AF047A">
        <w:rPr>
          <w:rFonts w:ascii="Times New Roman" w:eastAsia="Calibri" w:hAnsi="Times New Roman" w:cs="Times New Roman"/>
          <w:sz w:val="26"/>
          <w:szCs w:val="26"/>
        </w:rPr>
        <w:t xml:space="preserve"> </w:t>
      </w:r>
      <w:r w:rsidRPr="0072600F" w:rsidR="00AF047A">
        <w:rPr>
          <w:rFonts w:ascii="Times New Roman" w:eastAsia="Calibri" w:hAnsi="Times New Roman" w:cs="Times New Roman"/>
          <w:i/>
          <w:iCs/>
          <w:sz w:val="26"/>
          <w:szCs w:val="26"/>
        </w:rPr>
        <w:t>The total amount of funds used to fund these studies under the Cluster Study Process or those applied to any net increases in Network Upgrade costs for Interconnection Customers in the same Cluster shall not exceed the total amount of Withdrawal Penalty funds collected from the Cluster.</w:t>
      </w:r>
    </w:p>
    <w:p w:rsidR="00911580" w:rsidRPr="0072600F" w14:paraId="62BD7794" w14:textId="77777777">
      <w:pPr>
        <w:ind w:left="3600"/>
        <w:rPr>
          <w:rFonts w:ascii="Times New Roman" w:eastAsia="Calibri" w:hAnsi="Times New Roman" w:cs="Times New Roman"/>
          <w:sz w:val="26"/>
          <w:szCs w:val="26"/>
        </w:rPr>
      </w:pPr>
    </w:p>
    <w:p w:rsidR="00911580" w:rsidRPr="0072600F" w14:paraId="19A15E8E"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Withdrawal Penalty funds shall first be applied as a refund to invoiced study costs for Interconnection Customers in the same Cluster that did not withdraw within</w:t>
      </w:r>
      <w:r w:rsidRPr="0072600F" w:rsidR="004C249F">
        <w:rPr>
          <w:rFonts w:ascii="Times New Roman" w:eastAsia="Calibri" w:hAnsi="Times New Roman" w:cs="Times New Roman"/>
          <w:sz w:val="26"/>
          <w:szCs w:val="26"/>
        </w:rPr>
        <w:t xml:space="preserve"> </w:t>
      </w:r>
      <w:r w:rsidRPr="0072600F" w:rsidR="004C249F">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4C249F">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4C249F">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Calendar Days of such Interconnection Customers executing their LGIA or requesting to have their LGIA filed unexecuted.  Distribution of Withdrawal Penalty funds within one specific Cluster </w:t>
      </w:r>
      <w:r w:rsidRPr="0072600F" w:rsidR="00B9452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Study </w:t>
      </w:r>
      <w:r w:rsidRPr="0072600F" w:rsidR="00B9452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for study costs shall not exceed the total actual Cluster Study </w:t>
      </w:r>
      <w:r w:rsidRPr="0072600F" w:rsidR="00B94528">
        <w:rPr>
          <w:rFonts w:ascii="Times New Roman" w:eastAsia="Calibri" w:hAnsi="Times New Roman" w:cs="Times New Roman"/>
          <w:i/>
          <w:iCs/>
          <w:sz w:val="26"/>
          <w:szCs w:val="26"/>
        </w:rPr>
        <w:t xml:space="preserve">Process </w:t>
      </w:r>
      <w:r w:rsidRPr="0072600F">
        <w:rPr>
          <w:rFonts w:ascii="Times New Roman" w:eastAsia="Calibri" w:hAnsi="Times New Roman" w:cs="Times New Roman"/>
          <w:sz w:val="26"/>
          <w:szCs w:val="26"/>
        </w:rPr>
        <w:t>costs</w:t>
      </w:r>
      <w:r w:rsidRPr="0072600F" w:rsidR="00B94528">
        <w:rPr>
          <w:rFonts w:ascii="Times New Roman" w:eastAsia="Calibri" w:hAnsi="Times New Roman" w:cs="Times New Roman"/>
          <w:sz w:val="26"/>
          <w:szCs w:val="26"/>
        </w:rPr>
        <w:t xml:space="preserve"> </w:t>
      </w:r>
      <w:r w:rsidRPr="0072600F" w:rsidR="00B94528">
        <w:rPr>
          <w:rFonts w:ascii="Times New Roman" w:eastAsia="Calibri" w:hAnsi="Times New Roman" w:cs="Times New Roman"/>
          <w:i/>
          <w:iCs/>
          <w:sz w:val="26"/>
          <w:szCs w:val="26"/>
        </w:rPr>
        <w:t>for the Cluster</w:t>
      </w:r>
      <w:r w:rsidRPr="0072600F">
        <w:rPr>
          <w:rFonts w:ascii="Times New Roman" w:eastAsia="Calibri" w:hAnsi="Times New Roman" w:cs="Times New Roman"/>
          <w:sz w:val="26"/>
          <w:szCs w:val="26"/>
        </w:rPr>
        <w:t xml:space="preserve">.  Withdrawal Penalty funds applied to study costs shall be allocated within the same Cluster to Interconnection Customers in a manner consistent with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method in Section 13.3 of this LGIP for allocating the costs of </w:t>
      </w:r>
      <w:r w:rsidRPr="0072600F" w:rsidR="5207A9EC">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sidR="6568CF73">
        <w:rPr>
          <w:rFonts w:ascii="Times New Roman" w:eastAsia="Calibri" w:hAnsi="Times New Roman" w:cs="Times New Roman"/>
          <w:sz w:val="26"/>
          <w:szCs w:val="26"/>
        </w:rPr>
        <w:t>]</w:t>
      </w:r>
      <w:r w:rsidRPr="0072600F" w:rsidR="006D3260">
        <w:rPr>
          <w:rFonts w:ascii="Times New Roman" w:eastAsia="Calibri" w:hAnsi="Times New Roman" w:cs="Times New Roman"/>
          <w:i/>
          <w:iCs/>
          <w:sz w:val="26"/>
          <w:szCs w:val="26"/>
        </w:rPr>
        <w:t>I</w:t>
      </w:r>
      <w:r w:rsidRPr="0072600F">
        <w:rPr>
          <w:rFonts w:ascii="Times New Roman" w:eastAsia="Calibri" w:hAnsi="Times New Roman" w:cs="Times New Roman"/>
          <w:sz w:val="26"/>
          <w:szCs w:val="26"/>
        </w:rPr>
        <w:t xml:space="preserve">nterconnection </w:t>
      </w:r>
      <w:r w:rsidRPr="0072600F" w:rsidR="2F7C66B8">
        <w:rPr>
          <w:rFonts w:ascii="Times New Roman" w:eastAsia="Calibri" w:hAnsi="Times New Roman" w:cs="Times New Roman"/>
          <w:sz w:val="26"/>
          <w:szCs w:val="26"/>
        </w:rPr>
        <w:t>[</w:t>
      </w:r>
      <w:r w:rsidRPr="0072600F">
        <w:rPr>
          <w:rFonts w:ascii="Times New Roman" w:eastAsia="Calibri" w:hAnsi="Times New Roman" w:cs="Times New Roman"/>
          <w:sz w:val="26"/>
          <w:szCs w:val="26"/>
        </w:rPr>
        <w:t>s</w:t>
      </w:r>
      <w:r w:rsidRPr="0072600F" w:rsidR="2C8A17ED">
        <w:rPr>
          <w:rFonts w:ascii="Times New Roman" w:eastAsia="Calibri" w:hAnsi="Times New Roman" w:cs="Times New Roman"/>
          <w:sz w:val="26"/>
          <w:szCs w:val="26"/>
        </w:rPr>
        <w:t>]</w:t>
      </w:r>
      <w:r w:rsidRPr="0072600F" w:rsidR="2C8A17ED">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tudies conducted on a clustered basis.  Transmission Provider shall post the balance of Withdrawal Penalty funds held by Transmission Provider but not yet dispersed on its OASIS site and update this posting on a quarterly basis.</w:t>
      </w:r>
    </w:p>
    <w:p w:rsidR="00911580" w:rsidRPr="0072600F" w14:paraId="5EB535BE" w14:textId="77777777">
      <w:pPr>
        <w:ind w:left="3600"/>
        <w:rPr>
          <w:rFonts w:ascii="Times New Roman" w:eastAsia="Calibri" w:hAnsi="Times New Roman" w:cs="Times New Roman"/>
          <w:sz w:val="26"/>
          <w:szCs w:val="26"/>
        </w:rPr>
      </w:pPr>
    </w:p>
    <w:p w:rsidR="00911580" w:rsidRPr="0072600F" w14:paraId="68DB90CA"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an Interconnection Customer withdraws after it executes, or requests the unexecuted filing of, its LGIA, Transmission Provider shall first apply such Interconnection Customer’s Withdrawal Penalty funds to any restudy costs required due to </w:t>
      </w:r>
      <w:r w:rsidRPr="0072600F" w:rsidR="00CD5C7D">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5907E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withdrawal as a credit to as-yet-to be invoiced study costs to be charged to the remaining Interconnection Customers in the same Cluster in a manner consistent with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method in Section 13.3 of this LGIP for allocating the costs of </w:t>
      </w:r>
      <w:r w:rsidRPr="0072600F" w:rsidR="0F496624">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sidR="69B55B3F">
        <w:rPr>
          <w:rFonts w:ascii="Times New Roman" w:eastAsia="Calibri" w:hAnsi="Times New Roman" w:cs="Times New Roman"/>
          <w:sz w:val="26"/>
          <w:szCs w:val="26"/>
        </w:rPr>
        <w:t>]</w:t>
      </w:r>
      <w:r w:rsidRPr="0072600F" w:rsidR="006D3260">
        <w:rPr>
          <w:rFonts w:ascii="Times New Roman" w:eastAsia="Calibri" w:hAnsi="Times New Roman" w:cs="Times New Roman"/>
          <w:i/>
          <w:iCs/>
          <w:sz w:val="26"/>
          <w:szCs w:val="26"/>
        </w:rPr>
        <w:t>I</w:t>
      </w:r>
      <w:r w:rsidRPr="0072600F">
        <w:rPr>
          <w:rFonts w:ascii="Times New Roman" w:eastAsia="Calibri" w:hAnsi="Times New Roman" w:cs="Times New Roman"/>
          <w:sz w:val="26"/>
          <w:szCs w:val="26"/>
        </w:rPr>
        <w:t xml:space="preserve">nterconnection </w:t>
      </w:r>
      <w:r w:rsidRPr="0072600F" w:rsidR="2B3D8252">
        <w:rPr>
          <w:rFonts w:ascii="Times New Roman" w:eastAsia="Calibri" w:hAnsi="Times New Roman" w:cs="Times New Roman"/>
          <w:sz w:val="26"/>
          <w:szCs w:val="26"/>
        </w:rPr>
        <w:t>[</w:t>
      </w:r>
      <w:r w:rsidRPr="0072600F">
        <w:rPr>
          <w:rFonts w:ascii="Times New Roman" w:eastAsia="Calibri" w:hAnsi="Times New Roman" w:cs="Times New Roman"/>
          <w:sz w:val="26"/>
          <w:szCs w:val="26"/>
        </w:rPr>
        <w:t>s</w:t>
      </w:r>
      <w:r w:rsidRPr="0072600F" w:rsidR="2E07E3AE">
        <w:rPr>
          <w:rFonts w:ascii="Times New Roman" w:eastAsia="Calibri" w:hAnsi="Times New Roman" w:cs="Times New Roman"/>
          <w:sz w:val="26"/>
          <w:szCs w:val="26"/>
        </w:rPr>
        <w:t>]</w:t>
      </w:r>
      <w:r w:rsidRPr="0072600F" w:rsidR="2E07E3AE">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tudies conducted on a clustered basis.  Distribution of the Withdrawal Penalty funds for such restudy costs shall not exceed the total actual restudy costs.</w:t>
      </w:r>
    </w:p>
    <w:p w:rsidR="00911580" w:rsidRPr="0072600F" w14:paraId="4A4E7C42" w14:textId="77777777">
      <w:pPr>
        <w:rPr>
          <w:rFonts w:ascii="Times New Roman" w:eastAsia="Calibri" w:hAnsi="Times New Roman" w:cs="Times New Roman"/>
          <w:sz w:val="26"/>
          <w:szCs w:val="26"/>
        </w:rPr>
      </w:pPr>
    </w:p>
    <w:p w:rsidR="00911580" w:rsidRPr="0072600F" w:rsidP="00B03998" w14:paraId="4001D8E0" w14:textId="77777777">
      <w:pPr>
        <w:pStyle w:val="Heading5"/>
        <w:ind w:left="3600" w:hanging="3600"/>
        <w:rPr>
          <w:sz w:val="26"/>
          <w:szCs w:val="26"/>
        </w:rPr>
      </w:pPr>
      <w:r w:rsidRPr="0072600F">
        <w:rPr>
          <w:sz w:val="26"/>
          <w:szCs w:val="26"/>
        </w:rPr>
        <w:tab/>
      </w:r>
      <w:r w:rsidRPr="0072600F" w:rsidR="00B03998">
        <w:rPr>
          <w:sz w:val="26"/>
          <w:szCs w:val="26"/>
        </w:rPr>
        <w:tab/>
      </w:r>
      <w:r w:rsidRPr="0072600F" w:rsidR="00B03998">
        <w:rPr>
          <w:sz w:val="26"/>
          <w:szCs w:val="26"/>
        </w:rPr>
        <w:tab/>
      </w:r>
      <w:r w:rsidRPr="0072600F">
        <w:rPr>
          <w:rStyle w:val="Heading5Char"/>
          <w:b/>
          <w:sz w:val="26"/>
          <w:szCs w:val="26"/>
        </w:rPr>
        <w:t>3.7.1.2.2</w:t>
      </w:r>
      <w:r w:rsidRPr="0072600F">
        <w:rPr>
          <w:sz w:val="26"/>
          <w:szCs w:val="26"/>
        </w:rPr>
        <w:t xml:space="preserve"> </w:t>
      </w:r>
      <w:r w:rsidRPr="0072600F">
        <w:rPr>
          <w:sz w:val="26"/>
          <w:szCs w:val="26"/>
        </w:rPr>
        <w:tab/>
        <w:t>Assessment of Network Upgrade Costs Previously</w:t>
      </w:r>
      <w:r w:rsidRPr="0072600F" w:rsidR="00B03998">
        <w:rPr>
          <w:sz w:val="26"/>
          <w:szCs w:val="26"/>
        </w:rPr>
        <w:t xml:space="preserve"> </w:t>
      </w:r>
      <w:r w:rsidRPr="0072600F">
        <w:rPr>
          <w:sz w:val="26"/>
          <w:szCs w:val="26"/>
        </w:rPr>
        <w:t>Shared with Withdrawn Interconnection Customers in the Same Cluster</w:t>
      </w:r>
      <w:r w:rsidRPr="0072600F" w:rsidR="003F1F02">
        <w:rPr>
          <w:i/>
          <w:iCs/>
          <w:sz w:val="26"/>
          <w:szCs w:val="26"/>
        </w:rPr>
        <w:t>.</w:t>
      </w:r>
    </w:p>
    <w:p w:rsidR="00911580" w:rsidRPr="0072600F" w14:paraId="21E9EE9B"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If Withdrawal Penalty funds remain for the same Cluster after the Withdrawal Penalty funds are applied to relevant study costs, Transmission Provider will determine if the withdrawn Interconnection Customers, at any point in the Cluster Study Process, shared</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cost assignment for one or more Network Upgrades with any remaining Interconnection Customers in the same Cluster based on the Cluster Study Report, Cluster Restudy Report(s), Interconnection Facilities Study Report, and any subsequent issued restudy report issued for the Cluster.  </w:t>
      </w:r>
    </w:p>
    <w:p w:rsidR="00911580" w:rsidRPr="0072600F" w14:paraId="267372FF" w14:textId="77777777">
      <w:pPr>
        <w:ind w:left="3600"/>
        <w:rPr>
          <w:rFonts w:ascii="Times New Roman" w:eastAsia="Calibri" w:hAnsi="Times New Roman" w:cs="Times New Roman"/>
          <w:sz w:val="26"/>
          <w:szCs w:val="26"/>
        </w:rPr>
      </w:pPr>
    </w:p>
    <w:p w:rsidR="00911580" w:rsidRPr="0072600F" w14:paraId="360F6D70"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In </w:t>
      </w:r>
      <w:r w:rsidRPr="0072600F" w:rsidR="2BDC8587">
        <w:rPr>
          <w:rFonts w:ascii="Times New Roman" w:eastAsia="Calibri" w:hAnsi="Times New Roman" w:cs="Times New Roman"/>
          <w:sz w:val="26"/>
          <w:szCs w:val="26"/>
        </w:rPr>
        <w:t>[</w:t>
      </w:r>
      <w:r w:rsidRPr="0072600F">
        <w:rPr>
          <w:rFonts w:ascii="Times New Roman" w:eastAsia="Calibri" w:hAnsi="Times New Roman" w:cs="Times New Roman"/>
          <w:sz w:val="26"/>
          <w:szCs w:val="26"/>
        </w:rPr>
        <w:t>s</w:t>
      </w:r>
      <w:r w:rsidRPr="0072600F" w:rsidR="5290ED92">
        <w:rPr>
          <w:rFonts w:ascii="Times New Roman" w:eastAsia="Calibri" w:hAnsi="Times New Roman" w:cs="Times New Roman"/>
          <w:sz w:val="26"/>
          <w:szCs w:val="26"/>
        </w:rPr>
        <w:t>]</w:t>
      </w:r>
      <w:r w:rsidRPr="0072600F" w:rsidR="5290ED92">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 xml:space="preserve">ection 3.7.1.2 of this LGIP, shared cost assignments for Network Upgrades refers to the cost of Network Upgrades still needed for the same Cluster for which an Interconnection Customer, prior to withdrawing its Interconnection Request, shared the obligation to fund along with Interconnection Customers that have executed an LGIA, or requested the LGIA to filed unexecuted. </w:t>
      </w:r>
    </w:p>
    <w:p w:rsidR="00911580" w:rsidRPr="0072600F" w14:paraId="08E64280" w14:textId="77777777">
      <w:pPr>
        <w:ind w:left="3600"/>
        <w:rPr>
          <w:rFonts w:ascii="Times New Roman" w:eastAsia="Calibri" w:hAnsi="Times New Roman" w:cs="Times New Roman"/>
          <w:sz w:val="26"/>
          <w:szCs w:val="26"/>
        </w:rPr>
      </w:pPr>
    </w:p>
    <w:p w:rsidR="00911580" w:rsidRPr="0072600F" w14:paraId="0491CFB1"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If Transmission Provider’s assessment determines that there are no shared cost assignments for any Network Upgrades in the same Cluster for the withdrawn Interconnection Customer, or determines that the withdrawn Interconnection Customer’s withdrawal did not cause a net increase in the shared cost assignment for any remaining Interconnection Customers’ Network Upgrade(s) in the same Cluster, Transmission Provider will return any remaining Withdrawal Penalty funds to the withdrawn Interconnection Customer(s)</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Such remaining Withdrawal Penalty funds will be returned to withdrawn Interconnection Customers based on the proportion of each withdrawn Interconnection Customer’s contribution to the total amount of Withdrawal Penalty funds collected for the Cluster (i.e., the total amount before the initial disbursement required under Section 3.7.1.2.1 of this LGIP).  Transmission Provider must make such disbursement within sixty (60) Calendar Days of the date on which all Interconnection Customers in the same Cluster have either: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(1) withdrawn or been deemed withdrawn; (2) executed an LGIA; or (3)</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requested an LGIA to be filed unexecuted.  For the withdrawn Interconnection Customers that Transmission Provider determines have caused a net increase in the shared cost assignment for one or more Network Upgrade(s) in the same Cluster under </w:t>
      </w:r>
      <w:r w:rsidRPr="0072600F" w:rsidR="2F2F4968">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7D5243DD">
        <w:rPr>
          <w:rFonts w:ascii="Times New Roman" w:eastAsia="Calibri" w:hAnsi="Times New Roman" w:cs="Times New Roman"/>
          <w:sz w:val="26"/>
          <w:szCs w:val="26"/>
        </w:rPr>
        <w:t>]</w:t>
      </w:r>
      <w:r w:rsidRPr="0072600F" w:rsidR="7D5243DD">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ection 3.7.1.2.3(a)</w:t>
      </w:r>
      <w:r w:rsidRPr="0072600F" w:rsidR="52ED24F4">
        <w:rPr>
          <w:rFonts w:ascii="Times New Roman" w:eastAsia="Calibri" w:hAnsi="Times New Roman" w:cs="Times New Roman"/>
          <w:sz w:val="26"/>
          <w:szCs w:val="26"/>
        </w:rPr>
        <w:t xml:space="preserve"> </w:t>
      </w:r>
      <w:r w:rsidRPr="0072600F" w:rsidR="52ED24F4">
        <w:rPr>
          <w:rFonts w:ascii="Times New Roman" w:eastAsia="Calibri" w:hAnsi="Times New Roman" w:cs="Times New Roman"/>
          <w:i/>
          <w:iCs/>
          <w:sz w:val="26"/>
          <w:szCs w:val="26"/>
        </w:rPr>
        <w:t>of this LGIP</w:t>
      </w:r>
      <w:r w:rsidRPr="0072600F">
        <w:rPr>
          <w:rFonts w:ascii="Times New Roman" w:eastAsia="Calibri" w:hAnsi="Times New Roman" w:cs="Times New Roman"/>
          <w:sz w:val="26"/>
          <w:szCs w:val="26"/>
        </w:rPr>
        <w:t xml:space="preserve">, Transmission Provider will determine each such withdrawn Interconnection Customers’ Withdrawal Penalty funds remaining balance that will be applied toward net increases in Network Upgrade shared costs calculated under </w:t>
      </w:r>
      <w:r w:rsidRPr="0072600F" w:rsidR="440B3AB5">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5E1D48E8">
        <w:rPr>
          <w:rFonts w:ascii="Times New Roman" w:eastAsia="Calibri" w:hAnsi="Times New Roman" w:cs="Times New Roman"/>
          <w:sz w:val="26"/>
          <w:szCs w:val="26"/>
        </w:rPr>
        <w:t>]</w:t>
      </w:r>
      <w:r w:rsidRPr="0072600F" w:rsidR="5E1D48E8">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ections 3.7.1.2.3(a) and 3.7.1.2.3(b)</w:t>
      </w:r>
      <w:r w:rsidRPr="0072600F">
        <w:rPr>
          <w:rFonts w:ascii="Times New Roman" w:eastAsia="Calibri" w:hAnsi="Times New Roman" w:cs="Times New Roman"/>
          <w:i/>
          <w:sz w:val="26"/>
          <w:szCs w:val="26"/>
        </w:rPr>
        <w:t xml:space="preserve"> </w:t>
      </w:r>
      <w:r w:rsidRPr="0072600F" w:rsidR="08EAB974">
        <w:rPr>
          <w:rFonts w:ascii="Times New Roman" w:eastAsia="Calibri" w:hAnsi="Times New Roman" w:cs="Times New Roman"/>
          <w:i/>
          <w:sz w:val="26"/>
          <w:szCs w:val="26"/>
        </w:rPr>
        <w:t xml:space="preserve">of this </w:t>
      </w:r>
      <w:r w:rsidRPr="0072600F" w:rsidR="711EB2AF">
        <w:rPr>
          <w:rFonts w:ascii="Times New Roman" w:eastAsia="Calibri" w:hAnsi="Times New Roman" w:cs="Times New Roman"/>
          <w:i/>
          <w:iCs/>
          <w:sz w:val="26"/>
          <w:szCs w:val="26"/>
        </w:rPr>
        <w:t>LGIP</w:t>
      </w:r>
      <w:r w:rsidRPr="0072600F">
        <w:rPr>
          <w:rFonts w:ascii="Times New Roman" w:eastAsia="Calibri" w:hAnsi="Times New Roman" w:cs="Times New Roman"/>
          <w:sz w:val="26"/>
          <w:szCs w:val="26"/>
        </w:rPr>
        <w:t xml:space="preserve"> based on each such withdrawn Interconnection Customer’s proportional contribution to the total amount of Withdrawal Penalty funds collected for the same Cluster (i.e., the total amount before the initial disbursement requirement under Section 3.7.1.2.1 of this LGIP).  </w:t>
      </w:r>
    </w:p>
    <w:p w:rsidR="00911580" w:rsidRPr="0072600F" w14:paraId="68D96CB3" w14:textId="77777777">
      <w:pPr>
        <w:ind w:left="3600"/>
        <w:rPr>
          <w:rFonts w:ascii="Times New Roman" w:eastAsia="Calibri" w:hAnsi="Times New Roman" w:cs="Times New Roman"/>
          <w:sz w:val="26"/>
          <w:szCs w:val="26"/>
        </w:rPr>
      </w:pPr>
    </w:p>
    <w:p w:rsidR="00911580" w:rsidRPr="0072600F" w14:paraId="782C0017"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assessment determines that there are shared cost assignments for Network Upgrades in the same Cluster, Transmission Provider will calculate the remaining Interconnection Customers’ net increase in cost assignment for Network Upgrades due to a shared cost assignment for Network Upgrades with the withdrawn Interconnection Customer and distribute Withdrawal Penalty funds as described in Section 3.7.1.2.3, depending on whether the withdrawal occurred before the withdrawing Interconnection Customer executed the LGIA (or filed unexecuted), as described in </w:t>
      </w:r>
      <w:r w:rsidRPr="0072600F" w:rsidR="1A15F3E3">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4D135694">
        <w:rPr>
          <w:rFonts w:ascii="Times New Roman" w:eastAsia="Calibri" w:hAnsi="Times New Roman" w:cs="Times New Roman"/>
          <w:sz w:val="26"/>
          <w:szCs w:val="26"/>
        </w:rPr>
        <w:t>]</w:t>
      </w:r>
      <w:r w:rsidRPr="0072600F" w:rsidR="4D135694">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ection 3.7.1.2.3(a)</w:t>
      </w:r>
      <w:r w:rsidRPr="0072600F" w:rsidR="0BF9F82C">
        <w:rPr>
          <w:rFonts w:ascii="Times New Roman" w:eastAsia="Calibri" w:hAnsi="Times New Roman" w:cs="Times New Roman"/>
          <w:sz w:val="26"/>
          <w:szCs w:val="26"/>
        </w:rPr>
        <w:t xml:space="preserve"> </w:t>
      </w:r>
      <w:r w:rsidRPr="0072600F" w:rsidR="0BF9F82C">
        <w:rPr>
          <w:rFonts w:ascii="Times New Roman" w:eastAsia="Calibri" w:hAnsi="Times New Roman" w:cs="Times New Roman"/>
          <w:i/>
          <w:iCs/>
          <w:sz w:val="26"/>
          <w:szCs w:val="26"/>
        </w:rPr>
        <w:t>of this LGIP</w:t>
      </w:r>
      <w:r w:rsidRPr="0072600F">
        <w:rPr>
          <w:rFonts w:ascii="Times New Roman" w:eastAsia="Calibri" w:hAnsi="Times New Roman" w:cs="Times New Roman"/>
          <w:sz w:val="26"/>
          <w:szCs w:val="26"/>
        </w:rPr>
        <w:t xml:space="preserve">, or after such execution (or filing unexecuted) of an LGIA, as described in </w:t>
      </w:r>
      <w:r w:rsidRPr="0072600F" w:rsidR="26656591">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67E4F6C1">
        <w:rPr>
          <w:rFonts w:ascii="Times New Roman" w:eastAsia="Calibri" w:hAnsi="Times New Roman" w:cs="Times New Roman"/>
          <w:sz w:val="26"/>
          <w:szCs w:val="26"/>
        </w:rPr>
        <w:t>]</w:t>
      </w:r>
      <w:r w:rsidRPr="0072600F" w:rsidR="67E4F6C1">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ection 3.7.1.2.3(b)</w:t>
      </w:r>
      <w:r w:rsidRPr="0072600F" w:rsidR="288D8E76">
        <w:rPr>
          <w:rFonts w:ascii="Times New Roman" w:eastAsia="Calibri" w:hAnsi="Times New Roman" w:cs="Times New Roman"/>
          <w:sz w:val="26"/>
          <w:szCs w:val="26"/>
        </w:rPr>
        <w:t xml:space="preserve"> </w:t>
      </w:r>
      <w:r w:rsidRPr="0072600F" w:rsidR="288D8E76">
        <w:rPr>
          <w:rFonts w:ascii="Times New Roman" w:eastAsia="Calibri" w:hAnsi="Times New Roman" w:cs="Times New Roman"/>
          <w:i/>
          <w:iCs/>
          <w:sz w:val="26"/>
          <w:szCs w:val="26"/>
        </w:rPr>
        <w:t>of this LGIP</w:t>
      </w:r>
      <w:r w:rsidRPr="0072600F">
        <w:rPr>
          <w:rFonts w:ascii="Times New Roman" w:eastAsia="Calibri" w:hAnsi="Times New Roman" w:cs="Times New Roman"/>
          <w:sz w:val="26"/>
          <w:szCs w:val="26"/>
        </w:rPr>
        <w:t>.</w:t>
      </w:r>
    </w:p>
    <w:p w:rsidR="00911580" w:rsidRPr="0072600F" w14:paraId="4B0C763B" w14:textId="77777777">
      <w:pPr>
        <w:ind w:left="3600"/>
        <w:rPr>
          <w:rFonts w:ascii="Times New Roman" w:eastAsia="Calibri" w:hAnsi="Times New Roman" w:cs="Times New Roman"/>
          <w:sz w:val="26"/>
          <w:szCs w:val="26"/>
        </w:rPr>
      </w:pPr>
    </w:p>
    <w:p w:rsidR="00911580" w:rsidRPr="0072600F" w14:paraId="38208349"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As discussed in </w:t>
      </w:r>
      <w:r w:rsidRPr="0072600F" w:rsidR="16CA6060">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607AF323">
        <w:rPr>
          <w:rFonts w:ascii="Times New Roman" w:eastAsia="Calibri" w:hAnsi="Times New Roman" w:cs="Times New Roman"/>
          <w:sz w:val="26"/>
          <w:szCs w:val="26"/>
        </w:rPr>
        <w:t>]</w:t>
      </w:r>
      <w:r w:rsidRPr="0072600F" w:rsidR="607AF323">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ection 3.7.1.2.4</w:t>
      </w:r>
      <w:r w:rsidRPr="0072600F" w:rsidR="44F6AF0C">
        <w:rPr>
          <w:rFonts w:ascii="Times New Roman" w:eastAsia="Calibri" w:hAnsi="Times New Roman" w:cs="Times New Roman"/>
          <w:sz w:val="26"/>
          <w:szCs w:val="26"/>
        </w:rPr>
        <w:t xml:space="preserve"> </w:t>
      </w:r>
      <w:r w:rsidRPr="0072600F" w:rsidR="44F6AF0C">
        <w:rPr>
          <w:rFonts w:ascii="Times New Roman" w:eastAsia="Calibri" w:hAnsi="Times New Roman" w:cs="Times New Roman"/>
          <w:i/>
          <w:iCs/>
          <w:sz w:val="26"/>
          <w:szCs w:val="26"/>
        </w:rPr>
        <w:t>of this LGIP</w:t>
      </w:r>
      <w:r w:rsidRPr="0072600F">
        <w:rPr>
          <w:rFonts w:ascii="Times New Roman" w:eastAsia="Calibri" w:hAnsi="Times New Roman" w:cs="Times New Roman"/>
          <w:sz w:val="26"/>
          <w:szCs w:val="26"/>
        </w:rPr>
        <w:t xml:space="preserve">, Transmission Provider will amend executed (or filed unexecuted) LGIAs of the remaining Interconnection Customers in the same Cluster to apply the remaining Withdrawal Penalty funds to reduce net increases in Interconnection Customers’ Network Upgrade cost assignment and associated financial security requirements under Article 11.5 of the pro forma LGIA attributable to the impacts of withdrawn Interconnection Customers on Interconnection Customers remaining in the same Cluster that had a shared cost assignment for Network Upgrades with the withdrawn Interconnection Customers. </w:t>
      </w:r>
    </w:p>
    <w:p w:rsidR="00911580" w:rsidRPr="0072600F" w14:paraId="525956CB" w14:textId="77777777">
      <w:pPr>
        <w:rPr>
          <w:rFonts w:ascii="Times New Roman" w:eastAsia="Calibri" w:hAnsi="Times New Roman" w:cs="Times New Roman"/>
          <w:sz w:val="26"/>
          <w:szCs w:val="26"/>
        </w:rPr>
      </w:pPr>
    </w:p>
    <w:p w:rsidR="00911580" w:rsidRPr="0072600F" w:rsidP="00E723D1" w14:paraId="48638A54" w14:textId="77777777">
      <w:pPr>
        <w:pStyle w:val="Heading5"/>
        <w:rPr>
          <w:sz w:val="26"/>
          <w:szCs w:val="26"/>
        </w:rPr>
      </w:pPr>
      <w:r w:rsidRPr="0072600F">
        <w:rPr>
          <w:sz w:val="26"/>
          <w:szCs w:val="26"/>
        </w:rPr>
        <w:tab/>
      </w:r>
      <w:r w:rsidRPr="0072600F" w:rsidR="00E723D1">
        <w:rPr>
          <w:sz w:val="26"/>
          <w:szCs w:val="26"/>
        </w:rPr>
        <w:tab/>
      </w:r>
      <w:r w:rsidRPr="0072600F" w:rsidR="00E723D1">
        <w:rPr>
          <w:sz w:val="26"/>
          <w:szCs w:val="26"/>
        </w:rPr>
        <w:tab/>
      </w:r>
      <w:r w:rsidRPr="0072600F">
        <w:rPr>
          <w:rStyle w:val="Heading5Char"/>
          <w:b/>
          <w:bCs/>
          <w:sz w:val="26"/>
          <w:szCs w:val="26"/>
        </w:rPr>
        <w:t>3.7.1.2.3</w:t>
      </w:r>
      <w:r w:rsidRPr="0072600F">
        <w:rPr>
          <w:sz w:val="26"/>
          <w:szCs w:val="26"/>
        </w:rPr>
        <w:t xml:space="preserve"> </w:t>
      </w:r>
      <w:r w:rsidRPr="0072600F">
        <w:rPr>
          <w:sz w:val="26"/>
          <w:szCs w:val="26"/>
        </w:rPr>
        <w:tab/>
        <w:t>Impact Calculations</w:t>
      </w:r>
      <w:r w:rsidRPr="0072600F" w:rsidR="00D44492">
        <w:rPr>
          <w:i/>
          <w:iCs/>
          <w:sz w:val="26"/>
          <w:szCs w:val="26"/>
        </w:rPr>
        <w:t>.</w:t>
      </w:r>
    </w:p>
    <w:p w:rsidR="00911580" w:rsidRPr="0072600F" w14:paraId="2DBE9787" w14:textId="77777777">
      <w:pPr>
        <w:rPr>
          <w:rFonts w:ascii="Times New Roman" w:eastAsia="Calibri" w:hAnsi="Times New Roman" w:cs="Times New Roman"/>
          <w:b/>
          <w:bCs/>
          <w:sz w:val="26"/>
          <w:szCs w:val="26"/>
        </w:rPr>
      </w:pPr>
    </w:p>
    <w:p w:rsidR="00911580" w:rsidRPr="0072600F" w:rsidP="002E248D" w14:paraId="03C7D5D0" w14:textId="77777777">
      <w:pPr>
        <w:tabs>
          <w:tab w:val="left" w:pos="2160"/>
          <w:tab w:val="left" w:pos="3600"/>
        </w:tabs>
        <w:spacing w:after="0"/>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ab/>
      </w:r>
      <w:r w:rsidRPr="0072600F">
        <w:rPr>
          <w:rStyle w:val="Heading6Char"/>
          <w:rFonts w:eastAsia="Calibri"/>
          <w:szCs w:val="26"/>
          <w:u w:val="none"/>
        </w:rPr>
        <w:t>3.7.1.2.3(a)</w:t>
      </w:r>
      <w:r w:rsidRPr="0072600F">
        <w:rPr>
          <w:rFonts w:ascii="Times New Roman" w:eastAsia="Calibri" w:hAnsi="Times New Roman" w:cs="Times New Roman"/>
          <w:b/>
          <w:bCs/>
          <w:sz w:val="26"/>
          <w:szCs w:val="26"/>
        </w:rPr>
        <w:t xml:space="preserve"> </w:t>
      </w:r>
      <w:r w:rsidRPr="0072600F">
        <w:rPr>
          <w:rFonts w:ascii="Times New Roman" w:eastAsia="Calibri" w:hAnsi="Times New Roman" w:cs="Times New Roman"/>
          <w:b/>
          <w:bCs/>
          <w:sz w:val="26"/>
          <w:szCs w:val="26"/>
        </w:rPr>
        <w:tab/>
        <w:t xml:space="preserve">Impact Calculation for Withdrawals During the </w:t>
      </w:r>
    </w:p>
    <w:p w:rsidR="00911580" w:rsidRPr="0072600F" w14:paraId="24622FC8" w14:textId="77777777">
      <w:pPr>
        <w:tabs>
          <w:tab w:val="left" w:pos="2160"/>
          <w:tab w:val="left" w:pos="3600"/>
        </w:tabs>
        <w:ind w:left="3600"/>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Cluster Study Process</w:t>
      </w:r>
      <w:r w:rsidRPr="0072600F" w:rsidR="00D44492">
        <w:rPr>
          <w:rFonts w:ascii="Times New Roman" w:eastAsia="Calibri" w:hAnsi="Times New Roman" w:cs="Times New Roman"/>
          <w:b/>
          <w:bCs/>
          <w:i/>
          <w:iCs/>
          <w:sz w:val="26"/>
          <w:szCs w:val="26"/>
        </w:rPr>
        <w:t>.</w:t>
      </w:r>
    </w:p>
    <w:p w:rsidR="00911580" w:rsidRPr="0072600F" w14:paraId="65CFCD5E"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an Interconnection Customer withdraws before it executes, or requests the unexecuted filing of, its LGIA,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distribute in the following manner the Withdrawal Penalty funds to reduce the Network Upgrade cost impact on the remaining Interconnection Customers in the same Cluster who had a shared cost assignment for a Network Upgrade with the withdrawn Interconnection Customer.</w:t>
      </w:r>
    </w:p>
    <w:p w:rsidR="00911580" w:rsidRPr="0072600F" w14:paraId="70067473" w14:textId="77777777">
      <w:pPr>
        <w:ind w:left="3600"/>
        <w:rPr>
          <w:rFonts w:ascii="Times New Roman" w:eastAsia="Calibri" w:hAnsi="Times New Roman" w:cs="Times New Roman"/>
          <w:sz w:val="26"/>
          <w:szCs w:val="26"/>
        </w:rPr>
      </w:pPr>
    </w:p>
    <w:p w:rsidR="00911580" w:rsidRPr="0072600F" w14:paraId="42AE4FCC"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To calculate the reduction in the remaining Interconnection Customers’ net increase in Network Upgrade costs and associated financial security requirements under Article 11.5 of the pro forma LGIA,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determine the financial impact of a withdrawing Interconnection Customer on other Interconnection Customers in the same Cluster that shared an obligation to fund the same Network Upgrade(s).  Transmission Provider shall calculate this financial impact once all </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in the same Cluster either: </w:t>
      </w:r>
      <w:r w:rsidRPr="0072600F" w:rsidR="00CD11CD">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(1) have withdrawn or have been deemed withdrawn; (2) executed an LGIA; or (3)</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request an LGIA to be filed unexecuted.  Transmission Provider will perform the financial impact calculation using the following steps.  </w:t>
      </w:r>
    </w:p>
    <w:p w:rsidR="00911580" w:rsidRPr="0072600F" w14:paraId="34380DDE" w14:textId="77777777">
      <w:pPr>
        <w:ind w:left="3600"/>
        <w:rPr>
          <w:rFonts w:ascii="Times New Roman" w:eastAsia="Calibri" w:hAnsi="Times New Roman" w:cs="Times New Roman"/>
          <w:sz w:val="26"/>
          <w:szCs w:val="26"/>
        </w:rPr>
      </w:pPr>
    </w:p>
    <w:p w:rsidR="00911580" w:rsidRPr="0072600F" w14:paraId="6578BF6F"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First, Transmission Provider must determine which withdrawn Interconnection Customers shared an obligation to fund Network Upgrades with Interconnection Customers from the same Cluster that have LGIAs that are executed or have been requested to be filed unexecuted.  Next, Transmission Provider shall perform the calculation of the financial impact of a withdrawal on another Interconnection Request in the same Cluster by performing a comparison of the Network Upgrade cost estimates between each of the following:  </w:t>
      </w:r>
    </w:p>
    <w:p w:rsidR="00911580" w:rsidRPr="0072600F" w14:paraId="6454F198" w14:textId="77777777">
      <w:pPr>
        <w:ind w:left="3600"/>
        <w:rPr>
          <w:rFonts w:ascii="Times New Roman" w:eastAsia="Calibri" w:hAnsi="Times New Roman" w:cs="Times New Roman"/>
          <w:sz w:val="26"/>
          <w:szCs w:val="26"/>
        </w:rPr>
      </w:pPr>
    </w:p>
    <w:p w:rsidR="00911580" w:rsidRPr="0072600F" w:rsidP="00067A54" w14:paraId="29C5401E" w14:textId="77777777">
      <w:pPr>
        <w:ind w:left="3600"/>
        <w:rPr>
          <w:rFonts w:ascii="Times New Roman" w:eastAsia="Calibri" w:hAnsi="Times New Roman" w:cs="Times New Roman"/>
          <w:sz w:val="26"/>
          <w:szCs w:val="26"/>
        </w:rPr>
      </w:pPr>
      <w:r w:rsidRPr="0072600F">
        <w:rPr>
          <w:rFonts w:ascii="Times New Roman" w:hAnsi="Times New Roman" w:cs="Times New Roman"/>
          <w:sz w:val="26"/>
          <w:szCs w:val="26"/>
        </w:rPr>
        <w:t xml:space="preserve">(1) Cluster Study phase to Cluster Restudy phase (if Cluster Restudy was necessary); </w:t>
      </w:r>
    </w:p>
    <w:p w:rsidR="00911580" w:rsidRPr="0072600F" w14:paraId="0F3987F5" w14:textId="77777777">
      <w:pPr>
        <w:ind w:left="3600"/>
        <w:rPr>
          <w:rFonts w:ascii="Times New Roman" w:eastAsia="Calibri" w:hAnsi="Times New Roman" w:cs="Times New Roman"/>
          <w:sz w:val="26"/>
          <w:szCs w:val="26"/>
          <w:highlight w:val="yellow"/>
        </w:rPr>
      </w:pPr>
    </w:p>
    <w:p w:rsidR="00911580" w:rsidRPr="0072600F" w14:paraId="2D21794D"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 Cluster Restudy phase to </w:t>
      </w:r>
      <w:r w:rsidRPr="0072600F" w:rsidR="00640E2D">
        <w:rPr>
          <w:rFonts w:ascii="Times New Roman" w:eastAsia="Calibri" w:hAnsi="Times New Roman" w:cs="Times New Roman"/>
          <w:i/>
          <w:iCs/>
          <w:sz w:val="26"/>
          <w:szCs w:val="26"/>
        </w:rPr>
        <w:t xml:space="preserve">Interconnection </w:t>
      </w:r>
      <w:r w:rsidRPr="0072600F">
        <w:rPr>
          <w:rFonts w:ascii="Times New Roman" w:eastAsia="Calibri" w:hAnsi="Times New Roman" w:cs="Times New Roman"/>
          <w:sz w:val="26"/>
          <w:szCs w:val="26"/>
        </w:rPr>
        <w:t xml:space="preserve">Facilities Study phase (if a Cluster Restudy was necessary); </w:t>
      </w:r>
    </w:p>
    <w:p w:rsidR="00911580" w:rsidRPr="0072600F" w14:paraId="78375AC2" w14:textId="77777777">
      <w:pPr>
        <w:ind w:left="3600"/>
        <w:rPr>
          <w:rFonts w:ascii="Times New Roman" w:eastAsia="Calibri" w:hAnsi="Times New Roman" w:cs="Times New Roman"/>
          <w:sz w:val="26"/>
          <w:szCs w:val="26"/>
        </w:rPr>
      </w:pPr>
    </w:p>
    <w:p w:rsidR="00911580" w:rsidRPr="0072600F" w14:paraId="7EA1B1DE"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(3) Cluster Study phase to </w:t>
      </w:r>
      <w:r w:rsidRPr="0072600F" w:rsidR="00640E2D">
        <w:rPr>
          <w:rFonts w:ascii="Times New Roman" w:eastAsia="Calibri" w:hAnsi="Times New Roman" w:cs="Times New Roman"/>
          <w:i/>
          <w:iCs/>
          <w:sz w:val="26"/>
          <w:szCs w:val="26"/>
        </w:rPr>
        <w:t xml:space="preserve">Interconnection </w:t>
      </w:r>
      <w:r w:rsidRPr="0072600F">
        <w:rPr>
          <w:rFonts w:ascii="Times New Roman" w:eastAsia="Calibri" w:hAnsi="Times New Roman" w:cs="Times New Roman"/>
          <w:sz w:val="26"/>
          <w:szCs w:val="26"/>
        </w:rPr>
        <w:t xml:space="preserve">Facilities Study phase (if no Cluster Restudy was performed); </w:t>
      </w:r>
    </w:p>
    <w:p w:rsidR="00911580" w:rsidRPr="0072600F" w14:paraId="1C319959" w14:textId="77777777">
      <w:pPr>
        <w:ind w:left="3600"/>
        <w:rPr>
          <w:rFonts w:ascii="Times New Roman" w:eastAsia="Calibri" w:hAnsi="Times New Roman" w:cs="Times New Roman"/>
          <w:sz w:val="26"/>
          <w:szCs w:val="26"/>
        </w:rPr>
      </w:pPr>
    </w:p>
    <w:p w:rsidR="00911580" w:rsidRPr="0072600F" w:rsidP="00067A54" w14:paraId="35D49D03" w14:textId="77777777">
      <w:pPr>
        <w:ind w:left="3600"/>
        <w:rPr>
          <w:rFonts w:ascii="Times New Roman" w:eastAsia="Calibri" w:hAnsi="Times New Roman" w:cs="Times New Roman"/>
          <w:sz w:val="26"/>
          <w:szCs w:val="26"/>
        </w:rPr>
      </w:pPr>
      <w:r w:rsidRPr="0072600F">
        <w:rPr>
          <w:rFonts w:ascii="Times New Roman" w:hAnsi="Times New Roman" w:cs="Times New Roman"/>
          <w:sz w:val="26"/>
          <w:szCs w:val="26"/>
        </w:rPr>
        <w:t xml:space="preserve">(4) </w:t>
      </w:r>
      <w:r w:rsidRPr="0072600F" w:rsidR="00640E2D">
        <w:rPr>
          <w:rFonts w:ascii="Times New Roman" w:hAnsi="Times New Roman" w:cs="Times New Roman"/>
          <w:i/>
          <w:iCs/>
          <w:sz w:val="26"/>
          <w:szCs w:val="26"/>
        </w:rPr>
        <w:t xml:space="preserve">Interconnection </w:t>
      </w:r>
      <w:r w:rsidRPr="0072600F">
        <w:rPr>
          <w:rFonts w:ascii="Times New Roman" w:hAnsi="Times New Roman" w:cs="Times New Roman"/>
          <w:sz w:val="26"/>
          <w:szCs w:val="26"/>
        </w:rPr>
        <w:t xml:space="preserve">Facilities Study phase to any subsequent restudy that was performed before the execution or filing of an unexecuted LGIA; </w:t>
      </w:r>
    </w:p>
    <w:p w:rsidR="00911580" w:rsidRPr="0072600F" w14:paraId="38983FFA" w14:textId="77777777">
      <w:pPr>
        <w:ind w:left="3600"/>
        <w:rPr>
          <w:rFonts w:ascii="Times New Roman" w:eastAsia="Calibri" w:hAnsi="Times New Roman" w:cs="Times New Roman"/>
          <w:sz w:val="26"/>
          <w:szCs w:val="26"/>
        </w:rPr>
      </w:pPr>
    </w:p>
    <w:p w:rsidR="00911580" w:rsidRPr="0072600F" w:rsidP="00067A54" w14:paraId="43DB2306" w14:textId="77777777">
      <w:pPr>
        <w:ind w:left="3600"/>
        <w:rPr>
          <w:rFonts w:ascii="Times New Roman" w:eastAsia="Calibri" w:hAnsi="Times New Roman" w:cs="Times New Roman"/>
          <w:sz w:val="26"/>
          <w:szCs w:val="26"/>
        </w:rPr>
      </w:pPr>
      <w:r w:rsidRPr="0072600F">
        <w:rPr>
          <w:rFonts w:ascii="Times New Roman" w:hAnsi="Times New Roman" w:cs="Times New Roman"/>
          <w:sz w:val="26"/>
          <w:szCs w:val="26"/>
        </w:rPr>
        <w:t xml:space="preserve">(5) the restudy to the executed, or filed unexecuted, LGIA (if a restudy was performed after the </w:t>
      </w:r>
      <w:r w:rsidRPr="0072600F" w:rsidR="00640E2D">
        <w:rPr>
          <w:rFonts w:ascii="Times New Roman" w:hAnsi="Times New Roman" w:cs="Times New Roman"/>
          <w:i/>
          <w:iCs/>
          <w:sz w:val="26"/>
          <w:szCs w:val="26"/>
        </w:rPr>
        <w:t xml:space="preserve">Interconnection </w:t>
      </w:r>
      <w:r w:rsidRPr="0072600F">
        <w:rPr>
          <w:rFonts w:ascii="Times New Roman" w:hAnsi="Times New Roman" w:cs="Times New Roman"/>
          <w:sz w:val="26"/>
          <w:szCs w:val="26"/>
        </w:rPr>
        <w:t xml:space="preserve">Facilities Study phase and before the execution or filing of an unexecuted LGIA). </w:t>
      </w:r>
    </w:p>
    <w:p w:rsidR="00911580" w:rsidRPr="0072600F" w14:paraId="48DB88C7" w14:textId="77777777">
      <w:pPr>
        <w:ind w:left="3600"/>
        <w:rPr>
          <w:rFonts w:ascii="Times New Roman" w:eastAsia="Calibri" w:hAnsi="Times New Roman" w:cs="Times New Roman"/>
          <w:sz w:val="26"/>
          <w:szCs w:val="26"/>
        </w:rPr>
      </w:pPr>
    </w:p>
    <w:p w:rsidR="00911580" w:rsidRPr="0072600F" w14:paraId="291B0DD7"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If, based on the above calculations, Transmission Provider determines:</w:t>
      </w:r>
    </w:p>
    <w:p w:rsidR="00911580" w:rsidRPr="0072600F" w14:paraId="0DEEB8E4"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911580" w:rsidRPr="0072600F" w:rsidP="00067A54" w14:paraId="1A37B6C2" w14:textId="77777777">
      <w:pPr>
        <w:ind w:left="3600"/>
        <w:rPr>
          <w:rFonts w:ascii="Times New Roman" w:eastAsia="Calibri"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that the costs assigned to an Interconnection Customer in the same Cluster for Network Upgrades that a withdrawn Interconnection Customer shared cost assignment for increased between any two studies, and </w:t>
      </w:r>
    </w:p>
    <w:p w:rsidR="00911580" w:rsidRPr="0072600F" w14:paraId="666ADF3B" w14:textId="77777777">
      <w:pPr>
        <w:ind w:left="3600" w:firstLine="720"/>
        <w:rPr>
          <w:rFonts w:ascii="Times New Roman" w:eastAsia="Calibri" w:hAnsi="Times New Roman" w:cs="Times New Roman"/>
          <w:sz w:val="26"/>
          <w:szCs w:val="26"/>
        </w:rPr>
      </w:pPr>
    </w:p>
    <w:p w:rsidR="00911580" w:rsidRPr="0072600F" w14:paraId="2D02C176"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(ii) after the impacted Interconnection Customer’s LGIA was executed or filed unexecuted, </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cost assignment for the relevant Network Upgrade is greater than it was prior to the withdrawal of </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in the same Cluster that shared cost assignment for the Network Upgrade, </w:t>
      </w:r>
    </w:p>
    <w:p w:rsidR="00911580" w:rsidRPr="0072600F" w14:paraId="5DC49C57" w14:textId="77777777">
      <w:pPr>
        <w:ind w:left="3600"/>
        <w:rPr>
          <w:rFonts w:ascii="Times New Roman" w:eastAsia="Calibri" w:hAnsi="Times New Roman" w:cs="Times New Roman"/>
          <w:sz w:val="26"/>
          <w:szCs w:val="26"/>
        </w:rPr>
      </w:pPr>
    </w:p>
    <w:p w:rsidR="00911580" w:rsidRPr="0072600F" w14:paraId="5AAE9297"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then Transmission Provider shall apply the withdrawn Interconnection Customer’s Withdrawal Penalty funds that has not already been applied to study costs in the amount of the financial impact by reducing, in the same Cluster, the remaining Interconnection Customer’s Network Upgrade costs and associated financial security requirements under Article 11.5 of the </w:t>
      </w:r>
      <w:r w:rsidRPr="0072600F">
        <w:rPr>
          <w:rFonts w:ascii="Times New Roman" w:eastAsia="Calibri" w:hAnsi="Times New Roman" w:cs="Times New Roman"/>
          <w:i/>
          <w:iCs/>
          <w:sz w:val="26"/>
          <w:szCs w:val="26"/>
        </w:rPr>
        <w:t>pro forma</w:t>
      </w:r>
      <w:r w:rsidRPr="0072600F">
        <w:rPr>
          <w:rFonts w:ascii="Times New Roman" w:eastAsia="Calibri" w:hAnsi="Times New Roman" w:cs="Times New Roman"/>
          <w:sz w:val="26"/>
          <w:szCs w:val="26"/>
        </w:rPr>
        <w:t xml:space="preserve"> LGIA.  </w:t>
      </w:r>
    </w:p>
    <w:p w:rsidR="00911580" w:rsidRPr="0072600F" w14:paraId="763A94A7" w14:textId="77777777">
      <w:pPr>
        <w:ind w:left="3600"/>
        <w:rPr>
          <w:rFonts w:ascii="Times New Roman" w:eastAsia="Calibri" w:hAnsi="Times New Roman" w:cs="Times New Roman"/>
          <w:sz w:val="26"/>
          <w:szCs w:val="26"/>
        </w:rPr>
      </w:pPr>
    </w:p>
    <w:p w:rsidR="00911580" w:rsidRPr="0072600F" w14:paraId="4065B6CA"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Transmission Provider determines that more than one Interconnection Customer in the same Cluster was financially impacted by the same withdrawn Interconnection Customer, Transmission Provider will apply the relevant withdrawn Interconnection Customer’s Withdrawal Penalty funds that has not already been applied to study costs to reduce the financial impact to each Interconnection Customer based on each Interconnection Customer’s proportional share of the financial impact, as determined by either the </w:t>
      </w:r>
      <w:r w:rsidRPr="0072600F" w:rsidR="4C3B64DC">
        <w:rPr>
          <w:rFonts w:ascii="Times New Roman" w:eastAsia="Calibri" w:hAnsi="Times New Roman" w:cs="Times New Roman"/>
          <w:sz w:val="26"/>
          <w:szCs w:val="26"/>
        </w:rPr>
        <w:t>[</w:t>
      </w:r>
      <w:r w:rsidRPr="0072600F">
        <w:rPr>
          <w:rFonts w:ascii="Times New Roman" w:eastAsia="Calibri" w:hAnsi="Times New Roman" w:cs="Times New Roman"/>
          <w:sz w:val="26"/>
          <w:szCs w:val="26"/>
        </w:rPr>
        <w:t>p</w:t>
      </w:r>
      <w:r w:rsidRPr="0072600F" w:rsidR="477FED26">
        <w:rPr>
          <w:rFonts w:ascii="Times New Roman" w:eastAsia="Calibri" w:hAnsi="Times New Roman" w:cs="Times New Roman"/>
          <w:sz w:val="26"/>
          <w:szCs w:val="26"/>
        </w:rPr>
        <w:t>]</w:t>
      </w:r>
      <w:r w:rsidRPr="0072600F" w:rsidR="477FED26">
        <w:rPr>
          <w:rFonts w:ascii="Times New Roman" w:eastAsia="Calibri" w:hAnsi="Times New Roman" w:cs="Times New Roman"/>
          <w:i/>
          <w:iCs/>
          <w:sz w:val="26"/>
          <w:szCs w:val="26"/>
        </w:rPr>
        <w:t>P</w:t>
      </w:r>
      <w:r w:rsidRPr="0072600F">
        <w:rPr>
          <w:rFonts w:ascii="Times New Roman" w:eastAsia="Calibri" w:hAnsi="Times New Roman" w:cs="Times New Roman"/>
          <w:sz w:val="26"/>
          <w:szCs w:val="26"/>
        </w:rPr>
        <w:t xml:space="preserve">roportional </w:t>
      </w:r>
      <w:r w:rsidRPr="0072600F" w:rsidR="689EFB8E">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sidR="2C5805AE">
        <w:rPr>
          <w:rFonts w:ascii="Times New Roman" w:eastAsia="Calibri" w:hAnsi="Times New Roman" w:cs="Times New Roman"/>
          <w:sz w:val="26"/>
          <w:szCs w:val="26"/>
        </w:rPr>
        <w:t>]</w:t>
      </w:r>
      <w:r w:rsidRPr="0072600F" w:rsidR="2C5805AE">
        <w:rPr>
          <w:rFonts w:ascii="Times New Roman" w:eastAsia="Calibri" w:hAnsi="Times New Roman" w:cs="Times New Roman"/>
          <w:i/>
          <w:iCs/>
          <w:sz w:val="26"/>
          <w:szCs w:val="26"/>
        </w:rPr>
        <w:t>I</w:t>
      </w:r>
      <w:r w:rsidRPr="0072600F">
        <w:rPr>
          <w:rFonts w:ascii="Times New Roman" w:eastAsia="Calibri" w:hAnsi="Times New Roman" w:cs="Times New Roman"/>
          <w:sz w:val="26"/>
          <w:szCs w:val="26"/>
        </w:rPr>
        <w:t xml:space="preserve">mpact </w:t>
      </w:r>
      <w:r w:rsidRPr="0072600F" w:rsidR="6245BA3E">
        <w:rPr>
          <w:rFonts w:ascii="Times New Roman" w:eastAsia="Calibri" w:hAnsi="Times New Roman" w:cs="Times New Roman"/>
          <w:sz w:val="26"/>
          <w:szCs w:val="26"/>
        </w:rPr>
        <w:t>[</w:t>
      </w:r>
      <w:r w:rsidRPr="0072600F">
        <w:rPr>
          <w:rFonts w:ascii="Times New Roman" w:eastAsia="Calibri" w:hAnsi="Times New Roman" w:cs="Times New Roman"/>
          <w:sz w:val="26"/>
          <w:szCs w:val="26"/>
        </w:rPr>
        <w:t>m</w:t>
      </w:r>
      <w:r w:rsidRPr="0072600F" w:rsidR="5089816A">
        <w:rPr>
          <w:rFonts w:ascii="Times New Roman" w:eastAsia="Calibri" w:hAnsi="Times New Roman" w:cs="Times New Roman"/>
          <w:sz w:val="26"/>
          <w:szCs w:val="26"/>
        </w:rPr>
        <w:t>]</w:t>
      </w:r>
      <w:r w:rsidRPr="0072600F" w:rsidR="5089816A">
        <w:rPr>
          <w:rFonts w:ascii="Times New Roman" w:eastAsia="Calibri" w:hAnsi="Times New Roman" w:cs="Times New Roman"/>
          <w:i/>
          <w:iCs/>
          <w:sz w:val="26"/>
          <w:szCs w:val="26"/>
        </w:rPr>
        <w:t>M</w:t>
      </w:r>
      <w:r w:rsidRPr="0072600F">
        <w:rPr>
          <w:rFonts w:ascii="Times New Roman" w:eastAsia="Calibri" w:hAnsi="Times New Roman" w:cs="Times New Roman"/>
          <w:sz w:val="26"/>
          <w:szCs w:val="26"/>
        </w:rPr>
        <w:t>ethod if it is a System Network Upgrade or on a per capita basis if it is a Substation Network Upgrade, as described under Section 4.2.1 of this LGIP.</w:t>
      </w:r>
    </w:p>
    <w:p w:rsidR="00911580" w:rsidRPr="0072600F" w14:paraId="1922416C" w14:textId="77777777">
      <w:pPr>
        <w:widowControl w:val="0"/>
        <w:rPr>
          <w:rFonts w:ascii="Times New Roman" w:eastAsia="Calibri" w:hAnsi="Times New Roman" w:cs="Times New Roman"/>
          <w:sz w:val="26"/>
          <w:szCs w:val="26"/>
        </w:rPr>
      </w:pPr>
    </w:p>
    <w:p w:rsidR="00911580" w:rsidRPr="0072600F" w:rsidP="002E248D" w14:paraId="52347E23" w14:textId="77777777">
      <w:pPr>
        <w:tabs>
          <w:tab w:val="left" w:pos="2160"/>
          <w:tab w:val="left" w:pos="3600"/>
        </w:tabs>
        <w:spacing w:after="0"/>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ab/>
      </w:r>
      <w:r w:rsidRPr="0072600F">
        <w:rPr>
          <w:rStyle w:val="Heading6Char"/>
          <w:rFonts w:eastAsia="Calibri"/>
          <w:szCs w:val="26"/>
          <w:u w:val="none"/>
        </w:rPr>
        <w:t>3.7.1.2.3(b)</w:t>
      </w:r>
      <w:r w:rsidRPr="0072600F">
        <w:rPr>
          <w:rFonts w:ascii="Times New Roman" w:eastAsia="Calibri" w:hAnsi="Times New Roman" w:cs="Times New Roman"/>
          <w:b/>
          <w:bCs/>
          <w:sz w:val="26"/>
          <w:szCs w:val="26"/>
        </w:rPr>
        <w:t xml:space="preserve"> </w:t>
      </w:r>
      <w:r w:rsidRPr="0072600F">
        <w:rPr>
          <w:rFonts w:ascii="Times New Roman" w:eastAsia="Calibri" w:hAnsi="Times New Roman" w:cs="Times New Roman"/>
          <w:b/>
          <w:bCs/>
          <w:sz w:val="26"/>
          <w:szCs w:val="26"/>
        </w:rPr>
        <w:tab/>
        <w:t xml:space="preserve">Impact Calculation for Withdrawals in the Same </w:t>
      </w:r>
    </w:p>
    <w:p w:rsidR="00911580" w:rsidRPr="0072600F" w14:paraId="42D7DD81" w14:textId="77777777">
      <w:pPr>
        <w:tabs>
          <w:tab w:val="left" w:pos="2160"/>
          <w:tab w:val="left" w:pos="3600"/>
        </w:tabs>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ab/>
      </w:r>
      <w:r w:rsidRPr="0072600F">
        <w:rPr>
          <w:rFonts w:ascii="Times New Roman" w:eastAsia="Calibri" w:hAnsi="Times New Roman" w:cs="Times New Roman"/>
          <w:b/>
          <w:bCs/>
          <w:sz w:val="26"/>
          <w:szCs w:val="26"/>
        </w:rPr>
        <w:tab/>
        <w:t>Cluster After the Cluster Study Process</w:t>
      </w:r>
      <w:r w:rsidRPr="0072600F" w:rsidR="00D44492">
        <w:rPr>
          <w:rFonts w:ascii="Times New Roman" w:eastAsia="Calibri" w:hAnsi="Times New Roman" w:cs="Times New Roman"/>
          <w:b/>
          <w:bCs/>
          <w:i/>
          <w:iCs/>
          <w:sz w:val="26"/>
          <w:szCs w:val="26"/>
        </w:rPr>
        <w:t>.</w:t>
      </w:r>
    </w:p>
    <w:p w:rsidR="00911580" w:rsidRPr="0072600F" w14:paraId="6E598111"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an Interconnection Customer withdraws after it executes, or requests the unexecuted filing of, its LGIA, Transmission Provider will distribute in the following manner the remaining Withdrawal Penalty funds to reduce the Network Upgrade cost impact on the remaining Interconnection Customers in the same Cluster who had a shared cost assignment with the withdrawn Interconnection Customer for one or more Network Upgrades.  </w:t>
      </w:r>
    </w:p>
    <w:p w:rsidR="00911580" w:rsidRPr="0072600F" w14:paraId="7AB955E5" w14:textId="77777777">
      <w:pPr>
        <w:ind w:left="3600"/>
        <w:rPr>
          <w:rFonts w:ascii="Times New Roman" w:eastAsia="Calibri" w:hAnsi="Times New Roman" w:cs="Times New Roman"/>
          <w:sz w:val="26"/>
          <w:szCs w:val="26"/>
        </w:rPr>
      </w:pPr>
    </w:p>
    <w:p w:rsidR="00911580" w:rsidRPr="0072600F" w14:paraId="3321219C"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Transmission Provider will determine the financial impact on the remaining Interconnection Customers in the same Cluster within </w:t>
      </w:r>
      <w:r w:rsidRPr="0072600F" w:rsidR="00640E2D">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640E2D">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640E2D">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640E2D">
        <w:rPr>
          <w:rFonts w:ascii="Times New Roman" w:eastAsia="Calibri" w:hAnsi="Times New Roman" w:cs="Times New Roman"/>
          <w:sz w:val="26"/>
          <w:szCs w:val="26"/>
        </w:rPr>
        <w:t>]</w:t>
      </w:r>
      <w:r w:rsidRPr="0072600F" w:rsidR="00640E2D">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alendar </w:t>
      </w:r>
      <w:r w:rsidRPr="0072600F" w:rsidR="00640E2D">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640E2D">
        <w:rPr>
          <w:rFonts w:ascii="Times New Roman" w:eastAsia="Calibri" w:hAnsi="Times New Roman" w:cs="Times New Roman"/>
          <w:sz w:val="26"/>
          <w:szCs w:val="26"/>
        </w:rPr>
        <w:t>]</w:t>
      </w:r>
      <w:r w:rsidRPr="0072600F" w:rsidR="00640E2D">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 xml:space="preserve">ays after the withdrawal occurs.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determine that financial impact by comparing the Network Upgrade cost funding obligations </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00DA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shared with the withdrawn Interconnection Customer before the withdrawal of </w:t>
      </w:r>
      <w:r w:rsidRPr="0072600F" w:rsidR="000956C1">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956C1">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after the withdrawal of </w:t>
      </w:r>
      <w:r w:rsidRPr="0072600F" w:rsidR="000956C1">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46570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If that comparison indicates an increase in Network Upgrade costs for an Interconnection Customer, Transmission Provider shall apply the withdrawn Interconnection Customer’s Withdrawal Penalty funds to the increased costs each impacted Interconnection Customer in the same Cluster experienced associated with such Network Upgrade(s) in proportion to each Interconnection Customer’s increased cost assignment, as determined by Transmission Provider.  </w:t>
      </w:r>
    </w:p>
    <w:p w:rsidR="00911580" w:rsidRPr="0072600F" w14:paraId="19133B69" w14:textId="77777777">
      <w:pPr>
        <w:rPr>
          <w:rFonts w:ascii="Times New Roman" w:eastAsia="Calibri" w:hAnsi="Times New Roman" w:cs="Times New Roman"/>
          <w:sz w:val="26"/>
          <w:szCs w:val="26"/>
        </w:rPr>
      </w:pPr>
    </w:p>
    <w:p w:rsidR="00911580" w:rsidRPr="0072600F" w:rsidP="00A578FD" w14:paraId="11DAE78A" w14:textId="77777777">
      <w:pPr>
        <w:pStyle w:val="Heading5"/>
        <w:ind w:left="3600" w:hanging="3600"/>
        <w:rPr>
          <w:sz w:val="26"/>
          <w:szCs w:val="26"/>
        </w:rPr>
      </w:pPr>
      <w:r w:rsidRPr="0072600F">
        <w:rPr>
          <w:sz w:val="26"/>
          <w:szCs w:val="26"/>
        </w:rPr>
        <w:tab/>
      </w:r>
      <w:r w:rsidRPr="0072600F" w:rsidR="00A578FD">
        <w:rPr>
          <w:sz w:val="26"/>
          <w:szCs w:val="26"/>
        </w:rPr>
        <w:tab/>
      </w:r>
      <w:r w:rsidRPr="0072600F" w:rsidR="00A578FD">
        <w:rPr>
          <w:sz w:val="26"/>
          <w:szCs w:val="26"/>
        </w:rPr>
        <w:tab/>
      </w:r>
      <w:r w:rsidRPr="0072600F">
        <w:rPr>
          <w:rStyle w:val="Heading5Char"/>
          <w:b/>
          <w:bCs/>
          <w:sz w:val="26"/>
          <w:szCs w:val="26"/>
        </w:rPr>
        <w:t>3.7.1.2.4</w:t>
      </w:r>
      <w:r w:rsidRPr="0072600F">
        <w:rPr>
          <w:sz w:val="26"/>
          <w:szCs w:val="26"/>
        </w:rPr>
        <w:t xml:space="preserve"> </w:t>
      </w:r>
      <w:r w:rsidRPr="0072600F">
        <w:rPr>
          <w:sz w:val="26"/>
          <w:szCs w:val="26"/>
        </w:rPr>
        <w:tab/>
        <w:t>Amending LGIA to Apply Reductions to</w:t>
      </w:r>
      <w:r w:rsidRPr="0072600F" w:rsidR="00E723D1">
        <w:rPr>
          <w:sz w:val="26"/>
          <w:szCs w:val="26"/>
        </w:rPr>
        <w:t xml:space="preserve"> </w:t>
      </w:r>
      <w:r w:rsidRPr="0072600F">
        <w:rPr>
          <w:sz w:val="26"/>
          <w:szCs w:val="26"/>
        </w:rPr>
        <w:t>Interconnection Customer’s Assigned Network Upgrade Costs and Associated Financial Security Requirement with Respect to Withdrawals in the Same Cluster</w:t>
      </w:r>
      <w:r w:rsidRPr="0072600F" w:rsidR="00D44492">
        <w:rPr>
          <w:i/>
          <w:iCs/>
          <w:sz w:val="26"/>
          <w:szCs w:val="26"/>
        </w:rPr>
        <w:t>.</w:t>
      </w:r>
    </w:p>
    <w:p w:rsidR="00911580" w:rsidRPr="0072600F" w14:paraId="15F15C0C"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Within</w:t>
      </w:r>
      <w:r w:rsidRPr="0072600F" w:rsidR="00AE641C">
        <w:rPr>
          <w:rFonts w:ascii="Times New Roman" w:eastAsia="Calibri" w:hAnsi="Times New Roman" w:cs="Times New Roman"/>
          <w:sz w:val="26"/>
          <w:szCs w:val="26"/>
        </w:rPr>
        <w:t xml:space="preserve"> </w:t>
      </w:r>
      <w:r w:rsidRPr="0072600F" w:rsidR="00AE641C">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AE641C">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AE641C">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Calendar Days of all Interconnection Customers in the same Cluster having:  (1) withdrawn or been deemed withdrawn; (2) executed an LGIA; or (3)</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requested an LGIA to be filed unexecuted, Transmission Provider must perform the calculations described in </w:t>
      </w:r>
      <w:r w:rsidRPr="0072600F" w:rsidR="152B9BF1">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0A62BA32">
        <w:rPr>
          <w:rFonts w:ascii="Times New Roman" w:eastAsia="Calibri" w:hAnsi="Times New Roman" w:cs="Times New Roman"/>
          <w:sz w:val="26"/>
          <w:szCs w:val="26"/>
        </w:rPr>
        <w:t>]</w:t>
      </w:r>
      <w:r w:rsidRPr="0072600F" w:rsidR="0A62BA32">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 xml:space="preserve">ection 3.7.1.2.3(a) of this LGIP and provide such Interconnection Customers with an amended LGIA that provides the reduction in Network Upgrade cost assignment and associated reduction to </w:t>
      </w:r>
      <w:r w:rsidRPr="0072600F" w:rsidR="0046570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46570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financial security requirements, under Article 11.5 of the pro forma LGIA, due from </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to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t>
      </w:r>
    </w:p>
    <w:p w:rsidR="00911580" w:rsidRPr="0072600F" w14:paraId="6764F3B3" w14:textId="77777777">
      <w:pPr>
        <w:ind w:left="3600"/>
        <w:rPr>
          <w:rFonts w:ascii="Times New Roman" w:eastAsia="Calibri" w:hAnsi="Times New Roman" w:cs="Times New Roman"/>
          <w:sz w:val="26"/>
          <w:szCs w:val="26"/>
        </w:rPr>
      </w:pPr>
    </w:p>
    <w:p w:rsidR="00911580" w:rsidRPr="0072600F" w14:paraId="26E614D6"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Where an Interconnection Customer executes the LGIA (or requests the filing of an unexecuted LGIA) and is later withdrawn or its LGIA is terminated, Transmission Provider must, within </w:t>
      </w:r>
      <w:r w:rsidRPr="0072600F" w:rsidR="004C249F">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4C249F">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Calendar Days of such withdrawal or termination, perform the calculations described in </w:t>
      </w:r>
      <w:r w:rsidRPr="0072600F" w:rsidR="23C2247B">
        <w:rPr>
          <w:rFonts w:ascii="Times New Roman" w:eastAsia="Calibri" w:hAnsi="Times New Roman" w:cs="Times New Roman"/>
          <w:sz w:val="26"/>
          <w:szCs w:val="26"/>
        </w:rPr>
        <w:t>[</w:t>
      </w:r>
      <w:r w:rsidRPr="0072600F">
        <w:rPr>
          <w:rFonts w:ascii="Times New Roman" w:eastAsia="Calibri" w:hAnsi="Times New Roman" w:cs="Times New Roman"/>
          <w:sz w:val="26"/>
          <w:szCs w:val="26"/>
        </w:rPr>
        <w:t>subs</w:t>
      </w:r>
      <w:r w:rsidRPr="0072600F" w:rsidR="0E8F0D50">
        <w:rPr>
          <w:rFonts w:ascii="Times New Roman" w:eastAsia="Calibri" w:hAnsi="Times New Roman" w:cs="Times New Roman"/>
          <w:sz w:val="26"/>
          <w:szCs w:val="26"/>
        </w:rPr>
        <w:t>]</w:t>
      </w:r>
      <w:r w:rsidRPr="0072600F" w:rsidR="0E8F0D50">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 xml:space="preserve">ection 3.7.1.2.3(b) of this LGIP and provide such Interconnection Customers in the same Cluster with an amended LGIA that provides the reduction in Network Upgrade cost assignment and associated reduction to </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financial security requirements, under Article 11.5 of the pro forma LGIA, due from </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to Transmission Provider.  </w:t>
      </w:r>
    </w:p>
    <w:p w:rsidR="00911580" w:rsidRPr="0072600F" w14:paraId="63BA246A" w14:textId="77777777">
      <w:pPr>
        <w:ind w:left="3600"/>
        <w:rPr>
          <w:rFonts w:ascii="Times New Roman" w:eastAsia="Calibri" w:hAnsi="Times New Roman" w:cs="Times New Roman"/>
          <w:sz w:val="26"/>
          <w:szCs w:val="26"/>
        </w:rPr>
      </w:pPr>
    </w:p>
    <w:p w:rsidR="00911580" w:rsidRPr="0072600F" w14:paraId="7713EC11"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Any repayment by Transmission Provider to Interconnection Customer under Article 11.4 of the pro forma LGIA of amounts advanced for Network Upgrades after the Generating Facility achieves Commercial Operation shall be limited to </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total amount of Network Upgrade costs paid and associated financial security provided to Transmission Provider under Article 11.5 of the pro forma LGIA.</w:t>
      </w:r>
    </w:p>
    <w:p w:rsidR="00911580" w:rsidRPr="0072600F" w14:paraId="52544827" w14:textId="77777777">
      <w:pPr>
        <w:rPr>
          <w:rFonts w:ascii="Times New Roman" w:eastAsia="Calibri" w:hAnsi="Times New Roman" w:cs="Times New Roman"/>
          <w:sz w:val="26"/>
          <w:szCs w:val="26"/>
        </w:rPr>
      </w:pPr>
    </w:p>
    <w:p w:rsidR="00911580" w:rsidRPr="0072600F" w:rsidP="00A578FD" w14:paraId="0660E34D" w14:textId="77777777">
      <w:pPr>
        <w:pStyle w:val="Heading5"/>
        <w:rPr>
          <w:sz w:val="26"/>
          <w:szCs w:val="26"/>
        </w:rPr>
      </w:pPr>
      <w:r w:rsidRPr="0072600F">
        <w:rPr>
          <w:sz w:val="26"/>
          <w:szCs w:val="26"/>
        </w:rPr>
        <w:tab/>
      </w:r>
      <w:r w:rsidRPr="0072600F" w:rsidR="00A578FD">
        <w:rPr>
          <w:sz w:val="26"/>
          <w:szCs w:val="26"/>
        </w:rPr>
        <w:tab/>
      </w:r>
      <w:r w:rsidRPr="0072600F">
        <w:rPr>
          <w:rStyle w:val="Heading5Char"/>
          <w:b/>
          <w:bCs/>
          <w:sz w:val="26"/>
          <w:szCs w:val="26"/>
        </w:rPr>
        <w:t>3.7.1.2.5</w:t>
      </w:r>
      <w:r w:rsidRPr="0072600F">
        <w:rPr>
          <w:sz w:val="26"/>
          <w:szCs w:val="26"/>
        </w:rPr>
        <w:t xml:space="preserve"> </w:t>
      </w:r>
      <w:r w:rsidRPr="0072600F">
        <w:rPr>
          <w:sz w:val="26"/>
          <w:szCs w:val="26"/>
        </w:rPr>
        <w:tab/>
      </w:r>
      <w:r w:rsidRPr="0072600F" w:rsidR="002E248D">
        <w:rPr>
          <w:sz w:val="26"/>
          <w:szCs w:val="26"/>
        </w:rPr>
        <w:tab/>
      </w:r>
      <w:r w:rsidRPr="0072600F">
        <w:rPr>
          <w:sz w:val="26"/>
          <w:szCs w:val="26"/>
        </w:rPr>
        <w:t>Final Distribution of Withdrawal Penalty Funds</w:t>
      </w:r>
      <w:r w:rsidRPr="0072600F" w:rsidR="00D44492">
        <w:rPr>
          <w:i/>
          <w:iCs/>
          <w:sz w:val="26"/>
          <w:szCs w:val="26"/>
        </w:rPr>
        <w:t>.</w:t>
      </w:r>
    </w:p>
    <w:p w:rsidR="00911580" w:rsidRPr="0072600F" w14:paraId="4DFCC05D" w14:textId="77777777">
      <w:pPr>
        <w:ind w:left="360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Withdrawal Penalty funds remain for the Cluster after the Withdrawal Penalty funds are applied to relevant study costs and net increases in shared cost assignments for Network Upgrades to remaining Interconnection Customers, Transmission Provider will return any remaining Withdrawal Penalty funds to the withdrawn Interconnection Customers in the same Cluster net of the amount of each withdrawn Interconnection Customer’s Withdrawal Penalty funds applied to study costs and net increases in shared cost assignments for Network Upgrades to remaining Interconnection Customers.  </w:t>
      </w:r>
      <w:bookmarkEnd w:id="224"/>
    </w:p>
    <w:p w:rsidR="00911580" w:rsidRPr="0072600F" w14:paraId="746C7CE2" w14:textId="77777777">
      <w:pPr>
        <w:ind w:left="1440"/>
        <w:rPr>
          <w:rFonts w:ascii="Times New Roman" w:hAnsi="Times New Roman" w:cs="Times New Roman"/>
          <w:sz w:val="26"/>
          <w:szCs w:val="26"/>
        </w:rPr>
      </w:pPr>
    </w:p>
    <w:p w:rsidR="00911580" w:rsidRPr="0072600F" w:rsidP="00B70398" w14:paraId="00FFE6C9" w14:textId="77777777">
      <w:pPr>
        <w:pStyle w:val="Heading3"/>
        <w:rPr>
          <w:b/>
          <w:sz w:val="26"/>
        </w:rPr>
      </w:pPr>
      <w:bookmarkStart w:id="225" w:name="_Toc149903626"/>
      <w:bookmarkStart w:id="226" w:name="threepoint8"/>
      <w:r w:rsidRPr="0072600F">
        <w:rPr>
          <w:rStyle w:val="Heading3Char"/>
          <w:b/>
          <w:sz w:val="26"/>
        </w:rPr>
        <w:t>3.8</w:t>
      </w:r>
      <w:r w:rsidRPr="0072600F">
        <w:rPr>
          <w:b/>
          <w:sz w:val="26"/>
        </w:rPr>
        <w:tab/>
        <w:t>Identification of Contingent Facilities.</w:t>
      </w:r>
      <w:bookmarkEnd w:id="225"/>
    </w:p>
    <w:bookmarkEnd w:id="226"/>
    <w:p w:rsidR="00911580" w:rsidRPr="0072600F" w14:paraId="74456A15" w14:textId="77777777">
      <w:pPr>
        <w:ind w:left="1440"/>
        <w:rPr>
          <w:rFonts w:ascii="Times New Roman" w:hAnsi="Times New Roman" w:cs="Times New Roman"/>
          <w:sz w:val="26"/>
          <w:szCs w:val="26"/>
        </w:rPr>
      </w:pPr>
      <w:r w:rsidRPr="0072600F">
        <w:rPr>
          <w:rFonts w:ascii="Times New Roman" w:hAnsi="Times New Roman" w:cs="Times New Roman"/>
          <w:sz w:val="26"/>
          <w:szCs w:val="26"/>
        </w:rPr>
        <w:t>Transmission Provider shall post in this section a method for identifying the Contingent Facilities to be provided to Interconnection Customer at the conclusion of the Cluster Study and included in Interconnection Customer’s Large Generator Interconnection Agreement.  The method shall be sufficiently transparent to determine why a specific Contingent Facility was identified and how it relates to the Interconnection Request.  Transmission Provider shall also provide, upon request of Interconnection Customer, the estimated Interconnection Facility and/or Network Upgrade costs and estimated in-service completion time of each identified Contingent Facility when this information is readily available and not commercially sensitive.</w:t>
      </w:r>
    </w:p>
    <w:p w:rsidR="00911580" w:rsidRPr="0072600F" w14:paraId="2603A942" w14:textId="77777777">
      <w:pPr>
        <w:rPr>
          <w:rFonts w:ascii="Times New Roman" w:eastAsia="Calibri" w:hAnsi="Times New Roman" w:cs="Times New Roman"/>
          <w:i/>
          <w:iCs/>
          <w:sz w:val="26"/>
          <w:szCs w:val="26"/>
        </w:rPr>
      </w:pPr>
    </w:p>
    <w:p w:rsidR="00911580" w:rsidRPr="0072600F" w:rsidP="007D7BCA" w14:paraId="75811121" w14:textId="77777777">
      <w:pPr>
        <w:pStyle w:val="Heading3"/>
        <w:rPr>
          <w:rFonts w:eastAsia="Calibri"/>
          <w:b/>
          <w:sz w:val="26"/>
        </w:rPr>
      </w:pPr>
      <w:r w:rsidRPr="0072600F">
        <w:rPr>
          <w:rStyle w:val="Heading3Char"/>
          <w:rFonts w:eastAsia="Calibri"/>
          <w:b/>
          <w:sz w:val="26"/>
        </w:rPr>
        <w:t>3.9</w:t>
      </w:r>
      <w:r w:rsidRPr="0072600F">
        <w:rPr>
          <w:rFonts w:eastAsia="Calibri"/>
          <w:b/>
          <w:sz w:val="26"/>
        </w:rPr>
        <w:tab/>
        <w:t>Penalties for Failure to Meet Study Deadlines.</w:t>
      </w:r>
    </w:p>
    <w:p w:rsidR="00B70398" w:rsidRPr="0072600F" w:rsidP="00B70398" w14:paraId="737B1C1E" w14:textId="77777777">
      <w:pPr>
        <w:rPr>
          <w:rFonts w:ascii="Times New Roman" w:hAnsi="Times New Roman" w:cs="Times New Roman"/>
          <w:sz w:val="26"/>
          <w:szCs w:val="26"/>
        </w:rPr>
      </w:pPr>
    </w:p>
    <w:p w:rsidR="00911580" w:rsidRPr="0072600F" w:rsidP="00030C0A" w14:paraId="54F291ED" w14:textId="77777777">
      <w:pPr>
        <w:ind w:left="1440"/>
        <w:rPr>
          <w:rFonts w:ascii="Times New Roman" w:eastAsia="Calibri" w:hAnsi="Times New Roman" w:cs="Times New Roman"/>
          <w:iCs/>
          <w:sz w:val="26"/>
          <w:szCs w:val="26"/>
        </w:rPr>
      </w:pPr>
      <w:r w:rsidRPr="0072600F">
        <w:rPr>
          <w:rFonts w:ascii="Times New Roman" w:hAnsi="Times New Roman" w:cs="Times New Roman"/>
          <w:sz w:val="26"/>
          <w:szCs w:val="26"/>
        </w:rPr>
        <w:t xml:space="preserve">(1) Transmission Provider shall be subject to a penalty if it fails to complete a Cluster Study, Cluster Restudy, Interconnection Facilities Study, or Affected Systems Study by the applicable deadline set forth in this LGIP.  </w:t>
      </w:r>
      <w:r w:rsidRPr="0072600F">
        <w:rPr>
          <w:rFonts w:ascii="Times New Roman" w:hAnsi="Times New Roman" w:cs="Times New Roman"/>
          <w:sz w:val="26"/>
          <w:szCs w:val="26"/>
        </w:rPr>
        <w:t>Transmission Provider must pay the penalty</w:t>
      </w:r>
      <w:r w:rsidRPr="0072600F">
        <w:rPr>
          <w:rFonts w:ascii="Times New Roman" w:hAnsi="Times New Roman" w:cs="Times New Roman"/>
          <w:sz w:val="26"/>
          <w:szCs w:val="26"/>
        </w:rPr>
        <w:t xml:space="preserve"> for each late Cluster Study, Cluster Restudy, and Interconnection Facilities Study</w:t>
      </w:r>
      <w:r w:rsidRPr="0072600F">
        <w:rPr>
          <w:rFonts w:ascii="Times New Roman" w:hAnsi="Times New Roman" w:cs="Times New Roman"/>
          <w:sz w:val="26"/>
          <w:szCs w:val="26"/>
        </w:rPr>
        <w:t xml:space="preserve"> on a pro rata basis per Interconnection Request to </w:t>
      </w:r>
      <w:r w:rsidRPr="0072600F">
        <w:rPr>
          <w:rFonts w:ascii="Times New Roman" w:hAnsi="Times New Roman" w:cs="Times New Roman"/>
          <w:sz w:val="26"/>
          <w:szCs w:val="26"/>
        </w:rPr>
        <w:t xml:space="preserve">all </w:t>
      </w:r>
      <w:r w:rsidRPr="0072600F">
        <w:rPr>
          <w:rFonts w:ascii="Times New Roman" w:hAnsi="Times New Roman" w:cs="Times New Roman"/>
          <w:sz w:val="26"/>
          <w:szCs w:val="26"/>
        </w:rPr>
        <w:t xml:space="preserve">Interconnection Customer(s) </w:t>
      </w:r>
      <w:r w:rsidRPr="0072600F">
        <w:rPr>
          <w:rFonts w:ascii="Times New Roman" w:hAnsi="Times New Roman" w:cs="Times New Roman"/>
          <w:sz w:val="26"/>
          <w:szCs w:val="26"/>
        </w:rPr>
        <w:t>included in the relevant study that did not withdraw, or were not deemed withdrawn, from Transmission Provider’s interconnection queue before the missed study deadline</w:t>
      </w:r>
      <w:r w:rsidRPr="0072600F" w:rsidR="001E73E2">
        <w:rPr>
          <w:rFonts w:ascii="Times New Roman" w:hAnsi="Times New Roman" w:cs="Times New Roman"/>
          <w:i/>
          <w:sz w:val="26"/>
          <w:szCs w:val="26"/>
        </w:rPr>
        <w:t>, in proportion to each Interconnection Customer</w:t>
      </w:r>
      <w:r w:rsidRPr="0072600F" w:rsidR="00886321">
        <w:rPr>
          <w:rFonts w:ascii="Times New Roman" w:hAnsi="Times New Roman" w:cs="Times New Roman"/>
          <w:i/>
          <w:sz w:val="26"/>
          <w:szCs w:val="26"/>
        </w:rPr>
        <w:t>’</w:t>
      </w:r>
      <w:r w:rsidRPr="0072600F" w:rsidR="001E73E2">
        <w:rPr>
          <w:rFonts w:ascii="Times New Roman" w:hAnsi="Times New Roman" w:cs="Times New Roman"/>
          <w:i/>
          <w:sz w:val="26"/>
          <w:szCs w:val="26"/>
        </w:rPr>
        <w:t>s final study cost</w:t>
      </w:r>
      <w:r w:rsidRPr="0072600F">
        <w:rPr>
          <w:rFonts w:ascii="Times New Roman" w:hAnsi="Times New Roman" w:cs="Times New Roman"/>
          <w:sz w:val="26"/>
          <w:szCs w:val="26"/>
        </w:rPr>
        <w:t xml:space="preserve">.  Transmission Provider must pay the penalty for a late Affected Systems Study </w:t>
      </w:r>
      <w:r w:rsidRPr="0072600F">
        <w:rPr>
          <w:rFonts w:ascii="Times New Roman" w:hAnsi="Times New Roman" w:cs="Times New Roman"/>
          <w:sz w:val="26"/>
          <w:szCs w:val="26"/>
        </w:rPr>
        <w:t xml:space="preserve">on a pro rata basis per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nterconnection </w:t>
      </w:r>
      <w:r w:rsidRPr="0072600F">
        <w:rPr>
          <w:rFonts w:ascii="Times New Roman" w:hAnsi="Times New Roman" w:cs="Times New Roman"/>
          <w:sz w:val="26"/>
          <w:szCs w:val="26"/>
        </w:rPr>
        <w:t>r</w:t>
      </w:r>
      <w:r w:rsidRPr="0072600F">
        <w:rPr>
          <w:rFonts w:ascii="Times New Roman" w:hAnsi="Times New Roman" w:cs="Times New Roman"/>
          <w:sz w:val="26"/>
          <w:szCs w:val="26"/>
        </w:rPr>
        <w:t xml:space="preserve">equest to </w:t>
      </w:r>
      <w:r w:rsidRPr="0072600F">
        <w:rPr>
          <w:rFonts w:ascii="Times New Roman" w:hAnsi="Times New Roman" w:cs="Times New Roman"/>
          <w:sz w:val="26"/>
          <w:szCs w:val="26"/>
        </w:rPr>
        <w:t>all Affected System Interconnection Customer(s) included in the relevant Affected System Study that did not withdraw, or were not deemed withdrawn, from the host transmission provider’s interconnection queue before the missed study deadline</w:t>
      </w:r>
      <w:r w:rsidRPr="0072600F" w:rsidR="001E73E2">
        <w:rPr>
          <w:rFonts w:ascii="Times New Roman" w:hAnsi="Times New Roman" w:cs="Times New Roman"/>
          <w:i/>
          <w:sz w:val="26"/>
          <w:szCs w:val="26"/>
        </w:rPr>
        <w:t>, in proportion to each Interconnection Customer</w:t>
      </w:r>
      <w:r w:rsidRPr="0072600F" w:rsidR="005D0FBE">
        <w:rPr>
          <w:rFonts w:ascii="Times New Roman" w:hAnsi="Times New Roman" w:cs="Times New Roman"/>
          <w:i/>
          <w:sz w:val="26"/>
          <w:szCs w:val="26"/>
        </w:rPr>
        <w:t>’</w:t>
      </w:r>
      <w:r w:rsidRPr="0072600F" w:rsidR="001E73E2">
        <w:rPr>
          <w:rFonts w:ascii="Times New Roman" w:hAnsi="Times New Roman" w:cs="Times New Roman"/>
          <w:i/>
          <w:sz w:val="26"/>
          <w:szCs w:val="26"/>
        </w:rPr>
        <w:t>s final study cost</w:t>
      </w:r>
      <w:r w:rsidRPr="0072600F">
        <w:rPr>
          <w:rFonts w:ascii="Times New Roman" w:hAnsi="Times New Roman" w:cs="Times New Roman"/>
          <w:sz w:val="26"/>
          <w:szCs w:val="26"/>
        </w:rPr>
        <w:t>.  The study delay penalty for each late study shall be distributed no later than forty-five (45) Calendar Days after the late study has been completed.</w:t>
      </w:r>
      <w:r w:rsidRPr="0072600F">
        <w:rPr>
          <w:rFonts w:ascii="Times New Roman" w:hAnsi="Times New Roman" w:cs="Times New Roman"/>
          <w:sz w:val="26"/>
          <w:szCs w:val="26"/>
        </w:rPr>
        <w:t xml:space="preserve">  </w:t>
      </w:r>
    </w:p>
    <w:p w:rsidR="00911580" w:rsidRPr="0072600F" w14:paraId="78D501A4" w14:textId="77777777">
      <w:pPr>
        <w:ind w:left="1440"/>
        <w:rPr>
          <w:rFonts w:ascii="Times New Roman" w:eastAsia="Calibri" w:hAnsi="Times New Roman" w:cs="Times New Roman"/>
          <w:iCs/>
          <w:sz w:val="26"/>
          <w:szCs w:val="26"/>
        </w:rPr>
      </w:pPr>
    </w:p>
    <w:p w:rsidR="00911580" w:rsidRPr="0072600F" w14:paraId="1EACFAE6" w14:textId="77777777">
      <w:pPr>
        <w:ind w:left="1440"/>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(2) For penalties assessed in accordance with this Section, the penalty amount will be equal to:</w:t>
      </w:r>
      <w:r w:rsidRPr="0072600F" w:rsidR="006757E7">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 xml:space="preserve"> </w:t>
      </w:r>
      <w:r w:rsidRPr="0072600F">
        <w:rPr>
          <w:rFonts w:ascii="Times New Roman" w:hAnsi="Times New Roman" w:cs="Times New Roman"/>
          <w:iCs/>
          <w:sz w:val="26"/>
          <w:szCs w:val="26"/>
        </w:rPr>
        <w:t xml:space="preserve">$1,000 per Business Day for delays of Cluster Studies beyond the </w:t>
      </w:r>
      <w:r w:rsidRPr="0072600F">
        <w:rPr>
          <w:rFonts w:ascii="Times New Roman" w:eastAsia="Calibri" w:hAnsi="Times New Roman" w:cs="Times New Roman"/>
          <w:iCs/>
          <w:sz w:val="26"/>
          <w:szCs w:val="26"/>
        </w:rPr>
        <w:t>applicable deadline set forth in this LGIP</w:t>
      </w:r>
      <w:r w:rsidRPr="0072600F">
        <w:rPr>
          <w:rFonts w:ascii="Times New Roman" w:hAnsi="Times New Roman" w:cs="Times New Roman"/>
          <w:iCs/>
          <w:sz w:val="26"/>
          <w:szCs w:val="26"/>
        </w:rPr>
        <w:t>; $2,000 per Business Day for delays of Cluster Re</w:t>
      </w:r>
      <w:r w:rsidRPr="0072600F" w:rsidR="309A65B6">
        <w:rPr>
          <w:rFonts w:ascii="Times New Roman" w:hAnsi="Times New Roman" w:cs="Times New Roman"/>
          <w:sz w:val="26"/>
          <w:szCs w:val="26"/>
        </w:rPr>
        <w:t>[</w:t>
      </w:r>
      <w:r w:rsidRPr="0072600F">
        <w:rPr>
          <w:rFonts w:ascii="Times New Roman" w:hAnsi="Times New Roman" w:cs="Times New Roman"/>
          <w:sz w:val="26"/>
          <w:szCs w:val="26"/>
        </w:rPr>
        <w:t>-S</w:t>
      </w:r>
      <w:r w:rsidRPr="0072600F" w:rsidR="14B37382">
        <w:rPr>
          <w:rFonts w:ascii="Times New Roman" w:hAnsi="Times New Roman" w:cs="Times New Roman"/>
          <w:sz w:val="26"/>
          <w:szCs w:val="26"/>
        </w:rPr>
        <w:t>]</w:t>
      </w:r>
      <w:r w:rsidRPr="0072600F" w:rsidR="14B37382">
        <w:rPr>
          <w:rFonts w:ascii="Times New Roman" w:hAnsi="Times New Roman" w:cs="Times New Roman"/>
          <w:i/>
          <w:iCs/>
          <w:sz w:val="26"/>
          <w:szCs w:val="26"/>
        </w:rPr>
        <w:t>s</w:t>
      </w:r>
      <w:r w:rsidRPr="0072600F">
        <w:rPr>
          <w:rFonts w:ascii="Times New Roman" w:hAnsi="Times New Roman" w:cs="Times New Roman"/>
          <w:sz w:val="26"/>
          <w:szCs w:val="26"/>
        </w:rPr>
        <w:t>tudies</w:t>
      </w:r>
      <w:r w:rsidRPr="0072600F">
        <w:rPr>
          <w:rFonts w:ascii="Times New Roman" w:hAnsi="Times New Roman" w:cs="Times New Roman"/>
          <w:iCs/>
          <w:sz w:val="26"/>
          <w:szCs w:val="26"/>
        </w:rPr>
        <w:t xml:space="preserve"> beyond the </w:t>
      </w:r>
      <w:r w:rsidRPr="0072600F">
        <w:rPr>
          <w:rFonts w:ascii="Times New Roman" w:eastAsia="Calibri" w:hAnsi="Times New Roman" w:cs="Times New Roman"/>
          <w:iCs/>
          <w:sz w:val="26"/>
          <w:szCs w:val="26"/>
        </w:rPr>
        <w:t>applicable deadline set forth in this LGIP</w:t>
      </w:r>
      <w:r w:rsidRPr="0072600F">
        <w:rPr>
          <w:rFonts w:ascii="Times New Roman" w:hAnsi="Times New Roman" w:cs="Times New Roman"/>
          <w:iCs/>
          <w:sz w:val="26"/>
          <w:szCs w:val="26"/>
        </w:rPr>
        <w:t xml:space="preserve">; $2,000 per Business Day for delays of Affected System Studies beyond the </w:t>
      </w:r>
      <w:r w:rsidRPr="0072600F">
        <w:rPr>
          <w:rFonts w:ascii="Times New Roman" w:eastAsia="Calibri" w:hAnsi="Times New Roman" w:cs="Times New Roman"/>
          <w:iCs/>
          <w:sz w:val="26"/>
          <w:szCs w:val="26"/>
        </w:rPr>
        <w:t>applicable deadline set forth in this LGIP</w:t>
      </w:r>
      <w:r w:rsidRPr="0072600F">
        <w:rPr>
          <w:rFonts w:ascii="Times New Roman" w:hAnsi="Times New Roman" w:cs="Times New Roman"/>
          <w:iCs/>
          <w:sz w:val="26"/>
          <w:szCs w:val="26"/>
        </w:rPr>
        <w:t xml:space="preserve">; and $2,500 per Business Day for delays of Interconnection Facilities Studies beyond the </w:t>
      </w:r>
      <w:r w:rsidRPr="0072600F">
        <w:rPr>
          <w:rFonts w:ascii="Times New Roman" w:eastAsia="Calibri" w:hAnsi="Times New Roman" w:cs="Times New Roman"/>
          <w:iCs/>
          <w:sz w:val="26"/>
          <w:szCs w:val="26"/>
        </w:rPr>
        <w:t>applicable deadline set forth in this LGIP</w:t>
      </w:r>
      <w:r w:rsidRPr="0072600F">
        <w:rPr>
          <w:rFonts w:ascii="Times New Roman" w:hAnsi="Times New Roman" w:cs="Times New Roman"/>
          <w:iCs/>
          <w:sz w:val="26"/>
          <w:szCs w:val="26"/>
        </w:rPr>
        <w:t xml:space="preserve">. </w:t>
      </w:r>
      <w:r w:rsidRPr="0072600F">
        <w:rPr>
          <w:rFonts w:ascii="Times New Roman" w:eastAsia="Calibri" w:hAnsi="Times New Roman" w:cs="Times New Roman"/>
          <w:iCs/>
          <w:sz w:val="26"/>
          <w:szCs w:val="26"/>
        </w:rPr>
        <w:t xml:space="preserve"> The total amount of a penalty assessed under this Section shall not exceed: (a) one hundred percent (100%) of the initial study deposit(s) received for all of the Interconnection Requests in the Cluster for Cluster Studies and Cluster Restudies; (b) one hundred percent (100%) of the initial study deposit received for the single Interconnection Request in the study for </w:t>
      </w:r>
      <w:r w:rsidRPr="0072600F" w:rsidR="7DB0C1BB">
        <w:rPr>
          <w:rFonts w:ascii="Times New Roman" w:eastAsia="Calibri" w:hAnsi="Times New Roman" w:cs="Times New Roman"/>
          <w:i/>
          <w:iCs/>
          <w:sz w:val="26"/>
          <w:szCs w:val="26"/>
        </w:rPr>
        <w:t xml:space="preserve">Interconnection </w:t>
      </w:r>
      <w:r w:rsidRPr="0072600F">
        <w:rPr>
          <w:rFonts w:ascii="Times New Roman" w:eastAsia="Calibri" w:hAnsi="Times New Roman" w:cs="Times New Roman"/>
          <w:iCs/>
          <w:sz w:val="26"/>
          <w:szCs w:val="26"/>
        </w:rPr>
        <w:t>Facilities Studies; and (c) one hundred percent (100%) of the study deposit(s) that Transmission Provider collects for conducting the Affected System Study.</w:t>
      </w:r>
    </w:p>
    <w:p w:rsidR="00911580" w:rsidRPr="0072600F" w14:paraId="6D220904" w14:textId="77777777">
      <w:pPr>
        <w:ind w:left="1440"/>
        <w:rPr>
          <w:rFonts w:ascii="Times New Roman" w:eastAsia="Calibri" w:hAnsi="Times New Roman" w:cs="Times New Roman"/>
          <w:iCs/>
          <w:sz w:val="26"/>
          <w:szCs w:val="26"/>
        </w:rPr>
      </w:pPr>
    </w:p>
    <w:p w:rsidR="00911580" w:rsidRPr="0072600F" w14:paraId="4DC0D8E3" w14:textId="77777777">
      <w:pPr>
        <w:ind w:left="1440"/>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(3) Transmission Provider may appeal to the Commission any penalties imposed under this Section.  Any such appeal must be filed no later than forty-five (45) Calendar Days after the late study has been completed.  While an appeal to the Commission is pending, Transmission Provider shall remain liable for the penalty, but need not distribute the penalty until forty-five (45) Calendar Days after (1) the deadline for filing a rehearing request has ended, if no requests for rehearing of the appeal have been filed, or (2) the date that any requests for rehearing of the Commission’s decision on the appeal are no longer pending before the Commission.  The Commission may excuse Transmission Provider from penalties under this Section for good cause.</w:t>
      </w:r>
    </w:p>
    <w:p w:rsidR="00911580" w:rsidRPr="0072600F" w14:paraId="7A4D4ECF" w14:textId="77777777">
      <w:pPr>
        <w:ind w:left="1440"/>
        <w:rPr>
          <w:rFonts w:ascii="Times New Roman" w:eastAsia="Calibri" w:hAnsi="Times New Roman" w:cs="Times New Roman"/>
          <w:iCs/>
          <w:sz w:val="26"/>
          <w:szCs w:val="26"/>
        </w:rPr>
      </w:pPr>
    </w:p>
    <w:p w:rsidR="00911580" w:rsidRPr="0072600F" w:rsidP="00D93E73" w14:paraId="02D54CF2" w14:textId="77777777">
      <w:pPr>
        <w:ind w:left="1440"/>
        <w:rPr>
          <w:rFonts w:ascii="Times New Roman" w:hAnsi="Times New Roman" w:cs="Times New Roman"/>
          <w:sz w:val="26"/>
          <w:szCs w:val="26"/>
        </w:rPr>
      </w:pPr>
      <w:r w:rsidRPr="0072600F">
        <w:rPr>
          <w:rFonts w:ascii="Times New Roman" w:eastAsia="Calibri" w:hAnsi="Times New Roman" w:cs="Times New Roman"/>
          <w:iCs/>
          <w:sz w:val="26"/>
          <w:szCs w:val="26"/>
        </w:rPr>
        <w:t xml:space="preserve">(4) </w:t>
      </w:r>
      <w:r w:rsidRPr="0072600F">
        <w:rPr>
          <w:rFonts w:ascii="Times New Roman" w:hAnsi="Times New Roman" w:cs="Times New Roman"/>
          <w:sz w:val="26"/>
          <w:szCs w:val="26"/>
        </w:rPr>
        <w:t xml:space="preserve">No penalty will be assessed under this Section where a study is delayed by ten (10) Business Days or less.  </w:t>
      </w:r>
      <w:bookmarkStart w:id="227" w:name="_Hlk139555758"/>
      <w:r w:rsidRPr="0072600F">
        <w:rPr>
          <w:rFonts w:ascii="Times New Roman" w:hAnsi="Times New Roman" w:cs="Times New Roman"/>
          <w:sz w:val="26"/>
          <w:szCs w:val="26"/>
        </w:rPr>
        <w:t xml:space="preserve">If the study is delayed by more than ten (10) Business Days, the penalty amount will be calculated from the first Business Day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misses the applicable study deadline. </w:t>
      </w:r>
      <w:bookmarkEnd w:id="227"/>
    </w:p>
    <w:p w:rsidR="00911580" w:rsidRPr="0072600F" w14:paraId="4BF58933" w14:textId="77777777">
      <w:pPr>
        <w:ind w:left="1440"/>
        <w:rPr>
          <w:rFonts w:ascii="Times New Roman" w:eastAsia="Calibri" w:hAnsi="Times New Roman" w:cs="Times New Roman"/>
          <w:iCs/>
          <w:sz w:val="26"/>
          <w:szCs w:val="26"/>
        </w:rPr>
      </w:pPr>
    </w:p>
    <w:p w:rsidR="00911580" w:rsidRPr="0072600F" w:rsidP="00D93E73" w14:paraId="259D4698" w14:textId="77777777">
      <w:pPr>
        <w:ind w:left="1440"/>
        <w:rPr>
          <w:rFonts w:ascii="Times New Roman" w:hAnsi="Times New Roman" w:cs="Times New Roman"/>
          <w:sz w:val="26"/>
          <w:szCs w:val="26"/>
        </w:rPr>
      </w:pPr>
      <w:r w:rsidRPr="0072600F">
        <w:rPr>
          <w:rFonts w:ascii="Times New Roman" w:hAnsi="Times New Roman" w:cs="Times New Roman"/>
          <w:sz w:val="26"/>
          <w:szCs w:val="26"/>
        </w:rPr>
        <w:t>(5) If (a) Transmission Provider needs to extend the deadline for a particular study subject to penalties under this Section and (b) all Interconnection Customers or Affected System Interconnection Customers included in the relevant study mutually agree to such an extension, the deadline for that study shall be extended thirty (30) Business Days from the original deadline.  In such a scenario, no penalty will be assessed for Transmission Provider missing the original deadline.</w:t>
      </w:r>
    </w:p>
    <w:p w:rsidR="00911580" w:rsidRPr="0072600F" w14:paraId="1DA9F044" w14:textId="77777777">
      <w:pPr>
        <w:ind w:left="1440"/>
        <w:rPr>
          <w:rFonts w:ascii="Times New Roman" w:eastAsia="Calibri" w:hAnsi="Times New Roman" w:cs="Times New Roman"/>
          <w:iCs/>
          <w:sz w:val="26"/>
          <w:szCs w:val="26"/>
        </w:rPr>
      </w:pPr>
    </w:p>
    <w:p w:rsidR="00911580" w:rsidRPr="0072600F" w:rsidP="00D93E73" w14:paraId="1B731947"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(6) No penalties shall be assessed until the third Cluster Study cycle (including any Transitional Cluster Study cycle, but not Transitional Serial </w:t>
      </w:r>
      <w:r w:rsidRPr="0072600F" w:rsidR="001C4BEA">
        <w:rPr>
          <w:rFonts w:ascii="Times New Roman" w:hAnsi="Times New Roman" w:cs="Times New Roman"/>
          <w:i/>
          <w:iCs/>
          <w:sz w:val="26"/>
          <w:szCs w:val="26"/>
        </w:rPr>
        <w:t xml:space="preserve">Interconnection Facilities </w:t>
      </w:r>
      <w:r w:rsidRPr="0072600F">
        <w:rPr>
          <w:rFonts w:ascii="Times New Roman" w:hAnsi="Times New Roman" w:cs="Times New Roman"/>
          <w:sz w:val="26"/>
          <w:szCs w:val="26"/>
        </w:rPr>
        <w:t>Studies) after the Commission-approved effective date of Transmission Provider’s filing made in compliance with the Final Rule in Docket No. RM22-14-000.</w:t>
      </w:r>
    </w:p>
    <w:p w:rsidR="00911580" w:rsidRPr="0072600F" w14:paraId="299D7197" w14:textId="77777777">
      <w:pPr>
        <w:ind w:left="1440"/>
        <w:rPr>
          <w:rFonts w:ascii="Times New Roman" w:eastAsia="Calibri" w:hAnsi="Times New Roman" w:cs="Times New Roman"/>
          <w:iCs/>
          <w:sz w:val="26"/>
          <w:szCs w:val="26"/>
        </w:rPr>
      </w:pPr>
    </w:p>
    <w:p w:rsidR="00911580" w:rsidRPr="0072600F" w14:paraId="181B7B8F" w14:textId="77777777">
      <w:pPr>
        <w:ind w:left="1440"/>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 xml:space="preserve">(7) Transmission Provider must maintain on its OASIS or its public website summary statistics related to penalties assessed under this Section, updated quarterly.  For each calendar quarter, Transmission Provider must calculate and post (1) the total amount of penalties assessed under this Section during the previous reporting quarter and (2) the highest penalty assessed under this Section paid to a single Interconnection Customer or Affected System Interconnection Customer during the previous reporting quarter.  Transmission Provider must post on its OASIS or its website these penalty amounts for each calendar quarter within thirty (30) Calendar Days of the end of the calendar quarter.  </w:t>
      </w:r>
      <w:bookmarkStart w:id="228" w:name="_Hlk139555607"/>
      <w:r w:rsidRPr="0072600F">
        <w:rPr>
          <w:rFonts w:ascii="Times New Roman" w:eastAsia="Calibri" w:hAnsi="Times New Roman" w:cs="Times New Roman"/>
          <w:iCs/>
          <w:sz w:val="26"/>
          <w:szCs w:val="26"/>
        </w:rPr>
        <w:t xml:space="preserve">Transmission Provider must maintain the quarterly measures posted on its OASIS or its website for three (3) calendar years with the first required posting to be the third Cluster Study cycle (including any Transitional Cluster Study cycle, but not Transitional Serial </w:t>
      </w:r>
      <w:r w:rsidRPr="0072600F" w:rsidR="001C4BEA">
        <w:rPr>
          <w:rFonts w:ascii="Times New Roman" w:eastAsia="Calibri" w:hAnsi="Times New Roman" w:cs="Times New Roman"/>
          <w:i/>
          <w:sz w:val="26"/>
          <w:szCs w:val="26"/>
        </w:rPr>
        <w:t xml:space="preserve">Interconnection Facilities </w:t>
      </w:r>
      <w:r w:rsidRPr="0072600F">
        <w:rPr>
          <w:rFonts w:ascii="Times New Roman" w:eastAsia="Calibri" w:hAnsi="Times New Roman" w:cs="Times New Roman"/>
          <w:iCs/>
          <w:sz w:val="26"/>
          <w:szCs w:val="26"/>
        </w:rPr>
        <w:t xml:space="preserve">Studies) after Transmission Provider transitions to the Cluster Study Process. </w:t>
      </w:r>
      <w:bookmarkEnd w:id="228"/>
    </w:p>
    <w:p w:rsidR="00911580" w:rsidRPr="0072600F" w14:paraId="715FDE49" w14:textId="77777777">
      <w:pPr>
        <w:ind w:left="1440"/>
        <w:rPr>
          <w:rFonts w:ascii="Times New Roman" w:hAnsi="Times New Roman" w:cs="Times New Roman"/>
          <w:b/>
          <w:bCs/>
          <w:sz w:val="26"/>
          <w:szCs w:val="26"/>
        </w:rPr>
      </w:pPr>
    </w:p>
    <w:p w:rsidR="00911580" w:rsidRPr="0072600F" w14:paraId="05DF7F59" w14:textId="77777777">
      <w:pPr>
        <w:tabs>
          <w:tab w:val="left" w:pos="720"/>
          <w:tab w:val="left" w:pos="1440"/>
        </w:tabs>
        <w:rPr>
          <w:rFonts w:ascii="Times New Roman" w:hAnsi="Times New Roman" w:cs="Times New Roman"/>
          <w:b/>
          <w:bCs/>
          <w:sz w:val="26"/>
          <w:szCs w:val="26"/>
        </w:rPr>
      </w:pPr>
    </w:p>
    <w:p w:rsidR="00911580" w:rsidRPr="0072600F" w:rsidP="0036513C" w14:paraId="6A25314D" w14:textId="77777777">
      <w:pPr>
        <w:pStyle w:val="Heading2"/>
        <w:rPr>
          <w:b/>
          <w:bCs/>
          <w:sz w:val="26"/>
          <w:szCs w:val="26"/>
        </w:rPr>
      </w:pPr>
      <w:bookmarkStart w:id="229" w:name="_Toc149903627"/>
      <w:r w:rsidRPr="0072600F">
        <w:rPr>
          <w:b/>
          <w:bCs/>
          <w:sz w:val="26"/>
          <w:szCs w:val="26"/>
        </w:rPr>
        <w:t>Section 4.</w:t>
      </w:r>
      <w:r w:rsidRPr="0072600F">
        <w:rPr>
          <w:b/>
          <w:bCs/>
          <w:sz w:val="26"/>
          <w:szCs w:val="26"/>
        </w:rPr>
        <w:tab/>
        <w:t>Interconnection Request Evaluation Process.</w:t>
      </w:r>
      <w:bookmarkEnd w:id="229"/>
      <w:r w:rsidRPr="0072600F">
        <w:rPr>
          <w:b/>
          <w:bCs/>
          <w:sz w:val="26"/>
          <w:szCs w:val="26"/>
        </w:rPr>
        <w:t xml:space="preserve"> </w:t>
      </w:r>
    </w:p>
    <w:p w:rsidR="00911580" w:rsidRPr="0072600F" w14:paraId="2FE14B1D" w14:textId="77777777">
      <w:pPr>
        <w:rPr>
          <w:rFonts w:ascii="Times New Roman" w:hAnsi="Times New Roman" w:cs="Times New Roman"/>
          <w:sz w:val="26"/>
          <w:szCs w:val="26"/>
        </w:rPr>
      </w:pPr>
    </w:p>
    <w:p w:rsidR="00911580" w:rsidRPr="0072600F" w14:paraId="710B5FD7"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Once an Interconnection Customer has submitted a valid Interconnection Request pursuant to Section 3.4 of this LGIP, such Interconnection Request shall become part of </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8713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interconnection queue for further processing pursuant to the following procedures.</w:t>
      </w:r>
    </w:p>
    <w:p w:rsidR="00911580" w:rsidRPr="0072600F" w14:paraId="5C689FCF" w14:textId="77777777">
      <w:pPr>
        <w:rPr>
          <w:rFonts w:ascii="Times New Roman" w:hAnsi="Times New Roman" w:cs="Times New Roman"/>
          <w:b/>
          <w:bCs/>
          <w:sz w:val="26"/>
          <w:szCs w:val="26"/>
        </w:rPr>
      </w:pPr>
    </w:p>
    <w:p w:rsidR="00911580" w:rsidRPr="0072600F" w:rsidP="009342B1" w14:paraId="34C7A6D6" w14:textId="77777777">
      <w:pPr>
        <w:pStyle w:val="Heading3"/>
        <w:rPr>
          <w:b/>
          <w:sz w:val="26"/>
        </w:rPr>
      </w:pPr>
      <w:bookmarkStart w:id="230" w:name="_Toc149903628"/>
      <w:r w:rsidRPr="0072600F">
        <w:rPr>
          <w:b/>
          <w:sz w:val="26"/>
        </w:rPr>
        <w:t>4.1</w:t>
      </w:r>
      <w:r w:rsidRPr="0072600F">
        <w:rPr>
          <w:b/>
          <w:sz w:val="26"/>
        </w:rPr>
        <w:tab/>
        <w:t>Queue Position.</w:t>
      </w:r>
      <w:bookmarkEnd w:id="230"/>
      <w:r w:rsidRPr="0072600F">
        <w:rPr>
          <w:b/>
          <w:sz w:val="26"/>
        </w:rPr>
        <w:t xml:space="preserve"> </w:t>
      </w:r>
    </w:p>
    <w:p w:rsidR="00911580" w:rsidRPr="0072600F" w14:paraId="6A582307" w14:textId="77777777">
      <w:pPr>
        <w:rPr>
          <w:rFonts w:ascii="Times New Roman" w:hAnsi="Times New Roman" w:cs="Times New Roman"/>
          <w:sz w:val="26"/>
          <w:szCs w:val="26"/>
        </w:rPr>
      </w:pPr>
    </w:p>
    <w:p w:rsidR="00911580" w:rsidRPr="0072600F" w:rsidP="009342B1" w14:paraId="5244A1BA" w14:textId="77777777">
      <w:pPr>
        <w:pStyle w:val="Heading4"/>
        <w:rPr>
          <w:b/>
          <w:sz w:val="26"/>
        </w:rPr>
      </w:pPr>
      <w:r w:rsidRPr="0072600F">
        <w:rPr>
          <w:sz w:val="26"/>
        </w:rPr>
        <w:tab/>
      </w:r>
      <w:bookmarkStart w:id="231" w:name="_Toc149903629"/>
      <w:r w:rsidRPr="0072600F">
        <w:rPr>
          <w:b/>
          <w:sz w:val="26"/>
        </w:rPr>
        <w:t xml:space="preserve">4.1.1 </w:t>
      </w:r>
      <w:r w:rsidRPr="0072600F">
        <w:rPr>
          <w:b/>
          <w:sz w:val="26"/>
        </w:rPr>
        <w:tab/>
        <w:t>Assignment of Queue Position.</w:t>
      </w:r>
      <w:bookmarkEnd w:id="231"/>
    </w:p>
    <w:p w:rsidR="00911580" w:rsidRPr="0072600F" w14:paraId="2DFD42C6" w14:textId="77777777">
      <w:pPr>
        <w:ind w:left="2160"/>
        <w:rPr>
          <w:rFonts w:ascii="Times New Roman" w:eastAsia="Calibri" w:hAnsi="Times New Roman" w:cs="Times New Roman"/>
          <w:sz w:val="26"/>
          <w:szCs w:val="26"/>
        </w:rPr>
      </w:pPr>
      <w:bookmarkStart w:id="232" w:name="_Hlk139556082"/>
      <w:r w:rsidRPr="0072600F">
        <w:rPr>
          <w:rFonts w:ascii="Times New Roman" w:eastAsia="Calibri" w:hAnsi="Times New Roman" w:cs="Times New Roman"/>
          <w:sz w:val="26"/>
          <w:szCs w:val="26"/>
        </w:rPr>
        <w:t xml:space="preserve">Transmission Provider shall assign a Queue Position as follows: </w:t>
      </w:r>
      <w:r w:rsidRPr="0072600F" w:rsidR="007D65D3">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the Queue Position within the queue shall be assigned based upon the date and time of receipt of all items required pursuant to the provisions of Section 3.4 of this LGIP.  All Interconnection Requests submitted and validated in a single Cluster Request Window shall be considered equally queued.</w:t>
      </w:r>
      <w:r w:rsidRPr="0072600F">
        <w:rPr>
          <w:rFonts w:ascii="Times New Roman" w:eastAsia="Calibri" w:hAnsi="Times New Roman" w:cs="Times New Roman"/>
          <w:sz w:val="26"/>
          <w:szCs w:val="26"/>
        </w:rPr>
        <w:t xml:space="preserve"> </w:t>
      </w:r>
    </w:p>
    <w:bookmarkEnd w:id="232"/>
    <w:p w:rsidR="00911580" w:rsidRPr="0072600F" w14:paraId="67F7767A" w14:textId="77777777">
      <w:pPr>
        <w:ind w:left="2160"/>
        <w:rPr>
          <w:rFonts w:ascii="Times New Roman" w:eastAsia="Calibri" w:hAnsi="Times New Roman" w:cs="Times New Roman"/>
          <w:sz w:val="26"/>
          <w:szCs w:val="26"/>
        </w:rPr>
      </w:pPr>
    </w:p>
    <w:p w:rsidR="00911580" w:rsidRPr="0072600F" w:rsidP="009342B1" w14:paraId="1B890A47" w14:textId="77777777">
      <w:pPr>
        <w:pStyle w:val="Heading4"/>
        <w:rPr>
          <w:rFonts w:eastAsia="Calibri"/>
          <w:b/>
          <w:sz w:val="26"/>
        </w:rPr>
      </w:pPr>
      <w:r w:rsidRPr="0072600F">
        <w:rPr>
          <w:rFonts w:eastAsia="Calibri"/>
          <w:sz w:val="26"/>
        </w:rPr>
        <w:tab/>
      </w:r>
      <w:bookmarkStart w:id="233" w:name="_Toc149903630"/>
      <w:r w:rsidRPr="0072600F">
        <w:rPr>
          <w:rFonts w:eastAsia="Calibri"/>
          <w:b/>
          <w:sz w:val="26"/>
        </w:rPr>
        <w:t>4.1.2</w:t>
      </w:r>
      <w:r w:rsidRPr="0072600F">
        <w:rPr>
          <w:rFonts w:eastAsia="Calibri"/>
          <w:b/>
          <w:sz w:val="26"/>
        </w:rPr>
        <w:tab/>
        <w:t>Higher Queue Position.</w:t>
      </w:r>
      <w:bookmarkEnd w:id="233"/>
      <w:r w:rsidRPr="0072600F">
        <w:rPr>
          <w:rFonts w:eastAsia="Calibri"/>
          <w:b/>
          <w:sz w:val="26"/>
        </w:rPr>
        <w:t xml:space="preserve"> </w:t>
      </w:r>
    </w:p>
    <w:p w:rsidR="00911580" w:rsidRPr="0072600F" w14:paraId="735C051B" w14:textId="77777777">
      <w:pPr>
        <w:tabs>
          <w:tab w:val="num" w:pos="1890"/>
        </w:tabs>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 higher Queue Position assigned to an Interconnection Request is one that has been placed “earlier” in the queue in relation to another Interconnection Request that is assigned a lower Queue Position.  All requests studied in a single Cluster shall be considered equally queued.  Interconnection Customers that are part of Clusters initiated earlier in time than an instant </w:t>
      </w:r>
      <w:r w:rsidRPr="0072600F" w:rsidR="00A11BC1">
        <w:rPr>
          <w:rFonts w:ascii="Times New Roman" w:eastAsia="Calibri" w:hAnsi="Times New Roman" w:cs="Times New Roman"/>
          <w:sz w:val="26"/>
          <w:szCs w:val="26"/>
        </w:rPr>
        <w:t>[</w:t>
      </w:r>
      <w:r w:rsidRPr="0072600F">
        <w:rPr>
          <w:rFonts w:ascii="Times New Roman" w:eastAsia="Calibri" w:hAnsi="Times New Roman" w:cs="Times New Roman"/>
          <w:sz w:val="26"/>
          <w:szCs w:val="26"/>
        </w:rPr>
        <w:t>Q</w:t>
      </w:r>
      <w:r w:rsidRPr="0072600F" w:rsidR="00A11BC1">
        <w:rPr>
          <w:rFonts w:ascii="Times New Roman" w:eastAsia="Calibri" w:hAnsi="Times New Roman" w:cs="Times New Roman"/>
          <w:sz w:val="26"/>
          <w:szCs w:val="26"/>
        </w:rPr>
        <w:t>]</w:t>
      </w:r>
      <w:r w:rsidRPr="0072600F" w:rsidR="00CC0629">
        <w:rPr>
          <w:rFonts w:ascii="Times New Roman" w:eastAsia="Calibri" w:hAnsi="Times New Roman" w:cs="Times New Roman"/>
          <w:i/>
          <w:iCs/>
          <w:sz w:val="26"/>
          <w:szCs w:val="26"/>
        </w:rPr>
        <w:t>q</w:t>
      </w:r>
      <w:r w:rsidRPr="0072600F">
        <w:rPr>
          <w:rFonts w:ascii="Times New Roman" w:eastAsia="Calibri" w:hAnsi="Times New Roman" w:cs="Times New Roman"/>
          <w:sz w:val="26"/>
          <w:szCs w:val="26"/>
        </w:rPr>
        <w:t xml:space="preserve">ueue shall be considered to have a higher Queue Position than Interconnection Customers that are part of Clusters initiated later than an instant </w:t>
      </w:r>
      <w:r w:rsidRPr="0072600F" w:rsidR="06F39145">
        <w:rPr>
          <w:rFonts w:ascii="Times New Roman" w:eastAsia="Calibri" w:hAnsi="Times New Roman" w:cs="Times New Roman"/>
          <w:sz w:val="26"/>
          <w:szCs w:val="26"/>
        </w:rPr>
        <w:t>[</w:t>
      </w:r>
      <w:r w:rsidRPr="0072600F">
        <w:rPr>
          <w:rFonts w:ascii="Times New Roman" w:eastAsia="Calibri" w:hAnsi="Times New Roman" w:cs="Times New Roman"/>
          <w:sz w:val="26"/>
          <w:szCs w:val="26"/>
        </w:rPr>
        <w:t>Q</w:t>
      </w:r>
      <w:r w:rsidRPr="0072600F" w:rsidR="0042A899">
        <w:rPr>
          <w:rFonts w:ascii="Times New Roman" w:eastAsia="Calibri" w:hAnsi="Times New Roman" w:cs="Times New Roman"/>
          <w:sz w:val="26"/>
          <w:szCs w:val="26"/>
        </w:rPr>
        <w:t>]</w:t>
      </w:r>
      <w:r w:rsidRPr="0072600F" w:rsidR="0042A899">
        <w:rPr>
          <w:rFonts w:ascii="Times New Roman" w:eastAsia="Calibri" w:hAnsi="Times New Roman" w:cs="Times New Roman"/>
          <w:i/>
          <w:iCs/>
          <w:sz w:val="26"/>
          <w:szCs w:val="26"/>
        </w:rPr>
        <w:t>q</w:t>
      </w:r>
      <w:r w:rsidRPr="0072600F">
        <w:rPr>
          <w:rFonts w:ascii="Times New Roman" w:eastAsia="Calibri" w:hAnsi="Times New Roman" w:cs="Times New Roman"/>
          <w:sz w:val="26"/>
          <w:szCs w:val="26"/>
        </w:rPr>
        <w:t xml:space="preserve">ueue.  </w:t>
      </w:r>
    </w:p>
    <w:p w:rsidR="00911580" w:rsidRPr="0072600F" w14:paraId="2C3CC94E" w14:textId="77777777">
      <w:pPr>
        <w:rPr>
          <w:rFonts w:ascii="Times New Roman" w:eastAsia="Calibri" w:hAnsi="Times New Roman" w:cs="Times New Roman"/>
          <w:sz w:val="26"/>
          <w:szCs w:val="26"/>
        </w:rPr>
      </w:pPr>
    </w:p>
    <w:p w:rsidR="00911580" w:rsidRPr="0072600F" w:rsidP="009342B1" w14:paraId="33038FC7" w14:textId="77777777">
      <w:pPr>
        <w:pStyle w:val="Heading3"/>
        <w:ind w:left="0" w:firstLine="0"/>
        <w:rPr>
          <w:rFonts w:eastAsia="Calibri"/>
          <w:b/>
          <w:sz w:val="26"/>
        </w:rPr>
      </w:pPr>
      <w:r w:rsidRPr="0072600F">
        <w:rPr>
          <w:sz w:val="26"/>
        </w:rPr>
        <w:tab/>
      </w:r>
      <w:bookmarkStart w:id="234" w:name="_Toc149903631"/>
      <w:r w:rsidRPr="0072600F">
        <w:rPr>
          <w:b/>
          <w:sz w:val="26"/>
        </w:rPr>
        <w:t>4.2.</w:t>
      </w:r>
      <w:r w:rsidRPr="0072600F">
        <w:rPr>
          <w:b/>
          <w:sz w:val="26"/>
        </w:rPr>
        <w:tab/>
        <w:t>General Study Process.</w:t>
      </w:r>
      <w:bookmarkEnd w:id="234"/>
      <w:r w:rsidRPr="0072600F">
        <w:rPr>
          <w:b/>
          <w:sz w:val="26"/>
        </w:rPr>
        <w:t xml:space="preserve"> </w:t>
      </w:r>
      <w:r w:rsidRPr="0072600F">
        <w:rPr>
          <w:rFonts w:eastAsia="Calibri"/>
          <w:b/>
          <w:sz w:val="26"/>
        </w:rPr>
        <w:t xml:space="preserve"> </w:t>
      </w:r>
    </w:p>
    <w:p w:rsidR="00911580" w:rsidRPr="0072600F" w14:paraId="2AAF81FD"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Interconnection Studies performed within the Cluster Study Process shall be conducted in such a manner to ensure the efficient implementation of the applicable regional transmission expansion plan in light of the Transmission System’s capabilities at the time of each study and consistent with Good Utility Practice.  </w:t>
      </w:r>
    </w:p>
    <w:p w:rsidR="00911580" w:rsidRPr="0072600F" w14:paraId="2A1A7F55" w14:textId="77777777">
      <w:pPr>
        <w:ind w:left="1440"/>
        <w:rPr>
          <w:rFonts w:ascii="Times New Roman" w:eastAsia="Calibri" w:hAnsi="Times New Roman" w:cs="Times New Roman"/>
          <w:iCs/>
          <w:sz w:val="26"/>
          <w:szCs w:val="26"/>
        </w:rPr>
      </w:pPr>
    </w:p>
    <w:p w:rsidR="00911580" w:rsidRPr="0072600F" w14:paraId="5593B11A" w14:textId="77777777">
      <w:pPr>
        <w:ind w:left="1440"/>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 xml:space="preserve">Transmission Provider may use subgroups in the Cluster Study Process.  In all instances in which Transmission Provider elects to use subgroups in the </w:t>
      </w:r>
      <w:r w:rsidRPr="0072600F" w:rsidR="54E9275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14DA49E6">
        <w:rPr>
          <w:rFonts w:ascii="Times New Roman" w:eastAsia="Calibri" w:hAnsi="Times New Roman" w:cs="Times New Roman"/>
          <w:sz w:val="26"/>
          <w:szCs w:val="26"/>
        </w:rPr>
        <w:t>]</w:t>
      </w:r>
      <w:r w:rsidRPr="0072600F" w:rsidR="14DA49E6">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luster </w:t>
      </w:r>
      <w:r w:rsidRPr="0072600F" w:rsidR="270555BF">
        <w:rPr>
          <w:rFonts w:ascii="Times New Roman" w:eastAsia="Calibri" w:hAnsi="Times New Roman" w:cs="Times New Roman"/>
          <w:sz w:val="26"/>
          <w:szCs w:val="26"/>
        </w:rPr>
        <w:t>[</w:t>
      </w:r>
      <w:r w:rsidRPr="0072600F">
        <w:rPr>
          <w:rFonts w:ascii="Times New Roman" w:eastAsia="Calibri" w:hAnsi="Times New Roman" w:cs="Times New Roman"/>
          <w:sz w:val="26"/>
          <w:szCs w:val="26"/>
        </w:rPr>
        <w:t>s</w:t>
      </w:r>
      <w:r w:rsidRPr="0072600F" w:rsidR="50615835">
        <w:rPr>
          <w:rFonts w:ascii="Times New Roman" w:eastAsia="Calibri" w:hAnsi="Times New Roman" w:cs="Times New Roman"/>
          <w:sz w:val="26"/>
          <w:szCs w:val="26"/>
        </w:rPr>
        <w:t>]</w:t>
      </w:r>
      <w:r w:rsidRPr="0072600F" w:rsidR="50615835">
        <w:rPr>
          <w:rFonts w:ascii="Times New Roman" w:eastAsia="Calibri" w:hAnsi="Times New Roman" w:cs="Times New Roman"/>
          <w:i/>
          <w:iCs/>
          <w:sz w:val="26"/>
          <w:szCs w:val="26"/>
        </w:rPr>
        <w:t>S</w:t>
      </w:r>
      <w:r w:rsidRPr="0072600F">
        <w:rPr>
          <w:rFonts w:ascii="Times New Roman" w:eastAsia="Calibri" w:hAnsi="Times New Roman" w:cs="Times New Roman"/>
          <w:sz w:val="26"/>
          <w:szCs w:val="26"/>
        </w:rPr>
        <w:t xml:space="preserve">tudy </w:t>
      </w:r>
      <w:r w:rsidRPr="0072600F" w:rsidR="6E15B4C2">
        <w:rPr>
          <w:rFonts w:ascii="Times New Roman" w:eastAsia="Calibri" w:hAnsi="Times New Roman" w:cs="Times New Roman"/>
          <w:sz w:val="26"/>
          <w:szCs w:val="26"/>
        </w:rPr>
        <w:t>[</w:t>
      </w:r>
      <w:r w:rsidRPr="0072600F">
        <w:rPr>
          <w:rFonts w:ascii="Times New Roman" w:eastAsia="Calibri" w:hAnsi="Times New Roman" w:cs="Times New Roman"/>
          <w:sz w:val="26"/>
          <w:szCs w:val="26"/>
        </w:rPr>
        <w:t>p</w:t>
      </w:r>
      <w:r w:rsidRPr="0072600F" w:rsidR="4BE9A362">
        <w:rPr>
          <w:rFonts w:ascii="Times New Roman" w:eastAsia="Calibri" w:hAnsi="Times New Roman" w:cs="Times New Roman"/>
          <w:sz w:val="26"/>
          <w:szCs w:val="26"/>
        </w:rPr>
        <w:t>]</w:t>
      </w:r>
      <w:r w:rsidRPr="0072600F" w:rsidR="4BE9A362">
        <w:rPr>
          <w:rFonts w:ascii="Times New Roman" w:eastAsia="Calibri" w:hAnsi="Times New Roman" w:cs="Times New Roman"/>
          <w:i/>
          <w:iCs/>
          <w:sz w:val="26"/>
          <w:szCs w:val="26"/>
        </w:rPr>
        <w:t>P</w:t>
      </w:r>
      <w:r w:rsidRPr="0072600F">
        <w:rPr>
          <w:rFonts w:ascii="Times New Roman" w:eastAsia="Calibri" w:hAnsi="Times New Roman" w:cs="Times New Roman"/>
          <w:sz w:val="26"/>
          <w:szCs w:val="26"/>
        </w:rPr>
        <w:t>rocess</w:t>
      </w:r>
      <w:r w:rsidRPr="0072600F">
        <w:rPr>
          <w:rFonts w:ascii="Times New Roman" w:eastAsia="Calibri" w:hAnsi="Times New Roman" w:cs="Times New Roman"/>
          <w:iCs/>
          <w:sz w:val="26"/>
          <w:szCs w:val="26"/>
        </w:rPr>
        <w:t>, Transmission Provider must publish the criteria used to define and determine subgroups on its OASIS or public website.</w:t>
      </w:r>
    </w:p>
    <w:p w:rsidR="00911580" w:rsidRPr="0072600F" w:rsidP="009342B1" w14:paraId="1DFE0864" w14:textId="77777777">
      <w:pPr>
        <w:pStyle w:val="Heading4"/>
        <w:rPr>
          <w:rFonts w:eastAsia="Calibri"/>
          <w:b/>
          <w:sz w:val="26"/>
        </w:rPr>
      </w:pPr>
      <w:r w:rsidRPr="0072600F">
        <w:rPr>
          <w:rFonts w:eastAsia="Calibri"/>
          <w:sz w:val="26"/>
        </w:rPr>
        <w:tab/>
      </w:r>
      <w:bookmarkStart w:id="235" w:name="_Toc149903632"/>
      <w:r w:rsidRPr="0072600F">
        <w:rPr>
          <w:rFonts w:eastAsia="Calibri"/>
          <w:b/>
          <w:sz w:val="26"/>
        </w:rPr>
        <w:t>4.2.1</w:t>
      </w:r>
      <w:r w:rsidRPr="0072600F">
        <w:rPr>
          <w:rFonts w:eastAsia="Calibri"/>
          <w:b/>
          <w:sz w:val="26"/>
        </w:rPr>
        <w:tab/>
        <w:t>Cost Allocation for Interconnection Facilities and Network Upgrades.</w:t>
      </w:r>
      <w:bookmarkEnd w:id="235"/>
      <w:r w:rsidRPr="0072600F">
        <w:rPr>
          <w:rFonts w:eastAsia="Calibri"/>
          <w:b/>
          <w:sz w:val="26"/>
        </w:rPr>
        <w:t xml:space="preserve"> </w:t>
      </w:r>
    </w:p>
    <w:p w:rsidR="00E76DC1" w:rsidRPr="0072600F" w14:paraId="3594A4EB" w14:textId="77777777">
      <w:pPr>
        <w:ind w:left="2160"/>
        <w:rPr>
          <w:rFonts w:ascii="Times New Roman" w:eastAsia="Calibri" w:hAnsi="Times New Roman" w:cs="Times New Roman"/>
          <w:sz w:val="26"/>
          <w:szCs w:val="26"/>
        </w:rPr>
      </w:pPr>
    </w:p>
    <w:p w:rsidR="00911580" w:rsidRPr="0072600F" w14:paraId="228794E1"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(1) For Network Upgrades identified in Cluster Studies, Transmission Provider shall calculate each Interconnection Customer’s share of the costs as follows:</w:t>
      </w:r>
    </w:p>
    <w:p w:rsidR="00911580" w:rsidRPr="0072600F" w14:paraId="4667367B" w14:textId="77777777">
      <w:pPr>
        <w:tabs>
          <w:tab w:val="left" w:pos="1440"/>
          <w:tab w:val="left" w:pos="2160"/>
        </w:tabs>
        <w:rPr>
          <w:rFonts w:ascii="Times New Roman" w:eastAsia="Calibri" w:hAnsi="Times New Roman" w:cs="Times New Roman"/>
          <w:sz w:val="26"/>
          <w:szCs w:val="26"/>
        </w:rPr>
      </w:pPr>
    </w:p>
    <w:p w:rsidR="00911580" w:rsidRPr="0072600F" w:rsidP="00E76DC1" w14:paraId="00A1F61D" w14:textId="77777777">
      <w:pPr>
        <w:ind w:left="2880"/>
        <w:rPr>
          <w:rFonts w:ascii="Times New Roman" w:eastAsia="Calibri" w:hAnsi="Times New Roman" w:cs="Times New Roman"/>
          <w:sz w:val="26"/>
          <w:szCs w:val="26"/>
        </w:rPr>
      </w:pPr>
      <w:r w:rsidRPr="0072600F">
        <w:rPr>
          <w:rFonts w:ascii="Times New Roman" w:hAnsi="Times New Roman" w:cs="Times New Roman"/>
          <w:sz w:val="26"/>
          <w:szCs w:val="26"/>
        </w:rPr>
        <w:t xml:space="preserve">(a) Substation Network Upgrades, including all switching stations, shall be allocated </w:t>
      </w:r>
      <w:r w:rsidRPr="0072600F" w:rsidR="006C52FF">
        <w:rPr>
          <w:rFonts w:ascii="Times New Roman" w:hAnsi="Times New Roman" w:cs="Times New Roman"/>
          <w:i/>
          <w:iCs/>
          <w:sz w:val="26"/>
          <w:szCs w:val="26"/>
        </w:rPr>
        <w:t xml:space="preserve">first </w:t>
      </w:r>
      <w:r w:rsidRPr="0072600F">
        <w:rPr>
          <w:rFonts w:ascii="Times New Roman" w:hAnsi="Times New Roman" w:cs="Times New Roman"/>
          <w:sz w:val="26"/>
          <w:szCs w:val="26"/>
        </w:rPr>
        <w:t xml:space="preserve">per capita </w:t>
      </w:r>
      <w:r w:rsidR="005F7616">
        <w:rPr>
          <w:rFonts w:ascii="Times New Roman" w:hAnsi="Times New Roman" w:cs="Times New Roman"/>
          <w:i/>
          <w:iCs/>
          <w:sz w:val="26"/>
          <w:szCs w:val="26"/>
        </w:rPr>
        <w:t>to</w:t>
      </w:r>
      <w:r w:rsidRPr="0072600F" w:rsidR="005F7616">
        <w:rPr>
          <w:rFonts w:ascii="Times New Roman" w:hAnsi="Times New Roman" w:cs="Times New Roman"/>
          <w:i/>
          <w:iCs/>
          <w:sz w:val="26"/>
          <w:szCs w:val="26"/>
        </w:rPr>
        <w:t xml:space="preserve"> </w:t>
      </w:r>
      <w:r w:rsidRPr="0072600F" w:rsidR="006C52FF">
        <w:rPr>
          <w:rFonts w:ascii="Times New Roman" w:hAnsi="Times New Roman" w:cs="Times New Roman"/>
          <w:i/>
          <w:iCs/>
          <w:sz w:val="26"/>
          <w:szCs w:val="26"/>
        </w:rPr>
        <w:t>Interconnection Facilit</w:t>
      </w:r>
      <w:r w:rsidR="005F7616">
        <w:rPr>
          <w:rFonts w:ascii="Times New Roman" w:hAnsi="Times New Roman" w:cs="Times New Roman"/>
          <w:i/>
          <w:iCs/>
          <w:sz w:val="26"/>
          <w:szCs w:val="26"/>
        </w:rPr>
        <w:t>ies interconnecting to the substation at the same voltage level</w:t>
      </w:r>
      <w:r w:rsidR="00AF4078">
        <w:rPr>
          <w:rFonts w:ascii="Times New Roman" w:hAnsi="Times New Roman" w:cs="Times New Roman"/>
          <w:i/>
          <w:iCs/>
          <w:sz w:val="26"/>
          <w:szCs w:val="26"/>
        </w:rPr>
        <w:t>,</w:t>
      </w:r>
      <w:r w:rsidRPr="0072600F" w:rsidR="006C52FF">
        <w:rPr>
          <w:rFonts w:ascii="Times New Roman" w:hAnsi="Times New Roman" w:cs="Times New Roman"/>
          <w:i/>
          <w:iCs/>
          <w:sz w:val="26"/>
          <w:szCs w:val="26"/>
        </w:rPr>
        <w:t xml:space="preserve"> and then per capita </w:t>
      </w:r>
      <w:r w:rsidRPr="0072600F">
        <w:rPr>
          <w:rFonts w:ascii="Times New Roman" w:hAnsi="Times New Roman" w:cs="Times New Roman"/>
          <w:sz w:val="26"/>
          <w:szCs w:val="26"/>
        </w:rPr>
        <w:t>to each Generating</w:t>
      </w:r>
      <w:r w:rsidRPr="0072600F">
        <w:rPr>
          <w:rFonts w:ascii="Times New Roman" w:eastAsia="Calibri" w:hAnsi="Times New Roman" w:cs="Times New Roman"/>
          <w:sz w:val="26"/>
          <w:szCs w:val="26"/>
        </w:rPr>
        <w:t xml:space="preserve"> Facility</w:t>
      </w:r>
      <w:r w:rsidR="004940C0">
        <w:rPr>
          <w:rFonts w:ascii="Times New Roman" w:eastAsia="Calibri" w:hAnsi="Times New Roman" w:cs="Times New Roman"/>
          <w:sz w:val="26"/>
          <w:szCs w:val="26"/>
        </w:rPr>
        <w:t xml:space="preserve"> </w:t>
      </w:r>
      <w:r w:rsidRPr="006A72F0" w:rsidR="004940C0">
        <w:rPr>
          <w:rFonts w:ascii="Times New Roman" w:eastAsia="Calibri" w:hAnsi="Times New Roman" w:cs="Times New Roman"/>
          <w:i/>
          <w:iCs/>
          <w:sz w:val="26"/>
          <w:szCs w:val="26"/>
        </w:rPr>
        <w:t>sharing the Interconnection Facility</w:t>
      </w:r>
      <w:r w:rsidRPr="0072600F">
        <w:rPr>
          <w:rFonts w:ascii="Times New Roman" w:eastAsia="Calibri" w:hAnsi="Times New Roman" w:cs="Times New Roman"/>
          <w:sz w:val="26"/>
          <w:szCs w:val="26"/>
        </w:rPr>
        <w:t xml:space="preserve"> </w:t>
      </w:r>
      <w:r w:rsidR="00DB6614">
        <w:rPr>
          <w:rFonts w:ascii="Times New Roman" w:eastAsia="Calibri" w:hAnsi="Times New Roman" w:cs="Times New Roman"/>
          <w:sz w:val="26"/>
          <w:szCs w:val="26"/>
        </w:rPr>
        <w:t>[</w:t>
      </w:r>
      <w:r w:rsidRPr="0072600F">
        <w:rPr>
          <w:rFonts w:ascii="Times New Roman" w:eastAsia="Calibri" w:hAnsi="Times New Roman" w:cs="Times New Roman"/>
          <w:sz w:val="26"/>
          <w:szCs w:val="26"/>
        </w:rPr>
        <w:t>interconnecting</w:t>
      </w:r>
      <w:r w:rsidRPr="0072600F" w:rsidR="001E73E2">
        <w:rPr>
          <w:rFonts w:ascii="Times New Roman" w:eastAsia="Calibri" w:hAnsi="Times New Roman" w:cs="Times New Roman"/>
          <w:sz w:val="26"/>
          <w:szCs w:val="26"/>
        </w:rPr>
        <w:t xml:space="preserve"> </w:t>
      </w:r>
      <w:r w:rsidRPr="0072600F" w:rsidR="001E73E2">
        <w:rPr>
          <w:rFonts w:ascii="Times New Roman" w:eastAsia="Calibri" w:hAnsi="Times New Roman" w:cs="Times New Roman"/>
          <w:sz w:val="26"/>
          <w:szCs w:val="26"/>
        </w:rPr>
        <w:t xml:space="preserve">at the same </w:t>
      </w:r>
      <w:r w:rsidRPr="0072600F">
        <w:rPr>
          <w:rFonts w:ascii="Times New Roman" w:eastAsia="Calibri" w:hAnsi="Times New Roman" w:cs="Times New Roman"/>
          <w:sz w:val="26"/>
          <w:szCs w:val="26"/>
        </w:rPr>
        <w:t>substation</w:t>
      </w:r>
      <w:r w:rsidR="004940C0">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p>
    <w:p w:rsidR="00911580" w:rsidRPr="0072600F" w14:paraId="606B5973" w14:textId="77777777">
      <w:pPr>
        <w:ind w:left="2880"/>
        <w:rPr>
          <w:rFonts w:ascii="Times New Roman" w:eastAsia="Calibri" w:hAnsi="Times New Roman" w:cs="Times New Roman"/>
          <w:sz w:val="26"/>
          <w:szCs w:val="26"/>
        </w:rPr>
      </w:pPr>
    </w:p>
    <w:p w:rsidR="00911580" w:rsidRPr="0072600F" w14:paraId="11538359" w14:textId="77777777">
      <w:pPr>
        <w:ind w:left="288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(b) System Network Upgrades shall be allocated based on the proportional impact of each individual Generating Facility in the Cluster Study on the need for a specific System Network Upgrade.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Transmission Provider shall include in this section a description of how cost for each facility type designated as a network upgrade will be allocated using its proportional impact method.</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p>
    <w:p w:rsidR="00911580" w:rsidRPr="0072600F" w14:paraId="4BE2A1DB" w14:textId="77777777">
      <w:pPr>
        <w:ind w:left="2880"/>
        <w:rPr>
          <w:rFonts w:ascii="Times New Roman" w:eastAsia="Calibri" w:hAnsi="Times New Roman" w:cs="Times New Roman"/>
          <w:sz w:val="26"/>
          <w:szCs w:val="26"/>
        </w:rPr>
      </w:pPr>
    </w:p>
    <w:p w:rsidR="00911580" w:rsidRPr="0072600F" w14:paraId="5068350F" w14:textId="77777777">
      <w:pPr>
        <w:ind w:left="2880"/>
        <w:rPr>
          <w:rFonts w:ascii="Times New Roman" w:eastAsia="Calibri" w:hAnsi="Times New Roman" w:cs="Times New Roman"/>
          <w:sz w:val="26"/>
          <w:szCs w:val="26"/>
        </w:rPr>
      </w:pPr>
      <w:r w:rsidRPr="0072600F">
        <w:rPr>
          <w:rFonts w:ascii="Times New Roman" w:eastAsia="Calibri" w:hAnsi="Times New Roman" w:cs="Times New Roman"/>
          <w:sz w:val="26"/>
          <w:szCs w:val="26"/>
        </w:rPr>
        <w:t>(c) An Interconnection Customer that funds Substation Network Upgrades and/or System Network Upgrades shall be entitled to transmission credits as provided in Article 11.4 of the LGIA.</w:t>
      </w:r>
    </w:p>
    <w:p w:rsidR="00911580" w:rsidRPr="0072600F" w14:paraId="48C86CDF" w14:textId="77777777">
      <w:pPr>
        <w:ind w:left="2160"/>
        <w:rPr>
          <w:rFonts w:ascii="Times New Roman" w:eastAsia="Calibri" w:hAnsi="Times New Roman" w:cs="Times New Roman"/>
          <w:sz w:val="26"/>
          <w:szCs w:val="26"/>
        </w:rPr>
      </w:pPr>
    </w:p>
    <w:p w:rsidR="00911580" w:rsidRPr="0072600F" w14:paraId="4C057A7B" w14:textId="77777777">
      <w:pPr>
        <w:ind w:left="216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 The costs of any needed Interconnection Facilities identified in the Cluster Study Process </w:t>
      </w:r>
      <w:bookmarkStart w:id="236" w:name="_Hlk139617909"/>
      <w:r w:rsidRPr="0072600F">
        <w:rPr>
          <w:rFonts w:ascii="Times New Roman" w:eastAsia="Calibri" w:hAnsi="Times New Roman" w:cs="Times New Roman"/>
          <w:sz w:val="26"/>
          <w:szCs w:val="26"/>
        </w:rPr>
        <w:t xml:space="preserve">will be directly assigned to </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4361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using such facilities.  Where Interconnection Customers in the Cluster agree to share Interconnection Facilities, the cost of such Interconnection Facilities shall be allocated based on the number of Generating Facilities sharing use of such Interconnection Facilities on a per capita basis (i.e., on a per Generating Facility basis), unless Parties mutually agree to a different cost sharing arrangement</w:t>
      </w:r>
      <w:bookmarkEnd w:id="236"/>
      <w:r w:rsidRPr="0072600F">
        <w:rPr>
          <w:rFonts w:ascii="Times New Roman" w:eastAsia="Calibri" w:hAnsi="Times New Roman" w:cs="Times New Roman"/>
          <w:sz w:val="26"/>
          <w:szCs w:val="26"/>
        </w:rPr>
        <w:t>.</w:t>
      </w:r>
    </w:p>
    <w:p w:rsidR="00911580" w:rsidRPr="0072600F" w14:paraId="0938A7DD" w14:textId="77777777">
      <w:pPr>
        <w:rPr>
          <w:rFonts w:ascii="Times New Roman" w:hAnsi="Times New Roman" w:cs="Times New Roman"/>
          <w:sz w:val="26"/>
          <w:szCs w:val="26"/>
        </w:rPr>
      </w:pPr>
    </w:p>
    <w:p w:rsidR="00911580" w:rsidRPr="0072600F" w:rsidP="009342B1" w14:paraId="5D8C8154" w14:textId="77777777">
      <w:pPr>
        <w:pStyle w:val="Heading3"/>
        <w:rPr>
          <w:b/>
          <w:sz w:val="26"/>
        </w:rPr>
      </w:pPr>
      <w:bookmarkStart w:id="237" w:name="_Toc149903633"/>
      <w:r w:rsidRPr="0072600F">
        <w:rPr>
          <w:b/>
          <w:sz w:val="26"/>
        </w:rPr>
        <w:t>4.3</w:t>
      </w:r>
      <w:r w:rsidRPr="0072600F">
        <w:rPr>
          <w:b/>
          <w:sz w:val="26"/>
        </w:rPr>
        <w:tab/>
        <w:t>Transferability of Queue Position.</w:t>
      </w:r>
      <w:bookmarkEnd w:id="237"/>
    </w:p>
    <w:p w:rsidR="00911580" w:rsidRPr="0072600F" w14:paraId="724A6E9F" w14:textId="77777777">
      <w:pPr>
        <w:ind w:left="1440"/>
        <w:rPr>
          <w:rFonts w:ascii="Times New Roman" w:hAnsi="Times New Roman" w:cs="Times New Roman"/>
          <w:sz w:val="26"/>
          <w:szCs w:val="26"/>
        </w:rPr>
      </w:pPr>
      <w:r w:rsidRPr="0072600F">
        <w:rPr>
          <w:rFonts w:ascii="Times New Roman" w:hAnsi="Times New Roman" w:cs="Times New Roman"/>
          <w:sz w:val="26"/>
          <w:szCs w:val="26"/>
        </w:rPr>
        <w:t>An Interconnection Customer may transfer its Queue Position to another entity only if such entity acquires the specific Generating Facility identified in the Interconnection Request and the Point of Interconnection does not change.</w:t>
      </w:r>
    </w:p>
    <w:p w:rsidR="00911580" w:rsidRPr="0072600F" w14:paraId="2C82B450" w14:textId="77777777">
      <w:pPr>
        <w:rPr>
          <w:rFonts w:ascii="Times New Roman" w:hAnsi="Times New Roman" w:cs="Times New Roman"/>
          <w:sz w:val="26"/>
          <w:szCs w:val="26"/>
        </w:rPr>
      </w:pPr>
    </w:p>
    <w:p w:rsidR="00911580" w:rsidRPr="0072600F" w:rsidP="009A5AE0" w14:paraId="2D4C1FEE" w14:textId="77777777">
      <w:pPr>
        <w:pStyle w:val="Heading3"/>
        <w:rPr>
          <w:b/>
          <w:sz w:val="26"/>
        </w:rPr>
      </w:pPr>
      <w:bookmarkStart w:id="238" w:name="_Toc149903634"/>
      <w:r w:rsidRPr="0072600F">
        <w:rPr>
          <w:b/>
          <w:sz w:val="26"/>
        </w:rPr>
        <w:t>4.4</w:t>
      </w:r>
      <w:r w:rsidRPr="0072600F">
        <w:rPr>
          <w:b/>
          <w:sz w:val="26"/>
        </w:rPr>
        <w:tab/>
        <w:t>Modifications.</w:t>
      </w:r>
      <w:bookmarkEnd w:id="238"/>
    </w:p>
    <w:p w:rsidR="00911580" w:rsidRPr="0072600F" w14:paraId="5C71B025"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Customer shall submit to Transmission Provider, in writing, modifications to any information provided in the Interconnection Request. Interconnection Customer shall retain its Queue Position if the modifications are in accordance with Sections 4.4.1, 4.4.2</w:t>
      </w:r>
      <w:r w:rsidRPr="0072600F">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or 4.4.5 of this LGIP, or are determined not to be Material Modifications pursuant to Section 4.4.3 of this LGIP. </w:t>
      </w:r>
    </w:p>
    <w:p w:rsidR="00911580" w:rsidRPr="0072600F" w14:paraId="107F6E9C" w14:textId="77777777">
      <w:pPr>
        <w:ind w:left="1440"/>
        <w:rPr>
          <w:rFonts w:ascii="Times New Roman" w:eastAsia="Calibri" w:hAnsi="Times New Roman" w:cs="Times New Roman"/>
          <w:sz w:val="26"/>
          <w:szCs w:val="26"/>
        </w:rPr>
      </w:pPr>
    </w:p>
    <w:p w:rsidR="00911580" w:rsidRPr="0072600F" w14:paraId="03C3111F" w14:textId="77777777">
      <w:pPr>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Notwithstanding the above, during the course of the Interconnection Studies, either Interconnection Customer or Transmission Provider may identify changes to the planned interconnection that may improve the costs and benefits (including reliability) of the interconnection, and the ability of the proposed change to accommodate the Interconnection Request.  To the extent the identified changes are acceptable to Transmission Provider and Interconnection Customer, such acceptance not to be unreasonably withheld, Transmission Provider shall modify the Point of Interconnection </w:t>
      </w:r>
      <w:r w:rsidRPr="0072600F">
        <w:rPr>
          <w:rFonts w:ascii="Times New Roman" w:eastAsia="Calibri" w:hAnsi="Times New Roman" w:cs="Times New Roman"/>
          <w:iCs/>
          <w:sz w:val="26"/>
          <w:szCs w:val="26"/>
        </w:rPr>
        <w:t>prior to return of the executed Cluster Study Agreement,</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and Interconnection Customer shall retain its Queue Position.</w:t>
      </w:r>
    </w:p>
    <w:p w:rsidR="00911580" w:rsidRPr="0072600F" w14:paraId="6D747972" w14:textId="77777777">
      <w:pPr>
        <w:rPr>
          <w:rFonts w:ascii="Times New Roman" w:hAnsi="Times New Roman" w:cs="Times New Roman"/>
          <w:sz w:val="26"/>
          <w:szCs w:val="26"/>
        </w:rPr>
      </w:pPr>
    </w:p>
    <w:p w:rsidR="00911580" w:rsidRPr="0072600F" w14:paraId="28640A8B" w14:textId="77777777">
      <w:pPr>
        <w:ind w:left="2160" w:hanging="720"/>
        <w:rPr>
          <w:rFonts w:ascii="Times New Roman" w:hAnsi="Times New Roman" w:cs="Times New Roman"/>
          <w:sz w:val="26"/>
          <w:szCs w:val="26"/>
        </w:rPr>
      </w:pPr>
      <w:bookmarkStart w:id="239" w:name="_Toc148644184"/>
      <w:bookmarkStart w:id="240" w:name="_Toc148688518"/>
      <w:bookmarkStart w:id="241" w:name="_Toc148688744"/>
      <w:bookmarkStart w:id="242" w:name="_Toc149903635"/>
      <w:r w:rsidRPr="0072600F">
        <w:rPr>
          <w:rStyle w:val="Heading4Char"/>
          <w:rFonts w:eastAsiaTheme="minorEastAsia"/>
          <w:b/>
          <w:sz w:val="26"/>
        </w:rPr>
        <w:t>4.4.1</w:t>
      </w:r>
      <w:bookmarkEnd w:id="239"/>
      <w:bookmarkEnd w:id="240"/>
      <w:bookmarkEnd w:id="241"/>
      <w:bookmarkEnd w:id="242"/>
      <w:r w:rsidRPr="0072600F">
        <w:rPr>
          <w:rFonts w:ascii="Times New Roman" w:hAnsi="Times New Roman" w:cs="Times New Roman"/>
          <w:sz w:val="26"/>
          <w:szCs w:val="26"/>
        </w:rPr>
        <w:tab/>
        <w:t xml:space="preserve">Prior to the return of the executed Cluster Study Agreement to Transmission Provider, modifications permitted under this Section shall include specifically: </w:t>
      </w:r>
      <w:r w:rsidRPr="0072600F" w:rsidR="00546EA5">
        <w:rPr>
          <w:rFonts w:ascii="Times New Roman" w:hAnsi="Times New Roman" w:cs="Times New Roman"/>
          <w:sz w:val="26"/>
          <w:szCs w:val="26"/>
        </w:rPr>
        <w:t xml:space="preserve"> </w:t>
      </w:r>
      <w:r w:rsidRPr="0072600F">
        <w:rPr>
          <w:rFonts w:ascii="Times New Roman" w:hAnsi="Times New Roman" w:cs="Times New Roman"/>
          <w:sz w:val="26"/>
          <w:szCs w:val="26"/>
        </w:rPr>
        <w:t xml:space="preserve">(a) a decrease of up to </w:t>
      </w:r>
      <w:r w:rsidRPr="0072600F" w:rsidR="2D35AC48">
        <w:rPr>
          <w:rFonts w:ascii="Times New Roman" w:hAnsi="Times New Roman" w:cs="Times New Roman"/>
          <w:sz w:val="26"/>
          <w:szCs w:val="26"/>
        </w:rPr>
        <w:t>[</w:t>
      </w:r>
      <w:r w:rsidRPr="0072600F">
        <w:rPr>
          <w:rFonts w:ascii="Times New Roman" w:hAnsi="Times New Roman" w:cs="Times New Roman"/>
          <w:sz w:val="26"/>
          <w:szCs w:val="26"/>
        </w:rPr>
        <w:t>60</w:t>
      </w:r>
      <w:r w:rsidRPr="0072600F" w:rsidR="55C8D98D">
        <w:rPr>
          <w:rFonts w:ascii="Times New Roman" w:hAnsi="Times New Roman" w:cs="Times New Roman"/>
          <w:sz w:val="26"/>
          <w:szCs w:val="26"/>
        </w:rPr>
        <w:t xml:space="preserve">] </w:t>
      </w:r>
      <w:r w:rsidRPr="0072600F" w:rsidR="55C8D98D">
        <w:rPr>
          <w:rFonts w:ascii="Times New Roman" w:hAnsi="Times New Roman" w:cs="Times New Roman"/>
          <w:i/>
          <w:iCs/>
          <w:sz w:val="26"/>
          <w:szCs w:val="26"/>
        </w:rPr>
        <w:t>sixty</w:t>
      </w:r>
      <w:r w:rsidRPr="0072600F">
        <w:rPr>
          <w:rFonts w:ascii="Times New Roman" w:hAnsi="Times New Roman" w:cs="Times New Roman"/>
          <w:sz w:val="26"/>
          <w:szCs w:val="26"/>
        </w:rPr>
        <w:t xml:space="preserve"> percent</w:t>
      </w:r>
      <w:r w:rsidRPr="0072600F" w:rsidR="02CE6E85">
        <w:rPr>
          <w:rFonts w:ascii="Times New Roman" w:hAnsi="Times New Roman" w:cs="Times New Roman"/>
          <w:sz w:val="26"/>
          <w:szCs w:val="26"/>
        </w:rPr>
        <w:t xml:space="preserve"> </w:t>
      </w:r>
      <w:r w:rsidRPr="0072600F" w:rsidR="02CE6E85">
        <w:rPr>
          <w:rFonts w:ascii="Times New Roman" w:hAnsi="Times New Roman" w:cs="Times New Roman"/>
          <w:i/>
          <w:iCs/>
          <w:sz w:val="26"/>
          <w:szCs w:val="26"/>
        </w:rPr>
        <w:t>(60%)</w:t>
      </w:r>
      <w:r w:rsidRPr="0072600F">
        <w:rPr>
          <w:rFonts w:ascii="Times New Roman" w:hAnsi="Times New Roman" w:cs="Times New Roman"/>
          <w:sz w:val="26"/>
          <w:szCs w:val="26"/>
        </w:rPr>
        <w:t xml:space="preserve"> of electrical output (MW) of the proposed project, through either (1) a decrease in plant size or (2) a decrease in Interconnection Service level (consistent with the process described in Section 3.1 of this LGIP) accomplished by applying Transmission Provider-approved injection-limiting equipment; (b) modifying the technical parameters associated with the Large Generating Facility technology or the Large Generating Facility step-up transformer impedance characteristics; and (c) modifying the interconnection configuration.  For plant increases, the incremental increase in plant output will go in the next Cluster </w:t>
      </w:r>
      <w:r w:rsidRPr="0072600F" w:rsidR="12A462FD">
        <w:rPr>
          <w:rFonts w:ascii="Times New Roman" w:hAnsi="Times New Roman" w:cs="Times New Roman"/>
          <w:sz w:val="26"/>
          <w:szCs w:val="26"/>
        </w:rPr>
        <w:t>[</w:t>
      </w:r>
      <w:r w:rsidRPr="0072600F">
        <w:rPr>
          <w:rFonts w:ascii="Times New Roman" w:hAnsi="Times New Roman" w:cs="Times New Roman"/>
          <w:sz w:val="26"/>
          <w:szCs w:val="26"/>
        </w:rPr>
        <w:t>Study</w:t>
      </w:r>
      <w:r w:rsidRPr="0072600F" w:rsidR="2F49043B">
        <w:rPr>
          <w:rFonts w:ascii="Times New Roman" w:hAnsi="Times New Roman" w:cs="Times New Roman"/>
          <w:sz w:val="26"/>
          <w:szCs w:val="26"/>
        </w:rPr>
        <w:t>]</w:t>
      </w:r>
      <w:r w:rsidRPr="0072600F" w:rsidR="2F49043B">
        <w:rPr>
          <w:rFonts w:ascii="Times New Roman" w:hAnsi="Times New Roman" w:cs="Times New Roman"/>
          <w:i/>
          <w:iCs/>
          <w:sz w:val="26"/>
          <w:szCs w:val="26"/>
        </w:rPr>
        <w:t>Request</w:t>
      </w:r>
      <w:r w:rsidRPr="0072600F">
        <w:rPr>
          <w:rFonts w:ascii="Times New Roman" w:hAnsi="Times New Roman" w:cs="Times New Roman"/>
          <w:sz w:val="26"/>
          <w:szCs w:val="26"/>
        </w:rPr>
        <w:t xml:space="preserve"> Window for the purposes of cost allocation and study analysis.</w:t>
      </w:r>
    </w:p>
    <w:p w:rsidR="00911580" w:rsidRPr="0072600F" w14:paraId="20F5415A" w14:textId="77777777">
      <w:pPr>
        <w:ind w:left="2880" w:hanging="720"/>
        <w:rPr>
          <w:rFonts w:ascii="Times New Roman" w:hAnsi="Times New Roman" w:cs="Times New Roman"/>
          <w:sz w:val="26"/>
          <w:szCs w:val="26"/>
        </w:rPr>
      </w:pPr>
    </w:p>
    <w:p w:rsidR="00911580" w:rsidRPr="0072600F" w14:paraId="7BD8DEC7" w14:textId="77777777">
      <w:pPr>
        <w:ind w:left="2160" w:hanging="720"/>
        <w:rPr>
          <w:rFonts w:ascii="Times New Roman" w:hAnsi="Times New Roman" w:cs="Times New Roman"/>
          <w:sz w:val="26"/>
          <w:szCs w:val="26"/>
        </w:rPr>
      </w:pPr>
      <w:bookmarkStart w:id="243" w:name="_Toc148644185"/>
      <w:bookmarkStart w:id="244" w:name="_Toc148688519"/>
      <w:bookmarkStart w:id="245" w:name="_Toc148688745"/>
      <w:bookmarkStart w:id="246" w:name="_Toc149903636"/>
      <w:r w:rsidRPr="0072600F">
        <w:rPr>
          <w:rStyle w:val="Heading4Char"/>
          <w:rFonts w:eastAsiaTheme="minorEastAsia"/>
          <w:b/>
          <w:sz w:val="26"/>
        </w:rPr>
        <w:t>4.4.2</w:t>
      </w:r>
      <w:bookmarkEnd w:id="243"/>
      <w:bookmarkEnd w:id="244"/>
      <w:bookmarkEnd w:id="245"/>
      <w:bookmarkEnd w:id="246"/>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ab/>
        <w:t xml:space="preserve">Prior to the return of the executed Interconnection Facilities Study Agreement to Transmission Provider, the modifications permitted under this Section shall include specifically: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 xml:space="preserve">(a) additional </w:t>
      </w:r>
      <w:r w:rsidRPr="0072600F" w:rsidR="363ED794">
        <w:rPr>
          <w:rFonts w:ascii="Times New Roman" w:hAnsi="Times New Roman" w:cs="Times New Roman"/>
          <w:sz w:val="26"/>
          <w:szCs w:val="26"/>
        </w:rPr>
        <w:t>[</w:t>
      </w:r>
      <w:r w:rsidRPr="0072600F">
        <w:rPr>
          <w:rFonts w:ascii="Times New Roman" w:hAnsi="Times New Roman" w:cs="Times New Roman"/>
          <w:sz w:val="26"/>
          <w:szCs w:val="26"/>
        </w:rPr>
        <w:t>15</w:t>
      </w:r>
      <w:r w:rsidRPr="0072600F" w:rsidR="0AB2FEF6">
        <w:rPr>
          <w:rFonts w:ascii="Times New Roman" w:hAnsi="Times New Roman" w:cs="Times New Roman"/>
          <w:sz w:val="26"/>
          <w:szCs w:val="26"/>
        </w:rPr>
        <w:t xml:space="preserve">] </w:t>
      </w:r>
      <w:r w:rsidRPr="0072600F" w:rsidR="0AB2FEF6">
        <w:rPr>
          <w:rFonts w:ascii="Times New Roman" w:hAnsi="Times New Roman" w:cs="Times New Roman"/>
          <w:i/>
          <w:iCs/>
          <w:sz w:val="26"/>
          <w:szCs w:val="26"/>
        </w:rPr>
        <w:t>fifteen</w:t>
      </w:r>
      <w:r w:rsidRPr="0072600F">
        <w:rPr>
          <w:rFonts w:ascii="Times New Roman" w:hAnsi="Times New Roman" w:cs="Times New Roman"/>
          <w:sz w:val="26"/>
          <w:szCs w:val="26"/>
        </w:rPr>
        <w:t xml:space="preserve"> percent</w:t>
      </w:r>
      <w:r w:rsidRPr="0072600F" w:rsidR="65E4E299">
        <w:rPr>
          <w:rFonts w:ascii="Times New Roman" w:hAnsi="Times New Roman" w:cs="Times New Roman"/>
          <w:sz w:val="26"/>
          <w:szCs w:val="26"/>
        </w:rPr>
        <w:t xml:space="preserve"> </w:t>
      </w:r>
      <w:r w:rsidRPr="0072600F" w:rsidR="65E4E299">
        <w:rPr>
          <w:rFonts w:ascii="Times New Roman" w:hAnsi="Times New Roman" w:cs="Times New Roman"/>
          <w:i/>
          <w:iCs/>
          <w:sz w:val="26"/>
          <w:szCs w:val="26"/>
        </w:rPr>
        <w:t>(15%)</w:t>
      </w:r>
      <w:r w:rsidRPr="0072600F">
        <w:rPr>
          <w:rFonts w:ascii="Times New Roman" w:hAnsi="Times New Roman" w:cs="Times New Roman"/>
          <w:sz w:val="26"/>
          <w:szCs w:val="26"/>
        </w:rPr>
        <w:t xml:space="preserve"> decrease of electrical output of the proposed project through either (1) a decrease in plant size (MW) or (2) a decrease in Interconnection Service level (consistent with the process described in Section 3.1) accomplished by applying Transmission Provider-approved injection-limiting equipment; (b) Large Generating Facility technical parameters associated with modifications to Large Generating Facility technology and transformer impedances; provided, however, the incremental costs associated with those modifications are the responsibility of the requesting Interconnection Customer; and (c) a Permissible Technological Advancement for the Large Generating Facility after the submission of the Interconnection Request.  Section 4.4.6 </w:t>
      </w:r>
      <w:r w:rsidRPr="0072600F" w:rsidR="18A80F5A">
        <w:rPr>
          <w:rFonts w:ascii="Times New Roman" w:hAnsi="Times New Roman" w:cs="Times New Roman"/>
          <w:i/>
          <w:iCs/>
          <w:sz w:val="26"/>
          <w:szCs w:val="26"/>
        </w:rPr>
        <w:t>of this LGIP</w:t>
      </w:r>
      <w:r w:rsidRPr="0072600F">
        <w:rPr>
          <w:rFonts w:ascii="Times New Roman" w:hAnsi="Times New Roman" w:cs="Times New Roman"/>
          <w:i/>
          <w:sz w:val="26"/>
          <w:szCs w:val="26"/>
        </w:rPr>
        <w:t xml:space="preserve"> </w:t>
      </w:r>
      <w:r w:rsidRPr="0072600F">
        <w:rPr>
          <w:rFonts w:ascii="Times New Roman" w:hAnsi="Times New Roman" w:cs="Times New Roman"/>
          <w:sz w:val="26"/>
          <w:szCs w:val="26"/>
        </w:rPr>
        <w:t xml:space="preserve">specifies a separate technological change procedure including the requisite information and process that will be followed to assess whether </w:t>
      </w:r>
      <w:r w:rsidRPr="0072600F" w:rsidR="00743610">
        <w:rPr>
          <w:rFonts w:ascii="Times New Roman" w:hAnsi="Times New Roman" w:cs="Times New Roman"/>
          <w:sz w:val="26"/>
          <w:szCs w:val="26"/>
        </w:rPr>
        <w:t>[</w:t>
      </w:r>
      <w:r w:rsidRPr="0072600F">
        <w:rPr>
          <w:rFonts w:ascii="Times New Roman" w:hAnsi="Times New Roman" w:cs="Times New Roman"/>
          <w:sz w:val="26"/>
          <w:szCs w:val="26"/>
        </w:rPr>
        <w:t>the</w:t>
      </w:r>
      <w:r w:rsidRPr="0072600F" w:rsidR="0074361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proposed technological advancement under Section 4.4.2(c) </w:t>
      </w:r>
      <w:r w:rsidRPr="0072600F" w:rsidR="7259DA16">
        <w:rPr>
          <w:rFonts w:ascii="Times New Roman" w:hAnsi="Times New Roman" w:cs="Times New Roman"/>
          <w:i/>
          <w:iCs/>
          <w:sz w:val="26"/>
          <w:szCs w:val="26"/>
        </w:rPr>
        <w:t xml:space="preserve">of this LGIP </w:t>
      </w:r>
      <w:r w:rsidRPr="0072600F">
        <w:rPr>
          <w:rFonts w:ascii="Times New Roman" w:hAnsi="Times New Roman" w:cs="Times New Roman"/>
          <w:sz w:val="26"/>
          <w:szCs w:val="26"/>
        </w:rPr>
        <w:t xml:space="preserve">is a Material Modification.  Section 1 </w:t>
      </w:r>
      <w:r w:rsidRPr="0072600F" w:rsidR="39D13901">
        <w:rPr>
          <w:rFonts w:ascii="Times New Roman" w:hAnsi="Times New Roman" w:cs="Times New Roman"/>
          <w:i/>
          <w:iCs/>
          <w:sz w:val="26"/>
          <w:szCs w:val="26"/>
        </w:rPr>
        <w:t>of this LGIP</w:t>
      </w:r>
      <w:r w:rsidRPr="0072600F">
        <w:rPr>
          <w:rFonts w:ascii="Times New Roman" w:hAnsi="Times New Roman" w:cs="Times New Roman"/>
          <w:sz w:val="26"/>
          <w:szCs w:val="26"/>
        </w:rPr>
        <w:t xml:space="preserve"> contains a definition of Permissible Technological Advancement.  </w:t>
      </w:r>
    </w:p>
    <w:p w:rsidR="00911580" w:rsidRPr="0072600F" w14:paraId="49E76444" w14:textId="77777777">
      <w:pPr>
        <w:tabs>
          <w:tab w:val="left" w:pos="720"/>
          <w:tab w:val="left" w:pos="1440"/>
          <w:tab w:val="left" w:pos="2160"/>
        </w:tabs>
        <w:ind w:left="2160" w:hanging="2160"/>
        <w:rPr>
          <w:rFonts w:ascii="Times New Roman" w:hAnsi="Times New Roman" w:cs="Times New Roman"/>
          <w:b/>
          <w:bCs/>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p>
    <w:p w:rsidR="00911580" w:rsidRPr="0072600F" w14:paraId="4CFE54CD" w14:textId="77777777">
      <w:pPr>
        <w:tabs>
          <w:tab w:val="left" w:pos="1440"/>
          <w:tab w:val="num" w:pos="1890"/>
        </w:tabs>
        <w:ind w:left="2160" w:hanging="720"/>
        <w:rPr>
          <w:rFonts w:ascii="Times New Roman" w:eastAsia="Calibri" w:hAnsi="Times New Roman" w:cs="Times New Roman"/>
          <w:iCs/>
          <w:sz w:val="26"/>
          <w:szCs w:val="26"/>
        </w:rPr>
      </w:pPr>
      <w:bookmarkStart w:id="247" w:name="_Toc148644186"/>
      <w:bookmarkStart w:id="248" w:name="_Toc148688520"/>
      <w:bookmarkStart w:id="249" w:name="_Toc148688746"/>
      <w:bookmarkStart w:id="250" w:name="_Toc149903637"/>
      <w:r w:rsidRPr="0072600F">
        <w:rPr>
          <w:rStyle w:val="Heading4Char"/>
          <w:rFonts w:eastAsiaTheme="minorHAnsi"/>
          <w:b/>
          <w:sz w:val="26"/>
        </w:rPr>
        <w:t>4.4.3</w:t>
      </w:r>
      <w:bookmarkEnd w:id="247"/>
      <w:bookmarkEnd w:id="248"/>
      <w:bookmarkEnd w:id="249"/>
      <w:bookmarkEnd w:id="250"/>
      <w:r w:rsidRPr="0072600F">
        <w:rPr>
          <w:rFonts w:ascii="Times New Roman" w:hAnsi="Times New Roman" w:cs="Times New Roman"/>
          <w:b/>
          <w:sz w:val="26"/>
          <w:szCs w:val="26"/>
        </w:rPr>
        <w:tab/>
      </w:r>
      <w:r w:rsidRPr="0072600F">
        <w:rPr>
          <w:rFonts w:ascii="Times New Roman" w:eastAsia="Calibri" w:hAnsi="Times New Roman" w:cs="Times New Roman"/>
          <w:iCs/>
          <w:sz w:val="26"/>
          <w:szCs w:val="26"/>
        </w:rPr>
        <w:t xml:space="preserve">Prior to making any modification other than those specifically permitted by Sections 4.4.1, 4.4.2, and 4.4.5 of this LGIP, Interconnection Customer may first request that Transmission Provider evaluate whether such modification is a Material Modification.  In response to Interconnection Customer's request, Transmission Provider shall evaluate the proposed modifications prior to making them and inform Interconnection Customer in writing of whether the modifications would constitute a Material Modification.  </w:t>
      </w:r>
      <w:bookmarkStart w:id="251" w:name="_Hlk100132118"/>
      <w:r w:rsidRPr="0072600F">
        <w:rPr>
          <w:rFonts w:ascii="Times New Roman" w:eastAsia="Calibri" w:hAnsi="Times New Roman" w:cs="Times New Roman"/>
          <w:iCs/>
          <w:sz w:val="26"/>
          <w:szCs w:val="26"/>
        </w:rPr>
        <w:t>Any change to the Point of Interconnection, except those deemed acceptable under Sections 3.1.2 or 4.4 of this LGIP or so allowed elsewhere, shall constitute a Material Modification. Interconnection Customer may then withdraw the proposed modification or proceed with a new Interconnection Request for such modification.</w:t>
      </w:r>
      <w:bookmarkEnd w:id="251"/>
      <w:r w:rsidRPr="0072600F">
        <w:rPr>
          <w:rFonts w:ascii="Times New Roman" w:eastAsia="Calibri" w:hAnsi="Times New Roman" w:cs="Times New Roman"/>
          <w:iCs/>
          <w:sz w:val="26"/>
          <w:szCs w:val="26"/>
        </w:rPr>
        <w:t xml:space="preserve">  Transmission Provider shall study the addition of a Generating Facility that includes at least one electric storage resource using operating assumptions (i.e., whether the interconnecting Generating Facility will or will not charge at peak load) that reflect the proposed charging behavior of the Generating Facility as requested by Interconnection Customer, unless Transmission Provider determines that Good Utility Practice, including Applicable Reliability Standards, otherwise requires the use of different operating assumptions.</w:t>
      </w:r>
    </w:p>
    <w:p w:rsidR="00911580" w:rsidRPr="0072600F" w14:paraId="54081CFB" w14:textId="77777777">
      <w:pPr>
        <w:tabs>
          <w:tab w:val="num" w:pos="1890"/>
        </w:tabs>
        <w:rPr>
          <w:rFonts w:ascii="Times New Roman" w:eastAsia="Calibri" w:hAnsi="Times New Roman" w:cs="Times New Roman"/>
          <w:i/>
          <w:sz w:val="26"/>
          <w:szCs w:val="26"/>
        </w:rPr>
      </w:pPr>
    </w:p>
    <w:p w:rsidR="00911580" w:rsidRPr="0072600F" w14:paraId="564CA139" w14:textId="77777777">
      <w:pPr>
        <w:tabs>
          <w:tab w:val="num" w:pos="1890"/>
        </w:tabs>
        <w:ind w:left="2160"/>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Transmission Providers using fuel-based dispatch assumptions in Interconnection Studies are not required to include Section 4.4.3.1 because it does not apply to them</w:t>
      </w:r>
      <w:r w:rsidRPr="0072600F">
        <w:rPr>
          <w:rFonts w:ascii="Times New Roman" w:eastAsia="Calibri" w:hAnsi="Times New Roman" w:cs="Times New Roman"/>
          <w:iCs/>
          <w:sz w:val="26"/>
          <w:szCs w:val="26"/>
        </w:rPr>
        <w:t>}</w:t>
      </w:r>
    </w:p>
    <w:p w:rsidR="00911580" w:rsidRPr="0072600F" w14:paraId="54D1F1F4" w14:textId="77777777">
      <w:pPr>
        <w:tabs>
          <w:tab w:val="left" w:pos="0"/>
          <w:tab w:val="num" w:pos="1890"/>
        </w:tabs>
        <w:rPr>
          <w:rFonts w:ascii="Times New Roman" w:eastAsia="Calibri" w:hAnsi="Times New Roman" w:cs="Times New Roman"/>
          <w:iCs/>
          <w:sz w:val="26"/>
          <w:szCs w:val="26"/>
        </w:rPr>
      </w:pPr>
    </w:p>
    <w:p w:rsidR="00911580" w:rsidRPr="0072600F" w14:paraId="153C0D36" w14:textId="77777777">
      <w:pPr>
        <w:ind w:left="3600" w:hanging="1440"/>
        <w:rPr>
          <w:rFonts w:ascii="Times New Roman" w:eastAsia="Calibri" w:hAnsi="Times New Roman" w:cs="Times New Roman"/>
          <w:iCs/>
          <w:sz w:val="26"/>
          <w:szCs w:val="26"/>
        </w:rPr>
      </w:pPr>
      <w:r w:rsidRPr="0072600F">
        <w:rPr>
          <w:rStyle w:val="Heading5Char"/>
          <w:sz w:val="26"/>
          <w:szCs w:val="26"/>
        </w:rPr>
        <w:t>4.4.3.1</w:t>
      </w:r>
      <w:r w:rsidRPr="0072600F">
        <w:rPr>
          <w:rStyle w:val="Heading4Char"/>
          <w:rFonts w:eastAsia="Calibri"/>
          <w:sz w:val="26"/>
        </w:rPr>
        <w:tab/>
      </w:r>
      <w:r w:rsidRPr="0072600F">
        <w:rPr>
          <w:rFonts w:ascii="Times New Roman" w:eastAsia="Calibri" w:hAnsi="Times New Roman" w:cs="Times New Roman"/>
          <w:iCs/>
          <w:sz w:val="26"/>
          <w:szCs w:val="26"/>
        </w:rPr>
        <w:t>Interconnection Customer may request, and Transmission Provider shall evaluate, the addition to the Interconnection Request of a Generating Facility with the same Point of Interconnection indicated in the initial Interconnection Request, if the addition of the Generating Facility does not increase the requested Interconnection Service level.  Transmission Provider must evaluate such modifications prior to deeming them a Material Modification, but only if Interconnection Customer submits them prior to the return of the executed</w:t>
      </w:r>
      <w:r w:rsidRPr="0072600F" w:rsidR="00E63630">
        <w:rPr>
          <w:rFonts w:ascii="Times New Roman" w:eastAsia="Calibri" w:hAnsi="Times New Roman" w:cs="Times New Roman"/>
          <w:iCs/>
          <w:sz w:val="26"/>
          <w:szCs w:val="26"/>
        </w:rPr>
        <w:t xml:space="preserve"> </w:t>
      </w:r>
      <w:r w:rsidRPr="0072600F" w:rsidR="00E63630">
        <w:rPr>
          <w:rFonts w:ascii="Times New Roman" w:eastAsia="Calibri" w:hAnsi="Times New Roman" w:cs="Times New Roman"/>
          <w:i/>
          <w:sz w:val="26"/>
          <w:szCs w:val="26"/>
        </w:rPr>
        <w:t>Interconnection</w:t>
      </w:r>
      <w:r w:rsidRPr="0072600F">
        <w:rPr>
          <w:rFonts w:ascii="Times New Roman" w:eastAsia="Calibri" w:hAnsi="Times New Roman" w:cs="Times New Roman"/>
          <w:iCs/>
          <w:sz w:val="26"/>
          <w:szCs w:val="26"/>
        </w:rPr>
        <w:t xml:space="preserve"> Facilities Study Agreement by Interconnection Customer to Transmission Provider.  Interconnection Customers requesting that such a modification be evaluated must demonstrate the required Site Control at the time such request is made.  </w:t>
      </w:r>
    </w:p>
    <w:p w:rsidR="00911580" w:rsidRPr="0072600F" w14:paraId="3BD395DA" w14:textId="77777777">
      <w:pPr>
        <w:ind w:left="3600" w:hanging="1440"/>
        <w:rPr>
          <w:rFonts w:ascii="Times New Roman" w:eastAsia="Calibri" w:hAnsi="Times New Roman" w:cs="Times New Roman"/>
          <w:iCs/>
          <w:sz w:val="26"/>
          <w:szCs w:val="26"/>
        </w:rPr>
      </w:pPr>
    </w:p>
    <w:p w:rsidR="00911580" w:rsidRPr="0072600F" w14:paraId="3F289FBE" w14:textId="77777777">
      <w:pPr>
        <w:ind w:left="2160" w:hanging="720"/>
        <w:rPr>
          <w:rFonts w:ascii="Times New Roman" w:hAnsi="Times New Roman" w:cs="Times New Roman"/>
          <w:sz w:val="26"/>
          <w:szCs w:val="26"/>
        </w:rPr>
      </w:pPr>
      <w:bookmarkStart w:id="252" w:name="_Toc148644187"/>
      <w:bookmarkStart w:id="253" w:name="_Toc148688521"/>
      <w:bookmarkStart w:id="254" w:name="_Toc148688747"/>
      <w:bookmarkStart w:id="255" w:name="_Toc149903638"/>
      <w:r w:rsidRPr="0072600F">
        <w:rPr>
          <w:rStyle w:val="Heading4Char"/>
          <w:rFonts w:eastAsiaTheme="minorEastAsia"/>
          <w:b/>
          <w:sz w:val="26"/>
        </w:rPr>
        <w:t>4.4.4</w:t>
      </w:r>
      <w:bookmarkEnd w:id="252"/>
      <w:bookmarkEnd w:id="253"/>
      <w:bookmarkEnd w:id="254"/>
      <w:bookmarkEnd w:id="255"/>
      <w:r w:rsidRPr="0072600F">
        <w:rPr>
          <w:rFonts w:ascii="Times New Roman" w:hAnsi="Times New Roman" w:cs="Times New Roman"/>
          <w:sz w:val="26"/>
          <w:szCs w:val="26"/>
        </w:rPr>
        <w:tab/>
        <w:t>Upon receipt of Interconnection Customer’s request for modification permitted under this Section 4.4</w:t>
      </w:r>
      <w:r w:rsidRPr="0072600F" w:rsidR="61756D91">
        <w:rPr>
          <w:rFonts w:ascii="Times New Roman" w:hAnsi="Times New Roman" w:cs="Times New Roman"/>
          <w:sz w:val="26"/>
          <w:szCs w:val="26"/>
        </w:rPr>
        <w:t xml:space="preserve"> </w:t>
      </w:r>
      <w:r w:rsidRPr="0072600F" w:rsidR="61756D91">
        <w:rPr>
          <w:rFonts w:ascii="Times New Roman" w:hAnsi="Times New Roman" w:cs="Times New Roman"/>
          <w:i/>
          <w:iCs/>
          <w:sz w:val="26"/>
          <w:szCs w:val="26"/>
        </w:rPr>
        <w:t>of this LGIP</w:t>
      </w:r>
      <w:r w:rsidRPr="0072600F">
        <w:rPr>
          <w:rFonts w:ascii="Times New Roman" w:hAnsi="Times New Roman" w:cs="Times New Roman"/>
          <w:sz w:val="26"/>
          <w:szCs w:val="26"/>
        </w:rPr>
        <w:t>, Transmission Provider shall commence and perform any necessary additional studies as soon as practicable, but in no event shall Transmission Provider commence such studies later than thirty (30) Calendar Days after receiving notice of Interconnection Customer’s request.  Any additional studies resulting from such modification shall be done at Interconnection Customer’s cost.  Any such request for modification of the Interconnection Request must be accompanied by any resulting updates to the models described in Attachment A to Appendix 1</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of this LGIP.</w:t>
      </w:r>
    </w:p>
    <w:p w:rsidR="00911580" w:rsidRPr="0072600F" w14:paraId="148503CF" w14:textId="77777777">
      <w:pPr>
        <w:rPr>
          <w:rFonts w:ascii="Times New Roman" w:hAnsi="Times New Roman" w:cs="Times New Roman"/>
          <w:sz w:val="26"/>
          <w:szCs w:val="26"/>
        </w:rPr>
      </w:pPr>
    </w:p>
    <w:p w:rsidR="00911580" w:rsidRPr="0072600F" w14:paraId="4DEFD020" w14:textId="77777777">
      <w:pPr>
        <w:ind w:left="2160" w:hanging="720"/>
        <w:rPr>
          <w:rFonts w:ascii="Times New Roman" w:hAnsi="Times New Roman" w:cs="Times New Roman"/>
          <w:sz w:val="26"/>
          <w:szCs w:val="26"/>
        </w:rPr>
      </w:pPr>
      <w:bookmarkStart w:id="256" w:name="_Toc148644188"/>
      <w:bookmarkStart w:id="257" w:name="_Toc148688522"/>
      <w:bookmarkStart w:id="258" w:name="_Toc148688748"/>
      <w:bookmarkStart w:id="259" w:name="_Toc149903639"/>
      <w:r w:rsidRPr="0072600F">
        <w:rPr>
          <w:rStyle w:val="Heading4Char"/>
          <w:rFonts w:eastAsiaTheme="minorHAnsi"/>
          <w:b/>
          <w:sz w:val="26"/>
        </w:rPr>
        <w:t>4.4.5</w:t>
      </w:r>
      <w:bookmarkEnd w:id="256"/>
      <w:bookmarkEnd w:id="257"/>
      <w:bookmarkEnd w:id="258"/>
      <w:bookmarkEnd w:id="259"/>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Extensions of less than three (3) cumulative years in the Commercial Operation Date of the Large Generating Facility to which the Interconnection Request relates are not material and should be handled through construction sequencing.  For purposes of this section, the Commercial Operation Date reflected in the initial Interconnection Request shall be used to calculate the permissible extension prior to Interconnection Customer executing an LGIA or requesting that the LGIA be filed unexecuted.  After an LGIA is executed or requested to be filed unexecuted, the Commercial Operation Date reflected in the LGIA shall be used to calculate the permissible extension.  Such cumulative extensions may not exceed three years including both extensions requested after execution of the LGIA by Interconnection Customer or the filing of an unexecuted LGIA by Transmission Provider and those requested prior to execution of the LGIA by Interconnection Customer or the filing of an unexecuted LGIA by Transmission Provider.</w:t>
      </w:r>
    </w:p>
    <w:p w:rsidR="00911580" w:rsidRPr="0072600F" w14:paraId="041030BF" w14:textId="77777777">
      <w:pPr>
        <w:tabs>
          <w:tab w:val="left" w:pos="720"/>
          <w:tab w:val="left" w:pos="1440"/>
          <w:tab w:val="left" w:pos="2160"/>
        </w:tabs>
        <w:ind w:left="2160" w:hanging="2160"/>
        <w:rPr>
          <w:rFonts w:ascii="Times New Roman" w:hAnsi="Times New Roman" w:cs="Times New Roman"/>
          <w:sz w:val="26"/>
          <w:szCs w:val="26"/>
        </w:rPr>
      </w:pPr>
    </w:p>
    <w:p w:rsidR="00911580" w:rsidRPr="0072600F" w:rsidP="00561642" w14:paraId="7C2AD00C" w14:textId="77777777">
      <w:pPr>
        <w:pStyle w:val="Heading3"/>
        <w:rPr>
          <w:b/>
          <w:sz w:val="26"/>
        </w:rPr>
      </w:pPr>
      <w:r w:rsidRPr="0072600F">
        <w:rPr>
          <w:sz w:val="26"/>
        </w:rPr>
        <w:tab/>
      </w:r>
      <w:bookmarkStart w:id="260" w:name="_Toc149903640"/>
      <w:r w:rsidRPr="0072600F">
        <w:rPr>
          <w:rStyle w:val="Heading4Char"/>
          <w:b/>
          <w:sz w:val="26"/>
        </w:rPr>
        <w:t>4.4.6</w:t>
      </w:r>
      <w:r w:rsidRPr="0072600F">
        <w:rPr>
          <w:b/>
          <w:sz w:val="26"/>
        </w:rPr>
        <w:tab/>
        <w:t>Technological Change Procedures</w:t>
      </w:r>
      <w:bookmarkEnd w:id="260"/>
      <w:r w:rsidRPr="0072600F">
        <w:rPr>
          <w:b/>
          <w:sz w:val="26"/>
        </w:rPr>
        <w:t xml:space="preserve"> </w:t>
      </w:r>
    </w:p>
    <w:p w:rsidR="00911580" w:rsidRPr="0072600F" w:rsidP="000F6B76" w14:paraId="117C5333" w14:textId="77777777">
      <w:pPr>
        <w:tabs>
          <w:tab w:val="left" w:pos="720"/>
          <w:tab w:val="left" w:pos="1440"/>
          <w:tab w:val="left" w:pos="2160"/>
        </w:tabs>
        <w:rPr>
          <w:rFonts w:ascii="Times New Roman" w:hAnsi="Times New Roman" w:cs="Times New Roman"/>
          <w:sz w:val="26"/>
          <w:szCs w:val="26"/>
        </w:rPr>
      </w:pPr>
    </w:p>
    <w:p w:rsidR="00911580" w:rsidRPr="0072600F" w:rsidP="000F6B76" w14:paraId="6990824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Insert technological change procedure here</w:t>
      </w:r>
      <w:r w:rsidRPr="0072600F" w:rsidR="0042166D">
        <w:rPr>
          <w:rFonts w:ascii="Times New Roman" w:hAnsi="Times New Roman" w:cs="Times New Roman"/>
          <w:sz w:val="26"/>
          <w:szCs w:val="26"/>
        </w:rPr>
        <w:t>}</w:t>
      </w:r>
    </w:p>
    <w:p w:rsidR="00911580" w:rsidRPr="0072600F" w14:paraId="67E39558" w14:textId="77777777">
      <w:pPr>
        <w:rPr>
          <w:rFonts w:ascii="Times New Roman" w:hAnsi="Times New Roman" w:cs="Times New Roman"/>
          <w:sz w:val="26"/>
          <w:szCs w:val="26"/>
        </w:rPr>
      </w:pPr>
    </w:p>
    <w:p w:rsidR="00911580" w:rsidRPr="0072600F" w:rsidP="000F6B76" w14:paraId="20E534DA" w14:textId="77777777">
      <w:pPr>
        <w:pStyle w:val="Heading2"/>
        <w:ind w:left="1440" w:hanging="1440"/>
        <w:rPr>
          <w:b/>
          <w:bCs/>
          <w:sz w:val="26"/>
          <w:szCs w:val="26"/>
        </w:rPr>
      </w:pPr>
      <w:bookmarkStart w:id="261" w:name="_Toc149903641"/>
      <w:r w:rsidRPr="0072600F">
        <w:rPr>
          <w:b/>
          <w:bCs/>
          <w:sz w:val="26"/>
          <w:szCs w:val="26"/>
        </w:rPr>
        <w:t>Section 5.</w:t>
      </w:r>
      <w:r w:rsidRPr="0072600F">
        <w:rPr>
          <w:b/>
          <w:bCs/>
          <w:sz w:val="26"/>
          <w:szCs w:val="26"/>
        </w:rPr>
        <w:tab/>
        <w:t>Procedures for Interconnection Requests Submitted Prior to Effective Date of the Cluster Study Revisions</w:t>
      </w:r>
      <w:bookmarkEnd w:id="261"/>
    </w:p>
    <w:p w:rsidR="00911580" w:rsidRPr="0072600F" w14:paraId="1429478B" w14:textId="77777777">
      <w:pPr>
        <w:rPr>
          <w:rFonts w:ascii="Times New Roman" w:hAnsi="Times New Roman" w:cs="Times New Roman"/>
          <w:b/>
          <w:bCs/>
          <w:sz w:val="26"/>
          <w:szCs w:val="26"/>
        </w:rPr>
      </w:pPr>
    </w:p>
    <w:p w:rsidR="00911580" w:rsidRPr="0072600F" w:rsidP="000F6B76" w14:paraId="0EAA69C1" w14:textId="77777777">
      <w:pPr>
        <w:pStyle w:val="Heading3"/>
        <w:rPr>
          <w:b/>
          <w:sz w:val="26"/>
        </w:rPr>
      </w:pPr>
      <w:bookmarkStart w:id="262" w:name="_Toc149903642"/>
      <w:r w:rsidRPr="0072600F">
        <w:rPr>
          <w:b/>
          <w:sz w:val="26"/>
        </w:rPr>
        <w:t>5.1</w:t>
      </w:r>
      <w:r w:rsidRPr="0072600F">
        <w:rPr>
          <w:b/>
          <w:sz w:val="26"/>
        </w:rPr>
        <w:tab/>
        <w:t>Procedures for Transitioning to the Cluster Study Process</w:t>
      </w:r>
      <w:bookmarkEnd w:id="262"/>
      <w:r w:rsidRPr="0072600F" w:rsidR="008009E9">
        <w:rPr>
          <w:b/>
          <w:i/>
          <w:sz w:val="26"/>
        </w:rPr>
        <w:t>.</w:t>
      </w:r>
    </w:p>
    <w:p w:rsidR="00911580" w:rsidRPr="0072600F" w14:paraId="3AA7C4D1" w14:textId="77777777">
      <w:pPr>
        <w:rPr>
          <w:rFonts w:ascii="Times New Roman" w:hAnsi="Times New Roman" w:cs="Times New Roman"/>
          <w:b/>
          <w:bCs/>
          <w:sz w:val="26"/>
          <w:szCs w:val="26"/>
        </w:rPr>
      </w:pPr>
    </w:p>
    <w:p w:rsidR="00911580" w:rsidRPr="0072600F" w14:paraId="51364623" w14:textId="77777777">
      <w:pPr>
        <w:tabs>
          <w:tab w:val="left" w:pos="2160"/>
        </w:tabs>
        <w:ind w:left="2160" w:hanging="720"/>
        <w:rPr>
          <w:rFonts w:ascii="Times New Roman" w:hAnsi="Times New Roman" w:cs="Times New Roman"/>
          <w:sz w:val="26"/>
          <w:szCs w:val="26"/>
        </w:rPr>
      </w:pPr>
      <w:bookmarkStart w:id="263" w:name="_Toc148644192"/>
      <w:bookmarkStart w:id="264" w:name="_Toc148688752"/>
      <w:bookmarkStart w:id="265" w:name="_Toc149903643"/>
      <w:r w:rsidRPr="0072600F">
        <w:rPr>
          <w:rStyle w:val="Heading4Char"/>
          <w:rFonts w:eastAsiaTheme="minorHAnsi"/>
          <w:b/>
          <w:sz w:val="26"/>
        </w:rPr>
        <w:t>5.1.1</w:t>
      </w:r>
      <w:bookmarkEnd w:id="263"/>
      <w:bookmarkEnd w:id="264"/>
      <w:bookmarkEnd w:id="265"/>
      <w:r w:rsidRPr="0072600F">
        <w:rPr>
          <w:rFonts w:ascii="Times New Roman" w:hAnsi="Times New Roman" w:cs="Times New Roman"/>
          <w:sz w:val="26"/>
          <w:szCs w:val="26"/>
        </w:rPr>
        <w:tab/>
        <w:t xml:space="preserve">Any Interconnection Customer assigned a Queue Position as of thirty (30) Calendar Days after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to insert filing date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(the filing date of this LGIP) shall retain that Queue Position subject to the requirements in Sections 5.1.1.1 and 5.1.1.2 of this LGIP.  Any Interconnection Customer that fails to meet these requirements shall have its Interconnection Request deemed withdrawn by Transmission Provider pursuant to Section 3.7 of this LGIP.  In such case, Transmission Provider shall not assess </w:t>
      </w:r>
      <w:r w:rsidRPr="0072600F" w:rsidR="00743610">
        <w:rPr>
          <w:rFonts w:ascii="Times New Roman" w:hAnsi="Times New Roman" w:cs="Times New Roman"/>
          <w:sz w:val="26"/>
          <w:szCs w:val="26"/>
        </w:rPr>
        <w:t>[</w:t>
      </w:r>
      <w:r w:rsidRPr="0072600F">
        <w:rPr>
          <w:rFonts w:ascii="Times New Roman" w:hAnsi="Times New Roman" w:cs="Times New Roman"/>
          <w:sz w:val="26"/>
          <w:szCs w:val="26"/>
        </w:rPr>
        <w:t>the</w:t>
      </w:r>
      <w:r w:rsidRPr="0072600F" w:rsidR="0074361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any Withdrawal Penalty.</w:t>
      </w:r>
    </w:p>
    <w:p w:rsidR="00911580" w:rsidRPr="0072600F" w14:paraId="2A2DA01B" w14:textId="77777777">
      <w:pPr>
        <w:tabs>
          <w:tab w:val="left" w:pos="720"/>
          <w:tab w:val="left" w:pos="1440"/>
          <w:tab w:val="left" w:pos="2160"/>
        </w:tabs>
        <w:ind w:left="2160" w:hanging="2160"/>
        <w:rPr>
          <w:rFonts w:ascii="Times New Roman" w:hAnsi="Times New Roman" w:cs="Times New Roman"/>
          <w:sz w:val="26"/>
          <w:szCs w:val="26"/>
        </w:rPr>
      </w:pPr>
    </w:p>
    <w:p w:rsidR="00911580" w:rsidRPr="0072600F" w14:paraId="3363FB29" w14:textId="77777777">
      <w:pPr>
        <w:tabs>
          <w:tab w:val="left" w:pos="720"/>
          <w:tab w:val="left" w:pos="1440"/>
          <w:tab w:val="left" w:pos="2160"/>
        </w:tabs>
        <w:ind w:left="2160"/>
        <w:rPr>
          <w:rFonts w:ascii="Times New Roman" w:hAnsi="Times New Roman" w:cs="Times New Roman"/>
          <w:sz w:val="26"/>
          <w:szCs w:val="26"/>
        </w:rPr>
      </w:pPr>
      <w:r w:rsidRPr="0072600F">
        <w:rPr>
          <w:rFonts w:ascii="Times New Roman" w:hAnsi="Times New Roman" w:cs="Times New Roman"/>
          <w:sz w:val="26"/>
          <w:szCs w:val="26"/>
        </w:rPr>
        <w:t xml:space="preserve">Any Interconnection Customer that has received a final Interconnection Facilities Study Report before the commencement of the studies under the transition process set forth in this </w:t>
      </w:r>
      <w:r w:rsidRPr="0072600F" w:rsidR="3BAA5B03">
        <w:rPr>
          <w:rFonts w:ascii="Times New Roman" w:hAnsi="Times New Roman" w:cs="Times New Roman"/>
          <w:sz w:val="26"/>
          <w:szCs w:val="26"/>
        </w:rPr>
        <w:t>[</w:t>
      </w:r>
      <w:r w:rsidRPr="0072600F">
        <w:rPr>
          <w:rFonts w:ascii="Times New Roman" w:hAnsi="Times New Roman" w:cs="Times New Roman"/>
          <w:sz w:val="26"/>
          <w:szCs w:val="26"/>
        </w:rPr>
        <w:t>s</w:t>
      </w:r>
      <w:r w:rsidRPr="0072600F" w:rsidR="437BA0D6">
        <w:rPr>
          <w:rFonts w:ascii="Times New Roman" w:hAnsi="Times New Roman" w:cs="Times New Roman"/>
          <w:sz w:val="26"/>
          <w:szCs w:val="26"/>
        </w:rPr>
        <w:t>]</w:t>
      </w:r>
      <w:r w:rsidRPr="0072600F" w:rsidR="437BA0D6">
        <w:rPr>
          <w:rFonts w:ascii="Times New Roman" w:hAnsi="Times New Roman" w:cs="Times New Roman"/>
          <w:i/>
          <w:iCs/>
          <w:sz w:val="26"/>
          <w:szCs w:val="26"/>
        </w:rPr>
        <w:t>S</w:t>
      </w:r>
      <w:r w:rsidRPr="0072600F">
        <w:rPr>
          <w:rFonts w:ascii="Times New Roman" w:hAnsi="Times New Roman" w:cs="Times New Roman"/>
          <w:sz w:val="26"/>
          <w:szCs w:val="26"/>
        </w:rPr>
        <w:t>ection shall be tendered an LGIA pursuant to Section 11 of this LGIP, and shall not be required to enter this transition process.</w:t>
      </w:r>
    </w:p>
    <w:p w:rsidR="00911580" w:rsidRPr="0072600F" w14:paraId="1DA71516"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rsidP="002339A2" w14:paraId="2DE0A185" w14:textId="77777777">
      <w:pPr>
        <w:pStyle w:val="Heading4"/>
        <w:rPr>
          <w:sz w:val="26"/>
        </w:rPr>
      </w:pPr>
      <w:r w:rsidRPr="0072600F">
        <w:rPr>
          <w:rStyle w:val="Heading5Char"/>
          <w:b w:val="0"/>
          <w:bCs w:val="0"/>
          <w:sz w:val="26"/>
          <w:szCs w:val="26"/>
        </w:rPr>
        <w:tab/>
      </w:r>
      <w:r w:rsidRPr="0072600F">
        <w:rPr>
          <w:rStyle w:val="Heading5Char"/>
          <w:b w:val="0"/>
          <w:bCs w:val="0"/>
          <w:sz w:val="26"/>
          <w:szCs w:val="26"/>
        </w:rPr>
        <w:tab/>
      </w:r>
      <w:r w:rsidRPr="0072600F">
        <w:rPr>
          <w:rStyle w:val="Heading5Char"/>
          <w:sz w:val="26"/>
          <w:szCs w:val="26"/>
        </w:rPr>
        <w:t>5.1.1.1</w:t>
      </w:r>
      <w:r w:rsidRPr="0072600F">
        <w:rPr>
          <w:sz w:val="26"/>
        </w:rPr>
        <w:tab/>
      </w:r>
      <w:r w:rsidRPr="0072600F">
        <w:rPr>
          <w:sz w:val="26"/>
        </w:rPr>
        <w:tab/>
      </w:r>
      <w:r w:rsidRPr="0072600F">
        <w:rPr>
          <w:b/>
          <w:sz w:val="26"/>
        </w:rPr>
        <w:t>Transitional Serial Study.</w:t>
      </w:r>
    </w:p>
    <w:p w:rsidR="00911580" w:rsidRPr="0072600F" w14:paraId="1DA12B75"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An Interconnection Customer that has been tendered an Interconnection Facilities Study Agreement as of thirty (30) Calendar Days after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to insert filing date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(the filing date of this LGIP) may opt to proceed with an Interconnection Facilities Study.  Transmission Provider shall tender each eligible Interconnection Customer a Transitional Serial Interconnection Facilities Study Agreement, in the form of Appendix 8 to this LGIP, no later than the Commission-approved effective date of this LGIP.  Transmission Provider shall proceed with the Interconnection Facilities Study, provided that </w:t>
      </w:r>
      <w:r w:rsidRPr="0072600F" w:rsidR="00743610">
        <w:rPr>
          <w:rFonts w:ascii="Times New Roman" w:hAnsi="Times New Roman" w:cs="Times New Roman"/>
          <w:sz w:val="26"/>
          <w:szCs w:val="26"/>
        </w:rPr>
        <w:t>[</w:t>
      </w:r>
      <w:r w:rsidRPr="0072600F">
        <w:rPr>
          <w:rFonts w:ascii="Times New Roman" w:hAnsi="Times New Roman" w:cs="Times New Roman"/>
          <w:sz w:val="26"/>
          <w:szCs w:val="26"/>
        </w:rPr>
        <w:t>the</w:t>
      </w:r>
      <w:r w:rsidRPr="0072600F" w:rsidR="0074361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 xml:space="preserve"> (1) meets each of the following requirements; and (2) executes the Transitional Serial Interconnection Facilities Study Agreement within sixty (60) Calendar Days of the Commission-approved effective date of this LGIP.  If an eligible Interconnection Customer does not meet these requirements, its Interconnection Request shall be deemed withdrawn without penalty.  Transmission Provider must commence the Transitional Serial Interconnection Facilities Study at the conclusion of this sixty (60) Calendar Day period.  Transitional Serial Interconnection Facilities Study costs shall be allocated according to the method described in Section 13.3 of this LGIP.</w:t>
      </w:r>
    </w:p>
    <w:p w:rsidR="00911580" w:rsidRPr="0072600F" w14:paraId="4B0CED90"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4A0280C8" w14:textId="77777777">
      <w:pPr>
        <w:tabs>
          <w:tab w:val="left" w:pos="720"/>
          <w:tab w:val="left" w:pos="1440"/>
          <w:tab w:val="left" w:pos="2160"/>
          <w:tab w:val="left" w:pos="2880"/>
          <w:tab w:val="left" w:pos="3600"/>
        </w:tabs>
        <w:ind w:left="3600"/>
        <w:rPr>
          <w:rFonts w:ascii="Times New Roman" w:hAnsi="Times New Roman" w:cs="Times New Roman"/>
          <w:sz w:val="26"/>
          <w:szCs w:val="26"/>
        </w:rPr>
      </w:pPr>
      <w:r w:rsidRPr="0072600F">
        <w:rPr>
          <w:rFonts w:ascii="Times New Roman" w:hAnsi="Times New Roman" w:cs="Times New Roman"/>
          <w:sz w:val="26"/>
          <w:szCs w:val="26"/>
        </w:rPr>
        <w:t>All of the following must be included when an Interconnection Customer returns the Transitional Serial Interconnection Facilities Study Agreement:</w:t>
      </w:r>
    </w:p>
    <w:p w:rsidR="00911580" w:rsidRPr="0072600F" w14:paraId="5D135FD5"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rsidP="00467974" w14:paraId="4B504CCA" w14:textId="77777777">
      <w:pPr>
        <w:tabs>
          <w:tab w:val="left" w:pos="720"/>
          <w:tab w:val="left" w:pos="1440"/>
          <w:tab w:val="left" w:pos="2160"/>
          <w:tab w:val="left" w:pos="2880"/>
          <w:tab w:val="left" w:pos="3600"/>
        </w:tabs>
        <w:ind w:left="3600"/>
        <w:rPr>
          <w:rFonts w:ascii="Times New Roman" w:hAnsi="Times New Roman" w:cs="Times New Roman"/>
          <w:sz w:val="26"/>
          <w:szCs w:val="26"/>
        </w:rPr>
      </w:pPr>
      <w:r w:rsidRPr="0072600F">
        <w:rPr>
          <w:rFonts w:ascii="Times New Roman" w:hAnsi="Times New Roman" w:cs="Times New Roman"/>
          <w:sz w:val="26"/>
          <w:szCs w:val="26"/>
        </w:rPr>
        <w:t xml:space="preserve">(1) A deposit equal to one hundred percent (100%) of the costs identified for Transmission Provider’s Interconnection Facilities and Network Upgrades in Interconnection Customer’s system impact study report.  If Interconnection Customer does not withdraw, the deposit shall be trued up to actual costs once they are known and applied to future construction costs described in Interconnection Customer’s eventual LGIA.  Any amounts in excess of the actual construction costs shall be returned to Interconnection Customer within thirty (30) Calendar Days of the issuance of a final invoice for construction costs, in accordance with Article 12.2 of the pro forma LGIA.  If Interconnection Customer withdraws or otherwise does not reach Commercial Operation, Transmission Provider shall refund the remaining deposit after the final invoice for study costs and </w:t>
      </w:r>
      <w:r w:rsidRPr="0072600F" w:rsidR="000C7814">
        <w:rPr>
          <w:rFonts w:ascii="Times New Roman" w:hAnsi="Times New Roman" w:cs="Times New Roman"/>
          <w:i/>
          <w:iCs/>
          <w:sz w:val="26"/>
          <w:szCs w:val="26"/>
        </w:rPr>
        <w:t xml:space="preserve">Transitional </w:t>
      </w:r>
      <w:r w:rsidRPr="0072600F">
        <w:rPr>
          <w:rFonts w:ascii="Times New Roman" w:hAnsi="Times New Roman" w:cs="Times New Roman"/>
          <w:sz w:val="26"/>
          <w:szCs w:val="26"/>
        </w:rPr>
        <w:t>Withdrawal Penalty is settled.  The deposit shall be in the form of an irrevocable letter of credit</w:t>
      </w:r>
      <w:r w:rsidRPr="0072600F" w:rsidR="0002632A">
        <w:rPr>
          <w:rFonts w:ascii="Times New Roman" w:hAnsi="Times New Roman" w:cs="Times New Roman"/>
          <w:i/>
          <w:iCs/>
          <w:sz w:val="26"/>
          <w:szCs w:val="26"/>
        </w:rPr>
        <w:t>,</w:t>
      </w:r>
      <w:r w:rsidRPr="0072600F" w:rsidR="000C7814">
        <w:rPr>
          <w:rFonts w:ascii="Times New Roman" w:hAnsi="Times New Roman" w:cs="Times New Roman"/>
          <w:sz w:val="26"/>
          <w:szCs w:val="26"/>
        </w:rPr>
        <w:t>[</w:t>
      </w:r>
      <w:r w:rsidRPr="0072600F">
        <w:rPr>
          <w:rFonts w:ascii="Times New Roman" w:hAnsi="Times New Roman" w:cs="Times New Roman"/>
          <w:sz w:val="26"/>
          <w:szCs w:val="26"/>
        </w:rPr>
        <w:t xml:space="preserve"> or</w:t>
      </w:r>
      <w:r w:rsidRPr="0072600F" w:rsidR="0002632A">
        <w:rPr>
          <w:rFonts w:ascii="Times New Roman" w:hAnsi="Times New Roman" w:cs="Times New Roman"/>
          <w:sz w:val="26"/>
          <w:szCs w:val="26"/>
        </w:rPr>
        <w:t>]</w:t>
      </w:r>
      <w:r w:rsidRPr="0072600F">
        <w:rPr>
          <w:rFonts w:ascii="Times New Roman" w:hAnsi="Times New Roman" w:cs="Times New Roman"/>
          <w:sz w:val="26"/>
          <w:szCs w:val="26"/>
        </w:rPr>
        <w:t xml:space="preserve"> cash</w:t>
      </w:r>
      <w:r w:rsidRPr="0072600F" w:rsidR="0002632A">
        <w:rPr>
          <w:rFonts w:ascii="Times New Roman" w:hAnsi="Times New Roman" w:cs="Times New Roman"/>
          <w:i/>
          <w:iCs/>
          <w:sz w:val="26"/>
          <w:szCs w:val="26"/>
        </w:rPr>
        <w:t>, a surety bond, or other form of security that is reasonably acceptable to Transmission Provider,</w:t>
      </w:r>
      <w:r w:rsidRPr="0072600F">
        <w:rPr>
          <w:rFonts w:ascii="Times New Roman" w:hAnsi="Times New Roman" w:cs="Times New Roman"/>
          <w:sz w:val="26"/>
          <w:szCs w:val="26"/>
        </w:rPr>
        <w:t xml:space="preserve"> where cash deposits shall be treated according to Section 3.7 of this LGIP.</w:t>
      </w:r>
    </w:p>
    <w:p w:rsidR="00911580" w:rsidRPr="0072600F" w14:paraId="629EB620"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7DBDD42B" w14:textId="77777777">
      <w:pPr>
        <w:tabs>
          <w:tab w:val="left" w:pos="720"/>
          <w:tab w:val="left" w:pos="1440"/>
          <w:tab w:val="left" w:pos="2160"/>
          <w:tab w:val="left" w:pos="2880"/>
          <w:tab w:val="left" w:pos="3600"/>
        </w:tabs>
        <w:ind w:left="3600"/>
        <w:rPr>
          <w:rFonts w:ascii="Times New Roman" w:hAnsi="Times New Roman" w:cs="Times New Roman"/>
          <w:sz w:val="26"/>
          <w:szCs w:val="26"/>
        </w:rPr>
      </w:pPr>
      <w:r w:rsidRPr="0072600F">
        <w:rPr>
          <w:rFonts w:ascii="Times New Roman" w:hAnsi="Times New Roman" w:cs="Times New Roman"/>
          <w:sz w:val="26"/>
          <w:szCs w:val="26"/>
        </w:rPr>
        <w:t>(2) Exclusive Site Control for 100% of the proposed Generating Facility.</w:t>
      </w:r>
    </w:p>
    <w:p w:rsidR="00911580" w:rsidRPr="0072600F" w14:paraId="7681810F"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61411E00" w14:textId="77777777">
      <w:pPr>
        <w:tabs>
          <w:tab w:val="left" w:pos="720"/>
          <w:tab w:val="left" w:pos="1440"/>
          <w:tab w:val="left" w:pos="2160"/>
          <w:tab w:val="left" w:pos="2880"/>
          <w:tab w:val="left" w:pos="3600"/>
        </w:tabs>
        <w:ind w:left="360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conduct each Transitional Serial Interconnection Facilities Study and issue the associated Transitional Serial Interconnection Facilities Study Report within one hundred fifty (150) Calendar Days of the Commission-approved effective date of this LGIP. </w:t>
      </w:r>
    </w:p>
    <w:p w:rsidR="00911580" w:rsidRPr="0072600F" w14:paraId="1A28C217"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28AAA8E6" w14:textId="77777777">
      <w:pPr>
        <w:tabs>
          <w:tab w:val="left" w:pos="720"/>
          <w:tab w:val="left" w:pos="1440"/>
          <w:tab w:val="left" w:pos="2160"/>
          <w:tab w:val="left" w:pos="2880"/>
          <w:tab w:val="left" w:pos="3600"/>
        </w:tabs>
        <w:ind w:left="3600"/>
        <w:rPr>
          <w:rFonts w:ascii="Times New Roman" w:hAnsi="Times New Roman" w:cs="Times New Roman"/>
          <w:sz w:val="26"/>
          <w:szCs w:val="26"/>
        </w:rPr>
      </w:pPr>
      <w:r w:rsidRPr="0072600F">
        <w:rPr>
          <w:rFonts w:ascii="Times New Roman" w:hAnsi="Times New Roman" w:cs="Times New Roman"/>
          <w:sz w:val="26"/>
          <w:szCs w:val="26"/>
        </w:rPr>
        <w:t xml:space="preserve">After Transmission Provider issues each Transitional Interconnection Facilities Study Report, Interconnection Customer shall proceed pursuant to Section 11 of this LGIP.  If Interconnection Customer withdraws its Interconnection Request or if Interconnection Customer’s Generating Facility otherwise does not reach Commercial Operation, a </w:t>
      </w:r>
      <w:r w:rsidRPr="0072600F" w:rsidR="000C1178">
        <w:rPr>
          <w:rFonts w:ascii="Times New Roman" w:hAnsi="Times New Roman" w:cs="Times New Roman"/>
          <w:i/>
          <w:iCs/>
          <w:sz w:val="26"/>
          <w:szCs w:val="26"/>
        </w:rPr>
        <w:t xml:space="preserve">Transitional </w:t>
      </w:r>
      <w:r w:rsidRPr="0072600F">
        <w:rPr>
          <w:rFonts w:ascii="Times New Roman" w:hAnsi="Times New Roman" w:cs="Times New Roman"/>
          <w:sz w:val="26"/>
          <w:szCs w:val="26"/>
        </w:rPr>
        <w:t xml:space="preserve">Withdrawal Penalty shall be imposed on Interconnection Customer equal to nine (9) times Interconnection Customer’s total study cost incurred since entering </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the</w:t>
      </w:r>
      <w:r w:rsidRPr="0072600F" w:rsidR="00F8713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interconnection queue (including the cost of studies conducted under Section 5 of this LGIP). </w:t>
      </w:r>
    </w:p>
    <w:p w:rsidR="00911580" w:rsidRPr="0072600F" w14:paraId="361E5067"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rsidP="002339A2" w14:paraId="43FF58E2" w14:textId="77777777">
      <w:pPr>
        <w:pStyle w:val="Heading4"/>
        <w:rPr>
          <w:sz w:val="26"/>
        </w:rPr>
      </w:pPr>
      <w:r w:rsidRPr="0072600F">
        <w:rPr>
          <w:rStyle w:val="Heading5Char"/>
          <w:b w:val="0"/>
          <w:bCs w:val="0"/>
          <w:sz w:val="26"/>
          <w:szCs w:val="26"/>
        </w:rPr>
        <w:tab/>
      </w:r>
      <w:r w:rsidRPr="0072600F">
        <w:rPr>
          <w:rStyle w:val="Heading5Char"/>
          <w:b w:val="0"/>
          <w:bCs w:val="0"/>
          <w:sz w:val="26"/>
          <w:szCs w:val="26"/>
        </w:rPr>
        <w:tab/>
      </w:r>
      <w:r w:rsidRPr="0072600F">
        <w:rPr>
          <w:rStyle w:val="Heading5Char"/>
          <w:sz w:val="26"/>
          <w:szCs w:val="26"/>
        </w:rPr>
        <w:t>5.1.1.2</w:t>
      </w:r>
      <w:r w:rsidRPr="0072600F">
        <w:rPr>
          <w:sz w:val="26"/>
        </w:rPr>
        <w:t xml:space="preserve"> </w:t>
      </w:r>
      <w:r w:rsidRPr="0072600F" w:rsidR="00753FAA">
        <w:rPr>
          <w:sz w:val="26"/>
        </w:rPr>
        <w:tab/>
      </w:r>
      <w:r w:rsidRPr="0072600F">
        <w:rPr>
          <w:b/>
          <w:bCs/>
          <w:sz w:val="26"/>
        </w:rPr>
        <w:t>Transitional Cluster Study.</w:t>
      </w:r>
    </w:p>
    <w:p w:rsidR="00911580" w:rsidRPr="0072600F" w14:paraId="3601AB4C"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An Interconnection Customer with an assigned Queue Position as of thirty (30) Calendar Days after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to insert filing date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(the filing date of this LGIP) may opt to proceed with a Transitional Cluster Study.  Transmission Provider shall tender each eligible Interconnection Customer a Transitional Cluster Study Agreement, in the form of Appendix 7 to this LGIP, no later than the Commission-approved effective date of this LGIP.  Transmission Provider shall proceed with the Transitional Cluster Study that includes each Interconnection Customer that: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 xml:space="preserve">(1) meets each of the following requirements listed as (1)–(3) in this section; and (2) executes the Transitional Cluster Study Agreement within sixty (60) Calendar Days of the Commission-approved effective date of this LGIP.  All Interconnection Requests that enter the Transitional Cluster Study shall be considered to have an equal Queue Position that is lower than Interconnection Customer(s) proceeding with Transitional Serial Interconnection Facilities Study.  If an eligible Interconnection Customer does not meet these requirements, its Interconnection Request shall be deemed withdrawn without penalty. Transmission Provider must commence the Transitional Cluster Study at the conclusion of this sixty (60) Calendar Day period.  All identified Transmission Provider’s Interconnection Facilities and Network Upgrade costs shall be allocated according to Section 4.2.1 of this LGIP.  Transitional Cluster Study costs shall be allocated according to the method described in Section 13.3 of this LGIP. </w:t>
      </w:r>
    </w:p>
    <w:p w:rsidR="00911580" w:rsidRPr="0072600F" w14:paraId="79154A3D"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40CDF8E0"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Interconnection Customer may make a one-time extension to its requested Commercial Operation Date upon entry into the Transitional Cluster Study, where any such extension shall not result in a Commercial Operation Date later than December 31, 2027.  </w:t>
      </w:r>
    </w:p>
    <w:p w:rsidR="00911580" w:rsidRPr="0072600F" w14:paraId="38D186D0"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592DA072"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All of the following must be included when an Interconnection Customer returns the Transitional Cluster Study Agreement:</w:t>
      </w:r>
    </w:p>
    <w:p w:rsidR="00911580" w:rsidRPr="0072600F" w14:paraId="467108CF"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796BCD67"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(1) A selection of either Energy Resource Interconnection Service or Network Resource Interconnection Service.</w:t>
      </w:r>
    </w:p>
    <w:p w:rsidR="00911580" w:rsidRPr="0072600F" w14:paraId="37B3F150"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0D3D5E83"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(2) A deposit of five million dollars ($5,000,000) in the form of an irrevocable letter of credit</w:t>
      </w:r>
      <w:r w:rsidRPr="0072600F" w:rsidR="000208BB">
        <w:rPr>
          <w:rFonts w:ascii="Times New Roman" w:hAnsi="Times New Roman" w:cs="Times New Roman"/>
          <w:i/>
          <w:iCs/>
          <w:sz w:val="26"/>
          <w:szCs w:val="26"/>
        </w:rPr>
        <w:t>,</w:t>
      </w:r>
      <w:r w:rsidRPr="0072600F" w:rsidR="000208BB">
        <w:rPr>
          <w:rFonts w:ascii="Times New Roman" w:hAnsi="Times New Roman" w:cs="Times New Roman"/>
          <w:sz w:val="26"/>
          <w:szCs w:val="26"/>
        </w:rPr>
        <w:t>[</w:t>
      </w:r>
      <w:r w:rsidRPr="0072600F">
        <w:rPr>
          <w:rFonts w:ascii="Times New Roman" w:hAnsi="Times New Roman" w:cs="Times New Roman"/>
          <w:sz w:val="26"/>
          <w:szCs w:val="26"/>
        </w:rPr>
        <w:t xml:space="preserve"> or</w:t>
      </w:r>
      <w:r w:rsidRPr="0072600F" w:rsidR="000208BB">
        <w:rPr>
          <w:rFonts w:ascii="Times New Roman" w:hAnsi="Times New Roman" w:cs="Times New Roman"/>
          <w:sz w:val="26"/>
          <w:szCs w:val="26"/>
        </w:rPr>
        <w:t>]</w:t>
      </w:r>
      <w:r w:rsidRPr="0072600F">
        <w:rPr>
          <w:rFonts w:ascii="Times New Roman" w:hAnsi="Times New Roman" w:cs="Times New Roman"/>
          <w:sz w:val="26"/>
          <w:szCs w:val="26"/>
        </w:rPr>
        <w:t xml:space="preserve"> cash</w:t>
      </w:r>
      <w:r w:rsidRPr="0072600F" w:rsidR="000208BB">
        <w:rPr>
          <w:rFonts w:ascii="Times New Roman" w:hAnsi="Times New Roman" w:cs="Times New Roman"/>
          <w:i/>
          <w:iCs/>
          <w:sz w:val="26"/>
          <w:szCs w:val="26"/>
        </w:rPr>
        <w:t>, a surety bond, or other form of security that is reasonably acceptable to Transmission Provider,</w:t>
      </w:r>
      <w:r w:rsidRPr="0072600F">
        <w:rPr>
          <w:rFonts w:ascii="Times New Roman" w:hAnsi="Times New Roman" w:cs="Times New Roman"/>
          <w:sz w:val="26"/>
          <w:szCs w:val="26"/>
        </w:rPr>
        <w:t xml:space="preserve"> where cash deposits will be treated according to Section 3.7 of this LGIP.  If Interconnection Customer does not withdraw, the deposit shall be reconciled with and applied towards future construction costs described in the LGIA.  Any amounts in excess of the actual construction costs shall be returned to Interconnection Customer within thirty (30) Calendar Days of the issuance of a final invoice for construction costs, in accordance with Article 12.2 of the pro forma LGIA.  If Interconnection Customer withdraws or otherwise does not reach Commercial Operation, Transmission Provider must refund the remaining deposit once the final invoice for study costs and </w:t>
      </w:r>
      <w:r w:rsidRPr="0072600F" w:rsidR="003915AE">
        <w:rPr>
          <w:rFonts w:ascii="Times New Roman" w:hAnsi="Times New Roman" w:cs="Times New Roman"/>
          <w:i/>
          <w:iCs/>
          <w:sz w:val="26"/>
          <w:szCs w:val="26"/>
        </w:rPr>
        <w:t xml:space="preserve">Transitional </w:t>
      </w:r>
      <w:r w:rsidRPr="0072600F">
        <w:rPr>
          <w:rFonts w:ascii="Times New Roman" w:hAnsi="Times New Roman" w:cs="Times New Roman"/>
          <w:sz w:val="26"/>
          <w:szCs w:val="26"/>
        </w:rPr>
        <w:t xml:space="preserve">Withdrawal Penalty is settled. </w:t>
      </w:r>
    </w:p>
    <w:p w:rsidR="00911580" w:rsidRPr="0072600F" w14:paraId="065F6FE8"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1654C01F"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(3) Exclusive Site Control for 100% of the proposed Generating Facility. </w:t>
      </w:r>
    </w:p>
    <w:p w:rsidR="00911580" w:rsidRPr="0072600F" w14:paraId="4C5B1883"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5DC83CB8"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Transmission Provider shall conduct the Transitional Cluster Study and issue both an associated interim Transitional Cluster Study Report and an associated final Transitional Cluster Study Report.  The interim Transitional Cluster Study Report shall provide the following information:</w:t>
      </w:r>
    </w:p>
    <w:p w:rsidR="00911580" w:rsidRPr="0072600F" w14:paraId="65CE4498"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352A6EAF"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identification of any circuit breaker short circuit capability limits exceeded as a result of the interconnection;</w:t>
      </w:r>
    </w:p>
    <w:p w:rsidR="00911580" w:rsidRPr="0072600F" w14:paraId="37E505E4"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681FDF41"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identification of any thermal overload or voltage limit violations resulting from the interconnection;</w:t>
      </w:r>
    </w:p>
    <w:p w:rsidR="00911580" w:rsidRPr="0072600F" w14:paraId="29C4C23E"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7C5C8123"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identification of any instability or inadequately damped response to system disturbances resulting from the interconnection; and</w:t>
      </w:r>
    </w:p>
    <w:p w:rsidR="00911580" w:rsidRPr="0072600F" w14:paraId="03D319E6"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54953B89"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Transmission Provider’s Interconnection Facilities and Network Upgrades that are expected to be required as a result of the Interconnection Request(s) and a non-binding, good faith estimate of cost responsibility and a non-binding, good faith estimated time to construct.</w:t>
      </w:r>
    </w:p>
    <w:p w:rsidR="00911580" w:rsidRPr="0072600F" w14:paraId="7C19CC56"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04C0E9B8"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In addition to the information provided in the interim Transitional Cluster Study Report, the final Transitional Cluster Study Report shall provide a description of, estimated cost of, and schedule for construction of </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the</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Interconnection Facilities and Network Upgrades required to interconnect the Generating Facility to the Transmission System that resolve issues identified in the interim Transitional Cluster Study Report.</w:t>
      </w:r>
    </w:p>
    <w:p w:rsidR="00911580" w:rsidRPr="0072600F" w14:paraId="77D2EFAA"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724132F5"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The interim and final Transitional Cluster Study Reports shall be issued within three hundred (300) and three hundred sixty (360) Calendar Days of the Commission-approved effective date of this LGIP, respectively, and shall be posted on Transmission Provider’s OASIS consistent with the posting of other study results pursuant to Section 3.5.1 of this LGIP.  Interconnection Customer shall have thirty (30) Calendar Days to comment on the interim Transitional Cluster Study Report, once it has been received.</w:t>
      </w:r>
    </w:p>
    <w:p w:rsidR="00911580" w:rsidRPr="0072600F" w14:paraId="4A4CD7EA"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p>
    <w:p w:rsidR="00911580" w:rsidRPr="0072600F" w14:paraId="0104100B" w14:textId="77777777">
      <w:pPr>
        <w:tabs>
          <w:tab w:val="left" w:pos="720"/>
          <w:tab w:val="left" w:pos="1440"/>
          <w:tab w:val="left" w:pos="2160"/>
          <w:tab w:val="left" w:pos="2880"/>
          <w:tab w:val="left" w:pos="3600"/>
        </w:tabs>
        <w:ind w:left="3600" w:hanging="360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After Transmission Provider issues the final Transitional Cluster Study Report, Interconnection Customer shall proceed pursuant to Section 11 of this LGIP.  If Interconnection Customer withdraws its Interconnection Request or if Interconnection Customer’s Generating Facility otherwise does not reach Commercial Operation, a </w:t>
      </w:r>
      <w:r w:rsidRPr="0072600F" w:rsidR="003915AE">
        <w:rPr>
          <w:rFonts w:ascii="Times New Roman" w:hAnsi="Times New Roman" w:cs="Times New Roman"/>
          <w:i/>
          <w:iCs/>
          <w:sz w:val="26"/>
          <w:szCs w:val="26"/>
        </w:rPr>
        <w:t xml:space="preserve">Transitional </w:t>
      </w:r>
      <w:r w:rsidRPr="0072600F">
        <w:rPr>
          <w:rFonts w:ascii="Times New Roman" w:hAnsi="Times New Roman" w:cs="Times New Roman"/>
          <w:sz w:val="26"/>
          <w:szCs w:val="26"/>
        </w:rPr>
        <w:t>Withdrawal Penalty will be imposed o</w:t>
      </w:r>
      <w:r w:rsidRPr="0072600F" w:rsidR="00FA23B0">
        <w:rPr>
          <w:rFonts w:ascii="Times New Roman" w:hAnsi="Times New Roman" w:cs="Times New Roman"/>
          <w:i/>
          <w:iCs/>
          <w:sz w:val="26"/>
          <w:szCs w:val="26"/>
        </w:rPr>
        <w:t>n</w:t>
      </w:r>
      <w:r w:rsidRPr="0072600F" w:rsidR="00FA23B0">
        <w:rPr>
          <w:rFonts w:ascii="Times New Roman" w:hAnsi="Times New Roman" w:cs="Times New Roman"/>
          <w:sz w:val="26"/>
          <w:szCs w:val="26"/>
        </w:rPr>
        <w:t>[</w:t>
      </w:r>
      <w:r w:rsidRPr="0072600F">
        <w:rPr>
          <w:rFonts w:ascii="Times New Roman" w:hAnsi="Times New Roman" w:cs="Times New Roman"/>
          <w:sz w:val="26"/>
          <w:szCs w:val="26"/>
        </w:rPr>
        <w:t>m</w:t>
      </w:r>
      <w:r w:rsidRPr="0072600F" w:rsidR="00FA23B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equal to nine (9) times Interconnection Customer’s total study cost incurred since entering </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the</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interconnection queue (including the cost of studies conducted under Section 5 of this LGIP). </w:t>
      </w:r>
    </w:p>
    <w:p w:rsidR="00071C2E" w:rsidRPr="0072600F" w:rsidP="005B2359" w14:paraId="13E815EB" w14:textId="77777777">
      <w:pPr>
        <w:ind w:left="2160"/>
        <w:rPr>
          <w:rFonts w:ascii="Times New Roman" w:hAnsi="Times New Roman" w:cs="Times New Roman"/>
          <w:b/>
          <w:i/>
          <w:sz w:val="26"/>
          <w:szCs w:val="26"/>
        </w:rPr>
      </w:pPr>
      <w:r w:rsidRPr="0072600F">
        <w:rPr>
          <w:rFonts w:ascii="Times New Roman" w:hAnsi="Times New Roman" w:cs="Times New Roman"/>
          <w:b/>
          <w:bCs/>
          <w:i/>
          <w:iCs/>
          <w:sz w:val="26"/>
          <w:szCs w:val="26"/>
        </w:rPr>
        <w:t>5.1.</w:t>
      </w:r>
      <w:r w:rsidRPr="0072600F" w:rsidR="00D74AB1">
        <w:rPr>
          <w:rFonts w:ascii="Times New Roman" w:hAnsi="Times New Roman" w:cs="Times New Roman"/>
          <w:b/>
          <w:bCs/>
          <w:i/>
          <w:iCs/>
          <w:sz w:val="26"/>
          <w:szCs w:val="26"/>
        </w:rPr>
        <w:t>2</w:t>
      </w:r>
      <w:r w:rsidRPr="0072600F">
        <w:rPr>
          <w:rFonts w:ascii="Times New Roman" w:hAnsi="Times New Roman" w:cs="Times New Roman"/>
          <w:b/>
          <w:bCs/>
          <w:i/>
          <w:iCs/>
          <w:sz w:val="26"/>
          <w:szCs w:val="26"/>
        </w:rPr>
        <w:t xml:space="preserve"> Transmission Providers with Existing Cluster Study Processes or Currently in Transition</w:t>
      </w:r>
    </w:p>
    <w:p w:rsidR="00071C2E" w:rsidRPr="0072600F" w:rsidP="00D45168" w14:paraId="499D9A62" w14:textId="77777777">
      <w:pPr>
        <w:ind w:left="2160"/>
        <w:rPr>
          <w:rFonts w:ascii="Times New Roman" w:hAnsi="Times New Roman" w:cs="Times New Roman"/>
          <w:i/>
          <w:iCs/>
          <w:sz w:val="26"/>
          <w:szCs w:val="26"/>
        </w:rPr>
      </w:pPr>
      <w:r w:rsidRPr="0072600F">
        <w:rPr>
          <w:rFonts w:ascii="Times New Roman" w:hAnsi="Times New Roman" w:cs="Times New Roman"/>
          <w:i/>
          <w:iCs/>
          <w:sz w:val="26"/>
          <w:szCs w:val="26"/>
        </w:rPr>
        <w:t xml:space="preserve">If </w:t>
      </w:r>
      <w:r w:rsidRPr="0072600F">
        <w:rPr>
          <w:rFonts w:ascii="Times New Roman" w:hAnsi="Times New Roman" w:cs="Times New Roman"/>
          <w:i/>
          <w:iCs/>
          <w:sz w:val="26"/>
          <w:szCs w:val="26"/>
        </w:rPr>
        <w:t>Transmission Provider is not conducting a transition process under Section 5.1.1</w:t>
      </w:r>
      <w:r w:rsidRPr="0072600F">
        <w:rPr>
          <w:rFonts w:ascii="Times New Roman" w:hAnsi="Times New Roman" w:cs="Times New Roman"/>
          <w:i/>
          <w:iCs/>
          <w:sz w:val="26"/>
          <w:szCs w:val="26"/>
        </w:rPr>
        <w:t>, it</w:t>
      </w:r>
      <w:r w:rsidRPr="0072600F">
        <w:rPr>
          <w:rFonts w:ascii="Times New Roman" w:hAnsi="Times New Roman" w:cs="Times New Roman"/>
          <w:i/>
          <w:iCs/>
          <w:sz w:val="26"/>
          <w:szCs w:val="26"/>
        </w:rPr>
        <w:t xml:space="preserve"> will continue processing </w:t>
      </w:r>
      <w:r w:rsidRPr="0072600F" w:rsidR="17A3643E">
        <w:rPr>
          <w:rFonts w:ascii="Times New Roman" w:hAnsi="Times New Roman" w:cs="Times New Roman"/>
          <w:i/>
          <w:iCs/>
          <w:sz w:val="26"/>
          <w:szCs w:val="26"/>
        </w:rPr>
        <w:t>I</w:t>
      </w:r>
      <w:r w:rsidRPr="0072600F">
        <w:rPr>
          <w:rFonts w:ascii="Times New Roman" w:hAnsi="Times New Roman" w:cs="Times New Roman"/>
          <w:i/>
          <w:iCs/>
          <w:sz w:val="26"/>
          <w:szCs w:val="26"/>
        </w:rPr>
        <w:t xml:space="preserve">nterconnection </w:t>
      </w:r>
      <w:r w:rsidRPr="0072600F" w:rsidR="0CDA827F">
        <w:rPr>
          <w:rFonts w:ascii="Times New Roman" w:hAnsi="Times New Roman" w:cs="Times New Roman"/>
          <w:i/>
          <w:iCs/>
          <w:sz w:val="26"/>
          <w:szCs w:val="26"/>
        </w:rPr>
        <w:t>R</w:t>
      </w:r>
      <w:r w:rsidRPr="0072600F">
        <w:rPr>
          <w:rFonts w:ascii="Times New Roman" w:hAnsi="Times New Roman" w:cs="Times New Roman"/>
          <w:i/>
          <w:iCs/>
          <w:sz w:val="26"/>
          <w:szCs w:val="26"/>
        </w:rPr>
        <w:t xml:space="preserve">equests under its current </w:t>
      </w:r>
      <w:r w:rsidRPr="0072600F" w:rsidR="3F7938DD">
        <w:rPr>
          <w:rFonts w:ascii="Times New Roman" w:hAnsi="Times New Roman" w:cs="Times New Roman"/>
          <w:i/>
          <w:iCs/>
          <w:sz w:val="26"/>
          <w:szCs w:val="26"/>
        </w:rPr>
        <w:t>C</w:t>
      </w:r>
      <w:r w:rsidRPr="0072600F">
        <w:rPr>
          <w:rFonts w:ascii="Times New Roman" w:hAnsi="Times New Roman" w:cs="Times New Roman"/>
          <w:i/>
          <w:iCs/>
          <w:sz w:val="26"/>
          <w:szCs w:val="26"/>
        </w:rPr>
        <w:t xml:space="preserve">luster </w:t>
      </w:r>
      <w:r w:rsidRPr="0072600F" w:rsidR="12D8C831">
        <w:rPr>
          <w:rFonts w:ascii="Times New Roman" w:hAnsi="Times New Roman" w:cs="Times New Roman"/>
          <w:i/>
          <w:iCs/>
          <w:sz w:val="26"/>
          <w:szCs w:val="26"/>
        </w:rPr>
        <w:t>S</w:t>
      </w:r>
      <w:r w:rsidRPr="0072600F">
        <w:rPr>
          <w:rFonts w:ascii="Times New Roman" w:hAnsi="Times New Roman" w:cs="Times New Roman"/>
          <w:i/>
          <w:iCs/>
          <w:sz w:val="26"/>
          <w:szCs w:val="26"/>
        </w:rPr>
        <w:t xml:space="preserve">tudy </w:t>
      </w:r>
      <w:r w:rsidRPr="0072600F" w:rsidR="3A0E81ED">
        <w:rPr>
          <w:rFonts w:ascii="Times New Roman" w:hAnsi="Times New Roman" w:cs="Times New Roman"/>
          <w:i/>
          <w:iCs/>
          <w:sz w:val="26"/>
          <w:szCs w:val="26"/>
        </w:rPr>
        <w:t>Process</w:t>
      </w:r>
      <w:r w:rsidRPr="0072600F">
        <w:rPr>
          <w:rFonts w:ascii="Times New Roman" w:hAnsi="Times New Roman" w:cs="Times New Roman"/>
          <w:i/>
          <w:iCs/>
          <w:sz w:val="26"/>
          <w:szCs w:val="26"/>
        </w:rPr>
        <w:t xml:space="preserve">.  Within </w:t>
      </w:r>
      <w:r w:rsidRPr="0072600F" w:rsidR="004C6AF4">
        <w:rPr>
          <w:rFonts w:ascii="Times New Roman" w:hAnsi="Times New Roman" w:cs="Times New Roman"/>
          <w:i/>
          <w:iCs/>
          <w:sz w:val="26"/>
          <w:szCs w:val="26"/>
        </w:rPr>
        <w:t>sixty (</w:t>
      </w:r>
      <w:r w:rsidRPr="0072600F">
        <w:rPr>
          <w:rFonts w:ascii="Times New Roman" w:hAnsi="Times New Roman" w:cs="Times New Roman"/>
          <w:i/>
          <w:iCs/>
          <w:sz w:val="26"/>
          <w:szCs w:val="26"/>
        </w:rPr>
        <w:t>60</w:t>
      </w:r>
      <w:r w:rsidRPr="0072600F" w:rsidR="004C6AF4">
        <w:rPr>
          <w:rFonts w:ascii="Times New Roman" w:hAnsi="Times New Roman" w:cs="Times New Roman"/>
          <w:i/>
          <w:iCs/>
          <w:sz w:val="26"/>
          <w:szCs w:val="26"/>
        </w:rPr>
        <w:t>)</w:t>
      </w:r>
      <w:r w:rsidRPr="0072600F">
        <w:rPr>
          <w:rFonts w:ascii="Times New Roman" w:hAnsi="Times New Roman" w:cs="Times New Roman"/>
          <w:i/>
          <w:iCs/>
          <w:sz w:val="26"/>
          <w:szCs w:val="26"/>
        </w:rPr>
        <w:t xml:space="preserve"> </w:t>
      </w:r>
      <w:r w:rsidRPr="0072600F" w:rsidR="004C249F">
        <w:rPr>
          <w:rFonts w:ascii="Times New Roman" w:hAnsi="Times New Roman" w:cs="Times New Roman"/>
          <w:i/>
          <w:iCs/>
          <w:sz w:val="26"/>
          <w:szCs w:val="26"/>
        </w:rPr>
        <w:t>C</w:t>
      </w:r>
      <w:r w:rsidRPr="0072600F">
        <w:rPr>
          <w:rFonts w:ascii="Times New Roman" w:hAnsi="Times New Roman" w:cs="Times New Roman"/>
          <w:i/>
          <w:iCs/>
          <w:sz w:val="26"/>
          <w:szCs w:val="26"/>
        </w:rPr>
        <w:t xml:space="preserve">alendar </w:t>
      </w:r>
      <w:r w:rsidRPr="0072600F" w:rsidR="004C249F">
        <w:rPr>
          <w:rFonts w:ascii="Times New Roman" w:hAnsi="Times New Roman" w:cs="Times New Roman"/>
          <w:i/>
          <w:iCs/>
          <w:sz w:val="26"/>
          <w:szCs w:val="26"/>
        </w:rPr>
        <w:t>D</w:t>
      </w:r>
      <w:r w:rsidRPr="0072600F">
        <w:rPr>
          <w:rFonts w:ascii="Times New Roman" w:hAnsi="Times New Roman" w:cs="Times New Roman"/>
          <w:i/>
          <w:iCs/>
          <w:sz w:val="26"/>
          <w:szCs w:val="26"/>
        </w:rPr>
        <w:t>ays of</w:t>
      </w:r>
      <w:r w:rsidRPr="0072600F" w:rsidR="00750562">
        <w:rPr>
          <w:rFonts w:ascii="Times New Roman" w:hAnsi="Times New Roman" w:cs="Times New Roman"/>
          <w:i/>
          <w:iCs/>
          <w:sz w:val="26"/>
          <w:szCs w:val="26"/>
        </w:rPr>
        <w:t xml:space="preserve"> the Commission-approved effective date of this LGIP</w:t>
      </w:r>
      <w:r w:rsidRPr="0072600F" w:rsidR="00D45168">
        <w:rPr>
          <w:rFonts w:ascii="Times New Roman" w:hAnsi="Times New Roman" w:cs="Times New Roman"/>
          <w:i/>
          <w:iCs/>
          <w:sz w:val="26"/>
          <w:szCs w:val="26"/>
        </w:rPr>
        <w:t>,</w:t>
      </w:r>
      <w:r w:rsidRPr="0072600F">
        <w:rPr>
          <w:rFonts w:ascii="Times New Roman" w:hAnsi="Times New Roman" w:cs="Times New Roman"/>
          <w:i/>
          <w:iCs/>
          <w:sz w:val="26"/>
          <w:szCs w:val="26"/>
        </w:rPr>
        <w:t xml:space="preserve"> </w:t>
      </w:r>
      <w:r w:rsidRPr="0072600F" w:rsidR="0C99D586">
        <w:rPr>
          <w:rFonts w:ascii="Times New Roman" w:hAnsi="Times New Roman" w:cs="Times New Roman"/>
          <w:i/>
          <w:iCs/>
          <w:sz w:val="26"/>
          <w:szCs w:val="26"/>
        </w:rPr>
        <w:t>I</w:t>
      </w:r>
      <w:r w:rsidRPr="0072600F">
        <w:rPr>
          <w:rFonts w:ascii="Times New Roman" w:hAnsi="Times New Roman" w:cs="Times New Roman"/>
          <w:i/>
          <w:iCs/>
          <w:sz w:val="26"/>
          <w:szCs w:val="26"/>
        </w:rPr>
        <w:t xml:space="preserve">nterconnection </w:t>
      </w:r>
      <w:r w:rsidRPr="0072600F" w:rsidR="25267DB1">
        <w:rPr>
          <w:rFonts w:ascii="Times New Roman" w:hAnsi="Times New Roman" w:cs="Times New Roman"/>
          <w:i/>
          <w:iCs/>
          <w:sz w:val="26"/>
          <w:szCs w:val="26"/>
        </w:rPr>
        <w:t>C</w:t>
      </w:r>
      <w:r w:rsidRPr="0072600F">
        <w:rPr>
          <w:rFonts w:ascii="Times New Roman" w:hAnsi="Times New Roman" w:cs="Times New Roman"/>
          <w:i/>
          <w:iCs/>
          <w:sz w:val="26"/>
          <w:szCs w:val="26"/>
        </w:rPr>
        <w:t xml:space="preserve">ustomers that have not executed an LGIA or requested an LGIA to be filed unexecuted must meet </w:t>
      </w:r>
      <w:r w:rsidRPr="0072600F" w:rsidR="006F2B00">
        <w:rPr>
          <w:rFonts w:ascii="Times New Roman" w:hAnsi="Times New Roman" w:cs="Times New Roman"/>
          <w:i/>
          <w:iCs/>
          <w:sz w:val="26"/>
          <w:szCs w:val="26"/>
        </w:rPr>
        <w:t>the</w:t>
      </w:r>
      <w:r w:rsidRPr="0072600F" w:rsidR="006E0590">
        <w:rPr>
          <w:rFonts w:ascii="Times New Roman" w:hAnsi="Times New Roman" w:cs="Times New Roman"/>
          <w:i/>
          <w:iCs/>
          <w:sz w:val="26"/>
          <w:szCs w:val="26"/>
        </w:rPr>
        <w:t xml:space="preserve"> </w:t>
      </w:r>
      <w:r w:rsidRPr="0072600F" w:rsidR="00BE11F7">
        <w:rPr>
          <w:rFonts w:ascii="Times New Roman" w:hAnsi="Times New Roman" w:cs="Times New Roman"/>
          <w:i/>
          <w:iCs/>
          <w:sz w:val="26"/>
          <w:szCs w:val="26"/>
        </w:rPr>
        <w:t xml:space="preserve">requirements </w:t>
      </w:r>
      <w:r w:rsidRPr="0072600F" w:rsidR="006F2B00">
        <w:rPr>
          <w:rFonts w:ascii="Times New Roman" w:hAnsi="Times New Roman" w:cs="Times New Roman"/>
          <w:i/>
          <w:iCs/>
          <w:sz w:val="26"/>
          <w:szCs w:val="26"/>
        </w:rPr>
        <w:t>of</w:t>
      </w:r>
      <w:r w:rsidRPr="0072600F" w:rsidR="15322C77">
        <w:rPr>
          <w:rFonts w:ascii="Times New Roman" w:hAnsi="Times New Roman" w:cs="Times New Roman"/>
          <w:i/>
          <w:iCs/>
          <w:sz w:val="26"/>
          <w:szCs w:val="26"/>
        </w:rPr>
        <w:t xml:space="preserve"> Section</w:t>
      </w:r>
      <w:r w:rsidRPr="0072600F" w:rsidR="00EF4862">
        <w:rPr>
          <w:rFonts w:ascii="Times New Roman" w:hAnsi="Times New Roman" w:cs="Times New Roman"/>
          <w:i/>
          <w:iCs/>
          <w:sz w:val="26"/>
          <w:szCs w:val="26"/>
        </w:rPr>
        <w:t>s</w:t>
      </w:r>
      <w:r w:rsidRPr="0072600F" w:rsidR="15322C77">
        <w:rPr>
          <w:rFonts w:ascii="Times New Roman" w:hAnsi="Times New Roman" w:cs="Times New Roman"/>
          <w:i/>
          <w:iCs/>
          <w:sz w:val="26"/>
          <w:szCs w:val="26"/>
        </w:rPr>
        <w:t xml:space="preserve"> 3.4.2</w:t>
      </w:r>
      <w:r w:rsidRPr="0072600F" w:rsidR="00EF4862">
        <w:rPr>
          <w:rFonts w:ascii="Times New Roman" w:hAnsi="Times New Roman" w:cs="Times New Roman"/>
          <w:i/>
          <w:iCs/>
          <w:sz w:val="26"/>
          <w:szCs w:val="26"/>
        </w:rPr>
        <w:t xml:space="preserve">, 7.5, </w:t>
      </w:r>
      <w:r w:rsidRPr="0072600F" w:rsidR="00F85A3C">
        <w:rPr>
          <w:rFonts w:ascii="Times New Roman" w:hAnsi="Times New Roman" w:cs="Times New Roman"/>
          <w:i/>
          <w:iCs/>
          <w:sz w:val="26"/>
          <w:szCs w:val="26"/>
        </w:rPr>
        <w:t>or</w:t>
      </w:r>
      <w:r w:rsidRPr="0072600F" w:rsidR="00EF4862">
        <w:rPr>
          <w:rFonts w:ascii="Times New Roman" w:hAnsi="Times New Roman" w:cs="Times New Roman"/>
          <w:i/>
          <w:iCs/>
          <w:sz w:val="26"/>
          <w:szCs w:val="26"/>
        </w:rPr>
        <w:t xml:space="preserve"> 8.1</w:t>
      </w:r>
      <w:r w:rsidRPr="0072600F" w:rsidR="15322C77">
        <w:rPr>
          <w:rFonts w:ascii="Times New Roman" w:hAnsi="Times New Roman" w:cs="Times New Roman"/>
          <w:i/>
          <w:iCs/>
          <w:sz w:val="26"/>
          <w:szCs w:val="26"/>
        </w:rPr>
        <w:t xml:space="preserve"> of this LGIP</w:t>
      </w:r>
      <w:r w:rsidRPr="0072600F" w:rsidR="00EF4862">
        <w:rPr>
          <w:rFonts w:ascii="Times New Roman" w:hAnsi="Times New Roman" w:cs="Times New Roman"/>
          <w:i/>
          <w:iCs/>
          <w:sz w:val="26"/>
          <w:szCs w:val="26"/>
        </w:rPr>
        <w:t xml:space="preserve">, </w:t>
      </w:r>
      <w:r w:rsidRPr="0072600F" w:rsidR="00F85A3C">
        <w:rPr>
          <w:rFonts w:ascii="Times New Roman" w:hAnsi="Times New Roman" w:cs="Times New Roman"/>
          <w:i/>
          <w:iCs/>
          <w:sz w:val="26"/>
          <w:szCs w:val="26"/>
        </w:rPr>
        <w:t>based on Interconnection Customer’s Queue Position</w:t>
      </w:r>
      <w:r w:rsidRPr="0072600F">
        <w:rPr>
          <w:rFonts w:ascii="Times New Roman" w:hAnsi="Times New Roman" w:cs="Times New Roman"/>
          <w:i/>
          <w:iCs/>
          <w:sz w:val="26"/>
          <w:szCs w:val="26"/>
        </w:rPr>
        <w:t>.</w:t>
      </w:r>
    </w:p>
    <w:p w:rsidR="00071C2E" w:rsidRPr="0072600F" w:rsidP="005B2359" w14:paraId="3E3887EB" w14:textId="77777777">
      <w:pPr>
        <w:ind w:left="2160"/>
        <w:rPr>
          <w:rFonts w:ascii="Times New Roman" w:hAnsi="Times New Roman" w:cs="Times New Roman"/>
          <w:i/>
          <w:iCs/>
          <w:sz w:val="26"/>
          <w:szCs w:val="26"/>
        </w:rPr>
      </w:pPr>
      <w:r w:rsidRPr="0072600F">
        <w:rPr>
          <w:rFonts w:ascii="Times New Roman" w:hAnsi="Times New Roman" w:cs="Times New Roman"/>
          <w:i/>
          <w:iCs/>
          <w:sz w:val="26"/>
          <w:szCs w:val="26"/>
        </w:rPr>
        <w:t xml:space="preserve">Any Interconnection Customer that fails to meet these requirements within </w:t>
      </w:r>
      <w:r w:rsidRPr="0072600F" w:rsidR="00BE5F06">
        <w:rPr>
          <w:rFonts w:ascii="Times New Roman" w:hAnsi="Times New Roman" w:cs="Times New Roman"/>
          <w:i/>
          <w:iCs/>
          <w:sz w:val="26"/>
          <w:szCs w:val="26"/>
        </w:rPr>
        <w:t>sixty (</w:t>
      </w:r>
      <w:r w:rsidRPr="0072600F">
        <w:rPr>
          <w:rFonts w:ascii="Times New Roman" w:hAnsi="Times New Roman" w:cs="Times New Roman"/>
          <w:i/>
          <w:iCs/>
          <w:sz w:val="26"/>
          <w:szCs w:val="26"/>
        </w:rPr>
        <w:t>60</w:t>
      </w:r>
      <w:r w:rsidRPr="0072600F" w:rsidR="00BE5F06">
        <w:rPr>
          <w:rFonts w:ascii="Times New Roman" w:hAnsi="Times New Roman" w:cs="Times New Roman"/>
          <w:i/>
          <w:iCs/>
          <w:sz w:val="26"/>
          <w:szCs w:val="26"/>
        </w:rPr>
        <w:t>)</w:t>
      </w:r>
      <w:r w:rsidRPr="0072600F">
        <w:rPr>
          <w:rFonts w:ascii="Times New Roman" w:hAnsi="Times New Roman" w:cs="Times New Roman"/>
          <w:i/>
          <w:iCs/>
          <w:sz w:val="26"/>
          <w:szCs w:val="26"/>
        </w:rPr>
        <w:t xml:space="preserve"> </w:t>
      </w:r>
      <w:r w:rsidRPr="0072600F" w:rsidR="004C249F">
        <w:rPr>
          <w:rFonts w:ascii="Times New Roman" w:hAnsi="Times New Roman" w:cs="Times New Roman"/>
          <w:i/>
          <w:iCs/>
          <w:sz w:val="26"/>
          <w:szCs w:val="26"/>
        </w:rPr>
        <w:t>C</w:t>
      </w:r>
      <w:r w:rsidRPr="0072600F">
        <w:rPr>
          <w:rFonts w:ascii="Times New Roman" w:hAnsi="Times New Roman" w:cs="Times New Roman"/>
          <w:i/>
          <w:iCs/>
          <w:sz w:val="26"/>
          <w:szCs w:val="26"/>
        </w:rPr>
        <w:t xml:space="preserve">alendar </w:t>
      </w:r>
      <w:r w:rsidRPr="0072600F" w:rsidR="004C249F">
        <w:rPr>
          <w:rFonts w:ascii="Times New Roman" w:hAnsi="Times New Roman" w:cs="Times New Roman"/>
          <w:i/>
          <w:iCs/>
          <w:sz w:val="26"/>
          <w:szCs w:val="26"/>
        </w:rPr>
        <w:t>D</w:t>
      </w:r>
      <w:r w:rsidRPr="0072600F">
        <w:rPr>
          <w:rFonts w:ascii="Times New Roman" w:hAnsi="Times New Roman" w:cs="Times New Roman"/>
          <w:i/>
          <w:iCs/>
          <w:sz w:val="26"/>
          <w:szCs w:val="26"/>
        </w:rPr>
        <w:t>ays of the Commission-approved effective date of this LGIP shall have its Interconnection Request deemed withdrawn by Transmission Provider pursuant to Section 3.7 of this LGIP.  In such case, Transmission Provider shall not assess Interconnection Customer any Withdrawal Penalty.</w:t>
      </w:r>
    </w:p>
    <w:p w:rsidR="00911580" w:rsidRPr="0072600F" w14:paraId="19C30A28" w14:textId="77777777">
      <w:pPr>
        <w:rPr>
          <w:rFonts w:ascii="Times New Roman" w:hAnsi="Times New Roman" w:cs="Times New Roman"/>
          <w:sz w:val="26"/>
          <w:szCs w:val="26"/>
        </w:rPr>
      </w:pPr>
    </w:p>
    <w:p w:rsidR="00911580" w:rsidRPr="0072600F" w:rsidP="00753FAA" w14:paraId="6A695474" w14:textId="77777777">
      <w:pPr>
        <w:pStyle w:val="Heading3"/>
        <w:rPr>
          <w:b/>
          <w:sz w:val="26"/>
        </w:rPr>
      </w:pPr>
      <w:bookmarkStart w:id="266" w:name="_Toc149903644"/>
      <w:r w:rsidRPr="0072600F">
        <w:rPr>
          <w:b/>
          <w:sz w:val="26"/>
        </w:rPr>
        <w:t>5.2</w:t>
      </w:r>
      <w:r w:rsidRPr="0072600F">
        <w:rPr>
          <w:b/>
          <w:sz w:val="26"/>
        </w:rPr>
        <w:tab/>
        <w:t>New Transmission Provider.</w:t>
      </w:r>
      <w:bookmarkEnd w:id="266"/>
    </w:p>
    <w:p w:rsidR="00911580" w:rsidRPr="0072600F" w14:paraId="65D9E19F"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If Transmission Provider transfers control of its Transmission System to a successor Transmission Provider during the period when an Interconnection Request is pending, the original Transmission Provider shall transfer to the successor Transmission Provider any amount of the deposit or payment with interest thereon that exceeds the cost that it incurred to evaluate the request for interconnection.  Any difference between such net amount and the deposit or payment required by this LGIP shall be paid by or refunded to </w:t>
      </w:r>
      <w:r w:rsidRPr="0072600F" w:rsidR="004E47FE">
        <w:rPr>
          <w:rFonts w:ascii="Times New Roman" w:hAnsi="Times New Roman" w:cs="Times New Roman"/>
          <w:sz w:val="26"/>
          <w:szCs w:val="26"/>
        </w:rPr>
        <w:t>[</w:t>
      </w:r>
      <w:r w:rsidRPr="0072600F">
        <w:rPr>
          <w:rFonts w:ascii="Times New Roman" w:hAnsi="Times New Roman" w:cs="Times New Roman"/>
          <w:sz w:val="26"/>
          <w:szCs w:val="26"/>
        </w:rPr>
        <w:t>the</w:t>
      </w:r>
      <w:r w:rsidRPr="0072600F" w:rsidR="004E47FE">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as appropriate.  The original Transmission Provider shall coordinate with the successor Transmission Provider to complete any Interconnection Study, as appropriate, that the original Transmission Provider has begun but has not completed.  If Transmission Provider has tendered a draft LGIA to Interconnection Customer but Interconnection Customer has not either executed the LGIA or requested the filing of an unexecuted LGIA with FERC, unless otherwise provided, Interconnection Customer must complete negotiations with the successor Transmission Provider.</w:t>
      </w:r>
    </w:p>
    <w:p w:rsidR="00911580" w:rsidRPr="0072600F" w14:paraId="72B177C9" w14:textId="77777777">
      <w:pPr>
        <w:rPr>
          <w:rFonts w:ascii="Times New Roman" w:hAnsi="Times New Roman" w:cs="Times New Roman"/>
          <w:sz w:val="26"/>
          <w:szCs w:val="26"/>
        </w:rPr>
      </w:pPr>
    </w:p>
    <w:p w:rsidR="00911580" w:rsidRPr="0072600F" w14:paraId="1D4D50DC" w14:textId="77777777">
      <w:pPr>
        <w:rPr>
          <w:rFonts w:ascii="Times New Roman" w:hAnsi="Times New Roman" w:cs="Times New Roman"/>
          <w:sz w:val="26"/>
          <w:szCs w:val="26"/>
        </w:rPr>
      </w:pPr>
    </w:p>
    <w:p w:rsidR="00911580" w:rsidRPr="0072600F" w:rsidP="004912AC" w14:paraId="3A23BEB2" w14:textId="77777777">
      <w:pPr>
        <w:pStyle w:val="Heading2"/>
        <w:rPr>
          <w:b/>
          <w:bCs/>
          <w:sz w:val="26"/>
          <w:szCs w:val="26"/>
        </w:rPr>
      </w:pPr>
      <w:bookmarkStart w:id="267" w:name="_Toc149903645"/>
      <w:r w:rsidRPr="0072600F">
        <w:rPr>
          <w:b/>
          <w:bCs/>
          <w:sz w:val="26"/>
          <w:szCs w:val="26"/>
        </w:rPr>
        <w:t>Section 6.</w:t>
      </w:r>
      <w:r w:rsidRPr="0072600F">
        <w:rPr>
          <w:b/>
          <w:bCs/>
          <w:sz w:val="26"/>
          <w:szCs w:val="26"/>
        </w:rPr>
        <w:tab/>
        <w:t>Interconnection Information Access</w:t>
      </w:r>
      <w:bookmarkEnd w:id="267"/>
    </w:p>
    <w:p w:rsidR="00911580" w:rsidRPr="0072600F" w14:paraId="0857840A" w14:textId="77777777">
      <w:pPr>
        <w:rPr>
          <w:rFonts w:ascii="Times New Roman" w:hAnsi="Times New Roman" w:cs="Times New Roman"/>
          <w:b/>
          <w:bCs/>
          <w:sz w:val="26"/>
          <w:szCs w:val="26"/>
        </w:rPr>
      </w:pPr>
    </w:p>
    <w:p w:rsidR="00911580" w:rsidRPr="0072600F" w:rsidP="004912AC" w14:paraId="20713127" w14:textId="77777777">
      <w:pPr>
        <w:pStyle w:val="Heading3"/>
        <w:rPr>
          <w:b/>
          <w:sz w:val="26"/>
        </w:rPr>
      </w:pPr>
      <w:bookmarkStart w:id="268" w:name="_Toc149903646"/>
      <w:r w:rsidRPr="0072600F">
        <w:rPr>
          <w:b/>
          <w:sz w:val="26"/>
        </w:rPr>
        <w:t>6.1</w:t>
      </w:r>
      <w:r w:rsidRPr="0072600F">
        <w:rPr>
          <w:b/>
          <w:sz w:val="26"/>
        </w:rPr>
        <w:tab/>
        <w:t>Publicly Posted Interconnection Information.</w:t>
      </w:r>
      <w:bookmarkEnd w:id="268"/>
    </w:p>
    <w:p w:rsidR="00911580" w:rsidRPr="0072600F" w14:paraId="31775D84"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Transmission Provider shall maintain and make publicly available: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(1) an interactive visual representation of the estimated incremental injection capacity (in megawatts</w:t>
      </w:r>
      <w:r w:rsidRPr="0072600F">
        <w:rPr>
          <w:rFonts w:ascii="Times New Roman" w:hAnsi="Times New Roman" w:cs="Times New Roman"/>
          <w:i/>
          <w:sz w:val="26"/>
          <w:szCs w:val="26"/>
        </w:rPr>
        <w:t>)</w:t>
      </w:r>
      <w:r w:rsidRPr="0072600F">
        <w:rPr>
          <w:rFonts w:ascii="Times New Roman" w:hAnsi="Times New Roman" w:cs="Times New Roman"/>
          <w:sz w:val="26"/>
          <w:szCs w:val="26"/>
        </w:rPr>
        <w:t xml:space="preserve"> available at each point of interconnection in Transmission Provider’s footprint under N-1 conditions, and (2) a table of metrics concerning the estimated impact of a potential Generating Facility on Transmission Provider’s Transmission System based on a user-specified addition of a particular number of megawatts at a particular voltage level at a particular point of interconnection.  At a minimum, for each transmission facility impacted by the user-specified megawatt addition, the following information will be provided in the table: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(1) the distribution factor; (2) the megawatt impact (based on the megawatt values of the proposed Generating Facility and the distribution factor); (3) the percentage impact on each impacted transmission facility (based on the megawatt values of the proposed Generating Facility and the facility rating); (4) the percentage of power flow on each impacted transmission facility before the injection of the proposed project; (5) the percentage power flow on each impacted transmission facility after the injection of the proposed Generating Facility.  These metrics must be calculated based on the power flow model of the Transmission System with the transfer simulated from each point of interconnection to the whole Transmission Provider’s footprint (to approximate Network Resource Interconnection Service), and with the incremental capacity at each point of interconnection decremented by the existing and queued Generating Facilities (based on the existing or requested interconnection service limit of the generation).  These metrics must be updated within thirty (30) Calendar Days after the completion of each Cluster Study and Cluster Restudy.  This information must be publicly posted, without a password or a fee.  The website will define all underlying assumptions, including the name of the most recent Cluster Study or Restudy used in the Base Case.</w:t>
      </w:r>
    </w:p>
    <w:p w:rsidR="00911580" w:rsidRPr="0072600F" w:rsidP="00F57D4D" w14:paraId="4B4B5B35" w14:textId="77777777">
      <w:pPr>
        <w:pStyle w:val="Heading2"/>
        <w:rPr>
          <w:b/>
          <w:bCs/>
          <w:sz w:val="26"/>
          <w:szCs w:val="26"/>
        </w:rPr>
      </w:pPr>
      <w:bookmarkStart w:id="269" w:name="_Toc149903647"/>
      <w:r w:rsidRPr="0072600F">
        <w:rPr>
          <w:b/>
          <w:bCs/>
          <w:sz w:val="26"/>
          <w:szCs w:val="26"/>
        </w:rPr>
        <w:t>Section 7.</w:t>
      </w:r>
      <w:r w:rsidRPr="0072600F">
        <w:rPr>
          <w:b/>
          <w:bCs/>
          <w:sz w:val="26"/>
          <w:szCs w:val="26"/>
        </w:rPr>
        <w:tab/>
        <w:t>Cluster Study</w:t>
      </w:r>
      <w:bookmarkEnd w:id="269"/>
    </w:p>
    <w:p w:rsidR="00911580" w:rsidRPr="0072600F" w14:paraId="24F6DA52" w14:textId="77777777">
      <w:pPr>
        <w:rPr>
          <w:rFonts w:ascii="Times New Roman" w:hAnsi="Times New Roman" w:cs="Times New Roman"/>
          <w:b/>
          <w:bCs/>
          <w:sz w:val="26"/>
          <w:szCs w:val="26"/>
        </w:rPr>
      </w:pPr>
    </w:p>
    <w:p w:rsidR="00911580" w:rsidRPr="0072600F" w:rsidP="00CF3CBE" w14:paraId="2D223C01" w14:textId="77777777">
      <w:pPr>
        <w:pStyle w:val="Heading3"/>
        <w:rPr>
          <w:b/>
          <w:sz w:val="26"/>
        </w:rPr>
      </w:pPr>
      <w:bookmarkStart w:id="270" w:name="_Toc149903648"/>
      <w:r w:rsidRPr="0072600F">
        <w:rPr>
          <w:b/>
          <w:sz w:val="26"/>
        </w:rPr>
        <w:t>7.1</w:t>
      </w:r>
      <w:r w:rsidRPr="0072600F">
        <w:rPr>
          <w:b/>
          <w:sz w:val="26"/>
        </w:rPr>
        <w:tab/>
        <w:t>Cluster Study Agreement.</w:t>
      </w:r>
      <w:bookmarkEnd w:id="270"/>
    </w:p>
    <w:p w:rsidR="00911580" w:rsidRPr="0072600F" w14:paraId="1564BF64" w14:textId="77777777">
      <w:pPr>
        <w:ind w:left="1440"/>
        <w:rPr>
          <w:rFonts w:ascii="Times New Roman" w:hAnsi="Times New Roman" w:cs="Times New Roman"/>
          <w:sz w:val="26"/>
          <w:szCs w:val="26"/>
        </w:rPr>
      </w:pPr>
      <w:r w:rsidRPr="0072600F">
        <w:rPr>
          <w:rFonts w:ascii="Times New Roman" w:hAnsi="Times New Roman" w:cs="Times New Roman"/>
          <w:sz w:val="26"/>
          <w:szCs w:val="26"/>
        </w:rPr>
        <w:t>No later than five (5) Business Days after the close of a Cluster Request Window, Transmission Provider shall tender to each Interconnection Customer that submitted a valid Interconnection Request a Cluster Study Agreement in the form of Appendix 2 to this LGIP.  The Cluster Study Agreement shall require Interconnection Customer to compensate Transmission Provider for the actual cost of the Cluster Study pursuant to Section 13.3 of this LGIP.  The specifications, assumptions, or other provisions in the appendices of the Cluster Study Agreement provided pursuant to Section 7.1 of this LGIP shall be subject to change by Transmission Provider following the conclusion of the Scoping Meeting.</w:t>
      </w:r>
      <w:r w:rsidRPr="0072600F">
        <w:rPr>
          <w:rFonts w:ascii="Times New Roman" w:hAnsi="Times New Roman" w:cs="Times New Roman"/>
          <w:sz w:val="26"/>
          <w:szCs w:val="26"/>
        </w:rPr>
        <w:t xml:space="preserve"> </w:t>
      </w:r>
    </w:p>
    <w:p w:rsidR="00911580" w:rsidRPr="0072600F" w14:paraId="550F2EAD" w14:textId="77777777">
      <w:pPr>
        <w:rPr>
          <w:rFonts w:ascii="Times New Roman" w:hAnsi="Times New Roman" w:cs="Times New Roman"/>
          <w:sz w:val="26"/>
          <w:szCs w:val="26"/>
        </w:rPr>
      </w:pPr>
    </w:p>
    <w:p w:rsidR="00911580" w:rsidRPr="0072600F" w:rsidP="00CF3CBE" w14:paraId="427E8A66" w14:textId="77777777">
      <w:pPr>
        <w:pStyle w:val="Heading3"/>
        <w:rPr>
          <w:b/>
          <w:sz w:val="26"/>
        </w:rPr>
      </w:pPr>
      <w:bookmarkStart w:id="271" w:name="_Toc149903649"/>
      <w:r w:rsidRPr="0072600F">
        <w:rPr>
          <w:b/>
          <w:sz w:val="26"/>
        </w:rPr>
        <w:t>7.2</w:t>
      </w:r>
      <w:r w:rsidRPr="0072600F">
        <w:rPr>
          <w:b/>
          <w:sz w:val="26"/>
        </w:rPr>
        <w:tab/>
        <w:t>Execution of Cluster Study Agreement.</w:t>
      </w:r>
      <w:bookmarkEnd w:id="271"/>
    </w:p>
    <w:p w:rsidR="00911580" w:rsidRPr="0072600F" w14:paraId="0B9045F2" w14:textId="77777777">
      <w:pPr>
        <w:ind w:left="1440"/>
        <w:rPr>
          <w:rFonts w:ascii="Times New Roman" w:hAnsi="Times New Roman" w:cs="Times New Roman"/>
          <w:sz w:val="26"/>
          <w:szCs w:val="26"/>
        </w:rPr>
      </w:pPr>
      <w:r w:rsidRPr="0072600F">
        <w:rPr>
          <w:rFonts w:ascii="Times New Roman" w:hAnsi="Times New Roman" w:cs="Times New Roman"/>
          <w:sz w:val="26"/>
          <w:szCs w:val="26"/>
        </w:rPr>
        <w:t>Interconnection Customer shall execute the Cluster Study Agreement and deliver the executed Cluster Study Agreement to Transmission Provider no later than the close of the Customer Engagement Window.</w:t>
      </w:r>
    </w:p>
    <w:p w:rsidR="00911580" w:rsidRPr="0072600F" w14:paraId="38D8150E" w14:textId="77777777">
      <w:pPr>
        <w:rPr>
          <w:rFonts w:ascii="Times New Roman" w:hAnsi="Times New Roman" w:cs="Times New Roman"/>
          <w:sz w:val="26"/>
          <w:szCs w:val="26"/>
        </w:rPr>
      </w:pPr>
    </w:p>
    <w:p w:rsidR="00911580" w:rsidRPr="0072600F" w14:paraId="54AC8025"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If Interconnection Customer does not provide all required technical data when it delivers the Cluster Study Agreement, Transmission Provider shall notify Interconnection Customer of the deficiency within five (5) Business Days of the receipt of the executed Cluster Study Agreement and Interconnection Customer shall cure the deficiency within ten (10) Business Days of receipt of the notice, provided, however, such deficiency does not include failure to deliver the executed Cluster Study Agreement or </w:t>
      </w:r>
      <w:r w:rsidRPr="0072600F" w:rsidR="008802BE">
        <w:rPr>
          <w:rFonts w:ascii="Times New Roman" w:hAnsi="Times New Roman" w:cs="Times New Roman"/>
          <w:sz w:val="26"/>
          <w:szCs w:val="26"/>
        </w:rPr>
        <w:t>[</w:t>
      </w:r>
      <w:r w:rsidRPr="0072600F">
        <w:rPr>
          <w:rFonts w:ascii="Times New Roman" w:hAnsi="Times New Roman" w:cs="Times New Roman"/>
          <w:sz w:val="26"/>
          <w:szCs w:val="26"/>
        </w:rPr>
        <w:t>S</w:t>
      </w:r>
      <w:r w:rsidRPr="0072600F" w:rsidR="008802BE">
        <w:rPr>
          <w:rFonts w:ascii="Times New Roman" w:hAnsi="Times New Roman" w:cs="Times New Roman"/>
          <w:sz w:val="26"/>
          <w:szCs w:val="26"/>
        </w:rPr>
        <w:t>]</w:t>
      </w:r>
      <w:r w:rsidRPr="0072600F" w:rsidR="008802BE">
        <w:rPr>
          <w:rFonts w:ascii="Times New Roman" w:hAnsi="Times New Roman" w:cs="Times New Roman"/>
          <w:i/>
          <w:iCs/>
          <w:sz w:val="26"/>
          <w:szCs w:val="26"/>
        </w:rPr>
        <w:t>s</w:t>
      </w:r>
      <w:r w:rsidRPr="0072600F">
        <w:rPr>
          <w:rFonts w:ascii="Times New Roman" w:hAnsi="Times New Roman" w:cs="Times New Roman"/>
          <w:sz w:val="26"/>
          <w:szCs w:val="26"/>
        </w:rPr>
        <w:t xml:space="preserve">tudy </w:t>
      </w:r>
      <w:r w:rsidRPr="0072600F" w:rsidR="008802BE">
        <w:rPr>
          <w:rFonts w:ascii="Times New Roman" w:hAnsi="Times New Roman" w:cs="Times New Roman"/>
          <w:sz w:val="26"/>
          <w:szCs w:val="26"/>
        </w:rPr>
        <w:t>[</w:t>
      </w:r>
      <w:r w:rsidRPr="0072600F">
        <w:rPr>
          <w:rFonts w:ascii="Times New Roman" w:hAnsi="Times New Roman" w:cs="Times New Roman"/>
          <w:sz w:val="26"/>
          <w:szCs w:val="26"/>
        </w:rPr>
        <w:t>D</w:t>
      </w:r>
      <w:r w:rsidRPr="0072600F" w:rsidR="008802BE">
        <w:rPr>
          <w:rFonts w:ascii="Times New Roman" w:hAnsi="Times New Roman" w:cs="Times New Roman"/>
          <w:sz w:val="26"/>
          <w:szCs w:val="26"/>
        </w:rPr>
        <w:t>]</w:t>
      </w:r>
      <w:r w:rsidRPr="0072600F" w:rsidR="008802BE">
        <w:rPr>
          <w:rFonts w:ascii="Times New Roman" w:hAnsi="Times New Roman" w:cs="Times New Roman"/>
          <w:i/>
          <w:iCs/>
          <w:sz w:val="26"/>
          <w:szCs w:val="26"/>
        </w:rPr>
        <w:t>d</w:t>
      </w:r>
      <w:r w:rsidRPr="0072600F">
        <w:rPr>
          <w:rFonts w:ascii="Times New Roman" w:hAnsi="Times New Roman" w:cs="Times New Roman"/>
          <w:sz w:val="26"/>
          <w:szCs w:val="26"/>
        </w:rPr>
        <w:t>eposit.</w:t>
      </w:r>
    </w:p>
    <w:p w:rsidR="00911580" w:rsidRPr="0072600F" w14:paraId="78BCDEE9"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rsidP="00CF3CBE" w14:paraId="00C077D3" w14:textId="77777777">
      <w:pPr>
        <w:pStyle w:val="Heading3"/>
        <w:rPr>
          <w:b/>
          <w:sz w:val="26"/>
        </w:rPr>
      </w:pPr>
      <w:bookmarkStart w:id="272" w:name="_Toc149903650"/>
      <w:r w:rsidRPr="0072600F">
        <w:rPr>
          <w:b/>
          <w:sz w:val="26"/>
        </w:rPr>
        <w:t>7.3</w:t>
      </w:r>
      <w:r w:rsidRPr="0072600F">
        <w:rPr>
          <w:b/>
          <w:sz w:val="26"/>
        </w:rPr>
        <w:tab/>
        <w:t>Scope of Cluster Study.</w:t>
      </w:r>
      <w:bookmarkEnd w:id="272"/>
    </w:p>
    <w:p w:rsidR="00911580" w:rsidRPr="0072600F" w14:paraId="72C191C5"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The Cluster Study shall evaluate the impact of the proposed interconnection on the reliability of the Transmission System.  The Cluster Study will consider the Base Case as well as all Generating Facilities (and with respect to (iii) below, any identified Network Upgrades associated with such higher queued interconnection) that, on the date the Cluster Study is commenced: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are directly interconnected to the Transmission System; (ii) are interconnected to Affected Systems and may have an impact on the Interconnection Request; (iii) have a pending higher queued Interconnection Request to interconnect to the Transmission System; and (iv) have no Queue Position but have executed an LGIA or requested that an unexecuted LGIA be filed with FERC.</w:t>
      </w:r>
    </w:p>
    <w:p w:rsidR="00911580" w:rsidRPr="0072600F" w14:paraId="070234A6" w14:textId="77777777">
      <w:pPr>
        <w:ind w:left="1440"/>
        <w:rPr>
          <w:rFonts w:ascii="Times New Roman" w:hAnsi="Times New Roman" w:cs="Times New Roman"/>
          <w:sz w:val="26"/>
          <w:szCs w:val="26"/>
        </w:rPr>
      </w:pPr>
    </w:p>
    <w:p w:rsidR="00911580" w:rsidRPr="0072600F" w14:paraId="7AAA698A"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For purposes of determining necessary Interconnection Facilities and Network Upgrades, the Cluster Study shall use the level of Interconnection Service requested by Interconnection Customers in the Cluster, except where </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the</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otherwise determines that it must study the full Generating Facility Capacity due to safety or reliability concerns.</w:t>
      </w:r>
    </w:p>
    <w:p w:rsidR="00911580" w:rsidRPr="0072600F" w14:paraId="769FDDE6" w14:textId="77777777">
      <w:pPr>
        <w:rPr>
          <w:rFonts w:ascii="Times New Roman" w:hAnsi="Times New Roman" w:cs="Times New Roman"/>
          <w:sz w:val="26"/>
          <w:szCs w:val="26"/>
        </w:rPr>
      </w:pPr>
    </w:p>
    <w:p w:rsidR="00911580" w:rsidRPr="0072600F" w14:paraId="6E10A9AD"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The </w:t>
      </w:r>
      <w:bookmarkStart w:id="273" w:name="_Hlk148365782"/>
      <w:r w:rsidRPr="0072600F">
        <w:rPr>
          <w:rFonts w:ascii="Times New Roman" w:hAnsi="Times New Roman" w:cs="Times New Roman"/>
          <w:sz w:val="26"/>
          <w:szCs w:val="26"/>
        </w:rPr>
        <w:t>Cluster</w:t>
      </w:r>
      <w:bookmarkEnd w:id="273"/>
      <w:r w:rsidRPr="0072600F">
        <w:rPr>
          <w:rFonts w:ascii="Times New Roman" w:hAnsi="Times New Roman" w:cs="Times New Roman"/>
          <w:sz w:val="26"/>
          <w:szCs w:val="26"/>
        </w:rPr>
        <w:t xml:space="preserve"> Study will consist of power flow, stability, and short circuit analyses, the results of which are documented in a single Cluster Study Report, as applicable.  At the conclusion of the Cluster Study, Transmission Provider shall issue a Cluster Study Report.  The Cluster Study Report will state the assumptions upon which it is based; state the results of the analyses; and provide the requirements or potential impediments to providing the requested </w:t>
      </w:r>
      <w:r w:rsidRPr="0072600F" w:rsidR="2F87AE52">
        <w:rPr>
          <w:rFonts w:ascii="Times New Roman" w:hAnsi="Times New Roman" w:cs="Times New Roman"/>
          <w:sz w:val="26"/>
          <w:szCs w:val="26"/>
        </w:rPr>
        <w:t>[</w:t>
      </w:r>
      <w:r w:rsidRPr="0072600F">
        <w:rPr>
          <w:rFonts w:ascii="Times New Roman" w:hAnsi="Times New Roman" w:cs="Times New Roman"/>
          <w:sz w:val="26"/>
          <w:szCs w:val="26"/>
        </w:rPr>
        <w:t>i</w:t>
      </w:r>
      <w:r w:rsidRPr="0072600F" w:rsidR="01C197A0">
        <w:rPr>
          <w:rFonts w:ascii="Times New Roman" w:hAnsi="Times New Roman" w:cs="Times New Roman"/>
          <w:sz w:val="26"/>
          <w:szCs w:val="26"/>
        </w:rPr>
        <w:t>]</w:t>
      </w:r>
      <w:r w:rsidRPr="0072600F" w:rsidR="005B2359">
        <w:rPr>
          <w:rFonts w:ascii="Times New Roman" w:hAnsi="Times New Roman" w:cs="Times New Roman"/>
          <w:i/>
          <w:iCs/>
          <w:sz w:val="26"/>
          <w:szCs w:val="26"/>
        </w:rPr>
        <w:t>I</w:t>
      </w:r>
      <w:r w:rsidRPr="0072600F">
        <w:rPr>
          <w:rFonts w:ascii="Times New Roman" w:hAnsi="Times New Roman" w:cs="Times New Roman"/>
          <w:sz w:val="26"/>
          <w:szCs w:val="26"/>
        </w:rPr>
        <w:t xml:space="preserve">nterconnection </w:t>
      </w:r>
      <w:r w:rsidRPr="0072600F" w:rsidR="1EE3B181">
        <w:rPr>
          <w:rFonts w:ascii="Times New Roman" w:hAnsi="Times New Roman" w:cs="Times New Roman"/>
          <w:sz w:val="26"/>
          <w:szCs w:val="26"/>
        </w:rPr>
        <w:t>[</w:t>
      </w:r>
      <w:r w:rsidRPr="0072600F">
        <w:rPr>
          <w:rFonts w:ascii="Times New Roman" w:hAnsi="Times New Roman" w:cs="Times New Roman"/>
          <w:sz w:val="26"/>
          <w:szCs w:val="26"/>
        </w:rPr>
        <w:t>s</w:t>
      </w:r>
      <w:r w:rsidRPr="0072600F" w:rsidR="1EE3B181">
        <w:rPr>
          <w:rFonts w:ascii="Times New Roman" w:hAnsi="Times New Roman" w:cs="Times New Roman"/>
          <w:sz w:val="26"/>
          <w:szCs w:val="26"/>
        </w:rPr>
        <w:t>]</w:t>
      </w:r>
      <w:r w:rsidRPr="0072600F" w:rsidR="1EE3B181">
        <w:rPr>
          <w:rFonts w:ascii="Times New Roman" w:hAnsi="Times New Roman" w:cs="Times New Roman"/>
          <w:i/>
          <w:iCs/>
          <w:sz w:val="26"/>
          <w:szCs w:val="26"/>
        </w:rPr>
        <w:t>S</w:t>
      </w:r>
      <w:r w:rsidRPr="0072600F">
        <w:rPr>
          <w:rFonts w:ascii="Times New Roman" w:hAnsi="Times New Roman" w:cs="Times New Roman"/>
          <w:sz w:val="26"/>
          <w:szCs w:val="26"/>
        </w:rPr>
        <w:t xml:space="preserve">ervice, including a preliminary indication of the cost and length of time that would be necessary to correct any problems identified in those analyses and implement the interconnection.  The Cluster Study Report shall identify the Interconnection Facilities and Network Upgrades expected to be required to reliably interconnect the Generating Facilities in that Cluster Study at the requested Interconnection Service level and shall provide non-binding cost estimates for required Network Upgrades.  The Cluster Study Report shall identify each Interconnection Customer’s estimated allocated costs for Interconnection Facilities and Network Upgrades pursuant to the method in Section 4.2.1 of this LGIP.  Transmission Provider shall hold an open stakeholder meeting pursuant to Section 7.4 of this LGIP.  </w:t>
      </w:r>
    </w:p>
    <w:p w:rsidR="00911580" w:rsidRPr="0072600F" w14:paraId="104A4C0F" w14:textId="77777777">
      <w:pPr>
        <w:ind w:left="1440"/>
        <w:rPr>
          <w:rFonts w:ascii="Times New Roman" w:hAnsi="Times New Roman" w:cs="Times New Roman"/>
          <w:sz w:val="26"/>
          <w:szCs w:val="26"/>
        </w:rPr>
      </w:pPr>
    </w:p>
    <w:p w:rsidR="00911580" w:rsidRPr="0072600F" w14:paraId="0D5498D2" w14:textId="77777777">
      <w:pPr>
        <w:ind w:left="1440"/>
        <w:rPr>
          <w:rFonts w:ascii="Times New Roman" w:hAnsi="Times New Roman" w:cs="Times New Roman"/>
          <w:sz w:val="26"/>
          <w:szCs w:val="26"/>
        </w:rPr>
      </w:pPr>
      <w:r w:rsidRPr="0072600F">
        <w:rPr>
          <w:rFonts w:ascii="Times New Roman" w:hAnsi="Times New Roman" w:cs="Times New Roman"/>
          <w:sz w:val="26"/>
          <w:szCs w:val="26"/>
        </w:rPr>
        <w:t>For purposes of determining necessary Interconnection Facilities and Network Upgrades, the Cluster Study shall use operating assumptions (i.e., whether the interconnecting Generating Facility will or will not charge at peak load) that reflect the proposed charging behavior of a Generating Facility that includes at least one electric storage resource as requested by Interconnection Customer, unless Transmission Provider determines that Good Utility Practice, including Applicable Reliability Standards, otherwise requires the use of different operating assumptions.  Transmission Provider may require the inclusion of control technologies sufficient to limit the operation of the Generating Facility per the operating assumptions as set forth in the Interconnection Request and to respond to dispatch instructions by Transmission Provider.  As determined by Transmission Provider, Interconnection Customer may be subject to testing and validation of those control technologies consistent with Article 6 of the LGIA.</w:t>
      </w:r>
    </w:p>
    <w:p w:rsidR="00911580" w:rsidRPr="0072600F" w14:paraId="01775AB4" w14:textId="77777777">
      <w:pPr>
        <w:ind w:left="1440"/>
        <w:rPr>
          <w:rFonts w:ascii="Times New Roman" w:hAnsi="Times New Roman" w:cs="Times New Roman"/>
          <w:sz w:val="26"/>
          <w:szCs w:val="26"/>
        </w:rPr>
      </w:pPr>
    </w:p>
    <w:p w:rsidR="00911580" w:rsidRPr="0072600F" w14:paraId="5ADF5786" w14:textId="77777777">
      <w:pPr>
        <w:ind w:left="144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 Cluster Study Report will provide a list of facilities that are required as a result of the Interconnection Requests within the Cluster and a non-binding good faith estimate of cost responsibility and a non-binding good faith estimated time to construct.</w:t>
      </w:r>
      <w:r w:rsidRPr="0072600F">
        <w:rPr>
          <w:rFonts w:ascii="Times New Roman" w:hAnsi="Times New Roman" w:cs="Times New Roman"/>
          <w:sz w:val="26"/>
          <w:szCs w:val="26"/>
        </w:rPr>
        <w:t>]</w:t>
      </w:r>
    </w:p>
    <w:p w:rsidR="00911580" w:rsidRPr="0072600F" w14:paraId="452D88FF" w14:textId="77777777">
      <w:pPr>
        <w:ind w:left="1440"/>
        <w:rPr>
          <w:rFonts w:ascii="Times New Roman" w:hAnsi="Times New Roman" w:cs="Times New Roman"/>
          <w:sz w:val="26"/>
          <w:szCs w:val="26"/>
        </w:rPr>
      </w:pPr>
    </w:p>
    <w:p w:rsidR="00911580" w:rsidRPr="0072600F" w14:paraId="7EED715B" w14:textId="77777777">
      <w:pPr>
        <w:ind w:left="144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Upon issuance of a Cluster Study Report, or Cluster Restudy Report, if any, Transmission Provider shall simultaneously tender a draft Interconnection Facilities Study Agreement to each Interconnection Customer within the Cluster, subject to the conditions in Section 8.1 of this LGIP.</w:t>
      </w:r>
      <w:r w:rsidRPr="0072600F">
        <w:rPr>
          <w:rFonts w:ascii="Times New Roman" w:hAnsi="Times New Roman" w:cs="Times New Roman"/>
          <w:sz w:val="26"/>
          <w:szCs w:val="26"/>
        </w:rPr>
        <w:t>]</w:t>
      </w:r>
    </w:p>
    <w:p w:rsidR="00911580" w:rsidRPr="0072600F" w14:paraId="76229E46" w14:textId="77777777">
      <w:pPr>
        <w:ind w:left="1440"/>
        <w:rPr>
          <w:rFonts w:ascii="Times New Roman" w:hAnsi="Times New Roman" w:cs="Times New Roman"/>
          <w:sz w:val="26"/>
          <w:szCs w:val="26"/>
        </w:rPr>
      </w:pPr>
    </w:p>
    <w:p w:rsidR="00911580" w:rsidRPr="0072600F" w14:paraId="291EEB20"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The Cluster Study shall evaluate the use of static synchronous compensators, static VAR compensators, advanced power flow control devices, transmission switching, synchronous condensers, voltage source converters, advanced conductors, and tower lifting.  Transmission Provider shall </w:t>
      </w:r>
      <w:r w:rsidRPr="0072600F" w:rsidR="009D2259">
        <w:rPr>
          <w:rFonts w:ascii="Times New Roman" w:hAnsi="Times New Roman" w:cs="Times New Roman"/>
          <w:i/>
          <w:iCs/>
          <w:sz w:val="26"/>
          <w:szCs w:val="26"/>
        </w:rPr>
        <w:t xml:space="preserve">evaluate each identified alternative transmission technology and </w:t>
      </w:r>
      <w:r w:rsidRPr="0072600F">
        <w:rPr>
          <w:rFonts w:ascii="Times New Roman" w:hAnsi="Times New Roman" w:cs="Times New Roman"/>
          <w:sz w:val="26"/>
          <w:szCs w:val="26"/>
        </w:rPr>
        <w:t>determine whether the above technologies should be used, consistent with Good Utility Practice</w:t>
      </w:r>
      <w:r w:rsidRPr="0072600F" w:rsidR="00D97B0F">
        <w:rPr>
          <w:rFonts w:ascii="Times New Roman" w:hAnsi="Times New Roman" w:cs="Times New Roman"/>
          <w:i/>
          <w:iCs/>
          <w:sz w:val="26"/>
          <w:szCs w:val="26"/>
        </w:rPr>
        <w:t>, Applicable Reliability Standards,</w:t>
      </w:r>
      <w:r w:rsidRPr="0072600F">
        <w:rPr>
          <w:rFonts w:ascii="Times New Roman" w:hAnsi="Times New Roman" w:cs="Times New Roman"/>
          <w:sz w:val="26"/>
          <w:szCs w:val="26"/>
        </w:rPr>
        <w:t xml:space="preserve"> and </w:t>
      </w:r>
      <w:r w:rsidRPr="0072600F" w:rsidR="00D653DC">
        <w:rPr>
          <w:rFonts w:ascii="Times New Roman" w:hAnsi="Times New Roman" w:cs="Times New Roman"/>
          <w:i/>
          <w:iCs/>
          <w:sz w:val="26"/>
          <w:szCs w:val="26"/>
        </w:rPr>
        <w:t>Applicable Laws and Regulations</w:t>
      </w:r>
      <w:r w:rsidRPr="0072600F" w:rsidR="00D653DC">
        <w:rPr>
          <w:rFonts w:ascii="Times New Roman" w:hAnsi="Times New Roman" w:cs="Times New Roman"/>
          <w:sz w:val="26"/>
          <w:szCs w:val="26"/>
        </w:rPr>
        <w:t>[</w:t>
      </w:r>
      <w:r w:rsidRPr="0072600F">
        <w:rPr>
          <w:rFonts w:ascii="Times New Roman" w:hAnsi="Times New Roman" w:cs="Times New Roman"/>
          <w:sz w:val="26"/>
          <w:szCs w:val="26"/>
        </w:rPr>
        <w:t>other applicable regulatory requirements</w:t>
      </w:r>
      <w:r w:rsidRPr="0072600F" w:rsidR="00D653DC">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include an explanation of the results of </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the</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evaluation for each technology in the Cluster Study Report.</w:t>
      </w:r>
    </w:p>
    <w:p w:rsidR="00525BA2" w:rsidRPr="0072600F" w:rsidP="00525BA2" w14:paraId="222F02AB" w14:textId="77777777">
      <w:pPr>
        <w:ind w:left="1440"/>
        <w:rPr>
          <w:rFonts w:ascii="Times New Roman" w:hAnsi="Times New Roman" w:cs="Times New Roman"/>
          <w:i/>
          <w:iCs/>
          <w:sz w:val="26"/>
          <w:szCs w:val="26"/>
        </w:rPr>
      </w:pPr>
      <w:r w:rsidRPr="0072600F">
        <w:rPr>
          <w:rFonts w:ascii="Times New Roman" w:hAnsi="Times New Roman" w:cs="Times New Roman"/>
          <w:i/>
          <w:iCs/>
          <w:sz w:val="26"/>
          <w:szCs w:val="26"/>
        </w:rPr>
        <w:t>The Cluster Study Report will provide a list of facilities that are required as a result of the Interconnection Requests within the Cluster and a non-binding good faith estimate of cost responsibility and a non-binding good faith estimated time to construct.</w:t>
      </w:r>
    </w:p>
    <w:p w:rsidR="00911580" w:rsidRPr="0072600F" w14:paraId="00861E03" w14:textId="77777777">
      <w:pPr>
        <w:rPr>
          <w:rFonts w:ascii="Times New Roman" w:hAnsi="Times New Roman" w:cs="Times New Roman"/>
          <w:sz w:val="26"/>
          <w:szCs w:val="26"/>
        </w:rPr>
      </w:pPr>
    </w:p>
    <w:p w:rsidR="00911580" w:rsidRPr="0072600F" w:rsidP="00CF3CBE" w14:paraId="3439FBEF" w14:textId="77777777">
      <w:pPr>
        <w:pStyle w:val="Heading3"/>
        <w:rPr>
          <w:b/>
          <w:sz w:val="26"/>
        </w:rPr>
      </w:pPr>
      <w:bookmarkStart w:id="274" w:name="_Toc149903651"/>
      <w:r w:rsidRPr="0072600F">
        <w:rPr>
          <w:b/>
          <w:sz w:val="26"/>
        </w:rPr>
        <w:t>7.4</w:t>
      </w:r>
      <w:r w:rsidRPr="0072600F">
        <w:rPr>
          <w:b/>
          <w:sz w:val="26"/>
        </w:rPr>
        <w:tab/>
        <w:t>Cluster Study Procedures.</w:t>
      </w:r>
      <w:bookmarkEnd w:id="274"/>
    </w:p>
    <w:p w:rsidR="00911580" w:rsidRPr="0072600F" w14:paraId="2F82C50F" w14:textId="77777777">
      <w:pPr>
        <w:ind w:left="1440"/>
        <w:rPr>
          <w:rFonts w:ascii="Times New Roman" w:hAnsi="Times New Roman" w:cs="Times New Roman"/>
          <w:sz w:val="26"/>
          <w:szCs w:val="26"/>
        </w:rPr>
      </w:pPr>
      <w:r w:rsidRPr="0072600F">
        <w:rPr>
          <w:rFonts w:ascii="Times New Roman" w:hAnsi="Times New Roman" w:cs="Times New Roman"/>
          <w:sz w:val="26"/>
          <w:szCs w:val="26"/>
        </w:rPr>
        <w:t>Transmission Provider shall coordinate the Cluster Study with any Affected System</w:t>
      </w:r>
      <w:r w:rsidRPr="0072600F" w:rsidR="00525BA2">
        <w:rPr>
          <w:rFonts w:ascii="Times New Roman" w:hAnsi="Times New Roman" w:cs="Times New Roman"/>
          <w:sz w:val="26"/>
          <w:szCs w:val="26"/>
        </w:rPr>
        <w:t xml:space="preserve"> </w:t>
      </w:r>
      <w:r w:rsidRPr="0072600F" w:rsidR="00525BA2">
        <w:rPr>
          <w:rFonts w:ascii="Times New Roman" w:hAnsi="Times New Roman" w:cs="Times New Roman"/>
          <w:i/>
          <w:iCs/>
          <w:sz w:val="26"/>
          <w:szCs w:val="26"/>
        </w:rPr>
        <w:t>Operator</w:t>
      </w:r>
      <w:r w:rsidRPr="0072600F">
        <w:rPr>
          <w:rFonts w:ascii="Times New Roman" w:hAnsi="Times New Roman" w:cs="Times New Roman"/>
          <w:sz w:val="26"/>
          <w:szCs w:val="26"/>
        </w:rPr>
        <w:t xml:space="preserve"> that is affected by the Interconnection Request pursuant to Section 3.6 of this LGIP.  Transmission Provider shall utilize existing studies to the extent practicable when it performs the Cluster Study.  Interconnection Requests for a Cluster Study may be submitted only within the Cluster Request Window and Transmission Provider shall initiate the Cluster Study </w:t>
      </w:r>
      <w:r w:rsidRPr="0072600F" w:rsidR="77CE2831">
        <w:rPr>
          <w:rFonts w:ascii="Times New Roman" w:hAnsi="Times New Roman" w:cs="Times New Roman"/>
          <w:sz w:val="26"/>
          <w:szCs w:val="26"/>
        </w:rPr>
        <w:t>[</w:t>
      </w:r>
      <w:r w:rsidRPr="0072600F">
        <w:rPr>
          <w:rFonts w:ascii="Times New Roman" w:hAnsi="Times New Roman" w:cs="Times New Roman"/>
          <w:sz w:val="26"/>
          <w:szCs w:val="26"/>
        </w:rPr>
        <w:t>p</w:t>
      </w:r>
      <w:r w:rsidRPr="0072600F" w:rsidR="1CA3CB03">
        <w:rPr>
          <w:rFonts w:ascii="Times New Roman" w:hAnsi="Times New Roman" w:cs="Times New Roman"/>
          <w:sz w:val="26"/>
          <w:szCs w:val="26"/>
        </w:rPr>
        <w:t>]</w:t>
      </w:r>
      <w:r w:rsidRPr="0072600F" w:rsidR="1CA3CB03">
        <w:rPr>
          <w:rFonts w:ascii="Times New Roman" w:hAnsi="Times New Roman" w:cs="Times New Roman"/>
          <w:i/>
          <w:iCs/>
          <w:sz w:val="26"/>
          <w:szCs w:val="26"/>
        </w:rPr>
        <w:t>P</w:t>
      </w:r>
      <w:r w:rsidRPr="0072600F">
        <w:rPr>
          <w:rFonts w:ascii="Times New Roman" w:hAnsi="Times New Roman" w:cs="Times New Roman"/>
          <w:sz w:val="26"/>
          <w:szCs w:val="26"/>
        </w:rPr>
        <w:t>rocess pursuant to Section 7 of this LGIP.</w:t>
      </w:r>
    </w:p>
    <w:p w:rsidR="00911580" w:rsidRPr="0072600F" w14:paraId="46CEAF7F" w14:textId="77777777">
      <w:pPr>
        <w:ind w:left="1440"/>
        <w:rPr>
          <w:rFonts w:ascii="Times New Roman" w:hAnsi="Times New Roman" w:cs="Times New Roman"/>
          <w:sz w:val="26"/>
          <w:szCs w:val="26"/>
        </w:rPr>
      </w:pPr>
    </w:p>
    <w:p w:rsidR="00911580" w:rsidRPr="0072600F" w14:paraId="022F7192" w14:textId="77777777">
      <w:pPr>
        <w:ind w:left="1440"/>
        <w:rPr>
          <w:rFonts w:ascii="Times New Roman" w:hAnsi="Times New Roman" w:cs="Times New Roman"/>
          <w:sz w:val="26"/>
          <w:szCs w:val="26"/>
        </w:rPr>
      </w:pPr>
      <w:r w:rsidRPr="0072600F">
        <w:rPr>
          <w:rFonts w:ascii="Times New Roman" w:hAnsi="Times New Roman" w:cs="Times New Roman"/>
          <w:sz w:val="26"/>
          <w:szCs w:val="26"/>
        </w:rPr>
        <w:t>Transmission Provider shall complete the Cluster Study within one hundred fifty (150) Calendar Days of the close of the Customer Engagement Window.</w:t>
      </w:r>
    </w:p>
    <w:p w:rsidR="00911580" w:rsidRPr="0072600F" w14:paraId="7124A256" w14:textId="77777777">
      <w:pPr>
        <w:ind w:left="1440"/>
        <w:rPr>
          <w:rFonts w:ascii="Times New Roman" w:hAnsi="Times New Roman" w:cs="Times New Roman"/>
          <w:sz w:val="26"/>
          <w:szCs w:val="26"/>
        </w:rPr>
      </w:pPr>
    </w:p>
    <w:p w:rsidR="00911580" w:rsidRPr="0072600F" w14:paraId="2574B535" w14:textId="77777777">
      <w:pPr>
        <w:ind w:left="1440"/>
        <w:rPr>
          <w:rFonts w:ascii="Times New Roman" w:hAnsi="Times New Roman" w:cs="Times New Roman"/>
          <w:sz w:val="26"/>
          <w:szCs w:val="26"/>
        </w:rPr>
      </w:pPr>
      <w:r w:rsidRPr="0072600F">
        <w:rPr>
          <w:rFonts w:ascii="Times New Roman" w:hAnsi="Times New Roman" w:cs="Times New Roman"/>
          <w:sz w:val="26"/>
          <w:szCs w:val="26"/>
        </w:rPr>
        <w:t>Within ten (10) Business Days of simultaneously furnishing a Cluster Study Report to each Interconnection Customer within the Cluster and posting such report on OASIS, Transmission Provider shall convene a Cluster Study Report Meeting.</w:t>
      </w:r>
    </w:p>
    <w:p w:rsidR="00911580" w:rsidRPr="0072600F" w14:paraId="09587552" w14:textId="77777777">
      <w:pPr>
        <w:rPr>
          <w:rFonts w:ascii="Times New Roman" w:hAnsi="Times New Roman" w:cs="Times New Roman"/>
          <w:sz w:val="26"/>
          <w:szCs w:val="26"/>
        </w:rPr>
      </w:pPr>
    </w:p>
    <w:p w:rsidR="00911580" w:rsidRPr="0072600F" w14:paraId="21996DB5" w14:textId="77777777">
      <w:pPr>
        <w:ind w:left="1440"/>
        <w:rPr>
          <w:rFonts w:ascii="Times New Roman" w:hAnsi="Times New Roman" w:cs="Times New Roman"/>
          <w:sz w:val="26"/>
          <w:szCs w:val="26"/>
        </w:rPr>
      </w:pPr>
      <w:r w:rsidRPr="0072600F">
        <w:rPr>
          <w:rFonts w:ascii="Times New Roman" w:hAnsi="Times New Roman" w:cs="Times New Roman"/>
          <w:sz w:val="26"/>
          <w:szCs w:val="26"/>
        </w:rPr>
        <w:t>At the request of Interconnection Customer or at any time Transmission Provider determines that it will not meet the required time frame for completing the Cluster Study, Transmission Provider shall notify Interconnection Customers as to the schedule status of the Cluster Study.  If Transmission Provider is unable to complete the Cluster Study within the time period, it shall notify Interconnection Customers and provide an estimated completion date with an explanation of the reasons why additional time is required.  Upon request, Transmission Provider shall provide Interconnection Customers all supporting documentation, workpapers and relevant pre-Interconnection Request and post-Interconnection Request power flow, short circuit and stability databases for the Cluster Study, subject to confidentiality arrangements consistent with Section 13.1 of this LGIP.</w:t>
      </w:r>
    </w:p>
    <w:p w:rsidR="00911580" w:rsidRPr="0072600F" w14:paraId="161284F5" w14:textId="77777777">
      <w:pPr>
        <w:rPr>
          <w:rFonts w:ascii="Times New Roman" w:hAnsi="Times New Roman" w:cs="Times New Roman"/>
          <w:sz w:val="26"/>
          <w:szCs w:val="26"/>
        </w:rPr>
      </w:pPr>
    </w:p>
    <w:p w:rsidR="00911580" w:rsidRPr="0072600F" w:rsidP="00CF3CBE" w14:paraId="5F837A6D" w14:textId="77777777">
      <w:pPr>
        <w:pStyle w:val="Heading3"/>
        <w:rPr>
          <w:b/>
          <w:sz w:val="26"/>
        </w:rPr>
      </w:pPr>
      <w:bookmarkStart w:id="275" w:name="_Toc149903652"/>
      <w:r w:rsidRPr="0072600F">
        <w:rPr>
          <w:b/>
          <w:sz w:val="26"/>
        </w:rPr>
        <w:t>7.5</w:t>
      </w:r>
      <w:r w:rsidRPr="0072600F">
        <w:rPr>
          <w:b/>
          <w:sz w:val="26"/>
        </w:rPr>
        <w:tab/>
        <w:t>Cluster Study Restudies.</w:t>
      </w:r>
      <w:bookmarkEnd w:id="275"/>
    </w:p>
    <w:p w:rsidR="00911580" w:rsidRPr="0072600F" w:rsidP="001D2894" w14:paraId="51FC961E"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(1) Within twenty (20) Calendar Days after the Cluster Study Report Meeting, Interconnection Customer must provide the following:</w:t>
      </w:r>
    </w:p>
    <w:p w:rsidR="00911580" w:rsidRPr="0072600F" w:rsidP="001D2894" w14:paraId="6217D3AA" w14:textId="77777777">
      <w:pPr>
        <w:tabs>
          <w:tab w:val="left" w:pos="720"/>
          <w:tab w:val="left" w:pos="1440"/>
        </w:tabs>
        <w:ind w:left="216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(a) Demonstration of continued Site Control pursuant to Section 3.4.2(iii) of this LGIP; and</w:t>
      </w:r>
    </w:p>
    <w:p w:rsidR="00911580" w:rsidRPr="0072600F" w14:paraId="472007A2" w14:textId="77777777">
      <w:pPr>
        <w:tabs>
          <w:tab w:val="left" w:pos="720"/>
          <w:tab w:val="left" w:pos="1440"/>
        </w:tabs>
        <w:ind w:left="1440" w:hanging="1440"/>
        <w:rPr>
          <w:rFonts w:ascii="Times New Roman" w:hAnsi="Times New Roman" w:cs="Times New Roman"/>
          <w:sz w:val="26"/>
          <w:szCs w:val="26"/>
        </w:rPr>
      </w:pPr>
    </w:p>
    <w:p w:rsidR="00911580" w:rsidRPr="0072600F" w14:paraId="32D1BAC1" w14:textId="77777777">
      <w:pPr>
        <w:tabs>
          <w:tab w:val="left" w:pos="720"/>
          <w:tab w:val="left" w:pos="144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(b) An additional deposit that brings the total Commercial Readiness Deposit submitted to Transmission Provider to five percent (5%) of </w:t>
      </w:r>
      <w:r w:rsidRPr="0072600F" w:rsidR="004E47FE">
        <w:rPr>
          <w:rFonts w:ascii="Times New Roman" w:hAnsi="Times New Roman" w:cs="Times New Roman"/>
          <w:sz w:val="26"/>
          <w:szCs w:val="26"/>
        </w:rPr>
        <w:t>[</w:t>
      </w:r>
      <w:r w:rsidRPr="0072600F">
        <w:rPr>
          <w:rFonts w:ascii="Times New Roman" w:hAnsi="Times New Roman" w:cs="Times New Roman"/>
          <w:sz w:val="26"/>
          <w:szCs w:val="26"/>
        </w:rPr>
        <w:t>the</w:t>
      </w:r>
      <w:r w:rsidRPr="0072600F" w:rsidR="004E47FE">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Network Upgrade cost assignment identified in the Cluster Study in the form of an irrevocable letter of credit</w:t>
      </w:r>
      <w:r w:rsidRPr="0072600F" w:rsidR="001B585F">
        <w:rPr>
          <w:rFonts w:ascii="Times New Roman" w:hAnsi="Times New Roman" w:cs="Times New Roman"/>
          <w:i/>
          <w:iCs/>
          <w:sz w:val="26"/>
          <w:szCs w:val="26"/>
        </w:rPr>
        <w:t>,</w:t>
      </w:r>
      <w:r w:rsidRPr="0072600F" w:rsidR="001B585F">
        <w:rPr>
          <w:rFonts w:ascii="Times New Roman" w:hAnsi="Times New Roman" w:cs="Times New Roman"/>
          <w:sz w:val="26"/>
          <w:szCs w:val="26"/>
        </w:rPr>
        <w:t>[</w:t>
      </w:r>
      <w:r w:rsidRPr="0072600F">
        <w:rPr>
          <w:rFonts w:ascii="Times New Roman" w:hAnsi="Times New Roman" w:cs="Times New Roman"/>
          <w:sz w:val="26"/>
          <w:szCs w:val="26"/>
        </w:rPr>
        <w:t xml:space="preserve"> or</w:t>
      </w:r>
      <w:r w:rsidRPr="0072600F" w:rsidR="001B585F">
        <w:rPr>
          <w:rFonts w:ascii="Times New Roman" w:hAnsi="Times New Roman" w:cs="Times New Roman"/>
          <w:sz w:val="26"/>
          <w:szCs w:val="26"/>
        </w:rPr>
        <w:t>]</w:t>
      </w:r>
      <w:r w:rsidRPr="0072600F">
        <w:rPr>
          <w:rFonts w:ascii="Times New Roman" w:hAnsi="Times New Roman" w:cs="Times New Roman"/>
          <w:sz w:val="26"/>
          <w:szCs w:val="26"/>
        </w:rPr>
        <w:t xml:space="preserve"> cash</w:t>
      </w:r>
      <w:r w:rsidRPr="0072600F" w:rsidR="001B585F">
        <w:rPr>
          <w:rFonts w:ascii="Times New Roman" w:hAnsi="Times New Roman" w:cs="Times New Roman"/>
          <w:i/>
          <w:iCs/>
          <w:sz w:val="26"/>
          <w:szCs w:val="26"/>
        </w:rPr>
        <w:t>, a surety bond, or other form of security that is reasonably acceptable to Transmission Provider</w:t>
      </w:r>
      <w:r w:rsidRPr="0072600F">
        <w:rPr>
          <w:rFonts w:ascii="Times New Roman" w:hAnsi="Times New Roman" w:cs="Times New Roman"/>
          <w:sz w:val="26"/>
          <w:szCs w:val="26"/>
        </w:rPr>
        <w:t>.  Transmission Provider shall refund the deposit to Interconnection Customer upon withdrawal in accordance with Section 3.7 of this LGIP.</w:t>
      </w:r>
    </w:p>
    <w:p w:rsidR="00911580" w:rsidRPr="0072600F" w14:paraId="32F63CFB" w14:textId="77777777">
      <w:pPr>
        <w:tabs>
          <w:tab w:val="left" w:pos="720"/>
          <w:tab w:val="left" w:pos="1440"/>
        </w:tabs>
        <w:ind w:left="1440" w:hanging="1440"/>
        <w:rPr>
          <w:rFonts w:ascii="Times New Roman" w:hAnsi="Times New Roman" w:cs="Times New Roman"/>
          <w:sz w:val="26"/>
          <w:szCs w:val="26"/>
        </w:rPr>
      </w:pPr>
    </w:p>
    <w:p w:rsidR="00911580" w:rsidRPr="0072600F" w14:paraId="2B8E2BDF"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Interconnection Customer shall promptly inform Transmission Provider of any material change to Interconnection Customer’s demonstration of Site Control under Section 3.4.2(iii) of this LGIP.  Upon Transmission Provider determining that Interconnection Customer no longer satisfies the Site Control requirement, Transmission Provider shall notify Interconnection Customer. Within ten (10) Business Days of such notification, Interconnection Customer must demonstrate compliance with the applicable requirement subject to Transmission Provider’s approval, not to be unreasonably withheld.  Absent such demonstration, Transmission Provider shall deem the subject Interconnection Request withdrawn pursuant to Section 3.7 of this LGIP.</w:t>
      </w:r>
    </w:p>
    <w:p w:rsidR="00911580" w:rsidRPr="0072600F" w14:paraId="0835D6D1" w14:textId="77777777">
      <w:pPr>
        <w:tabs>
          <w:tab w:val="left" w:pos="720"/>
          <w:tab w:val="left" w:pos="1440"/>
        </w:tabs>
        <w:ind w:left="1440" w:hanging="1440"/>
        <w:rPr>
          <w:rFonts w:ascii="Times New Roman" w:hAnsi="Times New Roman" w:cs="Times New Roman"/>
          <w:sz w:val="26"/>
          <w:szCs w:val="26"/>
        </w:rPr>
      </w:pPr>
    </w:p>
    <w:p w:rsidR="00911580" w:rsidRPr="0072600F" w14:paraId="147ECA5F"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(2) If no Interconnection Customer withdraws from the Cluster after completion of the Cluster Study or Cluster Restudy or is deemed withdrawn pursuant to Section 3.7 of this LGIP after completion of the Cluster Study or Cluster Restudy, Transmission Provider shall notify Interconnection Customers in the Cluster that a Cluster Restudy is not required.</w:t>
      </w:r>
    </w:p>
    <w:p w:rsidR="00911580" w:rsidRPr="0072600F" w14:paraId="5F266C10" w14:textId="77777777">
      <w:pPr>
        <w:tabs>
          <w:tab w:val="left" w:pos="720"/>
          <w:tab w:val="left" w:pos="1440"/>
        </w:tabs>
        <w:ind w:left="1440" w:hanging="1440"/>
        <w:rPr>
          <w:rFonts w:ascii="Times New Roman" w:hAnsi="Times New Roman" w:cs="Times New Roman"/>
          <w:sz w:val="26"/>
          <w:szCs w:val="26"/>
        </w:rPr>
      </w:pPr>
    </w:p>
    <w:p w:rsidR="00911580" w:rsidRPr="0072600F" w:rsidP="001D2894" w14:paraId="600C7B93"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(3) If one or more Interconnection Customers withdraw from the Cluster or are deemed withdrawn pursuant to Section 3.7 of this LGIP, Transmission Provider shall determine if a Cluster Restudy is necessary within thirty (30) Calendar Days after the Cluster Study Report Meeting.  If Transmission Provider determines a Cluster Restudy is not necessary, Transmission Provider shall notify Interconnection Customers in the Cluster that a Cluster Restudy is not required and Transmission Provider shall provide an updated Cluster Study Report within thirty (30) Calendar Days of such determination. </w:t>
      </w:r>
    </w:p>
    <w:p w:rsidR="00911580" w:rsidRPr="0072600F" w14:paraId="59EDA778" w14:textId="77777777">
      <w:pPr>
        <w:tabs>
          <w:tab w:val="left" w:pos="720"/>
          <w:tab w:val="left" w:pos="1440"/>
        </w:tabs>
        <w:ind w:left="1440" w:hanging="1440"/>
        <w:rPr>
          <w:rFonts w:ascii="Times New Roman" w:hAnsi="Times New Roman" w:cs="Times New Roman"/>
          <w:sz w:val="26"/>
          <w:szCs w:val="26"/>
        </w:rPr>
      </w:pPr>
    </w:p>
    <w:p w:rsidR="00911580" w:rsidRPr="0072600F" w:rsidP="001D2894" w14:paraId="0D3E841C"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(4) If one or more Interconnection Customers withdraws from the Cluster or is deemed withdrawn pursuant to Section 3.7 of this LGIP, and Transmission Provider determines a Cluster Restudy is necessary as a result, Transmission Provider shall notify Interconnection Customers in the Cluster and post on OASIS that a Cluster Restudy is required within thirty (30) Calendar Days after the Cluster Study Report Meeting.  Transmission Provider shall continue with such restudies until Transmission Provider determines that no further restudies are required.  If an Interconnection Customer withdraws or is deemed withdrawn pursuant to Section 3.7 of this LGIP during the Interconnection Facilities Study, or after other Interconnection Customers in the same Cluster have executed LGIAs, or requested that unexecuted LGIAs be filed, and Transmission Provider determines a Cluster Restudy is necessary, the Cluster shall be restudied.  </w:t>
      </w:r>
      <w:r w:rsidRPr="0072600F" w:rsidR="00A078F4">
        <w:rPr>
          <w:rFonts w:ascii="Times New Roman" w:hAnsi="Times New Roman" w:cs="Times New Roman"/>
          <w:i/>
          <w:iCs/>
          <w:sz w:val="26"/>
          <w:szCs w:val="26"/>
        </w:rPr>
        <w:t xml:space="preserve">If a Cluster Restudy is required due to a higher queued project withdrawing from the queue, or a modification of a higher or equally queued project subject to Section 4.4 of this LGIP, Transmission Provider shall so notify affected Interconnection Customers in writing.  Except as provided in Section 3.7 of this LGIP in the case of withdrawing Interconnection Customers, any cost of Restudy shall be borne by Interconnection Customers being </w:t>
      </w:r>
      <w:r w:rsidRPr="0072600F" w:rsidR="00993695">
        <w:rPr>
          <w:rFonts w:ascii="Times New Roman" w:hAnsi="Times New Roman" w:cs="Times New Roman"/>
          <w:i/>
          <w:iCs/>
          <w:sz w:val="26"/>
          <w:szCs w:val="26"/>
        </w:rPr>
        <w:t>r</w:t>
      </w:r>
      <w:r w:rsidRPr="0072600F" w:rsidR="00A078F4">
        <w:rPr>
          <w:rFonts w:ascii="Times New Roman" w:hAnsi="Times New Roman" w:cs="Times New Roman"/>
          <w:i/>
          <w:iCs/>
          <w:sz w:val="26"/>
          <w:szCs w:val="26"/>
        </w:rPr>
        <w:t>estudied.</w:t>
      </w:r>
    </w:p>
    <w:p w:rsidR="00911580" w:rsidRPr="0072600F" w14:paraId="325ECDA9" w14:textId="77777777">
      <w:pPr>
        <w:tabs>
          <w:tab w:val="left" w:pos="720"/>
          <w:tab w:val="left" w:pos="1440"/>
        </w:tabs>
        <w:ind w:left="1440" w:hanging="1440"/>
        <w:rPr>
          <w:rFonts w:ascii="Times New Roman" w:hAnsi="Times New Roman" w:cs="Times New Roman"/>
          <w:sz w:val="26"/>
          <w:szCs w:val="26"/>
        </w:rPr>
      </w:pPr>
    </w:p>
    <w:p w:rsidR="001D2894" w:rsidRPr="0072600F" w:rsidP="001D2894" w14:paraId="7A049BAA"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(5) The scope of any Cluster Restudy shall be consistent with the scope of an initial Cluster Study pursuant to Section 7.3 of this LGIP.  Transmission Provider shall complete the Cluster Restudy within one hundred fifty (150) Calendar Days of </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the</w:t>
      </w:r>
      <w:r w:rsidRPr="0072600F" w:rsidR="00C24041">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informing </w:t>
      </w:r>
      <w:r w:rsidRPr="0072600F" w:rsidR="00A85981">
        <w:rPr>
          <w:rFonts w:ascii="Times New Roman" w:hAnsi="Times New Roman" w:cs="Times New Roman"/>
          <w:sz w:val="26"/>
          <w:szCs w:val="26"/>
        </w:rPr>
        <w:t>[</w:t>
      </w:r>
      <w:r w:rsidRPr="0072600F">
        <w:rPr>
          <w:rFonts w:ascii="Times New Roman" w:hAnsi="Times New Roman" w:cs="Times New Roman"/>
          <w:sz w:val="26"/>
          <w:szCs w:val="26"/>
        </w:rPr>
        <w:t>the</w:t>
      </w:r>
      <w:r w:rsidRPr="0072600F" w:rsidR="00A8598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in the </w:t>
      </w:r>
      <w:r w:rsidRPr="0072600F" w:rsidR="25C342F9">
        <w:rPr>
          <w:rFonts w:ascii="Times New Roman" w:hAnsi="Times New Roman" w:cs="Times New Roman"/>
          <w:sz w:val="26"/>
          <w:szCs w:val="26"/>
        </w:rPr>
        <w:t>[</w:t>
      </w:r>
      <w:r w:rsidRPr="0072600F">
        <w:rPr>
          <w:rFonts w:ascii="Times New Roman" w:hAnsi="Times New Roman" w:cs="Times New Roman"/>
          <w:sz w:val="26"/>
          <w:szCs w:val="26"/>
        </w:rPr>
        <w:t>c</w:t>
      </w:r>
      <w:r w:rsidRPr="0072600F" w:rsidR="3CAC5739">
        <w:rPr>
          <w:rFonts w:ascii="Times New Roman" w:hAnsi="Times New Roman" w:cs="Times New Roman"/>
          <w:sz w:val="26"/>
          <w:szCs w:val="26"/>
        </w:rPr>
        <w:t>]</w:t>
      </w:r>
      <w:r w:rsidRPr="0072600F" w:rsidR="3CAC5739">
        <w:rPr>
          <w:rFonts w:ascii="Times New Roman" w:hAnsi="Times New Roman" w:cs="Times New Roman"/>
          <w:i/>
          <w:iCs/>
          <w:sz w:val="26"/>
          <w:szCs w:val="26"/>
        </w:rPr>
        <w:t>C</w:t>
      </w:r>
      <w:r w:rsidRPr="0072600F">
        <w:rPr>
          <w:rFonts w:ascii="Times New Roman" w:hAnsi="Times New Roman" w:cs="Times New Roman"/>
          <w:sz w:val="26"/>
          <w:szCs w:val="26"/>
        </w:rPr>
        <w:t xml:space="preserve">luster that restudy is needed.  The results of the Cluster Restudy shall be combined into a single report (Cluster Restudy Report).  Transmission Provider shall hold a meeting with </w:t>
      </w:r>
      <w:r w:rsidRPr="0072600F" w:rsidR="00A85981">
        <w:rPr>
          <w:rFonts w:ascii="Times New Roman" w:hAnsi="Times New Roman" w:cs="Times New Roman"/>
          <w:sz w:val="26"/>
          <w:szCs w:val="26"/>
        </w:rPr>
        <w:t>[</w:t>
      </w:r>
      <w:r w:rsidRPr="0072600F">
        <w:rPr>
          <w:rFonts w:ascii="Times New Roman" w:hAnsi="Times New Roman" w:cs="Times New Roman"/>
          <w:sz w:val="26"/>
          <w:szCs w:val="26"/>
        </w:rPr>
        <w:t>the</w:t>
      </w:r>
      <w:r w:rsidRPr="0072600F" w:rsidR="00A8598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in the </w:t>
      </w:r>
      <w:r w:rsidRPr="0072600F" w:rsidR="5D1B5B2E">
        <w:rPr>
          <w:rFonts w:ascii="Times New Roman" w:hAnsi="Times New Roman" w:cs="Times New Roman"/>
          <w:sz w:val="26"/>
          <w:szCs w:val="26"/>
        </w:rPr>
        <w:t>[</w:t>
      </w:r>
      <w:r w:rsidRPr="0072600F">
        <w:rPr>
          <w:rFonts w:ascii="Times New Roman" w:hAnsi="Times New Roman" w:cs="Times New Roman"/>
          <w:sz w:val="26"/>
          <w:szCs w:val="26"/>
        </w:rPr>
        <w:t>c</w:t>
      </w:r>
      <w:r w:rsidRPr="0072600F" w:rsidR="707BD56E">
        <w:rPr>
          <w:rFonts w:ascii="Times New Roman" w:hAnsi="Times New Roman" w:cs="Times New Roman"/>
          <w:sz w:val="26"/>
          <w:szCs w:val="26"/>
        </w:rPr>
        <w:t>]</w:t>
      </w:r>
      <w:r w:rsidRPr="0072600F" w:rsidR="707BD56E">
        <w:rPr>
          <w:rFonts w:ascii="Times New Roman" w:hAnsi="Times New Roman" w:cs="Times New Roman"/>
          <w:i/>
          <w:iCs/>
          <w:sz w:val="26"/>
          <w:szCs w:val="26"/>
        </w:rPr>
        <w:t>C</w:t>
      </w:r>
      <w:r w:rsidRPr="0072600F">
        <w:rPr>
          <w:rFonts w:ascii="Times New Roman" w:hAnsi="Times New Roman" w:cs="Times New Roman"/>
          <w:sz w:val="26"/>
          <w:szCs w:val="26"/>
        </w:rPr>
        <w:t>luster (Cluster Restudy Report Meeting) within ten (10) Business Days of simultaneously furnishing the Cluster Restudy Report to each Interconnection Customer in the Cluster Restudy and publishing the Cluster Restudy Report on OASIS.</w:t>
      </w:r>
    </w:p>
    <w:p w:rsidR="00911580" w:rsidRPr="0072600F" w:rsidP="001D2894" w14:paraId="1DD4CFB5" w14:textId="77777777">
      <w:pPr>
        <w:tabs>
          <w:tab w:val="left" w:pos="720"/>
          <w:tab w:val="left" w:pos="1440"/>
        </w:tabs>
        <w:ind w:left="1440" w:hanging="1440"/>
        <w:rPr>
          <w:rFonts w:ascii="Times New Roman" w:hAnsi="Times New Roman" w:cs="Times New Roman"/>
          <w:sz w:val="26"/>
          <w:szCs w:val="26"/>
        </w:rPr>
      </w:pPr>
    </w:p>
    <w:p w:rsidR="00911580" w:rsidRPr="0072600F" w14:paraId="08310B7A"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If additional restudies are required, Interconnection Customer and Transmission Provider shall follow the procedures of this Section 7.5 of this LGIP until such time that Transmission Provider determines that no further restudies are required.  Transmission Provider shall notify each Interconnection Customer within the Cluster when no further restudies are required.</w:t>
      </w:r>
    </w:p>
    <w:p w:rsidR="00911580" w:rsidRPr="0072600F" w:rsidP="00CF3CBE" w14:paraId="5C920E0D"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p>
    <w:p w:rsidR="00911580" w:rsidRPr="0072600F" w:rsidP="00CF3CBE" w14:paraId="6A31F48B" w14:textId="77777777">
      <w:pPr>
        <w:pStyle w:val="Heading2"/>
        <w:rPr>
          <w:b/>
          <w:bCs/>
          <w:sz w:val="26"/>
          <w:szCs w:val="26"/>
        </w:rPr>
      </w:pPr>
      <w:bookmarkStart w:id="276" w:name="_Toc149903653"/>
      <w:r w:rsidRPr="0072600F">
        <w:rPr>
          <w:b/>
          <w:bCs/>
          <w:sz w:val="26"/>
          <w:szCs w:val="26"/>
        </w:rPr>
        <w:t>Section 8.</w:t>
      </w:r>
      <w:r w:rsidRPr="0072600F">
        <w:rPr>
          <w:b/>
          <w:bCs/>
          <w:sz w:val="26"/>
          <w:szCs w:val="26"/>
        </w:rPr>
        <w:tab/>
        <w:t>Interconnection Facilities Study</w:t>
      </w:r>
      <w:bookmarkEnd w:id="276"/>
    </w:p>
    <w:p w:rsidR="00911580" w:rsidRPr="0072600F" w14:paraId="197F60F3" w14:textId="77777777">
      <w:pPr>
        <w:rPr>
          <w:rFonts w:ascii="Times New Roman" w:hAnsi="Times New Roman" w:cs="Times New Roman"/>
          <w:b/>
          <w:bCs/>
          <w:sz w:val="26"/>
          <w:szCs w:val="26"/>
        </w:rPr>
      </w:pPr>
    </w:p>
    <w:p w:rsidR="00911580" w:rsidRPr="0072600F" w:rsidP="00CF3CBE" w14:paraId="46B705B2" w14:textId="77777777">
      <w:pPr>
        <w:pStyle w:val="Heading3"/>
        <w:rPr>
          <w:b/>
          <w:sz w:val="26"/>
        </w:rPr>
      </w:pPr>
      <w:bookmarkStart w:id="277" w:name="_Toc149903654"/>
      <w:r w:rsidRPr="0072600F">
        <w:rPr>
          <w:b/>
          <w:sz w:val="26"/>
        </w:rPr>
        <w:t>8.1</w:t>
      </w:r>
      <w:r w:rsidRPr="0072600F">
        <w:rPr>
          <w:b/>
          <w:sz w:val="26"/>
        </w:rPr>
        <w:tab/>
        <w:t>Interconnection Facilities Study Agreement.</w:t>
      </w:r>
      <w:bookmarkEnd w:id="277"/>
    </w:p>
    <w:p w:rsidR="00911580" w:rsidRPr="0072600F" w14:paraId="76625913" w14:textId="77777777">
      <w:pPr>
        <w:ind w:left="144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Simultaneously with the delivery of the Cluster Study Report, or Cluster Restudy Report if applicable,</w:t>
      </w:r>
      <w:r w:rsidRPr="0072600F">
        <w:rPr>
          <w:rFonts w:ascii="Times New Roman" w:hAnsi="Times New Roman" w:cs="Times New Roman"/>
          <w:sz w:val="26"/>
          <w:szCs w:val="26"/>
        </w:rPr>
        <w:t xml:space="preserve">] </w:t>
      </w:r>
      <w:r w:rsidRPr="0072600F">
        <w:rPr>
          <w:rFonts w:ascii="Times New Roman" w:hAnsi="Times New Roman" w:cs="Times New Roman"/>
          <w:i/>
          <w:iCs/>
          <w:sz w:val="26"/>
          <w:szCs w:val="26"/>
        </w:rPr>
        <w:t xml:space="preserve">Within five (5) Business Days following Transmission Provider notifying each Interconnection Customer within the Cluster that no further Cluster Restudy is required (per </w:t>
      </w:r>
      <w:r w:rsidRPr="0072600F" w:rsidR="0EA9D0BD">
        <w:rPr>
          <w:rFonts w:ascii="Times New Roman" w:hAnsi="Times New Roman" w:cs="Times New Roman"/>
          <w:i/>
          <w:iCs/>
          <w:sz w:val="26"/>
          <w:szCs w:val="26"/>
        </w:rPr>
        <w:t>S</w:t>
      </w:r>
      <w:r w:rsidRPr="0072600F">
        <w:rPr>
          <w:rFonts w:ascii="Times New Roman" w:hAnsi="Times New Roman" w:cs="Times New Roman"/>
          <w:i/>
          <w:iCs/>
          <w:sz w:val="26"/>
          <w:szCs w:val="26"/>
        </w:rPr>
        <w:t>ection 7.5 of this LGIP),</w:t>
      </w:r>
      <w:r w:rsidRPr="0072600F">
        <w:rPr>
          <w:rFonts w:ascii="Times New Roman" w:hAnsi="Times New Roman" w:cs="Times New Roman"/>
          <w:sz w:val="26"/>
          <w:szCs w:val="26"/>
        </w:rPr>
        <w:t xml:space="preserve"> Transmission Provider shall provide to Interconnection Customer an Interconnection Facilities Study Agreement in the form of Appendix 3 to this LGIP.  Interconnection Customer shall compensate Transmission Provider for the actual cost of the Interconnection Facilities Study.  Within five (5) Business Days following the Cluster Report Meeting or Cluster Restudy Report Meeting if applicable, Transmission Provider shall provide to Interconnection Customer a non-binding good faith estimate of the cost and timeframe for completing the Interconnection Facilities Study.  Interconnection Customer shall execute the Interconnection Facilities Study Agreement and deliver the executed Interconnection Facilities Study Agreement to Transmission Provider within thirty (30) Calendar Days after its receipt, together with:</w:t>
      </w:r>
    </w:p>
    <w:p w:rsidR="00911580" w:rsidRPr="0072600F" w14:paraId="36001ED2" w14:textId="77777777">
      <w:pPr>
        <w:ind w:left="1440"/>
        <w:rPr>
          <w:rFonts w:ascii="Times New Roman" w:hAnsi="Times New Roman" w:cs="Times New Roman"/>
          <w:sz w:val="26"/>
          <w:szCs w:val="26"/>
        </w:rPr>
      </w:pPr>
    </w:p>
    <w:p w:rsidR="00911580" w:rsidRPr="0072600F" w:rsidP="00056EC2" w14:paraId="3DAB2DF0" w14:textId="77777777">
      <w:pPr>
        <w:ind w:left="1440" w:firstLine="720"/>
        <w:rPr>
          <w:rFonts w:ascii="Times New Roman" w:hAnsi="Times New Roman" w:cs="Times New Roman"/>
          <w:sz w:val="26"/>
          <w:szCs w:val="26"/>
        </w:rPr>
      </w:pPr>
      <w:r w:rsidRPr="0072600F">
        <w:rPr>
          <w:rFonts w:ascii="Times New Roman" w:hAnsi="Times New Roman" w:cs="Times New Roman"/>
          <w:sz w:val="26"/>
          <w:szCs w:val="26"/>
        </w:rPr>
        <w:t>(1) any required technical data;</w:t>
      </w:r>
    </w:p>
    <w:p w:rsidR="00911580" w:rsidRPr="0072600F" w14:paraId="6B0E2D3F" w14:textId="77777777">
      <w:pPr>
        <w:pStyle w:val="ListParagraph"/>
        <w:ind w:left="2160"/>
        <w:rPr>
          <w:szCs w:val="26"/>
        </w:rPr>
      </w:pPr>
    </w:p>
    <w:p w:rsidR="00911580" w:rsidRPr="0072600F" w14:paraId="19EABAA8" w14:textId="77777777">
      <w:pPr>
        <w:pStyle w:val="ListParagraph"/>
        <w:ind w:left="2160"/>
        <w:rPr>
          <w:szCs w:val="26"/>
        </w:rPr>
      </w:pPr>
      <w:r w:rsidRPr="0072600F">
        <w:rPr>
          <w:szCs w:val="26"/>
        </w:rPr>
        <w:t xml:space="preserve">(2) Demonstration of one-hundred percent (100%) Site Control or demonstration of a regulatory limitation and applicable deposit in lieu of Site Control provided to </w:t>
      </w:r>
      <w:r w:rsidRPr="0072600F" w:rsidR="00C24041">
        <w:rPr>
          <w:szCs w:val="26"/>
        </w:rPr>
        <w:t>[</w:t>
      </w:r>
      <w:r w:rsidRPr="0072600F">
        <w:rPr>
          <w:szCs w:val="26"/>
        </w:rPr>
        <w:t>the</w:t>
      </w:r>
      <w:r w:rsidRPr="0072600F" w:rsidR="00C24041">
        <w:rPr>
          <w:szCs w:val="26"/>
        </w:rPr>
        <w:t>]</w:t>
      </w:r>
      <w:r w:rsidRPr="0072600F">
        <w:rPr>
          <w:szCs w:val="26"/>
        </w:rPr>
        <w:t xml:space="preserve"> Transmission Provider in accordance with </w:t>
      </w:r>
      <w:r w:rsidRPr="0072600F" w:rsidR="3334060C">
        <w:rPr>
          <w:szCs w:val="26"/>
        </w:rPr>
        <w:t>[</w:t>
      </w:r>
      <w:r w:rsidRPr="0072600F">
        <w:rPr>
          <w:szCs w:val="26"/>
        </w:rPr>
        <w:t>s</w:t>
      </w:r>
      <w:r w:rsidRPr="0072600F" w:rsidR="72B8F5A2">
        <w:rPr>
          <w:szCs w:val="26"/>
        </w:rPr>
        <w:t>]</w:t>
      </w:r>
      <w:r w:rsidRPr="0072600F" w:rsidR="72B8F5A2">
        <w:rPr>
          <w:i/>
          <w:iCs/>
          <w:szCs w:val="26"/>
        </w:rPr>
        <w:t>S</w:t>
      </w:r>
      <w:r w:rsidRPr="0072600F">
        <w:rPr>
          <w:szCs w:val="26"/>
        </w:rPr>
        <w:t>ection 3.4.2 of this LGIP; and</w:t>
      </w:r>
    </w:p>
    <w:p w:rsidR="00911580" w:rsidRPr="0072600F" w14:paraId="5D0780BE" w14:textId="77777777">
      <w:pPr>
        <w:ind w:left="2160"/>
        <w:rPr>
          <w:rFonts w:ascii="Times New Roman" w:hAnsi="Times New Roman" w:cs="Times New Roman"/>
          <w:sz w:val="26"/>
          <w:szCs w:val="26"/>
        </w:rPr>
      </w:pPr>
    </w:p>
    <w:p w:rsidR="00911580" w:rsidRPr="0072600F" w:rsidP="007A0ADB" w14:paraId="03E2DE55" w14:textId="77777777">
      <w:pPr>
        <w:pStyle w:val="ListParagraph"/>
        <w:ind w:left="2160"/>
        <w:rPr>
          <w:szCs w:val="26"/>
        </w:rPr>
      </w:pPr>
      <w:r w:rsidRPr="0072600F">
        <w:rPr>
          <w:szCs w:val="26"/>
        </w:rPr>
        <w:t xml:space="preserve">(3) An additional deposit that brings the total Commercial Readiness Deposit submitted to </w:t>
      </w:r>
      <w:r w:rsidRPr="0072600F" w:rsidR="00C6044A">
        <w:rPr>
          <w:szCs w:val="26"/>
        </w:rPr>
        <w:t>[</w:t>
      </w:r>
      <w:r w:rsidRPr="0072600F">
        <w:rPr>
          <w:szCs w:val="26"/>
        </w:rPr>
        <w:t>the</w:t>
      </w:r>
      <w:r w:rsidRPr="0072600F" w:rsidR="00C6044A">
        <w:rPr>
          <w:szCs w:val="26"/>
        </w:rPr>
        <w:t>]</w:t>
      </w:r>
      <w:r w:rsidRPr="0072600F">
        <w:rPr>
          <w:szCs w:val="26"/>
        </w:rPr>
        <w:t xml:space="preserve"> Transmission Provider to ten percent (10%) of </w:t>
      </w:r>
      <w:r w:rsidRPr="0072600F" w:rsidR="00A85981">
        <w:rPr>
          <w:szCs w:val="26"/>
        </w:rPr>
        <w:t>[</w:t>
      </w:r>
      <w:r w:rsidRPr="0072600F">
        <w:rPr>
          <w:szCs w:val="26"/>
        </w:rPr>
        <w:t>the</w:t>
      </w:r>
      <w:r w:rsidRPr="0072600F" w:rsidR="00A85981">
        <w:rPr>
          <w:szCs w:val="26"/>
        </w:rPr>
        <w:t>]</w:t>
      </w:r>
      <w:r w:rsidRPr="0072600F">
        <w:rPr>
          <w:szCs w:val="26"/>
        </w:rPr>
        <w:t xml:space="preserve"> Interconnection Customer’s Network Upgrade cost assignment identified in the Cluster Study or Cluster Restudy, if applicable, in the form of an irrevocable letter of credit</w:t>
      </w:r>
      <w:r w:rsidRPr="0072600F" w:rsidR="00CB4CDE">
        <w:rPr>
          <w:i/>
          <w:iCs/>
          <w:szCs w:val="26"/>
        </w:rPr>
        <w:t>,</w:t>
      </w:r>
      <w:r w:rsidRPr="0072600F" w:rsidR="00CB4CDE">
        <w:rPr>
          <w:szCs w:val="26"/>
        </w:rPr>
        <w:t>[</w:t>
      </w:r>
      <w:r w:rsidRPr="0072600F">
        <w:rPr>
          <w:szCs w:val="26"/>
        </w:rPr>
        <w:t xml:space="preserve"> or</w:t>
      </w:r>
      <w:r w:rsidRPr="0072600F" w:rsidR="00CB4CDE">
        <w:rPr>
          <w:szCs w:val="26"/>
        </w:rPr>
        <w:t>]</w:t>
      </w:r>
      <w:r w:rsidRPr="0072600F">
        <w:rPr>
          <w:szCs w:val="26"/>
        </w:rPr>
        <w:t xml:space="preserve"> cash</w:t>
      </w:r>
      <w:r w:rsidRPr="0072600F" w:rsidR="00CB4CDE">
        <w:rPr>
          <w:i/>
          <w:iCs/>
          <w:szCs w:val="26"/>
        </w:rPr>
        <w:t>, a surety bond, or other form of security that is reasonably acceptable to Transmission Provider</w:t>
      </w:r>
      <w:r w:rsidRPr="0072600F">
        <w:rPr>
          <w:szCs w:val="26"/>
        </w:rPr>
        <w:t>.  Transmission Provider shall refund the deposit to Interconnection Customer upon withdrawal in accordance with Section 3.7 of this LGIP.</w:t>
      </w:r>
    </w:p>
    <w:p w:rsidR="00911580" w:rsidRPr="0072600F" w14:paraId="3178062C" w14:textId="77777777">
      <w:pPr>
        <w:ind w:left="1440"/>
        <w:rPr>
          <w:rFonts w:ascii="Times New Roman" w:hAnsi="Times New Roman" w:cs="Times New Roman"/>
          <w:sz w:val="26"/>
          <w:szCs w:val="26"/>
        </w:rPr>
      </w:pPr>
    </w:p>
    <w:p w:rsidR="00911580" w:rsidRPr="0072600F" w14:paraId="64918EAA" w14:textId="77777777">
      <w:pPr>
        <w:ind w:left="1440"/>
        <w:rPr>
          <w:rFonts w:ascii="Times New Roman" w:hAnsi="Times New Roman" w:cs="Times New Roman"/>
          <w:sz w:val="26"/>
          <w:szCs w:val="26"/>
        </w:rPr>
      </w:pPr>
      <w:r w:rsidRPr="0072600F">
        <w:rPr>
          <w:rFonts w:ascii="Times New Roman" w:hAnsi="Times New Roman" w:cs="Times New Roman"/>
          <w:sz w:val="26"/>
          <w:szCs w:val="26"/>
        </w:rPr>
        <w:t>Interconnection Customer shall promptly inform Transmission Provider of any material change to Interconnection Customer’s demonstration of Site Control under Section 3.4.2(iii) of this LGIP.  Upon Transmission Provider determining separately that Interconnection Customer no longer satisfies the Site Control requirement, Transmission Provider shall notify Interconnection Customer.  Within ten (10) Business Days of such notification, Interconnection Customer must demonstrate compliance with the applicable requirement subject to Transmission Provider’s approval, not to be unreasonably withheld.  Absent such demonstration, Transmission Provider shall deem the subject Interconnection Request withdrawn pursuant to Section 3.7 of this LGIP.</w:t>
      </w:r>
    </w:p>
    <w:p w:rsidR="00911580" w:rsidRPr="0072600F" w14:paraId="3F1AF0F1" w14:textId="77777777">
      <w:pPr>
        <w:tabs>
          <w:tab w:val="left" w:pos="720"/>
          <w:tab w:val="left" w:pos="1440"/>
          <w:tab w:val="left" w:pos="2160"/>
        </w:tabs>
        <w:ind w:left="2160" w:hanging="2160"/>
        <w:rPr>
          <w:rFonts w:ascii="Times New Roman" w:hAnsi="Times New Roman" w:cs="Times New Roman"/>
          <w:sz w:val="26"/>
          <w:szCs w:val="26"/>
        </w:rPr>
      </w:pPr>
    </w:p>
    <w:p w:rsidR="00911580" w:rsidRPr="0072600F" w:rsidP="005221FE" w14:paraId="079A1795" w14:textId="77777777">
      <w:pPr>
        <w:pStyle w:val="Heading3"/>
        <w:rPr>
          <w:b/>
          <w:sz w:val="26"/>
        </w:rPr>
      </w:pPr>
      <w:bookmarkStart w:id="278" w:name="_Toc149903655"/>
      <w:r w:rsidRPr="0072600F">
        <w:rPr>
          <w:b/>
          <w:sz w:val="26"/>
        </w:rPr>
        <w:t>8.2</w:t>
      </w:r>
      <w:r w:rsidRPr="0072600F">
        <w:rPr>
          <w:b/>
          <w:sz w:val="26"/>
        </w:rPr>
        <w:tab/>
        <w:t>Scope of Interconnection Facilities Study.</w:t>
      </w:r>
      <w:bookmarkEnd w:id="278"/>
    </w:p>
    <w:p w:rsidR="00911580" w:rsidRPr="0072600F" w14:paraId="3D87744A" w14:textId="77777777">
      <w:pPr>
        <w:ind w:left="1440"/>
        <w:rPr>
          <w:rFonts w:ascii="Times New Roman" w:hAnsi="Times New Roman" w:cs="Times New Roman"/>
          <w:sz w:val="26"/>
          <w:szCs w:val="26"/>
        </w:rPr>
      </w:pPr>
      <w:r w:rsidRPr="0072600F">
        <w:rPr>
          <w:rFonts w:ascii="Times New Roman" w:hAnsi="Times New Roman" w:cs="Times New Roman"/>
          <w:sz w:val="26"/>
          <w:szCs w:val="26"/>
        </w:rPr>
        <w:t>The Interconnection Facilities Study shall be specific to each Interconnection Request and performed on an individual, i.e., non-clustered, basis.  The Interconnection Facilities Study shall specify and provide a non-binding estimate of the cost of the equipment, engineering, procurement and construction work needed to implement the conclusions of the Cluster Study Report (and any associated restudies) in accordance with Good Utility Practice to physically and electrically connect the Interconnection Facilities to the Transmission System.  The Interconnection Facilities Study shall also identify the electrical switching configuration of the connection equipment, including, without limitation:  the transformer, switchgear, meters, and other station equipment; the nature and estimated cost of any Transmission Provider’s Interconnection Facilities and Network Upgrades necessary to accomplish the interconnection; and an estimate of the time required to complete the construction and installation of such facilities.  The Interconnection Facilities Study will also identify any potential control equipment for (1) requests for Interconnection Service that are lower than the Generating Facility Capacity, and/or (2) requests to</w:t>
      </w:r>
      <w:r w:rsidRPr="0072600F" w:rsidR="00C6044A">
        <w:rPr>
          <w:rFonts w:ascii="Times New Roman" w:hAnsi="Times New Roman" w:cs="Times New Roman"/>
          <w:sz w:val="26"/>
          <w:szCs w:val="26"/>
        </w:rPr>
        <w:t xml:space="preserve"> </w:t>
      </w:r>
      <w:r w:rsidRPr="0072600F">
        <w:rPr>
          <w:rFonts w:ascii="Times New Roman" w:hAnsi="Times New Roman" w:cs="Times New Roman"/>
          <w:sz w:val="26"/>
          <w:szCs w:val="26"/>
        </w:rPr>
        <w:t xml:space="preserve">study a Generating Facility that includes at least one electric storage resource using operating assumptions (i.e., whether the interconnecting Generating Facility will or will not charge at peak load) that reflect its proposed charging behavior, as requested by Interconnection Customer, unless Transmission Provider determines that Good Utility Practice, including Applicable Reliability Standards, otherwise require the use of different operating assumptions.  </w:t>
      </w:r>
    </w:p>
    <w:p w:rsidR="00911580" w:rsidRPr="0072600F" w14:paraId="10850776" w14:textId="77777777">
      <w:pPr>
        <w:rPr>
          <w:rFonts w:ascii="Times New Roman" w:hAnsi="Times New Roman" w:cs="Times New Roman"/>
          <w:sz w:val="26"/>
          <w:szCs w:val="26"/>
        </w:rPr>
      </w:pPr>
    </w:p>
    <w:p w:rsidR="00911580" w:rsidRPr="0072600F" w:rsidP="00496E43" w14:paraId="5A7C05C5" w14:textId="77777777">
      <w:pPr>
        <w:pStyle w:val="Heading3"/>
        <w:rPr>
          <w:b/>
          <w:sz w:val="26"/>
        </w:rPr>
      </w:pPr>
      <w:bookmarkStart w:id="279" w:name="_Toc149903656"/>
      <w:r w:rsidRPr="0072600F">
        <w:rPr>
          <w:b/>
          <w:sz w:val="26"/>
        </w:rPr>
        <w:t>8.3</w:t>
      </w:r>
      <w:r w:rsidRPr="0072600F">
        <w:rPr>
          <w:b/>
          <w:sz w:val="26"/>
        </w:rPr>
        <w:tab/>
        <w:t>Interconnection Facilities Study Procedures.</w:t>
      </w:r>
      <w:bookmarkEnd w:id="279"/>
    </w:p>
    <w:p w:rsidR="00911580" w:rsidRPr="0072600F" w14:paraId="62F6307B"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coordinate the Interconnection Facilities Study with any Affected System </w:t>
      </w:r>
      <w:r w:rsidRPr="0072600F" w:rsidR="007C37E4">
        <w:rPr>
          <w:rFonts w:ascii="Times New Roman" w:hAnsi="Times New Roman" w:cs="Times New Roman"/>
          <w:i/>
          <w:iCs/>
          <w:sz w:val="26"/>
          <w:szCs w:val="26"/>
        </w:rPr>
        <w:t xml:space="preserve">Operator </w:t>
      </w:r>
      <w:r w:rsidRPr="0072600F">
        <w:rPr>
          <w:rFonts w:ascii="Times New Roman" w:hAnsi="Times New Roman" w:cs="Times New Roman"/>
          <w:sz w:val="26"/>
          <w:szCs w:val="26"/>
        </w:rPr>
        <w:t xml:space="preserve">pursuant to Section 3.6 of this LGIP.  Transmission Provider shall utilize existing studies to the extent practicable in performing the Interconnection Facilities Study.  Transmission Provider shall complete the study and issue a draft Interconnection Facilities Study Report to Interconnection Customer within the following number of days after receipt of an executed Interconnection Facilities Study Agreement: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 xml:space="preserve">ninety (90) Calendar Days after receipt of an executed Interconnection Facilities Study Agreement, with no more than a +/- </w:t>
      </w:r>
      <w:r w:rsidRPr="0072600F" w:rsidR="0191FB96">
        <w:rPr>
          <w:rFonts w:ascii="Times New Roman" w:hAnsi="Times New Roman" w:cs="Times New Roman"/>
          <w:sz w:val="26"/>
          <w:szCs w:val="26"/>
        </w:rPr>
        <w:t>[</w:t>
      </w:r>
      <w:r w:rsidRPr="0072600F">
        <w:rPr>
          <w:rFonts w:ascii="Times New Roman" w:hAnsi="Times New Roman" w:cs="Times New Roman"/>
          <w:sz w:val="26"/>
          <w:szCs w:val="26"/>
        </w:rPr>
        <w:t>20</w:t>
      </w:r>
      <w:r w:rsidRPr="0072600F" w:rsidR="5BA38212">
        <w:rPr>
          <w:rFonts w:ascii="Times New Roman" w:hAnsi="Times New Roman" w:cs="Times New Roman"/>
          <w:sz w:val="26"/>
          <w:szCs w:val="26"/>
        </w:rPr>
        <w:t xml:space="preserve">] </w:t>
      </w:r>
      <w:r w:rsidRPr="0072600F" w:rsidR="5BA38212">
        <w:rPr>
          <w:rFonts w:ascii="Times New Roman" w:hAnsi="Times New Roman" w:cs="Times New Roman"/>
          <w:i/>
          <w:iCs/>
          <w:sz w:val="26"/>
          <w:szCs w:val="26"/>
        </w:rPr>
        <w:t>twenty</w:t>
      </w:r>
      <w:r w:rsidRPr="0072600F">
        <w:rPr>
          <w:rFonts w:ascii="Times New Roman" w:hAnsi="Times New Roman" w:cs="Times New Roman"/>
          <w:sz w:val="26"/>
          <w:szCs w:val="26"/>
        </w:rPr>
        <w:t xml:space="preserve"> percent</w:t>
      </w:r>
      <w:r w:rsidRPr="0072600F" w:rsidR="478FB8A1">
        <w:rPr>
          <w:rFonts w:ascii="Times New Roman" w:hAnsi="Times New Roman" w:cs="Times New Roman"/>
          <w:sz w:val="26"/>
          <w:szCs w:val="26"/>
        </w:rPr>
        <w:t xml:space="preserve"> </w:t>
      </w:r>
      <w:r w:rsidRPr="0072600F" w:rsidR="478FB8A1">
        <w:rPr>
          <w:rFonts w:ascii="Times New Roman" w:hAnsi="Times New Roman" w:cs="Times New Roman"/>
          <w:i/>
          <w:iCs/>
          <w:sz w:val="26"/>
          <w:szCs w:val="26"/>
        </w:rPr>
        <w:t>(20%)</w:t>
      </w:r>
      <w:r w:rsidRPr="0072600F">
        <w:rPr>
          <w:rFonts w:ascii="Times New Roman" w:hAnsi="Times New Roman" w:cs="Times New Roman"/>
          <w:sz w:val="26"/>
          <w:szCs w:val="26"/>
        </w:rPr>
        <w:t xml:space="preserve"> cost estimate contained in the report; or one hundred eighty (180) Calendar Days, if Interconnection Customer requests a +/- </w:t>
      </w:r>
      <w:r w:rsidRPr="0072600F" w:rsidR="47995DF0">
        <w:rPr>
          <w:rFonts w:ascii="Times New Roman" w:hAnsi="Times New Roman" w:cs="Times New Roman"/>
          <w:sz w:val="26"/>
          <w:szCs w:val="26"/>
        </w:rPr>
        <w:t>[</w:t>
      </w:r>
      <w:r w:rsidRPr="0072600F">
        <w:rPr>
          <w:rFonts w:ascii="Times New Roman" w:hAnsi="Times New Roman" w:cs="Times New Roman"/>
          <w:sz w:val="26"/>
          <w:szCs w:val="26"/>
        </w:rPr>
        <w:t>10</w:t>
      </w:r>
      <w:r w:rsidRPr="0072600F" w:rsidR="514968FD">
        <w:rPr>
          <w:rFonts w:ascii="Times New Roman" w:hAnsi="Times New Roman" w:cs="Times New Roman"/>
          <w:sz w:val="26"/>
          <w:szCs w:val="26"/>
        </w:rPr>
        <w:t xml:space="preserve">] </w:t>
      </w:r>
      <w:r w:rsidRPr="0072600F" w:rsidR="514968FD">
        <w:rPr>
          <w:rFonts w:ascii="Times New Roman" w:hAnsi="Times New Roman" w:cs="Times New Roman"/>
          <w:i/>
          <w:iCs/>
          <w:sz w:val="26"/>
          <w:szCs w:val="26"/>
        </w:rPr>
        <w:t>ten</w:t>
      </w:r>
      <w:r w:rsidRPr="0072600F">
        <w:rPr>
          <w:rFonts w:ascii="Times New Roman" w:hAnsi="Times New Roman" w:cs="Times New Roman"/>
          <w:sz w:val="26"/>
          <w:szCs w:val="26"/>
        </w:rPr>
        <w:t xml:space="preserve"> percent </w:t>
      </w:r>
      <w:r w:rsidRPr="0072600F" w:rsidR="3DF5170C">
        <w:rPr>
          <w:rFonts w:ascii="Times New Roman" w:hAnsi="Times New Roman" w:cs="Times New Roman"/>
          <w:i/>
          <w:iCs/>
          <w:sz w:val="26"/>
          <w:szCs w:val="26"/>
        </w:rPr>
        <w:t>(10%)</w:t>
      </w:r>
      <w:r w:rsidRPr="0072600F">
        <w:rPr>
          <w:rFonts w:ascii="Times New Roman" w:hAnsi="Times New Roman" w:cs="Times New Roman"/>
          <w:sz w:val="26"/>
          <w:szCs w:val="26"/>
        </w:rPr>
        <w:t xml:space="preserve"> cost estimate.</w:t>
      </w:r>
    </w:p>
    <w:p w:rsidR="00911580" w:rsidRPr="0072600F" w14:paraId="19AEB754" w14:textId="77777777">
      <w:pPr>
        <w:rPr>
          <w:rFonts w:ascii="Times New Roman" w:hAnsi="Times New Roman" w:cs="Times New Roman"/>
          <w:sz w:val="26"/>
          <w:szCs w:val="26"/>
        </w:rPr>
      </w:pPr>
    </w:p>
    <w:p w:rsidR="00911580" w:rsidRPr="0072600F" w14:paraId="5EBBC06B" w14:textId="77777777">
      <w:pPr>
        <w:ind w:left="1440"/>
        <w:rPr>
          <w:rFonts w:ascii="Times New Roman" w:hAnsi="Times New Roman" w:cs="Times New Roman"/>
          <w:sz w:val="26"/>
          <w:szCs w:val="26"/>
        </w:rPr>
      </w:pPr>
      <w:r w:rsidRPr="0072600F">
        <w:rPr>
          <w:rFonts w:ascii="Times New Roman" w:hAnsi="Times New Roman" w:cs="Times New Roman"/>
          <w:sz w:val="26"/>
          <w:szCs w:val="26"/>
        </w:rPr>
        <w:t>At the request of Interconnection Customer or at any time Transmission Provider determines that it will not meet the required time frame for completing the Interconnection Facilities Study, Transmission Provider shall notify Interconnection Customer as to the schedule status of the Interconnection Facilities Study.  If Transmission Provider is unable to complete the Interconnection Facilities Study and issue a draft Interconnection Facilities Study Report within the time required, it shall notify Interconnection Customer and provide an estimated completion date and an explanation of the reasons why additional time is required.</w:t>
      </w:r>
    </w:p>
    <w:p w:rsidR="00911580" w:rsidRPr="0072600F" w14:paraId="63D1BDD5" w14:textId="77777777">
      <w:pPr>
        <w:rPr>
          <w:rFonts w:ascii="Times New Roman" w:hAnsi="Times New Roman" w:cs="Times New Roman"/>
          <w:sz w:val="26"/>
          <w:szCs w:val="26"/>
        </w:rPr>
      </w:pPr>
    </w:p>
    <w:p w:rsidR="00911580" w:rsidRPr="0072600F" w14:paraId="006C82FA" w14:textId="77777777">
      <w:pPr>
        <w:ind w:left="1440"/>
        <w:rPr>
          <w:rFonts w:ascii="Times New Roman" w:hAnsi="Times New Roman" w:cs="Times New Roman"/>
          <w:sz w:val="26"/>
          <w:szCs w:val="26"/>
        </w:rPr>
      </w:pPr>
      <w:r w:rsidRPr="0072600F">
        <w:rPr>
          <w:rFonts w:ascii="Times New Roman" w:hAnsi="Times New Roman" w:cs="Times New Roman"/>
          <w:sz w:val="26"/>
          <w:szCs w:val="26"/>
        </w:rPr>
        <w:t>Interconnection Customer may, within thirty (30) Calendar Days after receipt of the draft Interconnection Facilities Study Report, provide written comments to Transmission Provider, which Transmission Provider shall include in completing the final Interconnection Facilities Study Report.  Transmission Provider shall issue the final Interconnection Facilities Study Report within fifteen (15) Business Days of receiving Interconnection Customer’s comments or promptly upon receiving Interconnection Customer’s statement that it will not provide comments.  Transmission Provider may reasonably extend such fifteen (15) Business Day period upon notice to Interconnection Customer if 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comments require Transmission Provider to perform additional analyses or make other significant modifications prior to the issuance of the final Interconnection Facilities Study Report.  Upon request, Transmission Provider shall provide Interconnection Customer supporting documentation, workpapers, and databases or data developed in the preparation of the Interconnection Facilities Study, subject to confidentiality arrangements consistent with Section 13.1 of this LGIP.</w:t>
      </w:r>
    </w:p>
    <w:p w:rsidR="00911580" w:rsidRPr="0072600F" w14:paraId="5DE96831" w14:textId="77777777">
      <w:pPr>
        <w:rPr>
          <w:rFonts w:ascii="Times New Roman" w:hAnsi="Times New Roman" w:cs="Times New Roman"/>
          <w:sz w:val="26"/>
          <w:szCs w:val="26"/>
        </w:rPr>
      </w:pPr>
    </w:p>
    <w:p w:rsidR="00911580" w:rsidRPr="0072600F" w:rsidP="00612F67" w14:paraId="5E4F028E" w14:textId="77777777">
      <w:pPr>
        <w:pStyle w:val="Heading3"/>
        <w:rPr>
          <w:sz w:val="26"/>
        </w:rPr>
      </w:pPr>
      <w:bookmarkStart w:id="280" w:name="_Toc149903657"/>
      <w:r w:rsidRPr="0072600F">
        <w:rPr>
          <w:b/>
          <w:sz w:val="26"/>
        </w:rPr>
        <w:t>8.4</w:t>
      </w:r>
      <w:r w:rsidRPr="0072600F">
        <w:rPr>
          <w:b/>
          <w:sz w:val="26"/>
        </w:rPr>
        <w:tab/>
        <w:t>Meeting with Transmission Provider.</w:t>
      </w:r>
      <w:bookmarkEnd w:id="280"/>
    </w:p>
    <w:p w:rsidR="00911580" w:rsidRPr="0072600F" w14:paraId="1821F654" w14:textId="77777777">
      <w:pPr>
        <w:ind w:left="1440"/>
        <w:rPr>
          <w:rFonts w:ascii="Times New Roman" w:hAnsi="Times New Roman" w:cs="Times New Roman"/>
          <w:sz w:val="26"/>
          <w:szCs w:val="26"/>
        </w:rPr>
      </w:pPr>
      <w:r w:rsidRPr="0072600F">
        <w:rPr>
          <w:rFonts w:ascii="Times New Roman" w:hAnsi="Times New Roman" w:cs="Times New Roman"/>
          <w:sz w:val="26"/>
          <w:szCs w:val="26"/>
        </w:rPr>
        <w:t>Within ten (10) Business Days of providing a draft Interconnection Facilities Study Report to Interconnection Customer, Transmission Provider and Interconnection Customer shall meet to discuss the results of the Interconnection Facilities Study.</w:t>
      </w:r>
    </w:p>
    <w:p w:rsidR="00911580" w:rsidRPr="0072600F" w14:paraId="69F3A7D7" w14:textId="77777777">
      <w:pPr>
        <w:rPr>
          <w:rFonts w:ascii="Times New Roman" w:hAnsi="Times New Roman" w:cs="Times New Roman"/>
          <w:sz w:val="26"/>
          <w:szCs w:val="26"/>
        </w:rPr>
      </w:pPr>
    </w:p>
    <w:p w:rsidR="00911580" w:rsidRPr="0072600F" w:rsidP="008914E6" w14:paraId="437ACD34" w14:textId="77777777">
      <w:pPr>
        <w:pStyle w:val="Heading3"/>
        <w:rPr>
          <w:b/>
          <w:sz w:val="26"/>
        </w:rPr>
      </w:pPr>
      <w:bookmarkStart w:id="281" w:name="_Toc149903658"/>
      <w:r w:rsidRPr="0072600F">
        <w:rPr>
          <w:b/>
          <w:sz w:val="26"/>
        </w:rPr>
        <w:t>8.5</w:t>
      </w:r>
      <w:r w:rsidRPr="0072600F">
        <w:rPr>
          <w:b/>
          <w:sz w:val="26"/>
        </w:rPr>
        <w:tab/>
        <w:t>Restudy.</w:t>
      </w:r>
      <w:bookmarkEnd w:id="281"/>
    </w:p>
    <w:p w:rsidR="00911580" w:rsidRPr="0072600F" w14:paraId="591F2585"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If </w:t>
      </w:r>
      <w:r w:rsidRPr="0072600F" w:rsidR="49A74E48">
        <w:rPr>
          <w:rFonts w:ascii="Times New Roman" w:hAnsi="Times New Roman" w:cs="Times New Roman"/>
          <w:sz w:val="26"/>
          <w:szCs w:val="26"/>
        </w:rPr>
        <w:t>[</w:t>
      </w:r>
      <w:r w:rsidRPr="0072600F">
        <w:rPr>
          <w:rFonts w:ascii="Times New Roman" w:hAnsi="Times New Roman" w:cs="Times New Roman"/>
          <w:sz w:val="26"/>
          <w:szCs w:val="26"/>
        </w:rPr>
        <w:t>R</w:t>
      </w:r>
      <w:r w:rsidRPr="0072600F" w:rsidR="664BEF86">
        <w:rPr>
          <w:rFonts w:ascii="Times New Roman" w:hAnsi="Times New Roman" w:cs="Times New Roman"/>
          <w:sz w:val="26"/>
          <w:szCs w:val="26"/>
        </w:rPr>
        <w:t>]</w:t>
      </w:r>
      <w:r w:rsidRPr="0072600F" w:rsidR="664BEF86">
        <w:rPr>
          <w:rFonts w:ascii="Times New Roman" w:hAnsi="Times New Roman" w:cs="Times New Roman"/>
          <w:i/>
          <w:iCs/>
          <w:sz w:val="26"/>
          <w:szCs w:val="26"/>
        </w:rPr>
        <w:t>r</w:t>
      </w:r>
      <w:r w:rsidRPr="0072600F">
        <w:rPr>
          <w:rFonts w:ascii="Times New Roman" w:hAnsi="Times New Roman" w:cs="Times New Roman"/>
          <w:sz w:val="26"/>
          <w:szCs w:val="26"/>
        </w:rPr>
        <w:t xml:space="preserve">estudy of the Interconnection Facilities Study is required due to a higher or equally queued project withdrawing from the queue or a modification of a higher or equally queued project pursuant to Section 4.4 of this LGIP, Transmission Provider shall so notify Interconnection Customer in writing.  Transmission Provider shall ensure that such </w:t>
      </w:r>
      <w:r w:rsidRPr="0072600F" w:rsidR="48397092">
        <w:rPr>
          <w:rFonts w:ascii="Times New Roman" w:hAnsi="Times New Roman" w:cs="Times New Roman"/>
          <w:sz w:val="26"/>
          <w:szCs w:val="26"/>
        </w:rPr>
        <w:t>[</w:t>
      </w:r>
      <w:r w:rsidRPr="0072600F">
        <w:rPr>
          <w:rFonts w:ascii="Times New Roman" w:hAnsi="Times New Roman" w:cs="Times New Roman"/>
          <w:sz w:val="26"/>
          <w:szCs w:val="26"/>
        </w:rPr>
        <w:t>R</w:t>
      </w:r>
      <w:r w:rsidRPr="0072600F" w:rsidR="38845EAD">
        <w:rPr>
          <w:rFonts w:ascii="Times New Roman" w:hAnsi="Times New Roman" w:cs="Times New Roman"/>
          <w:sz w:val="26"/>
          <w:szCs w:val="26"/>
        </w:rPr>
        <w:t>]</w:t>
      </w:r>
      <w:r w:rsidRPr="0072600F" w:rsidR="38845EAD">
        <w:rPr>
          <w:rFonts w:ascii="Times New Roman" w:hAnsi="Times New Roman" w:cs="Times New Roman"/>
          <w:i/>
          <w:iCs/>
          <w:sz w:val="26"/>
          <w:szCs w:val="26"/>
        </w:rPr>
        <w:t>r</w:t>
      </w:r>
      <w:r w:rsidRPr="0072600F">
        <w:rPr>
          <w:rFonts w:ascii="Times New Roman" w:hAnsi="Times New Roman" w:cs="Times New Roman"/>
          <w:sz w:val="26"/>
          <w:szCs w:val="26"/>
        </w:rPr>
        <w:t xml:space="preserve">estudy takes no longer than sixty (60) Calendar Days from the date of notice.  Except as provided in Section 3.7 of this LGIP in the case of withdrawing Interconnection Customers, any cost of </w:t>
      </w:r>
      <w:r w:rsidRPr="0072600F" w:rsidR="6D810A54">
        <w:rPr>
          <w:rFonts w:ascii="Times New Roman" w:hAnsi="Times New Roman" w:cs="Times New Roman"/>
          <w:sz w:val="26"/>
          <w:szCs w:val="26"/>
        </w:rPr>
        <w:t>[</w:t>
      </w:r>
      <w:r w:rsidRPr="0072600F">
        <w:rPr>
          <w:rFonts w:ascii="Times New Roman" w:hAnsi="Times New Roman" w:cs="Times New Roman"/>
          <w:sz w:val="26"/>
          <w:szCs w:val="26"/>
        </w:rPr>
        <w:t>R</w:t>
      </w:r>
      <w:r w:rsidRPr="0072600F" w:rsidR="47ECFF70">
        <w:rPr>
          <w:rFonts w:ascii="Times New Roman" w:hAnsi="Times New Roman" w:cs="Times New Roman"/>
          <w:sz w:val="26"/>
          <w:szCs w:val="26"/>
        </w:rPr>
        <w:t>]</w:t>
      </w:r>
      <w:r w:rsidRPr="0072600F" w:rsidR="47ECFF70">
        <w:rPr>
          <w:rFonts w:ascii="Times New Roman" w:hAnsi="Times New Roman" w:cs="Times New Roman"/>
          <w:i/>
          <w:iCs/>
          <w:sz w:val="26"/>
          <w:szCs w:val="26"/>
        </w:rPr>
        <w:t>r</w:t>
      </w:r>
      <w:r w:rsidRPr="0072600F">
        <w:rPr>
          <w:rFonts w:ascii="Times New Roman" w:hAnsi="Times New Roman" w:cs="Times New Roman"/>
          <w:sz w:val="26"/>
          <w:szCs w:val="26"/>
        </w:rPr>
        <w:t>estudy shall be borne by Interconnection Customer being restudied.</w:t>
      </w:r>
    </w:p>
    <w:p w:rsidR="00911580" w:rsidRPr="0072600F" w14:paraId="1AEF5328" w14:textId="77777777">
      <w:pPr>
        <w:rPr>
          <w:rFonts w:ascii="Times New Roman" w:hAnsi="Times New Roman" w:cs="Times New Roman"/>
          <w:sz w:val="26"/>
          <w:szCs w:val="26"/>
        </w:rPr>
      </w:pPr>
    </w:p>
    <w:p w:rsidR="00911580" w:rsidRPr="0072600F" w:rsidP="00CE5C7C" w14:paraId="6A55F853" w14:textId="77777777">
      <w:pPr>
        <w:pStyle w:val="Heading2"/>
        <w:rPr>
          <w:b/>
          <w:bCs/>
          <w:sz w:val="26"/>
          <w:szCs w:val="26"/>
        </w:rPr>
      </w:pPr>
      <w:bookmarkStart w:id="282" w:name="_Toc149903659"/>
      <w:r w:rsidRPr="0072600F">
        <w:rPr>
          <w:b/>
          <w:bCs/>
          <w:sz w:val="26"/>
          <w:szCs w:val="26"/>
        </w:rPr>
        <w:t>Section 9.</w:t>
      </w:r>
      <w:r w:rsidRPr="0072600F">
        <w:rPr>
          <w:b/>
          <w:bCs/>
          <w:sz w:val="26"/>
          <w:szCs w:val="26"/>
        </w:rPr>
        <w:tab/>
        <w:t>Affected System Study.</w:t>
      </w:r>
      <w:bookmarkEnd w:id="282"/>
    </w:p>
    <w:p w:rsidR="00911580" w:rsidRPr="0072600F" w14:paraId="7F247D56" w14:textId="77777777">
      <w:pPr>
        <w:rPr>
          <w:rFonts w:ascii="Times New Roman" w:hAnsi="Times New Roman" w:cs="Times New Roman"/>
          <w:sz w:val="26"/>
          <w:szCs w:val="26"/>
        </w:rPr>
      </w:pPr>
    </w:p>
    <w:p w:rsidR="00911580" w:rsidRPr="0072600F" w:rsidP="00CE5C7C" w14:paraId="35E94FBE" w14:textId="77777777">
      <w:pPr>
        <w:pStyle w:val="Heading3"/>
        <w:rPr>
          <w:b/>
          <w:sz w:val="26"/>
        </w:rPr>
      </w:pPr>
      <w:bookmarkStart w:id="283" w:name="_Toc149903660"/>
      <w:r w:rsidRPr="0072600F">
        <w:rPr>
          <w:b/>
          <w:sz w:val="26"/>
        </w:rPr>
        <w:t>9.1</w:t>
      </w:r>
      <w:r w:rsidRPr="0072600F">
        <w:rPr>
          <w:b/>
          <w:sz w:val="26"/>
        </w:rPr>
        <w:tab/>
        <w:t>Applicability.</w:t>
      </w:r>
      <w:bookmarkEnd w:id="283"/>
    </w:p>
    <w:p w:rsidR="00911580" w:rsidRPr="0072600F" w14:paraId="52A4FD78" w14:textId="77777777">
      <w:pPr>
        <w:ind w:left="1440"/>
        <w:rPr>
          <w:rFonts w:ascii="Times New Roman" w:hAnsi="Times New Roman" w:cs="Times New Roman"/>
          <w:sz w:val="26"/>
          <w:szCs w:val="26"/>
        </w:rPr>
      </w:pPr>
      <w:r w:rsidRPr="0072600F">
        <w:rPr>
          <w:rFonts w:ascii="Times New Roman" w:hAnsi="Times New Roman" w:cs="Times New Roman"/>
          <w:sz w:val="26"/>
          <w:szCs w:val="26"/>
        </w:rPr>
        <w:t>This Section 9 outlines the duties of Transmission Provider when it receives notification that an Affected System Interconnection Customer’s proposed interconnection to its host transmission provider may impact Transmission Provider’s Transmission System.</w:t>
      </w:r>
    </w:p>
    <w:p w:rsidR="00911580" w:rsidRPr="0072600F" w14:paraId="1E9CCF72" w14:textId="77777777">
      <w:pPr>
        <w:ind w:left="1440"/>
        <w:rPr>
          <w:rFonts w:ascii="Times New Roman" w:hAnsi="Times New Roman" w:cs="Times New Roman"/>
          <w:sz w:val="26"/>
          <w:szCs w:val="26"/>
        </w:rPr>
      </w:pPr>
    </w:p>
    <w:p w:rsidR="00CB4CDE" w:rsidRPr="0072600F" w:rsidP="00CE5C7C" w14:paraId="00CEFCA5" w14:textId="77777777">
      <w:pPr>
        <w:pStyle w:val="Heading3"/>
        <w:rPr>
          <w:i/>
          <w:iCs/>
          <w:sz w:val="26"/>
        </w:rPr>
      </w:pPr>
      <w:bookmarkStart w:id="284" w:name="_Toc149903661"/>
      <w:r w:rsidRPr="0072600F">
        <w:rPr>
          <w:b/>
          <w:sz w:val="26"/>
        </w:rPr>
        <w:t>9.2</w:t>
      </w:r>
      <w:r w:rsidRPr="0072600F">
        <w:rPr>
          <w:sz w:val="26"/>
        </w:rPr>
        <w:t xml:space="preserve"> </w:t>
      </w:r>
      <w:r w:rsidRPr="0072600F">
        <w:rPr>
          <w:sz w:val="26"/>
        </w:rPr>
        <w:tab/>
      </w:r>
      <w:r w:rsidRPr="0072600F">
        <w:rPr>
          <w:b/>
          <w:i/>
          <w:sz w:val="26"/>
        </w:rPr>
        <w:t>Response to Notifications</w:t>
      </w:r>
      <w:r w:rsidRPr="0072600F" w:rsidR="001B7FEE">
        <w:rPr>
          <w:b/>
          <w:i/>
          <w:sz w:val="26"/>
        </w:rPr>
        <w:t>.</w:t>
      </w:r>
    </w:p>
    <w:p w:rsidR="00CB4CDE" w:rsidRPr="0072600F" w:rsidP="00056EC2" w14:paraId="1FBEEA36" w14:textId="77777777">
      <w:pPr>
        <w:pStyle w:val="BodyText"/>
        <w:rPr>
          <w:sz w:val="26"/>
          <w:szCs w:val="26"/>
        </w:rPr>
      </w:pPr>
      <w:r w:rsidRPr="0072600F">
        <w:rPr>
          <w:sz w:val="26"/>
          <w:szCs w:val="26"/>
        </w:rPr>
        <w:tab/>
      </w:r>
    </w:p>
    <w:p w:rsidR="00911580" w:rsidRPr="0072600F" w:rsidP="00CE5C7C" w14:paraId="7A2BC9CB" w14:textId="77777777">
      <w:pPr>
        <w:pStyle w:val="Heading3"/>
        <w:rPr>
          <w:b/>
          <w:sz w:val="26"/>
        </w:rPr>
      </w:pPr>
      <w:r w:rsidRPr="0072600F">
        <w:rPr>
          <w:sz w:val="26"/>
        </w:rPr>
        <w:tab/>
      </w:r>
      <w:r w:rsidRPr="0072600F" w:rsidR="00B638D1">
        <w:rPr>
          <w:b/>
          <w:i/>
          <w:sz w:val="26"/>
        </w:rPr>
        <w:t>9.2.1</w:t>
      </w:r>
      <w:r w:rsidRPr="0072600F" w:rsidR="003A1A65">
        <w:rPr>
          <w:i/>
          <w:iCs/>
          <w:sz w:val="26"/>
        </w:rPr>
        <w:tab/>
      </w:r>
      <w:r w:rsidRPr="0072600F" w:rsidR="00B638D1">
        <w:rPr>
          <w:i/>
          <w:iCs/>
          <w:sz w:val="26"/>
        </w:rPr>
        <w:t xml:space="preserve"> </w:t>
      </w:r>
      <w:r w:rsidRPr="0072600F">
        <w:rPr>
          <w:b/>
          <w:sz w:val="26"/>
        </w:rPr>
        <w:t>Response to Initial Notification</w:t>
      </w:r>
      <w:bookmarkEnd w:id="284"/>
      <w:r w:rsidRPr="0072600F" w:rsidR="001B7FEE">
        <w:rPr>
          <w:b/>
          <w:i/>
          <w:sz w:val="26"/>
        </w:rPr>
        <w:t>.</w:t>
      </w:r>
    </w:p>
    <w:p w:rsidR="00911580" w:rsidRPr="0072600F" w:rsidP="003A1A65" w14:paraId="7CE97494"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When Transmission Provider receives </w:t>
      </w:r>
      <w:r w:rsidRPr="0072600F" w:rsidR="00B638D1">
        <w:rPr>
          <w:rFonts w:ascii="Times New Roman" w:hAnsi="Times New Roman" w:cs="Times New Roman"/>
          <w:i/>
          <w:iCs/>
          <w:sz w:val="26"/>
          <w:szCs w:val="26"/>
        </w:rPr>
        <w:t>i</w:t>
      </w:r>
      <w:r w:rsidRPr="0072600F" w:rsidR="00B638D1">
        <w:rPr>
          <w:rFonts w:ascii="Times New Roman" w:eastAsia="Times New Roman" w:hAnsi="Times New Roman" w:cs="Times New Roman"/>
          <w:i/>
          <w:iCs/>
          <w:sz w:val="26"/>
          <w:szCs w:val="26"/>
        </w:rPr>
        <w:t xml:space="preserve">nitial </w:t>
      </w:r>
      <w:r w:rsidRPr="0072600F">
        <w:rPr>
          <w:rFonts w:ascii="Times New Roman" w:hAnsi="Times New Roman" w:cs="Times New Roman"/>
          <w:sz w:val="26"/>
          <w:szCs w:val="26"/>
        </w:rPr>
        <w:t xml:space="preserve">notification </w:t>
      </w:r>
      <w:r w:rsidRPr="0072600F" w:rsidR="00B638D1">
        <w:rPr>
          <w:rFonts w:ascii="Times New Roman" w:hAnsi="Times New Roman" w:cs="Times New Roman"/>
          <w:i/>
          <w:iCs/>
          <w:sz w:val="26"/>
          <w:szCs w:val="26"/>
        </w:rPr>
        <w:t xml:space="preserve">either following the Cluster Study or a Cluster Restudy </w:t>
      </w:r>
      <w:r w:rsidRPr="0072600F">
        <w:rPr>
          <w:rFonts w:ascii="Times New Roman" w:hAnsi="Times New Roman" w:cs="Times New Roman"/>
          <w:sz w:val="26"/>
          <w:szCs w:val="26"/>
        </w:rPr>
        <w:t xml:space="preserve">that an Affected System Interconnection Customer’s proposed interconnection to its host transmission provider may impact Transmission Provider’s Transmission System, Transmission Provider must respond in writing within twenty (20) Business Days whether it intends to conduct an Affected System Study.  </w:t>
      </w:r>
    </w:p>
    <w:p w:rsidR="00911580" w:rsidRPr="0072600F" w:rsidP="003A1A65" w14:paraId="232A55B7"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By fifteen (15) Business Days after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responds with its affirmative intent to conduct an Affected System Study, Transmission Provider shall share with Affected System Interconnection Customer(s) and the Affected System Interconnection Customer’s host transmission provider a non-binding good faith estimate of the cost and the schedule to complete the Affected System Study.</w:t>
      </w:r>
    </w:p>
    <w:p w:rsidR="00934689" w:rsidRPr="0072600F" w:rsidP="00934689" w14:paraId="2A272260" w14:textId="77777777">
      <w:pPr>
        <w:ind w:left="1440"/>
        <w:rPr>
          <w:rFonts w:ascii="Times New Roman" w:hAnsi="Times New Roman" w:cs="Times New Roman"/>
          <w:b/>
          <w:bCs/>
          <w:i/>
          <w:iCs/>
          <w:sz w:val="26"/>
          <w:szCs w:val="26"/>
        </w:rPr>
      </w:pPr>
      <w:r w:rsidRPr="0072600F">
        <w:rPr>
          <w:rFonts w:ascii="Times New Roman" w:hAnsi="Times New Roman" w:cs="Times New Roman"/>
          <w:b/>
          <w:bCs/>
          <w:i/>
          <w:iCs/>
          <w:sz w:val="26"/>
          <w:szCs w:val="26"/>
        </w:rPr>
        <w:t xml:space="preserve">9.2.2 </w:t>
      </w:r>
      <w:r w:rsidRPr="0072600F" w:rsidR="003A1A65">
        <w:rPr>
          <w:rFonts w:ascii="Times New Roman" w:hAnsi="Times New Roman" w:cs="Times New Roman"/>
          <w:b/>
          <w:bCs/>
          <w:i/>
          <w:iCs/>
          <w:sz w:val="26"/>
          <w:szCs w:val="26"/>
        </w:rPr>
        <w:tab/>
      </w:r>
      <w:r w:rsidRPr="0072600F">
        <w:rPr>
          <w:rFonts w:ascii="Times New Roman" w:hAnsi="Times New Roman" w:cs="Times New Roman"/>
          <w:b/>
          <w:bCs/>
          <w:i/>
          <w:iCs/>
          <w:sz w:val="26"/>
          <w:szCs w:val="26"/>
        </w:rPr>
        <w:t>Response to Notification of Cluster Restudy.</w:t>
      </w:r>
    </w:p>
    <w:p w:rsidR="00934689" w:rsidRPr="0072600F" w:rsidP="003A1A65" w14:paraId="3A5E8EFF" w14:textId="77777777">
      <w:pPr>
        <w:ind w:left="2160"/>
        <w:rPr>
          <w:rFonts w:ascii="Times New Roman" w:hAnsi="Times New Roman" w:cs="Times New Roman"/>
          <w:b/>
          <w:sz w:val="26"/>
          <w:szCs w:val="26"/>
        </w:rPr>
      </w:pPr>
      <w:r w:rsidRPr="0072600F">
        <w:rPr>
          <w:rFonts w:ascii="Times New Roman" w:hAnsi="Times New Roman" w:cs="Times New Roman"/>
          <w:i/>
          <w:iCs/>
          <w:sz w:val="26"/>
          <w:szCs w:val="26"/>
        </w:rPr>
        <w:t>Within five (5) Business Days of receipt of notification of Cluster Restudy, Transmission Provider will send written notification to Affected System Interconnection Customer</w:t>
      </w:r>
      <w:r w:rsidRPr="0072600F" w:rsidR="00975352">
        <w:rPr>
          <w:rFonts w:ascii="Times New Roman" w:hAnsi="Times New Roman" w:cs="Times New Roman"/>
          <w:i/>
          <w:iCs/>
          <w:sz w:val="26"/>
          <w:szCs w:val="26"/>
        </w:rPr>
        <w:t>(</w:t>
      </w:r>
      <w:r w:rsidRPr="0072600F">
        <w:rPr>
          <w:rFonts w:ascii="Times New Roman" w:hAnsi="Times New Roman" w:cs="Times New Roman"/>
          <w:i/>
          <w:iCs/>
          <w:sz w:val="26"/>
          <w:szCs w:val="26"/>
        </w:rPr>
        <w:t>s</w:t>
      </w:r>
      <w:r w:rsidRPr="0072600F" w:rsidR="00975352">
        <w:rPr>
          <w:rFonts w:ascii="Times New Roman" w:hAnsi="Times New Roman" w:cs="Times New Roman"/>
          <w:i/>
          <w:iCs/>
          <w:sz w:val="26"/>
          <w:szCs w:val="26"/>
        </w:rPr>
        <w:t>)</w:t>
      </w:r>
      <w:r w:rsidRPr="0072600F">
        <w:rPr>
          <w:rFonts w:ascii="Times New Roman" w:hAnsi="Times New Roman" w:cs="Times New Roman"/>
          <w:i/>
          <w:iCs/>
          <w:sz w:val="26"/>
          <w:szCs w:val="26"/>
        </w:rPr>
        <w:t xml:space="preserve"> involved in the Cluster Restudy and the host transmission provider that Transmission Provider intends to delay a planned or in-progress Affected System Study until after completion of the Cluster Restudy.  If Transmission Provider decides to delay the Affected System Study, it is not required to meet its obligations under </w:t>
      </w:r>
      <w:r w:rsidRPr="0072600F" w:rsidR="16942C08">
        <w:rPr>
          <w:rFonts w:ascii="Times New Roman" w:hAnsi="Times New Roman" w:cs="Times New Roman"/>
          <w:i/>
          <w:iCs/>
          <w:sz w:val="26"/>
          <w:szCs w:val="26"/>
        </w:rPr>
        <w:t>S</w:t>
      </w:r>
      <w:r w:rsidRPr="0072600F">
        <w:rPr>
          <w:rFonts w:ascii="Times New Roman" w:hAnsi="Times New Roman" w:cs="Times New Roman"/>
          <w:i/>
          <w:iCs/>
          <w:sz w:val="26"/>
          <w:szCs w:val="26"/>
        </w:rPr>
        <w:t>ection 9 of this LGIP until the time that it receives notification from the host transmission provider that the Cluster Restudy is complete.  If Transmission Provider decides to move forward with its Affected System Study despite the Cluster Restudy, then it must meet all requirements under Section 9 of th</w:t>
      </w:r>
      <w:r w:rsidRPr="0072600F" w:rsidR="00A4233B">
        <w:rPr>
          <w:rFonts w:ascii="Times New Roman" w:hAnsi="Times New Roman" w:cs="Times New Roman"/>
          <w:i/>
          <w:iCs/>
          <w:sz w:val="26"/>
          <w:szCs w:val="26"/>
        </w:rPr>
        <w:t>is</w:t>
      </w:r>
      <w:r w:rsidRPr="0072600F">
        <w:rPr>
          <w:rFonts w:ascii="Times New Roman" w:hAnsi="Times New Roman" w:cs="Times New Roman"/>
          <w:i/>
          <w:iCs/>
          <w:sz w:val="26"/>
          <w:szCs w:val="26"/>
        </w:rPr>
        <w:t xml:space="preserve"> LGIP.</w:t>
      </w:r>
    </w:p>
    <w:p w:rsidR="00911580" w:rsidRPr="0072600F" w14:paraId="58A0A979" w14:textId="77777777">
      <w:pPr>
        <w:ind w:left="1440"/>
        <w:rPr>
          <w:rFonts w:ascii="Times New Roman" w:hAnsi="Times New Roman" w:cs="Times New Roman"/>
          <w:sz w:val="26"/>
          <w:szCs w:val="26"/>
        </w:rPr>
      </w:pPr>
    </w:p>
    <w:p w:rsidR="00911580" w:rsidRPr="0072600F" w:rsidP="00CE5C7C" w14:paraId="269262D2" w14:textId="77777777">
      <w:pPr>
        <w:pStyle w:val="Heading3"/>
        <w:rPr>
          <w:b/>
          <w:sz w:val="26"/>
        </w:rPr>
      </w:pPr>
      <w:bookmarkStart w:id="285" w:name="_Toc149903662"/>
      <w:r w:rsidRPr="0072600F">
        <w:rPr>
          <w:b/>
          <w:sz w:val="26"/>
        </w:rPr>
        <w:t xml:space="preserve">9.3 </w:t>
      </w:r>
      <w:r w:rsidRPr="0072600F">
        <w:rPr>
          <w:b/>
          <w:sz w:val="26"/>
        </w:rPr>
        <w:tab/>
        <w:t>Affected System Queue Position.</w:t>
      </w:r>
      <w:bookmarkEnd w:id="285"/>
    </w:p>
    <w:p w:rsidR="00911580" w:rsidRPr="0072600F" w14:paraId="58E5E04A"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must assign an Affected System Queue Position to Affected System Interconnection Customer(s) that require(s) an Affected System Study.  Such Affected System Queue Position shall be assigned based upon the date of execution of the Affected System Study Agreement.  Relative to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Interconnection Customers, this Affected System Queue Position shall be higher-queued than any Cluster that has not yet received its Cluster Study Report and shall be lower-queued than any Cluster that has already received its Cluster Study Report.  Consistent with Section 9.7 of this LGIP, Transmission Provider shall study the Affected System Interconnection Customer(s) via Clustering, and all Affected System Interconnection Customers studied in the same Cluster under Section 9.7 </w:t>
      </w:r>
      <w:r w:rsidRPr="0072600F" w:rsidR="558D08D0">
        <w:rPr>
          <w:rFonts w:ascii="Times New Roman" w:hAnsi="Times New Roman" w:cs="Times New Roman"/>
          <w:i/>
          <w:iCs/>
          <w:sz w:val="26"/>
          <w:szCs w:val="26"/>
        </w:rPr>
        <w:t xml:space="preserve">of this LGIP </w:t>
      </w:r>
      <w:r w:rsidRPr="0072600F">
        <w:rPr>
          <w:rFonts w:ascii="Times New Roman" w:hAnsi="Times New Roman" w:cs="Times New Roman"/>
          <w:sz w:val="26"/>
          <w:szCs w:val="26"/>
        </w:rPr>
        <w:t xml:space="preserve">shall be equally queued.  For Affected System Interconnection Customers that are equally queued, the Affected System Queue Position shall have no bearing on the assignment of Affected System Network Upgrades identified in the applicable Affected System Study.  The costs of the Affected System Network Upgrades shall be allocated among the Affected System Interconnection Customers in accordance with Section 9.9 of this LGIP.  </w:t>
      </w:r>
    </w:p>
    <w:p w:rsidR="00911580" w:rsidRPr="0072600F" w14:paraId="05DA5419" w14:textId="77777777">
      <w:pPr>
        <w:ind w:left="1440"/>
        <w:rPr>
          <w:rFonts w:ascii="Times New Roman" w:hAnsi="Times New Roman" w:cs="Times New Roman"/>
          <w:sz w:val="26"/>
          <w:szCs w:val="26"/>
        </w:rPr>
      </w:pPr>
    </w:p>
    <w:p w:rsidR="00911580" w:rsidRPr="0072600F" w:rsidP="00CE5C7C" w14:paraId="23D8F510" w14:textId="77777777">
      <w:pPr>
        <w:pStyle w:val="Heading3"/>
        <w:rPr>
          <w:b/>
          <w:sz w:val="26"/>
        </w:rPr>
      </w:pPr>
      <w:bookmarkStart w:id="286" w:name="_Toc149903663"/>
      <w:r w:rsidRPr="0072600F">
        <w:rPr>
          <w:b/>
          <w:sz w:val="26"/>
        </w:rPr>
        <w:t xml:space="preserve">9.4 </w:t>
      </w:r>
      <w:r w:rsidRPr="0072600F">
        <w:rPr>
          <w:b/>
          <w:sz w:val="26"/>
        </w:rPr>
        <w:tab/>
        <w:t>Affected System Study Agreement/Multiparty Affected System Study Agreement.</w:t>
      </w:r>
      <w:bookmarkEnd w:id="286"/>
    </w:p>
    <w:p w:rsidR="00911580" w:rsidRPr="0072600F" w14:paraId="553E2035" w14:textId="77777777">
      <w:pPr>
        <w:ind w:left="1440"/>
        <w:rPr>
          <w:rFonts w:ascii="Times New Roman" w:hAnsi="Times New Roman" w:cs="Times New Roman"/>
          <w:sz w:val="26"/>
          <w:szCs w:val="26"/>
        </w:rPr>
      </w:pPr>
      <w:r w:rsidRPr="0072600F">
        <w:rPr>
          <w:rFonts w:ascii="Times New Roman" w:hAnsi="Times New Roman" w:cs="Times New Roman"/>
          <w:sz w:val="26"/>
          <w:szCs w:val="26"/>
        </w:rPr>
        <w:t>Unless otherwise agreed, Transmission Provider shall provide to Affected System Interconnection Customer(s) an Affected System Study Agreement/Multiparty Affected System Study Agreement, in the form of Appendix 9 or Appendix 10 to this LGIP, as applicable, within ten (10) Business Days of Transmission Provider sharing the schedule for the Affected System Study per Section 9.2</w:t>
      </w:r>
      <w:r w:rsidRPr="0072600F" w:rsidR="00621EC2">
        <w:rPr>
          <w:rFonts w:ascii="Times New Roman" w:hAnsi="Times New Roman" w:cs="Times New Roman"/>
          <w:i/>
          <w:iCs/>
          <w:sz w:val="26"/>
          <w:szCs w:val="26"/>
        </w:rPr>
        <w:t>.1</w:t>
      </w:r>
      <w:r w:rsidRPr="0072600F">
        <w:rPr>
          <w:rFonts w:ascii="Times New Roman" w:hAnsi="Times New Roman" w:cs="Times New Roman"/>
          <w:sz w:val="26"/>
          <w:szCs w:val="26"/>
        </w:rPr>
        <w:t xml:space="preserve"> of this LGIP.  </w:t>
      </w:r>
    </w:p>
    <w:p w:rsidR="00911580" w:rsidRPr="0072600F" w14:paraId="4B667056" w14:textId="77777777">
      <w:pPr>
        <w:ind w:left="1440"/>
        <w:rPr>
          <w:rFonts w:ascii="Times New Roman" w:hAnsi="Times New Roman" w:cs="Times New Roman"/>
          <w:sz w:val="26"/>
          <w:szCs w:val="26"/>
        </w:rPr>
      </w:pPr>
    </w:p>
    <w:p w:rsidR="00911580" w:rsidRPr="0072600F" w14:paraId="33F08057" w14:textId="77777777">
      <w:pPr>
        <w:ind w:left="1440"/>
        <w:rPr>
          <w:rFonts w:ascii="Times New Roman" w:hAnsi="Times New Roman" w:cs="Times New Roman"/>
          <w:sz w:val="26"/>
          <w:szCs w:val="26"/>
        </w:rPr>
      </w:pPr>
      <w:r w:rsidRPr="0072600F">
        <w:rPr>
          <w:rFonts w:ascii="Times New Roman" w:hAnsi="Times New Roman" w:cs="Times New Roman"/>
          <w:sz w:val="26"/>
          <w:szCs w:val="26"/>
        </w:rPr>
        <w:t>Upon Affected System Interconnection Customer(s)’ receipt of the Affected System Study Report, Affected System Interconnection Customer(s) shall compensate Transmission Provider for the actual cost of the Affected System Study.  Any difference between the study deposit and the actual cost of the Affected System Study shall be paid by or refunded to the Affected System Interconnection Customer(s).  Any invoices for the Affected System Study shall include a detailed and itemized accounting of the cost of the study.  Affected System Interconnection Customer(s) shall pay any excess costs beyond the already-paid Affected System Study deposit or be reimbursed for any costs collected over the actual cost of the Affected System Study within thirty (30) Calendar Days of receipt of an invoice thereof.  If Affected System Interconnection Customer(s) fail to pay such undisputed costs within the time allotted, it shall lose its Affected System Queue Position.  Transmission Provider shall notify Affected System Interconnection Customer’s host transmission provider of such failure to pay.</w:t>
      </w:r>
    </w:p>
    <w:p w:rsidR="00911580" w:rsidRPr="0072600F" w14:paraId="2C784F11" w14:textId="77777777">
      <w:pPr>
        <w:ind w:left="1440"/>
        <w:rPr>
          <w:rFonts w:ascii="Times New Roman" w:hAnsi="Times New Roman" w:cs="Times New Roman"/>
          <w:sz w:val="26"/>
          <w:szCs w:val="26"/>
        </w:rPr>
      </w:pPr>
    </w:p>
    <w:p w:rsidR="00911580" w:rsidRPr="0072600F" w14:paraId="1E7E0144" w14:textId="77777777">
      <w:pPr>
        <w:ind w:left="1440"/>
        <w:rPr>
          <w:rFonts w:ascii="Times New Roman" w:hAnsi="Times New Roman" w:cs="Times New Roman"/>
          <w:sz w:val="26"/>
          <w:szCs w:val="26"/>
        </w:rPr>
      </w:pPr>
    </w:p>
    <w:p w:rsidR="00911580" w:rsidRPr="0072600F" w:rsidP="00CE5C7C" w14:paraId="6303491F" w14:textId="77777777">
      <w:pPr>
        <w:pStyle w:val="Heading3"/>
        <w:rPr>
          <w:b/>
          <w:sz w:val="26"/>
        </w:rPr>
      </w:pPr>
      <w:bookmarkStart w:id="287" w:name="_Toc149903664"/>
      <w:r w:rsidRPr="0072600F">
        <w:rPr>
          <w:b/>
          <w:sz w:val="26"/>
        </w:rPr>
        <w:t xml:space="preserve">9.5 </w:t>
      </w:r>
      <w:r w:rsidRPr="0072600F">
        <w:rPr>
          <w:b/>
          <w:sz w:val="26"/>
        </w:rPr>
        <w:tab/>
        <w:t>Execution of Affected System Study Agreement/Multiparty Affected System Study Agreement.</w:t>
      </w:r>
      <w:bookmarkEnd w:id="287"/>
    </w:p>
    <w:p w:rsidR="00911580" w:rsidRPr="0072600F" w14:paraId="101905AD"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Affected System Interconnection Customer(s) shall execute the Affected System Study Agreement/Multiparty Affected System Study Agreement, deliver the executed Affected System Study Agreement/Multiparty Affected System Study Agreement to Transmission Provider, and provide the Affected System Study deposit within ten (10) Business Days of receipt. </w:t>
      </w:r>
      <w:r w:rsidRPr="0072600F" w:rsidR="00C93CA6">
        <w:rPr>
          <w:rFonts w:ascii="Times New Roman" w:hAnsi="Times New Roman" w:cs="Times New Roman"/>
          <w:sz w:val="26"/>
          <w:szCs w:val="26"/>
        </w:rPr>
        <w:t xml:space="preserve"> </w:t>
      </w:r>
      <w:r w:rsidRPr="0072600F" w:rsidR="00C93CA6">
        <w:rPr>
          <w:rFonts w:ascii="Times New Roman" w:hAnsi="Times New Roman" w:cs="Times New Roman"/>
          <w:i/>
          <w:iCs/>
          <w:sz w:val="26"/>
          <w:szCs w:val="26"/>
        </w:rPr>
        <w:t xml:space="preserve">If Transmission Provider notifies Affected System Interconnection Customer(s) that it will delay the Affected System Study pursuant to Section 9.2.2 of this LGIP, Affected System Interconnection Customer(s) are </w:t>
      </w:r>
      <w:r w:rsidRPr="0072600F" w:rsidR="00AA1D30">
        <w:rPr>
          <w:rFonts w:ascii="Times New Roman" w:hAnsi="Times New Roman" w:cs="Times New Roman"/>
          <w:i/>
          <w:iCs/>
          <w:sz w:val="26"/>
          <w:szCs w:val="26"/>
        </w:rPr>
        <w:t>neither</w:t>
      </w:r>
      <w:r w:rsidRPr="0072600F" w:rsidR="00C93CA6">
        <w:rPr>
          <w:rFonts w:ascii="Times New Roman" w:hAnsi="Times New Roman" w:cs="Times New Roman"/>
          <w:i/>
          <w:iCs/>
          <w:sz w:val="26"/>
          <w:szCs w:val="26"/>
        </w:rPr>
        <w:t xml:space="preserve"> required to execute and return the previously tendered Affected System Study/Multiparty Affected System Study Agreement nor provide the Affected System Study deposit for the previously tendered Affected System Study/Multiparty Affected System Study Agreement</w:t>
      </w:r>
      <w:r w:rsidRPr="0072600F" w:rsidR="00C93CA6">
        <w:rPr>
          <w:rFonts w:ascii="Times New Roman" w:hAnsi="Times New Roman" w:cs="Times New Roman"/>
          <w:sz w:val="26"/>
          <w:szCs w:val="26"/>
        </w:rPr>
        <w:t>.</w:t>
      </w:r>
    </w:p>
    <w:p w:rsidR="00911580" w:rsidRPr="0072600F" w14:paraId="2AFB8867" w14:textId="77777777">
      <w:pPr>
        <w:ind w:left="1440"/>
        <w:rPr>
          <w:rFonts w:ascii="Times New Roman" w:hAnsi="Times New Roman" w:cs="Times New Roman"/>
          <w:sz w:val="26"/>
          <w:szCs w:val="26"/>
        </w:rPr>
      </w:pPr>
    </w:p>
    <w:p w:rsidR="00911580" w:rsidRPr="0072600F" w14:paraId="0EACA6FF"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If Affected System Interconnection Customer does not provide all required technical data when it delivers the Affected System Study Agreement/Multiparty Affected System Study Agreement, Transmission Provider shall notify the deficient Affected System Interconnection Customer, as well as the host transmission provider with which Affected System Interconnection Customer seeks to interconnect, of the </w:t>
      </w:r>
      <w:r w:rsidRPr="0072600F" w:rsidR="006E36D2">
        <w:rPr>
          <w:rFonts w:ascii="Times New Roman" w:hAnsi="Times New Roman" w:cs="Times New Roman"/>
          <w:i/>
          <w:iCs/>
          <w:sz w:val="26"/>
          <w:szCs w:val="26"/>
        </w:rPr>
        <w:t xml:space="preserve">technical data </w:t>
      </w:r>
      <w:r w:rsidRPr="0072600F">
        <w:rPr>
          <w:rFonts w:ascii="Times New Roman" w:hAnsi="Times New Roman" w:cs="Times New Roman"/>
          <w:sz w:val="26"/>
          <w:szCs w:val="26"/>
        </w:rPr>
        <w:t>deficiency within five (5) Business Days of the receipt of the executed Affected System Study Agreement/Multiparty Affected System Study Agreement and the deficient Affected System Interconnection Customer shall cure the</w:t>
      </w:r>
      <w:r w:rsidRPr="0072600F" w:rsidR="006E36D2">
        <w:rPr>
          <w:rFonts w:ascii="Times New Roman" w:hAnsi="Times New Roman" w:cs="Times New Roman"/>
          <w:sz w:val="26"/>
          <w:szCs w:val="26"/>
        </w:rPr>
        <w:t xml:space="preserve"> </w:t>
      </w:r>
      <w:r w:rsidRPr="0072600F" w:rsidR="006E36D2">
        <w:rPr>
          <w:rFonts w:ascii="Times New Roman" w:hAnsi="Times New Roman" w:cs="Times New Roman"/>
          <w:i/>
          <w:iCs/>
          <w:sz w:val="26"/>
          <w:szCs w:val="26"/>
        </w:rPr>
        <w:t>technical</w:t>
      </w:r>
      <w:r w:rsidRPr="0072600F">
        <w:rPr>
          <w:rFonts w:ascii="Times New Roman" w:hAnsi="Times New Roman" w:cs="Times New Roman"/>
          <w:sz w:val="26"/>
          <w:szCs w:val="26"/>
        </w:rPr>
        <w:t xml:space="preserve"> deficiency within ten (10) Business Days of receipt of the notice: </w:t>
      </w:r>
      <w:r w:rsidRPr="0072600F" w:rsidR="00253EE6">
        <w:rPr>
          <w:rFonts w:ascii="Times New Roman" w:hAnsi="Times New Roman" w:cs="Times New Roman"/>
          <w:sz w:val="26"/>
          <w:szCs w:val="26"/>
        </w:rPr>
        <w:t xml:space="preserve"> </w:t>
      </w:r>
      <w:r w:rsidRPr="0072600F">
        <w:rPr>
          <w:rFonts w:ascii="Times New Roman" w:hAnsi="Times New Roman" w:cs="Times New Roman"/>
          <w:sz w:val="26"/>
          <w:szCs w:val="26"/>
        </w:rPr>
        <w:t>provided, however, that such deficiency does not include failure to deliver the executed Affected System Study Agreement/Multiparty Affected System Study Agreement or deposit for the Affected System Study Agreement/Multiparty Affected System Study Agreement.  If Affected System Interconnection Customer does not cure the</w:t>
      </w:r>
      <w:r w:rsidRPr="0072600F" w:rsidR="006E36D2">
        <w:rPr>
          <w:rFonts w:ascii="Times New Roman" w:hAnsi="Times New Roman" w:cs="Times New Roman"/>
          <w:sz w:val="26"/>
          <w:szCs w:val="26"/>
        </w:rPr>
        <w:t xml:space="preserve"> </w:t>
      </w:r>
      <w:r w:rsidRPr="0072600F" w:rsidR="006E36D2">
        <w:rPr>
          <w:rFonts w:ascii="Times New Roman" w:hAnsi="Times New Roman" w:cs="Times New Roman"/>
          <w:i/>
          <w:iCs/>
          <w:sz w:val="26"/>
          <w:szCs w:val="26"/>
        </w:rPr>
        <w:t>technical data</w:t>
      </w:r>
      <w:r w:rsidRPr="0072600F">
        <w:rPr>
          <w:rFonts w:ascii="Times New Roman" w:hAnsi="Times New Roman" w:cs="Times New Roman"/>
          <w:sz w:val="26"/>
          <w:szCs w:val="26"/>
        </w:rPr>
        <w:t xml:space="preserve"> deficiency</w:t>
      </w:r>
      <w:r w:rsidRPr="0072600F" w:rsidR="006E36D2">
        <w:rPr>
          <w:rFonts w:ascii="Times New Roman" w:hAnsi="Times New Roman" w:cs="Times New Roman"/>
          <w:sz w:val="26"/>
          <w:szCs w:val="26"/>
        </w:rPr>
        <w:t xml:space="preserve"> </w:t>
      </w:r>
      <w:r w:rsidRPr="0072600F" w:rsidR="006E36D2">
        <w:rPr>
          <w:rFonts w:ascii="Times New Roman" w:hAnsi="Times New Roman" w:cs="Times New Roman"/>
          <w:i/>
          <w:iCs/>
          <w:sz w:val="26"/>
          <w:szCs w:val="26"/>
        </w:rPr>
        <w:t>within the cure period</w:t>
      </w:r>
      <w:r w:rsidRPr="0072600F">
        <w:rPr>
          <w:rFonts w:ascii="Times New Roman" w:hAnsi="Times New Roman" w:cs="Times New Roman"/>
          <w:sz w:val="26"/>
          <w:szCs w:val="26"/>
        </w:rPr>
        <w:t xml:space="preserve"> or fails to execute the Affected System Study Agreement/Multiparty Affected System Study Agreement or provide the deposit, the Affected System Interconnection Customer shall lose its Affected System Queue Position.</w:t>
      </w:r>
    </w:p>
    <w:p w:rsidR="00911580" w:rsidRPr="0072600F" w14:paraId="108F345F" w14:textId="77777777">
      <w:pPr>
        <w:ind w:left="1440"/>
        <w:rPr>
          <w:rFonts w:ascii="Times New Roman" w:hAnsi="Times New Roman" w:cs="Times New Roman"/>
          <w:sz w:val="26"/>
          <w:szCs w:val="26"/>
        </w:rPr>
      </w:pPr>
    </w:p>
    <w:p w:rsidR="00911580" w:rsidRPr="0072600F" w:rsidP="00803995" w14:paraId="60D8C8AC" w14:textId="77777777">
      <w:pPr>
        <w:pStyle w:val="Heading3"/>
        <w:rPr>
          <w:b/>
          <w:sz w:val="26"/>
        </w:rPr>
      </w:pPr>
      <w:bookmarkStart w:id="288" w:name="_Toc149903665"/>
      <w:r w:rsidRPr="0072600F">
        <w:rPr>
          <w:b/>
          <w:sz w:val="26"/>
        </w:rPr>
        <w:t xml:space="preserve">9.6 </w:t>
      </w:r>
      <w:r w:rsidRPr="0072600F">
        <w:rPr>
          <w:b/>
          <w:sz w:val="26"/>
        </w:rPr>
        <w:tab/>
        <w:t>Scope of Affected System Study.</w:t>
      </w:r>
      <w:bookmarkEnd w:id="288"/>
    </w:p>
    <w:p w:rsidR="00911580" w:rsidRPr="0072600F" w14:paraId="7797561B" w14:textId="77777777">
      <w:pPr>
        <w:ind w:left="1440"/>
        <w:rPr>
          <w:rFonts w:ascii="Times New Roman" w:hAnsi="Times New Roman" w:cs="Times New Roman"/>
          <w:sz w:val="26"/>
          <w:szCs w:val="26"/>
        </w:rPr>
      </w:pPr>
      <w:r w:rsidRPr="0072600F">
        <w:rPr>
          <w:rFonts w:ascii="Times New Roman" w:hAnsi="Times New Roman" w:cs="Times New Roman"/>
          <w:sz w:val="26"/>
          <w:szCs w:val="26"/>
        </w:rPr>
        <w:t>The Affected System Study shall evaluate the impact that any Affected System Interconnection Customer’s proposed interconnection to another transmission provider’s transmission system will have on the reliability of Transmission Provider’s Transmission System.  The Affected System Study shall consider the Base Case as well as all Generating Facilities (and with respect to (iii) below, any identified Affected System Network Upgrades associated with such higher-queued Interconnection Request) that, on the date the Affected System Study is commenced: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are directly interconnected to Transmission Provider’s Transmission System; (ii) are directly interconnected to another transmission provider’s transmission system and may have an impact on Affected System Interconnection Customer’s interconnection request; (iii) have a pending higher-queued Interconnection Request to interconnect to Transmission Provider’s Transmission System; and (iv) have no queue position but have executed an LGIA or requested that an unexecuted LGIA be filed with FERC.  Transmission Provider has no obligation to study impacts of Affected System Interconnection Customers of which it is not notified.  </w:t>
      </w:r>
    </w:p>
    <w:p w:rsidR="00911580" w:rsidRPr="0072600F" w14:paraId="03CF5208" w14:textId="77777777">
      <w:pPr>
        <w:ind w:left="1440"/>
        <w:rPr>
          <w:rFonts w:ascii="Times New Roman" w:hAnsi="Times New Roman" w:cs="Times New Roman"/>
          <w:sz w:val="26"/>
          <w:szCs w:val="26"/>
        </w:rPr>
      </w:pPr>
    </w:p>
    <w:p w:rsidR="00911580" w:rsidRPr="0072600F" w14:paraId="438AB913" w14:textId="77777777">
      <w:pPr>
        <w:ind w:left="1440"/>
        <w:rPr>
          <w:rFonts w:ascii="Times New Roman" w:hAnsi="Times New Roman" w:cs="Times New Roman"/>
          <w:sz w:val="26"/>
          <w:szCs w:val="26"/>
        </w:rPr>
      </w:pPr>
      <w:r w:rsidRPr="0072600F">
        <w:rPr>
          <w:rFonts w:ascii="Times New Roman" w:hAnsi="Times New Roman" w:cs="Times New Roman"/>
          <w:sz w:val="26"/>
          <w:szCs w:val="26"/>
        </w:rPr>
        <w:t>The Affected System Study shall consist of a power flow, stability, and short circuit analysis.  The Affected System Study</w:t>
      </w:r>
      <w:r w:rsidRPr="0072600F" w:rsidR="006E36D2">
        <w:rPr>
          <w:rFonts w:ascii="Times New Roman" w:hAnsi="Times New Roman" w:cs="Times New Roman"/>
          <w:sz w:val="26"/>
          <w:szCs w:val="26"/>
        </w:rPr>
        <w:t xml:space="preserve"> </w:t>
      </w:r>
      <w:r w:rsidRPr="0072600F" w:rsidR="006E36D2">
        <w:rPr>
          <w:rFonts w:ascii="Times New Roman" w:hAnsi="Times New Roman" w:cs="Times New Roman"/>
          <w:i/>
          <w:iCs/>
          <w:sz w:val="26"/>
          <w:szCs w:val="26"/>
        </w:rPr>
        <w:t>Report</w:t>
      </w:r>
      <w:r w:rsidRPr="0072600F">
        <w:rPr>
          <w:rFonts w:ascii="Times New Roman" w:hAnsi="Times New Roman" w:cs="Times New Roman"/>
          <w:sz w:val="26"/>
          <w:szCs w:val="26"/>
        </w:rPr>
        <w:t xml:space="preserve"> will:  state the assumptions upon which it is based; state the results of the analyses; and provide the potential impediments to Affected System Interconnection Customer’s receipt if interconnection service on its host transmission provider’s transmission system, including a preliminary indication of the cost and length of time that would be necessary to correct any problems identified in those analyses and implement the interconnection.  For purposes of determining necessary Affected System Network Upgrades, the Affected System Study shall consider the level of interconnection service requested in megawatts by Affected System Interconnection Customer, unless otherwise required to study the full generating facility capacity due to safety or reliability concerns.  The Affected System Study </w:t>
      </w:r>
      <w:r w:rsidRPr="0072600F" w:rsidR="006E36D2">
        <w:rPr>
          <w:rFonts w:ascii="Times New Roman" w:hAnsi="Times New Roman" w:cs="Times New Roman"/>
          <w:i/>
          <w:iCs/>
          <w:sz w:val="26"/>
          <w:szCs w:val="26"/>
        </w:rPr>
        <w:t xml:space="preserve">Report </w:t>
      </w:r>
      <w:r w:rsidRPr="0072600F">
        <w:rPr>
          <w:rFonts w:ascii="Times New Roman" w:hAnsi="Times New Roman" w:cs="Times New Roman"/>
          <w:sz w:val="26"/>
          <w:szCs w:val="26"/>
        </w:rPr>
        <w:t>shall provide a list of facilities that are required as a result of Affected System Interconnection Customer’s proposed interconnection to another transmission provider’s system, a non-binding good faith estimate of cost responsibility, and a non-binding good faith estimated time to construct.  The Affected System Study may consist of a system impact study, a facilities study, or some combination thereof.</w:t>
      </w:r>
    </w:p>
    <w:p w:rsidR="00911580" w:rsidRPr="0072600F" w14:paraId="3BEAE246" w14:textId="77777777">
      <w:pPr>
        <w:ind w:left="1440"/>
        <w:rPr>
          <w:rFonts w:ascii="Times New Roman" w:hAnsi="Times New Roman" w:cs="Times New Roman"/>
          <w:sz w:val="26"/>
          <w:szCs w:val="26"/>
        </w:rPr>
      </w:pPr>
    </w:p>
    <w:p w:rsidR="00911580" w:rsidRPr="0072600F" w:rsidP="00803995" w14:paraId="3CF75F23" w14:textId="77777777">
      <w:pPr>
        <w:pStyle w:val="Heading3"/>
        <w:ind w:left="0" w:firstLine="0"/>
        <w:rPr>
          <w:b/>
          <w:sz w:val="26"/>
        </w:rPr>
      </w:pPr>
      <w:r w:rsidRPr="0072600F">
        <w:rPr>
          <w:sz w:val="26"/>
        </w:rPr>
        <w:tab/>
      </w:r>
      <w:bookmarkStart w:id="289" w:name="_Toc149903666"/>
      <w:r w:rsidRPr="0072600F">
        <w:rPr>
          <w:b/>
          <w:sz w:val="26"/>
        </w:rPr>
        <w:t>9.7</w:t>
      </w:r>
      <w:r w:rsidRPr="0072600F">
        <w:rPr>
          <w:b/>
          <w:sz w:val="26"/>
        </w:rPr>
        <w:tab/>
        <w:t>Affected System Study Procedures.</w:t>
      </w:r>
      <w:bookmarkEnd w:id="289"/>
      <w:r w:rsidRPr="0072600F">
        <w:rPr>
          <w:b/>
          <w:sz w:val="26"/>
        </w:rPr>
        <w:t xml:space="preserve"> </w:t>
      </w:r>
    </w:p>
    <w:p w:rsidR="00911580" w:rsidRPr="0072600F" w14:paraId="79099508"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use Clustering in conducting the Affected System Study and shall use existing studies to the extent practicable, when multiple Affected System Interconnection Customers that are part of a single Cluster may cause the need for Affected System Network Upgrades.  Transmission Provider shall complete the Affected System Study and provide the Affected System Study Report to Affected System Interconnection Customer(s) and the host transmission provider with whom interconnection has been requested within one hundred fifty (150) Calendar Days after the receipt of the Affected System Study Agreement and deposit.  </w:t>
      </w:r>
    </w:p>
    <w:p w:rsidR="00911580" w:rsidRPr="0072600F" w14:paraId="7FA75381" w14:textId="77777777">
      <w:pPr>
        <w:ind w:left="1440"/>
        <w:rPr>
          <w:rFonts w:ascii="Times New Roman" w:hAnsi="Times New Roman" w:cs="Times New Roman"/>
          <w:sz w:val="26"/>
          <w:szCs w:val="26"/>
        </w:rPr>
      </w:pPr>
    </w:p>
    <w:p w:rsidR="00911580" w:rsidRPr="0072600F" w14:paraId="513B88F4"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At the request of Affected System Interconnection Customer, Transmission Provider shall notify Affected System Interconnection Customer as to the status of the Affected System Study.  If Transmission Provider is unable to complete the Affected System Study within the requisite time period, it shall notify Affected System Interconnection Customer(s), as well as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with which Affected System Interconnection Customer seeks to interconnect, and shall provide an estimated completion date with an explanation of the reasons why additional time is required.  If Transmission Provider does not meet the deadlines in this </w:t>
      </w:r>
      <w:r w:rsidRPr="0072600F" w:rsidR="69B92E63">
        <w:rPr>
          <w:rFonts w:ascii="Times New Roman" w:hAnsi="Times New Roman" w:cs="Times New Roman"/>
          <w:sz w:val="26"/>
          <w:szCs w:val="26"/>
        </w:rPr>
        <w:t>[</w:t>
      </w:r>
      <w:r w:rsidRPr="0072600F">
        <w:rPr>
          <w:rFonts w:ascii="Times New Roman" w:hAnsi="Times New Roman" w:cs="Times New Roman"/>
          <w:sz w:val="26"/>
          <w:szCs w:val="26"/>
        </w:rPr>
        <w:t>s</w:t>
      </w:r>
      <w:r w:rsidRPr="0072600F" w:rsidR="718A7436">
        <w:rPr>
          <w:rFonts w:ascii="Times New Roman" w:hAnsi="Times New Roman" w:cs="Times New Roman"/>
          <w:sz w:val="26"/>
          <w:szCs w:val="26"/>
        </w:rPr>
        <w:t>]</w:t>
      </w:r>
      <w:r w:rsidRPr="0072600F" w:rsidR="718A7436">
        <w:rPr>
          <w:rFonts w:ascii="Times New Roman" w:hAnsi="Times New Roman" w:cs="Times New Roman"/>
          <w:i/>
          <w:iCs/>
          <w:sz w:val="26"/>
          <w:szCs w:val="26"/>
        </w:rPr>
        <w:t>S</w:t>
      </w:r>
      <w:r w:rsidRPr="0072600F">
        <w:rPr>
          <w:rFonts w:ascii="Times New Roman" w:hAnsi="Times New Roman" w:cs="Times New Roman"/>
          <w:sz w:val="26"/>
          <w:szCs w:val="26"/>
        </w:rPr>
        <w:t>ection, Transmission Provider shall be subject to the financial penalties as described in Section 3.9 of this LGIP.  Upon request, Transmission Provider shall provide Affected System Interconnection Customer(s) with all supporting documentation, workpapers and relevant power flow, short circuit and stability databases for the Affected System Study, subject to confidentiality arrangements consistent with Section 13.1 of this LGIP.</w:t>
      </w:r>
    </w:p>
    <w:p w:rsidR="00911580" w:rsidRPr="0072600F" w14:paraId="7401D3AD" w14:textId="77777777">
      <w:pPr>
        <w:ind w:left="1440"/>
        <w:rPr>
          <w:rFonts w:ascii="Times New Roman" w:hAnsi="Times New Roman" w:cs="Times New Roman"/>
          <w:sz w:val="26"/>
          <w:szCs w:val="26"/>
        </w:rPr>
      </w:pPr>
    </w:p>
    <w:p w:rsidR="00911580" w:rsidRPr="0072600F" w14:paraId="0522884A"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must study an Affected System Interconnection Customer using the Energy Resource Interconnection Service modeling standard used for Interconnection Requests on its own Transmission System, regardless of the level of interconnection service that Affected System Interconnection Customer is seeking from the host transmission provider with whom it seeks to interconnect.  </w:t>
      </w:r>
    </w:p>
    <w:p w:rsidR="00911580" w:rsidRPr="0072600F" w14:paraId="18D33CDA" w14:textId="77777777">
      <w:pPr>
        <w:ind w:left="1440"/>
        <w:rPr>
          <w:rFonts w:ascii="Times New Roman" w:hAnsi="Times New Roman" w:cs="Times New Roman"/>
          <w:sz w:val="26"/>
          <w:szCs w:val="26"/>
        </w:rPr>
      </w:pPr>
    </w:p>
    <w:p w:rsidR="00911580" w:rsidRPr="0072600F" w:rsidP="00803995" w14:paraId="7AD232FC" w14:textId="77777777">
      <w:pPr>
        <w:pStyle w:val="Heading3"/>
        <w:ind w:left="0" w:firstLine="0"/>
        <w:rPr>
          <w:b/>
          <w:sz w:val="26"/>
        </w:rPr>
      </w:pPr>
      <w:r w:rsidRPr="0072600F">
        <w:rPr>
          <w:sz w:val="26"/>
        </w:rPr>
        <w:tab/>
      </w:r>
      <w:bookmarkStart w:id="290" w:name="_Toc149903667"/>
      <w:r w:rsidRPr="0072600F">
        <w:rPr>
          <w:b/>
          <w:sz w:val="26"/>
        </w:rPr>
        <w:t xml:space="preserve">9.8 </w:t>
      </w:r>
      <w:r w:rsidRPr="0072600F">
        <w:rPr>
          <w:b/>
          <w:sz w:val="26"/>
        </w:rPr>
        <w:tab/>
        <w:t>Meeting with Transmission Provider.</w:t>
      </w:r>
      <w:bookmarkEnd w:id="290"/>
      <w:r w:rsidRPr="0072600F">
        <w:rPr>
          <w:b/>
          <w:sz w:val="26"/>
        </w:rPr>
        <w:t xml:space="preserve"> </w:t>
      </w:r>
    </w:p>
    <w:p w:rsidR="00911580" w:rsidRPr="0072600F" w14:paraId="6CFAEBCC" w14:textId="77777777">
      <w:pPr>
        <w:ind w:left="1440"/>
        <w:rPr>
          <w:rFonts w:ascii="Times New Roman" w:hAnsi="Times New Roman" w:cs="Times New Roman"/>
          <w:sz w:val="26"/>
          <w:szCs w:val="26"/>
        </w:rPr>
      </w:pPr>
      <w:r w:rsidRPr="0072600F">
        <w:rPr>
          <w:rFonts w:ascii="Times New Roman" w:hAnsi="Times New Roman" w:cs="Times New Roman"/>
          <w:sz w:val="26"/>
          <w:szCs w:val="26"/>
        </w:rPr>
        <w:t>Within ten (10) Business Days of providing the Affected System Study Report to Affected System Interconnection Customer(s), Transmission Provider and Affected System Interconnection Customer(s) shall meet to discuss the results of the Affected System Study.</w:t>
      </w:r>
    </w:p>
    <w:p w:rsidR="00911580" w:rsidRPr="0072600F" w14:paraId="7134F3DB" w14:textId="77777777">
      <w:pPr>
        <w:ind w:left="1440"/>
        <w:rPr>
          <w:rFonts w:ascii="Times New Roman" w:hAnsi="Times New Roman" w:cs="Times New Roman"/>
          <w:sz w:val="26"/>
          <w:szCs w:val="26"/>
        </w:rPr>
      </w:pPr>
    </w:p>
    <w:p w:rsidR="00911580" w:rsidRPr="0072600F" w:rsidP="00803995" w14:paraId="177C176A" w14:textId="77777777">
      <w:pPr>
        <w:pStyle w:val="Heading3"/>
        <w:rPr>
          <w:b/>
          <w:sz w:val="26"/>
        </w:rPr>
      </w:pPr>
      <w:bookmarkStart w:id="291" w:name="_Toc149903668"/>
      <w:r w:rsidRPr="0072600F">
        <w:rPr>
          <w:b/>
          <w:sz w:val="26"/>
        </w:rPr>
        <w:t xml:space="preserve">9.9 </w:t>
      </w:r>
      <w:r w:rsidRPr="0072600F">
        <w:rPr>
          <w:b/>
          <w:sz w:val="26"/>
        </w:rPr>
        <w:tab/>
        <w:t>Affected System Cost Allocation.</w:t>
      </w:r>
      <w:bookmarkEnd w:id="291"/>
    </w:p>
    <w:p w:rsidR="00911580" w:rsidRPr="0072600F" w14:paraId="0E9B04EB"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shall allocate Affected System Network Upgrade costs identified during the Affected System Study to Affected System Interconnection Customer(s) using a proportional impact method, consistent with Section 4.2.1(1)(b) of this LGIP.  </w:t>
      </w:r>
    </w:p>
    <w:p w:rsidR="00911580" w:rsidRPr="0072600F" w14:paraId="6C1862D1" w14:textId="77777777">
      <w:pPr>
        <w:ind w:left="1440"/>
        <w:rPr>
          <w:rFonts w:ascii="Times New Roman" w:hAnsi="Times New Roman" w:cs="Times New Roman"/>
          <w:sz w:val="26"/>
          <w:szCs w:val="26"/>
        </w:rPr>
      </w:pPr>
    </w:p>
    <w:p w:rsidR="00911580" w:rsidRPr="0072600F" w:rsidP="00803995" w14:paraId="7E93D5A5" w14:textId="77777777">
      <w:pPr>
        <w:pStyle w:val="Heading3"/>
        <w:rPr>
          <w:sz w:val="26"/>
        </w:rPr>
      </w:pPr>
      <w:bookmarkStart w:id="292" w:name="_Toc149903669"/>
      <w:r w:rsidRPr="0072600F">
        <w:rPr>
          <w:b/>
          <w:sz w:val="26"/>
        </w:rPr>
        <w:t>9.10</w:t>
      </w:r>
      <w:r w:rsidRPr="0072600F">
        <w:rPr>
          <w:b/>
          <w:sz w:val="26"/>
        </w:rPr>
        <w:tab/>
        <w:t>Tender of Affected Systems Facilities Construction Agreement/Multiparty Affected System Facilities Construction Agreement</w:t>
      </w:r>
      <w:r w:rsidRPr="0072600F">
        <w:rPr>
          <w:sz w:val="26"/>
        </w:rPr>
        <w:t>.</w:t>
      </w:r>
      <w:bookmarkEnd w:id="292"/>
    </w:p>
    <w:p w:rsidR="00911580" w:rsidRPr="0072600F" w14:paraId="08782689" w14:textId="77777777">
      <w:pPr>
        <w:ind w:left="1440"/>
        <w:rPr>
          <w:rFonts w:ascii="Times New Roman" w:hAnsi="Times New Roman" w:cs="Times New Roman"/>
          <w:sz w:val="26"/>
          <w:szCs w:val="26"/>
        </w:rPr>
      </w:pPr>
      <w:r w:rsidRPr="0072600F">
        <w:rPr>
          <w:rFonts w:ascii="Times New Roman" w:hAnsi="Times New Roman" w:cs="Times New Roman"/>
          <w:sz w:val="26"/>
          <w:szCs w:val="26"/>
        </w:rPr>
        <w:t>Transmission Provider shall tender to Affected System Interconnection Customer(s) an Affected System Facilities Construction Agreement/Multiparty Affected System Facilities Construction Agreement, as applicable, in the form of Appendix 11 or 12 to this LGIP, within thirty (30) Calendar Days of providing the Affected System Study Report.  Within ten (10) Business Days of the receipt of the Affected System Facilities Construction Agreement/Multiparty Affected System Facilities Construction Agreement, the Affected System Interconnection Customer(s) must execute the agreement or request the agreement to be filed unexecuted with FERC.  Transmission Provider shall execute the agreement or file the agreement unexecuted within five (5) Business Days after receiving direction from Affected System Interconnection Customer(s).  Affected System Interconnection Customer’s failure to execute the Affected System Facilities Construction Agreement/Multiparty Affected System Facilities Construction Agreement, or failure to request the agreement to be filed unexecuted with FERC, shall result in the loss of its Affected System Queue Position.</w:t>
      </w:r>
    </w:p>
    <w:p w:rsidR="00911580" w:rsidRPr="0072600F" w14:paraId="046B1889" w14:textId="77777777">
      <w:pPr>
        <w:ind w:left="1440"/>
        <w:rPr>
          <w:rFonts w:ascii="Times New Roman" w:hAnsi="Times New Roman" w:cs="Times New Roman"/>
          <w:sz w:val="26"/>
          <w:szCs w:val="26"/>
        </w:rPr>
      </w:pPr>
    </w:p>
    <w:p w:rsidR="00911580" w:rsidRPr="0072600F" w:rsidP="00803995" w14:paraId="1B98ED2E" w14:textId="77777777">
      <w:pPr>
        <w:pStyle w:val="Heading3"/>
        <w:rPr>
          <w:b/>
          <w:sz w:val="26"/>
        </w:rPr>
      </w:pPr>
      <w:bookmarkStart w:id="293" w:name="_Toc149903670"/>
      <w:r w:rsidRPr="0072600F">
        <w:rPr>
          <w:b/>
          <w:sz w:val="26"/>
        </w:rPr>
        <w:t xml:space="preserve">9.11 </w:t>
      </w:r>
      <w:r w:rsidRPr="0072600F">
        <w:rPr>
          <w:b/>
          <w:sz w:val="26"/>
        </w:rPr>
        <w:tab/>
        <w:t>Restudy.</w:t>
      </w:r>
      <w:bookmarkEnd w:id="293"/>
      <w:r w:rsidRPr="0072600F">
        <w:rPr>
          <w:b/>
          <w:sz w:val="26"/>
        </w:rPr>
        <w:t xml:space="preserve"> </w:t>
      </w:r>
    </w:p>
    <w:p w:rsidR="00911580" w:rsidRPr="0072600F" w14:paraId="54CFB408" w14:textId="77777777">
      <w:pPr>
        <w:ind w:left="1440"/>
        <w:rPr>
          <w:rFonts w:ascii="Times New Roman" w:hAnsi="Times New Roman" w:cs="Times New Roman"/>
          <w:sz w:val="26"/>
          <w:szCs w:val="26"/>
        </w:rPr>
      </w:pPr>
      <w:r w:rsidRPr="0072600F">
        <w:rPr>
          <w:rFonts w:ascii="Times New Roman" w:hAnsi="Times New Roman" w:cs="Times New Roman"/>
          <w:sz w:val="26"/>
          <w:szCs w:val="26"/>
        </w:rPr>
        <w:t>If restudy of the Affected System Study is required, Transmission Provider shall notify Affected System Interconnection Customer(s) in writing within thirty (30) Calendar Days of discovery of the need for restudy.  Such restudy shall take no longer than sixty (60) Calendar Days from the date of notice.  Any cost of restudy shall be borne by the Affected System Interconnection Customer(s) being restudied.</w:t>
      </w:r>
    </w:p>
    <w:p w:rsidR="00911580" w:rsidRPr="0072600F" w14:paraId="3F3A8B32" w14:textId="77777777">
      <w:pPr>
        <w:rPr>
          <w:rFonts w:ascii="Times New Roman" w:hAnsi="Times New Roman" w:cs="Times New Roman"/>
          <w:sz w:val="26"/>
          <w:szCs w:val="26"/>
        </w:rPr>
      </w:pPr>
    </w:p>
    <w:p w:rsidR="00911580" w:rsidRPr="0072600F" w14:paraId="43FAD368" w14:textId="77777777">
      <w:pPr>
        <w:rPr>
          <w:rFonts w:ascii="Times New Roman" w:hAnsi="Times New Roman" w:cs="Times New Roman"/>
          <w:sz w:val="26"/>
          <w:szCs w:val="26"/>
        </w:rPr>
      </w:pPr>
    </w:p>
    <w:p w:rsidR="00911580" w:rsidRPr="0072600F" w:rsidP="009F2A5B" w14:paraId="088D193F" w14:textId="77777777">
      <w:pPr>
        <w:pStyle w:val="Heading2"/>
        <w:rPr>
          <w:b/>
          <w:bCs/>
          <w:sz w:val="26"/>
          <w:szCs w:val="26"/>
        </w:rPr>
      </w:pPr>
      <w:bookmarkStart w:id="294" w:name="_Toc149903671"/>
      <w:r w:rsidRPr="0072600F">
        <w:rPr>
          <w:b/>
          <w:bCs/>
          <w:sz w:val="26"/>
          <w:szCs w:val="26"/>
        </w:rPr>
        <w:t>Section 10.</w:t>
      </w:r>
      <w:r w:rsidRPr="0072600F">
        <w:rPr>
          <w:b/>
          <w:bCs/>
          <w:sz w:val="26"/>
          <w:szCs w:val="26"/>
        </w:rPr>
        <w:tab/>
        <w:t>Optional Interconnection Study</w:t>
      </w:r>
      <w:bookmarkEnd w:id="294"/>
    </w:p>
    <w:p w:rsidR="00911580" w:rsidRPr="0072600F" w14:paraId="280E3EE9" w14:textId="77777777">
      <w:pPr>
        <w:rPr>
          <w:rFonts w:ascii="Times New Roman" w:hAnsi="Times New Roman" w:cs="Times New Roman"/>
          <w:b/>
          <w:bCs/>
          <w:sz w:val="26"/>
          <w:szCs w:val="26"/>
        </w:rPr>
      </w:pPr>
    </w:p>
    <w:p w:rsidR="00911580" w:rsidRPr="0072600F" w:rsidP="009F2A5B" w14:paraId="45902CE3" w14:textId="77777777">
      <w:pPr>
        <w:pStyle w:val="Heading3"/>
        <w:rPr>
          <w:b/>
          <w:sz w:val="26"/>
        </w:rPr>
      </w:pPr>
      <w:bookmarkStart w:id="295" w:name="_Toc149903672"/>
      <w:r w:rsidRPr="0072600F">
        <w:rPr>
          <w:b/>
          <w:sz w:val="26"/>
        </w:rPr>
        <w:t>10.1</w:t>
      </w:r>
      <w:r w:rsidRPr="0072600F">
        <w:rPr>
          <w:b/>
          <w:sz w:val="26"/>
        </w:rPr>
        <w:tab/>
        <w:t>Optional Interconnection Study Agreement.</w:t>
      </w:r>
      <w:bookmarkEnd w:id="295"/>
    </w:p>
    <w:p w:rsidR="00911580" w:rsidRPr="0072600F" w14:paraId="4716DBCD"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On or after the date when Interconnection Customer receives Cluster Study results, Interconnection Customer may request, and Transmission Provider shall perform a reasonable number of Optional </w:t>
      </w:r>
      <w:r w:rsidRPr="0072600F" w:rsidR="4DF89581">
        <w:rPr>
          <w:rFonts w:ascii="Times New Roman" w:hAnsi="Times New Roman" w:cs="Times New Roman"/>
          <w:i/>
          <w:iCs/>
          <w:sz w:val="26"/>
          <w:szCs w:val="26"/>
        </w:rPr>
        <w:t xml:space="preserve">Interconnection </w:t>
      </w:r>
      <w:r w:rsidRPr="0072600F">
        <w:rPr>
          <w:rFonts w:ascii="Times New Roman" w:hAnsi="Times New Roman" w:cs="Times New Roman"/>
          <w:sz w:val="26"/>
          <w:szCs w:val="26"/>
        </w:rPr>
        <w:t>Studies.  The request shall describe the assumptions that Interconnection Customer wishes Transmission Provider to study within the scope described in Section 10.2</w:t>
      </w:r>
      <w:r w:rsidRPr="0072600F" w:rsidR="25DEE5A2">
        <w:rPr>
          <w:rFonts w:ascii="Times New Roman" w:hAnsi="Times New Roman" w:cs="Times New Roman"/>
          <w:sz w:val="26"/>
          <w:szCs w:val="26"/>
        </w:rPr>
        <w:t xml:space="preserve"> </w:t>
      </w:r>
      <w:r w:rsidRPr="0072600F" w:rsidR="25DEE5A2">
        <w:rPr>
          <w:rFonts w:ascii="Times New Roman" w:hAnsi="Times New Roman" w:cs="Times New Roman"/>
          <w:i/>
          <w:iCs/>
          <w:sz w:val="26"/>
          <w:szCs w:val="26"/>
        </w:rPr>
        <w:t>of this LGIP</w:t>
      </w:r>
      <w:r w:rsidRPr="0072600F">
        <w:rPr>
          <w:rFonts w:ascii="Times New Roman" w:hAnsi="Times New Roman" w:cs="Times New Roman"/>
          <w:sz w:val="26"/>
          <w:szCs w:val="26"/>
        </w:rPr>
        <w:t>.  Within five (5) Business Days after receipt of a request for an Optional Interconnection Study, Transmission Provider shall provide to Interconnection Customer an Optional Interconnection Study Agreement in the form of Appendix 4.</w:t>
      </w:r>
    </w:p>
    <w:p w:rsidR="00911580" w:rsidRPr="0072600F" w14:paraId="52FB316C" w14:textId="77777777">
      <w:pPr>
        <w:rPr>
          <w:rFonts w:ascii="Times New Roman" w:hAnsi="Times New Roman" w:cs="Times New Roman"/>
          <w:sz w:val="26"/>
          <w:szCs w:val="26"/>
        </w:rPr>
      </w:pPr>
    </w:p>
    <w:p w:rsidR="00911580" w:rsidRPr="0072600F" w14:paraId="09A3CFEF"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The Optional Interconnection Study Agreement shall: </w:t>
      </w:r>
      <w:r w:rsidRPr="0072600F" w:rsidR="0060646E">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specify the technical data that Interconnection Customer must provide for each phase of the Optional Interconnection Study, (ii) specify 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s assumptions as to which Interconnection Requests with earlier queue priority dates will be excluded from the Optional Interconnection Study case and assumptions as to the type of </w:t>
      </w:r>
      <w:r w:rsidRPr="0072600F" w:rsidR="70BF9BCC">
        <w:rPr>
          <w:rFonts w:ascii="Times New Roman" w:hAnsi="Times New Roman" w:cs="Times New Roman"/>
          <w:i/>
          <w:iCs/>
          <w:sz w:val="26"/>
          <w:szCs w:val="26"/>
        </w:rPr>
        <w:t>I</w:t>
      </w:r>
      <w:r w:rsidRPr="0072600F" w:rsidR="22EE7A14">
        <w:rPr>
          <w:rFonts w:ascii="Times New Roman" w:hAnsi="Times New Roman" w:cs="Times New Roman"/>
          <w:sz w:val="26"/>
          <w:szCs w:val="26"/>
        </w:rPr>
        <w:t>[</w:t>
      </w:r>
      <w:r w:rsidRPr="0072600F">
        <w:rPr>
          <w:rFonts w:ascii="Times New Roman" w:hAnsi="Times New Roman" w:cs="Times New Roman"/>
          <w:sz w:val="26"/>
          <w:szCs w:val="26"/>
        </w:rPr>
        <w:t>i</w:t>
      </w:r>
      <w:r w:rsidRPr="0072600F" w:rsidR="08EA4EE4">
        <w:rPr>
          <w:rFonts w:ascii="Times New Roman" w:hAnsi="Times New Roman" w:cs="Times New Roman"/>
          <w:sz w:val="26"/>
          <w:szCs w:val="26"/>
        </w:rPr>
        <w:t>]</w:t>
      </w:r>
      <w:r w:rsidRPr="0072600F">
        <w:rPr>
          <w:rFonts w:ascii="Times New Roman" w:hAnsi="Times New Roman" w:cs="Times New Roman"/>
          <w:sz w:val="26"/>
          <w:szCs w:val="26"/>
        </w:rPr>
        <w:t>nterconnection</w:t>
      </w:r>
      <w:r w:rsidRPr="0072600F">
        <w:rPr>
          <w:rFonts w:ascii="Times New Roman" w:hAnsi="Times New Roman" w:cs="Times New Roman"/>
          <w:sz w:val="26"/>
          <w:szCs w:val="26"/>
        </w:rPr>
        <w:t xml:space="preserve"> </w:t>
      </w:r>
      <w:r w:rsidRPr="0072600F" w:rsidR="0EE9A313">
        <w:rPr>
          <w:rFonts w:ascii="Times New Roman" w:hAnsi="Times New Roman" w:cs="Times New Roman"/>
          <w:i/>
          <w:iCs/>
          <w:sz w:val="26"/>
          <w:szCs w:val="26"/>
        </w:rPr>
        <w:t>S</w:t>
      </w:r>
      <w:r w:rsidRPr="0072600F" w:rsidR="515BE78C">
        <w:rPr>
          <w:rFonts w:ascii="Times New Roman" w:hAnsi="Times New Roman" w:cs="Times New Roman"/>
          <w:sz w:val="26"/>
          <w:szCs w:val="26"/>
        </w:rPr>
        <w:t>[</w:t>
      </w:r>
      <w:r w:rsidRPr="0072600F">
        <w:rPr>
          <w:rFonts w:ascii="Times New Roman" w:hAnsi="Times New Roman" w:cs="Times New Roman"/>
          <w:sz w:val="26"/>
          <w:szCs w:val="26"/>
        </w:rPr>
        <w:t>s</w:t>
      </w:r>
      <w:r w:rsidRPr="0072600F" w:rsidR="6E7CEB22">
        <w:rPr>
          <w:rFonts w:ascii="Times New Roman" w:hAnsi="Times New Roman" w:cs="Times New Roman"/>
          <w:sz w:val="26"/>
          <w:szCs w:val="26"/>
        </w:rPr>
        <w:t>]</w:t>
      </w:r>
      <w:r w:rsidRPr="0072600F">
        <w:rPr>
          <w:rFonts w:ascii="Times New Roman" w:hAnsi="Times New Roman" w:cs="Times New Roman"/>
          <w:sz w:val="26"/>
          <w:szCs w:val="26"/>
        </w:rPr>
        <w:t>ervice</w:t>
      </w:r>
      <w:r w:rsidRPr="0072600F">
        <w:rPr>
          <w:rFonts w:ascii="Times New Roman" w:hAnsi="Times New Roman" w:cs="Times New Roman"/>
          <w:sz w:val="26"/>
          <w:szCs w:val="26"/>
        </w:rPr>
        <w:t xml:space="preserve"> for Interconnection Requests remaining in the Optional Interconnection Study case, and (iii) Transmission Provider</w:t>
      </w:r>
      <w:r w:rsidRPr="0072600F" w:rsidR="00BD11B3">
        <w:rPr>
          <w:rFonts w:ascii="Times New Roman" w:hAnsi="Times New Roman" w:cs="Times New Roman"/>
          <w:sz w:val="26"/>
          <w:szCs w:val="26"/>
        </w:rPr>
        <w:t>’</w:t>
      </w:r>
      <w:r w:rsidRPr="0072600F">
        <w:rPr>
          <w:rFonts w:ascii="Times New Roman" w:hAnsi="Times New Roman" w:cs="Times New Roman"/>
          <w:sz w:val="26"/>
          <w:szCs w:val="26"/>
        </w:rPr>
        <w:t xml:space="preserve">s estimate of the cost of the Optional Interconnection Study.  To the extent known by Transmission Provider, such estimate shall include any costs expected to be incurred by any Affected System </w:t>
      </w:r>
      <w:r w:rsidRPr="0072600F" w:rsidR="007C37E4">
        <w:rPr>
          <w:rFonts w:ascii="Times New Roman" w:hAnsi="Times New Roman" w:cs="Times New Roman"/>
          <w:i/>
          <w:iCs/>
          <w:sz w:val="26"/>
          <w:szCs w:val="26"/>
        </w:rPr>
        <w:t xml:space="preserve">Operator </w:t>
      </w:r>
      <w:r w:rsidRPr="0072600F">
        <w:rPr>
          <w:rFonts w:ascii="Times New Roman" w:hAnsi="Times New Roman" w:cs="Times New Roman"/>
          <w:sz w:val="26"/>
          <w:szCs w:val="26"/>
        </w:rPr>
        <w:t>whose participation is necessary to complete the Optional Interconnection Study.  Notwithstanding the above, Transmission Provider shall not be required as a result of an Optional Interconnection Study request to conduct any additional Interconnection Studies with respect to any other Interconnection Request.</w:t>
      </w:r>
    </w:p>
    <w:p w:rsidR="00911580" w:rsidRPr="0072600F" w14:paraId="6C6CB32D" w14:textId="77777777">
      <w:pPr>
        <w:rPr>
          <w:rFonts w:ascii="Times New Roman" w:hAnsi="Times New Roman" w:cs="Times New Roman"/>
          <w:sz w:val="26"/>
          <w:szCs w:val="26"/>
        </w:rPr>
      </w:pPr>
    </w:p>
    <w:p w:rsidR="00911580" w:rsidRPr="0072600F" w14:paraId="2122BDC2" w14:textId="77777777">
      <w:pPr>
        <w:ind w:left="1440"/>
        <w:rPr>
          <w:rFonts w:ascii="Times New Roman" w:hAnsi="Times New Roman" w:cs="Times New Roman"/>
          <w:sz w:val="26"/>
          <w:szCs w:val="26"/>
        </w:rPr>
      </w:pPr>
      <w:r w:rsidRPr="0072600F">
        <w:rPr>
          <w:rFonts w:ascii="Times New Roman" w:hAnsi="Times New Roman" w:cs="Times New Roman"/>
          <w:sz w:val="26"/>
          <w:szCs w:val="26"/>
        </w:rPr>
        <w:t>Interconnection Customer shall execute the Optional Interconnection Study Agreement within ten (10) Business Days of receipt and deliver the Optional Interconnection Study Agreement, the technical data and a $10,000 deposit to Transmission Provider.</w:t>
      </w:r>
    </w:p>
    <w:p w:rsidR="00911580" w:rsidRPr="0072600F" w14:paraId="4CD6916B" w14:textId="77777777">
      <w:pPr>
        <w:rPr>
          <w:rFonts w:ascii="Times New Roman" w:hAnsi="Times New Roman" w:cs="Times New Roman"/>
          <w:sz w:val="26"/>
          <w:szCs w:val="26"/>
        </w:rPr>
      </w:pPr>
    </w:p>
    <w:p w:rsidR="00911580" w:rsidRPr="0072600F" w:rsidP="009F2A5B" w14:paraId="5E959CD2" w14:textId="77777777">
      <w:pPr>
        <w:pStyle w:val="Heading3"/>
        <w:rPr>
          <w:b/>
          <w:sz w:val="26"/>
        </w:rPr>
      </w:pPr>
      <w:bookmarkStart w:id="296" w:name="_Toc149903673"/>
      <w:r w:rsidRPr="0072600F">
        <w:rPr>
          <w:b/>
          <w:sz w:val="26"/>
        </w:rPr>
        <w:t>10.2</w:t>
      </w:r>
      <w:r w:rsidRPr="0072600F">
        <w:rPr>
          <w:b/>
          <w:sz w:val="26"/>
        </w:rPr>
        <w:tab/>
        <w:t>Scope of Optional Interconnection Study.</w:t>
      </w:r>
      <w:bookmarkEnd w:id="296"/>
    </w:p>
    <w:p w:rsidR="00911580" w:rsidRPr="0072600F" w14:paraId="2CAE1429"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The Optional Interconnection Study will consist of a sensitivity analysis based on the assumptions specified by Interconnection Customer in the Optional Interconnection Study Agreement.  The Optional Interconnection Study will also identify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the Network Upgrades, and the estimated cost thereof, that may be required to provide transmission service or Interconnection Service based upon the results of the Optional Interconnection Study.  The Optional Interconnection Study shall be performed solely for informational purposes.  Transmission Provider shall use Reasonable Efforts to coordinate the study with any Affected Systems that may be affected by the types of Interconnection Services that are being studied.  Transmission Provider shall utilize existing studies to the extent practicable in conducting the Optional Interconnection Study.</w:t>
      </w:r>
    </w:p>
    <w:p w:rsidR="00911580" w:rsidRPr="0072600F" w14:paraId="2D4823A4" w14:textId="77777777">
      <w:pPr>
        <w:rPr>
          <w:rFonts w:ascii="Times New Roman" w:hAnsi="Times New Roman" w:cs="Times New Roman"/>
          <w:sz w:val="26"/>
          <w:szCs w:val="26"/>
        </w:rPr>
      </w:pPr>
    </w:p>
    <w:p w:rsidR="00911580" w:rsidRPr="0072600F" w:rsidP="009F2A5B" w14:paraId="438C0DA4" w14:textId="77777777">
      <w:pPr>
        <w:pStyle w:val="Heading3"/>
        <w:ind w:left="0" w:firstLine="0"/>
        <w:rPr>
          <w:b/>
          <w:sz w:val="26"/>
        </w:rPr>
      </w:pPr>
      <w:bookmarkStart w:id="297" w:name="_Toc149903674"/>
      <w:r w:rsidRPr="0072600F">
        <w:rPr>
          <w:sz w:val="26"/>
        </w:rPr>
        <w:tab/>
      </w:r>
      <w:r w:rsidRPr="0072600F">
        <w:rPr>
          <w:b/>
          <w:sz w:val="26"/>
        </w:rPr>
        <w:t>10.3</w:t>
      </w:r>
      <w:r w:rsidRPr="0072600F">
        <w:rPr>
          <w:b/>
          <w:sz w:val="26"/>
        </w:rPr>
        <w:tab/>
        <w:t>Optional Interconnection Study Procedures.</w:t>
      </w:r>
      <w:bookmarkEnd w:id="297"/>
    </w:p>
    <w:p w:rsidR="00911580" w:rsidRPr="0072600F" w14:paraId="6EF415DB" w14:textId="77777777">
      <w:pPr>
        <w:ind w:left="1440"/>
        <w:rPr>
          <w:rFonts w:ascii="Times New Roman" w:hAnsi="Times New Roman" w:cs="Times New Roman"/>
          <w:sz w:val="26"/>
          <w:szCs w:val="26"/>
        </w:rPr>
      </w:pPr>
      <w:r w:rsidRPr="0072600F">
        <w:rPr>
          <w:rFonts w:ascii="Times New Roman" w:hAnsi="Times New Roman" w:cs="Times New Roman"/>
          <w:sz w:val="26"/>
          <w:szCs w:val="26"/>
        </w:rPr>
        <w:t>The executed Optional Interconnection Study Agreement, the prepayment, and technical and other data called for therein must be provided to Transmission Provider within ten (10) Business Days of Interconnection Customer receipt of the Optional Interconnection Study Agreement.  Transmission Provider shall use Reasonable Efforts to complete the Optional Interconnection Study within a mutually agreed upon time period specified within the Optional Interconnection Study Agreement.  If Transmission Provider is unable to complete the Optional Interconnection Study within such time period, it shall notify Interconnection Customer and provide an estimated completion date and an explanation of the reasons why additional time is required.  Any difference between the study payment and the actual cost of the study shall be paid to Transmission Provider or refunded to Interconnection Customer, as appropriate. Upon request, Transmission Provider shall provide Interconnection Customer supporting documentation and workpapers and databases or data developed in the preparation of the Optional Interconnection Study, subject to confidentiality arrangements consistent with Section 13.1</w:t>
      </w:r>
      <w:r w:rsidRPr="0072600F" w:rsidR="5201FF63">
        <w:rPr>
          <w:rFonts w:ascii="Times New Roman" w:hAnsi="Times New Roman" w:cs="Times New Roman"/>
          <w:sz w:val="26"/>
          <w:szCs w:val="26"/>
        </w:rPr>
        <w:t xml:space="preserve"> </w:t>
      </w:r>
      <w:r w:rsidRPr="0072600F" w:rsidR="5201FF63">
        <w:rPr>
          <w:rFonts w:ascii="Times New Roman" w:hAnsi="Times New Roman" w:cs="Times New Roman"/>
          <w:i/>
          <w:iCs/>
          <w:sz w:val="26"/>
          <w:szCs w:val="26"/>
        </w:rPr>
        <w:t>of this LGIP</w:t>
      </w:r>
      <w:r w:rsidRPr="0072600F">
        <w:rPr>
          <w:rFonts w:ascii="Times New Roman" w:hAnsi="Times New Roman" w:cs="Times New Roman"/>
          <w:sz w:val="26"/>
          <w:szCs w:val="26"/>
        </w:rPr>
        <w:t>.</w:t>
      </w:r>
    </w:p>
    <w:p w:rsidR="00911580" w:rsidRPr="0072600F" w14:paraId="24F76520" w14:textId="77777777">
      <w:pPr>
        <w:rPr>
          <w:rFonts w:ascii="Times New Roman" w:hAnsi="Times New Roman" w:cs="Times New Roman"/>
          <w:sz w:val="26"/>
          <w:szCs w:val="26"/>
        </w:rPr>
      </w:pPr>
    </w:p>
    <w:p w:rsidR="00911580" w:rsidRPr="0072600F" w14:paraId="41EF4C20" w14:textId="77777777">
      <w:pPr>
        <w:rPr>
          <w:rFonts w:ascii="Times New Roman" w:hAnsi="Times New Roman" w:cs="Times New Roman"/>
          <w:sz w:val="26"/>
          <w:szCs w:val="26"/>
        </w:rPr>
      </w:pPr>
    </w:p>
    <w:p w:rsidR="00911580" w:rsidRPr="0072600F" w:rsidP="009F2A5B" w14:paraId="144836C1" w14:textId="77777777">
      <w:pPr>
        <w:pStyle w:val="Heading2"/>
        <w:rPr>
          <w:b/>
          <w:bCs/>
          <w:sz w:val="26"/>
          <w:szCs w:val="26"/>
        </w:rPr>
      </w:pPr>
      <w:bookmarkStart w:id="298" w:name="_Toc149903675"/>
      <w:r w:rsidRPr="0072600F">
        <w:rPr>
          <w:b/>
          <w:bCs/>
          <w:sz w:val="26"/>
          <w:szCs w:val="26"/>
        </w:rPr>
        <w:t>Section 11.</w:t>
      </w:r>
      <w:r w:rsidRPr="0072600F">
        <w:rPr>
          <w:b/>
          <w:bCs/>
          <w:sz w:val="26"/>
          <w:szCs w:val="26"/>
        </w:rPr>
        <w:tab/>
        <w:t>Standard Large Generator Interconnection Agreement (LGIA)</w:t>
      </w:r>
      <w:bookmarkEnd w:id="298"/>
    </w:p>
    <w:p w:rsidR="00911580" w:rsidRPr="0072600F" w14:paraId="31693666" w14:textId="77777777">
      <w:pPr>
        <w:rPr>
          <w:rFonts w:ascii="Times New Roman" w:hAnsi="Times New Roman" w:cs="Times New Roman"/>
          <w:b/>
          <w:bCs/>
          <w:sz w:val="26"/>
          <w:szCs w:val="26"/>
        </w:rPr>
      </w:pPr>
    </w:p>
    <w:p w:rsidR="00911580" w:rsidRPr="0072600F" w:rsidP="009F2A5B" w14:paraId="2C58A7F2" w14:textId="77777777">
      <w:pPr>
        <w:pStyle w:val="Heading3"/>
        <w:rPr>
          <w:b/>
          <w:sz w:val="26"/>
        </w:rPr>
      </w:pPr>
      <w:bookmarkStart w:id="299" w:name="_Toc149903676"/>
      <w:r w:rsidRPr="0072600F">
        <w:rPr>
          <w:b/>
          <w:sz w:val="26"/>
        </w:rPr>
        <w:t>11.1</w:t>
      </w:r>
      <w:r w:rsidRPr="0072600F">
        <w:rPr>
          <w:b/>
          <w:sz w:val="26"/>
        </w:rPr>
        <w:tab/>
        <w:t>Tender.</w:t>
      </w:r>
      <w:bookmarkEnd w:id="299"/>
    </w:p>
    <w:p w:rsidR="00911580" w:rsidRPr="0072600F" w14:paraId="602FADED" w14:textId="77777777">
      <w:pPr>
        <w:ind w:left="1440"/>
        <w:rPr>
          <w:rFonts w:ascii="Times New Roman" w:hAnsi="Times New Roman" w:cs="Times New Roman"/>
          <w:sz w:val="26"/>
          <w:szCs w:val="26"/>
        </w:rPr>
      </w:pPr>
      <w:r w:rsidRPr="0072600F">
        <w:rPr>
          <w:rFonts w:ascii="Times New Roman" w:hAnsi="Times New Roman" w:cs="Times New Roman"/>
          <w:sz w:val="26"/>
          <w:szCs w:val="26"/>
        </w:rPr>
        <w:t>Interconnection Customer shall tender comments on the draft Interconnection Facilities Study Report within thirty (30) Calendar Days of receipt of the report.  Within thirty (30) Calendar Days after the comments are submitted or after Interconnection Customer notifies Transmission Provider that it will not provide comments, Transmission Provider shall tender a draft LGIA, together with draft appendices.  The draft LGIA shall be in the form of Transmission Provider’s FERC-approved standard form LGIA, which is in Appendix 5.  Interconnection Customer shall execute and return the LGIA and completed draft appendices within thirty (30) Calendar Days, unless (1) the sixty (60) Calendar Day negotiation period under Section 11.2 of this LGIP has commenced, or (2) LGIA execution, or filing unexecuted, has been delayed to await the Affected System Study Report pursuant to Section 11.2.1 of this LGIP.</w:t>
      </w:r>
    </w:p>
    <w:p w:rsidR="00911580" w:rsidRPr="0072600F" w14:paraId="20305416" w14:textId="77777777">
      <w:pPr>
        <w:rPr>
          <w:rFonts w:ascii="Times New Roman" w:hAnsi="Times New Roman" w:cs="Times New Roman"/>
          <w:sz w:val="26"/>
          <w:szCs w:val="26"/>
        </w:rPr>
      </w:pPr>
    </w:p>
    <w:p w:rsidR="00911580" w:rsidRPr="0072600F" w:rsidP="009F2A5B" w14:paraId="7916948C" w14:textId="77777777">
      <w:pPr>
        <w:pStyle w:val="Heading3"/>
        <w:rPr>
          <w:b/>
          <w:sz w:val="26"/>
        </w:rPr>
      </w:pPr>
      <w:bookmarkStart w:id="300" w:name="_Toc149903677"/>
      <w:r w:rsidRPr="0072600F">
        <w:rPr>
          <w:b/>
          <w:sz w:val="26"/>
        </w:rPr>
        <w:t>11.2</w:t>
      </w:r>
      <w:r w:rsidRPr="0072600F">
        <w:rPr>
          <w:b/>
          <w:sz w:val="26"/>
        </w:rPr>
        <w:tab/>
        <w:t>Negotiation.</w:t>
      </w:r>
      <w:bookmarkEnd w:id="300"/>
    </w:p>
    <w:p w:rsidR="00911580" w:rsidRPr="0072600F" w14:paraId="724DC6C7" w14:textId="77777777">
      <w:pPr>
        <w:ind w:left="1440"/>
        <w:rPr>
          <w:rFonts w:ascii="Times New Roman" w:hAnsi="Times New Roman" w:cs="Times New Roman"/>
          <w:sz w:val="26"/>
          <w:szCs w:val="26"/>
        </w:rPr>
      </w:pPr>
      <w:r w:rsidRPr="0072600F">
        <w:rPr>
          <w:rFonts w:ascii="Times New Roman" w:hAnsi="Times New Roman" w:cs="Times New Roman"/>
          <w:sz w:val="26"/>
          <w:szCs w:val="26"/>
        </w:rPr>
        <w:t>Notwithstanding Section 11.1</w:t>
      </w:r>
      <w:r w:rsidRPr="0072600F" w:rsidR="215CDF52">
        <w:rPr>
          <w:rFonts w:ascii="Times New Roman" w:hAnsi="Times New Roman" w:cs="Times New Roman"/>
          <w:sz w:val="26"/>
          <w:szCs w:val="26"/>
        </w:rPr>
        <w:t xml:space="preserve"> </w:t>
      </w:r>
      <w:r w:rsidRPr="0072600F" w:rsidR="215CDF52">
        <w:rPr>
          <w:rFonts w:ascii="Times New Roman" w:hAnsi="Times New Roman" w:cs="Times New Roman"/>
          <w:i/>
          <w:iCs/>
          <w:sz w:val="26"/>
          <w:szCs w:val="26"/>
        </w:rPr>
        <w:t>of this LGIP</w:t>
      </w:r>
      <w:r w:rsidRPr="0072600F">
        <w:rPr>
          <w:rFonts w:ascii="Times New Roman" w:hAnsi="Times New Roman" w:cs="Times New Roman"/>
          <w:sz w:val="26"/>
          <w:szCs w:val="26"/>
        </w:rPr>
        <w:t>, at the request of Interconnection Customer</w:t>
      </w:r>
      <w:r w:rsidRPr="0072600F" w:rsidR="0FEBAAC9">
        <w:rPr>
          <w:rFonts w:ascii="Times New Roman" w:hAnsi="Times New Roman" w:cs="Times New Roman"/>
          <w:i/>
          <w:iCs/>
          <w:sz w:val="26"/>
          <w:szCs w:val="26"/>
        </w:rPr>
        <w:t>,</w:t>
      </w:r>
      <w:r w:rsidRPr="0072600F">
        <w:rPr>
          <w:rFonts w:ascii="Times New Roman" w:hAnsi="Times New Roman" w:cs="Times New Roman"/>
          <w:sz w:val="26"/>
          <w:szCs w:val="26"/>
        </w:rPr>
        <w:t xml:space="preserve"> Transmission Provider shall begin negotiations with Interconnection Customer concerning the appendices to the LGIA at any time after Interconnection Customer executes the Interconnection Facilities Study Agreement.  Transmission Provider and Interconnection Customer shall negotiate concerning any disputed provisions of the appendices to the draft LGIA for not more than sixty (60) Calendar Days after tender of the final Interconnection Facilities Study Report.  If Interconnection Customer determines that negotiations are at an impasse, it may request termination of the negotiations at any time after tender of the draft LGIA pursuant to Section 11.1 </w:t>
      </w:r>
      <w:r w:rsidRPr="0072600F" w:rsidR="03B70A2E">
        <w:rPr>
          <w:rFonts w:ascii="Times New Roman" w:hAnsi="Times New Roman" w:cs="Times New Roman"/>
          <w:i/>
          <w:iCs/>
          <w:sz w:val="26"/>
          <w:szCs w:val="26"/>
        </w:rPr>
        <w:t xml:space="preserve">of this LGIP </w:t>
      </w:r>
      <w:r w:rsidRPr="0072600F">
        <w:rPr>
          <w:rFonts w:ascii="Times New Roman" w:hAnsi="Times New Roman" w:cs="Times New Roman"/>
          <w:sz w:val="26"/>
          <w:szCs w:val="26"/>
        </w:rPr>
        <w:t>and request submission of the unexecuted LGIA with FERC or initiate Dispute Resolution procedures pursuant to Section 13.5</w:t>
      </w:r>
      <w:r w:rsidRPr="0072600F" w:rsidR="48EFE81E">
        <w:rPr>
          <w:rFonts w:ascii="Times New Roman" w:hAnsi="Times New Roman" w:cs="Times New Roman"/>
          <w:sz w:val="26"/>
          <w:szCs w:val="26"/>
        </w:rPr>
        <w:t xml:space="preserve"> </w:t>
      </w:r>
      <w:r w:rsidRPr="0072600F" w:rsidR="48EFE81E">
        <w:rPr>
          <w:rFonts w:ascii="Times New Roman" w:hAnsi="Times New Roman" w:cs="Times New Roman"/>
          <w:i/>
          <w:iCs/>
          <w:sz w:val="26"/>
          <w:szCs w:val="26"/>
        </w:rPr>
        <w:t>of this LGIP</w:t>
      </w:r>
      <w:r w:rsidRPr="0072600F">
        <w:rPr>
          <w:rFonts w:ascii="Times New Roman" w:hAnsi="Times New Roman" w:cs="Times New Roman"/>
          <w:sz w:val="26"/>
          <w:szCs w:val="26"/>
        </w:rPr>
        <w:t xml:space="preserve">.  If Interconnection Customer requests termination of the negotiations, but within sixty (60) Calendar Days thereafter fails to request either the filing of the unexecuted LGIA or initiate Dispute Resolution, it shall be deemed to have withdrawn its Interconnection Request.  Unless otherwise agreed by the Parties, if Interconnection Customer has not executed the LGIA, requested filing of an unexecuted LGIA, or initiated Dispute Resolution procedures pursuant to Section 13.5 </w:t>
      </w:r>
      <w:r w:rsidRPr="0072600F" w:rsidR="0126B077">
        <w:rPr>
          <w:rFonts w:ascii="Times New Roman" w:hAnsi="Times New Roman" w:cs="Times New Roman"/>
          <w:i/>
          <w:iCs/>
          <w:sz w:val="26"/>
          <w:szCs w:val="26"/>
        </w:rPr>
        <w:t xml:space="preserve">of this LGIP </w:t>
      </w:r>
      <w:r w:rsidRPr="0072600F">
        <w:rPr>
          <w:rFonts w:ascii="Times New Roman" w:hAnsi="Times New Roman" w:cs="Times New Roman"/>
          <w:sz w:val="26"/>
          <w:szCs w:val="26"/>
        </w:rPr>
        <w:t>within sixty (60) Calendar Days of tender of draft LGIA, it shall be deemed to have withdrawn its Interconnection Request.  Transmission Provider shall provide to Interconnection Customer a final LGIA within fifteen (15) Business Days after the completion of the negotiation process.</w:t>
      </w:r>
    </w:p>
    <w:p w:rsidR="00911580" w:rsidRPr="0072600F" w14:paraId="2CCFAD51" w14:textId="77777777">
      <w:pPr>
        <w:ind w:left="1440"/>
        <w:rPr>
          <w:rFonts w:ascii="Times New Roman" w:hAnsi="Times New Roman" w:cs="Times New Roman"/>
          <w:sz w:val="26"/>
          <w:szCs w:val="26"/>
        </w:rPr>
      </w:pPr>
    </w:p>
    <w:p w:rsidR="00911580" w:rsidRPr="0072600F" w:rsidP="00960A78" w14:paraId="3638BAFE" w14:textId="77777777">
      <w:pPr>
        <w:pStyle w:val="Heading4"/>
        <w:ind w:left="2160" w:hanging="1440"/>
        <w:rPr>
          <w:b/>
          <w:sz w:val="26"/>
        </w:rPr>
      </w:pPr>
      <w:r w:rsidRPr="0072600F">
        <w:rPr>
          <w:sz w:val="26"/>
        </w:rPr>
        <w:tab/>
      </w:r>
      <w:bookmarkStart w:id="301" w:name="_Toc149903678"/>
      <w:r w:rsidRPr="0072600F">
        <w:rPr>
          <w:b/>
          <w:sz w:val="26"/>
        </w:rPr>
        <w:t>11.2.1</w:t>
      </w:r>
      <w:r w:rsidRPr="0072600F">
        <w:rPr>
          <w:b/>
          <w:sz w:val="26"/>
        </w:rPr>
        <w:tab/>
        <w:t>Delay in LGIA Execution, or Filing Unexecuted, to Await Affected System Study Report.</w:t>
      </w:r>
      <w:bookmarkEnd w:id="301"/>
    </w:p>
    <w:p w:rsidR="00911580" w:rsidRPr="0072600F" w14:paraId="396A6F73"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If Interconnection Customer has not received its Affected System Study Report from the Affected System Operator prior to the date that it would be required to execute its LGIA (or request that </w:t>
      </w:r>
      <w:r w:rsidRPr="0072600F">
        <w:rPr>
          <w:rFonts w:ascii="Times New Roman" w:hAnsi="Times New Roman" w:cs="Times New Roman"/>
          <w:sz w:val="26"/>
          <w:szCs w:val="26"/>
        </w:rPr>
        <w:t>its</w:t>
      </w:r>
      <w:r w:rsidRPr="0072600F">
        <w:rPr>
          <w:rFonts w:ascii="Times New Roman" w:hAnsi="Times New Roman" w:cs="Times New Roman"/>
          <w:sz w:val="26"/>
          <w:szCs w:val="26"/>
        </w:rPr>
        <w:t xml:space="preserve"> LGIA be filed unexecuted) pursuant to Section 11.1 of this LGIP, Transmission Provider shall, upon request of Interconnection Customer, extend this deadline to thirty (30) Calendar Days after Interconnection Customer’s receipt of the Affected System Study Report.  If Interconnection Customer, after delaying LGIA execution, or requesting unexecuted filing, to await Affected System Study </w:t>
      </w:r>
      <w:r w:rsidRPr="0072600F" w:rsidR="0C5D4B73">
        <w:rPr>
          <w:rFonts w:ascii="Times New Roman" w:hAnsi="Times New Roman" w:cs="Times New Roman"/>
          <w:sz w:val="26"/>
          <w:szCs w:val="26"/>
        </w:rPr>
        <w:t>[</w:t>
      </w:r>
      <w:r w:rsidRPr="0072600F">
        <w:rPr>
          <w:rFonts w:ascii="Times New Roman" w:hAnsi="Times New Roman" w:cs="Times New Roman"/>
          <w:sz w:val="26"/>
          <w:szCs w:val="26"/>
        </w:rPr>
        <w:t>Results</w:t>
      </w:r>
      <w:r w:rsidRPr="0072600F" w:rsidR="7D220201">
        <w:rPr>
          <w:rFonts w:ascii="Times New Roman" w:hAnsi="Times New Roman" w:cs="Times New Roman"/>
          <w:sz w:val="26"/>
          <w:szCs w:val="26"/>
        </w:rPr>
        <w:t>]</w:t>
      </w:r>
      <w:r w:rsidRPr="0072600F" w:rsidR="7D220201">
        <w:rPr>
          <w:rFonts w:ascii="Times New Roman" w:hAnsi="Times New Roman" w:cs="Times New Roman"/>
          <w:i/>
          <w:iCs/>
          <w:sz w:val="26"/>
          <w:szCs w:val="26"/>
        </w:rPr>
        <w:t>Report</w:t>
      </w:r>
      <w:r w:rsidRPr="0072600F">
        <w:rPr>
          <w:rFonts w:ascii="Times New Roman" w:hAnsi="Times New Roman" w:cs="Times New Roman"/>
          <w:i/>
          <w:sz w:val="26"/>
          <w:szCs w:val="26"/>
        </w:rPr>
        <w:t>,</w:t>
      </w:r>
      <w:r w:rsidRPr="0072600F">
        <w:rPr>
          <w:rFonts w:ascii="Times New Roman" w:hAnsi="Times New Roman" w:cs="Times New Roman"/>
          <w:sz w:val="26"/>
          <w:szCs w:val="26"/>
        </w:rPr>
        <w:t xml:space="preserve"> decides to proceed to LGIA execution, or request unexecuted filing, without those results, it may notify Transmission Provider of its intent to proceed with LGIA execution (or request that </w:t>
      </w:r>
      <w:r w:rsidRPr="0072600F">
        <w:rPr>
          <w:rFonts w:ascii="Times New Roman" w:hAnsi="Times New Roman" w:cs="Times New Roman"/>
          <w:sz w:val="26"/>
          <w:szCs w:val="26"/>
        </w:rPr>
        <w:t>its</w:t>
      </w:r>
      <w:r w:rsidRPr="0072600F">
        <w:rPr>
          <w:rFonts w:ascii="Times New Roman" w:hAnsi="Times New Roman" w:cs="Times New Roman"/>
          <w:sz w:val="26"/>
          <w:szCs w:val="26"/>
        </w:rPr>
        <w:t xml:space="preserve"> LGIA be filed unexecuted) pursuant to Section 11.1 of this LGIP.  If Transmission Provider determines that further delay to the LGIA execution date would cause a material impact on the cost or timing of an equal- or lower-queued </w:t>
      </w:r>
      <w:r w:rsidRPr="0072600F" w:rsidR="006E36D2">
        <w:rPr>
          <w:rFonts w:ascii="Times New Roman" w:hAnsi="Times New Roman" w:cs="Times New Roman"/>
          <w:sz w:val="26"/>
          <w:szCs w:val="26"/>
        </w:rPr>
        <w:t>[</w:t>
      </w:r>
      <w:r w:rsidRPr="0072600F">
        <w:rPr>
          <w:rFonts w:ascii="Times New Roman" w:hAnsi="Times New Roman" w:cs="Times New Roman"/>
          <w:sz w:val="26"/>
          <w:szCs w:val="26"/>
        </w:rPr>
        <w:t>i</w:t>
      </w:r>
      <w:r w:rsidRPr="0072600F" w:rsidR="006E36D2">
        <w:rPr>
          <w:rFonts w:ascii="Times New Roman" w:hAnsi="Times New Roman" w:cs="Times New Roman"/>
          <w:sz w:val="26"/>
          <w:szCs w:val="26"/>
        </w:rPr>
        <w:t>]</w:t>
      </w:r>
      <w:r w:rsidRPr="0072600F" w:rsidR="006E36D2">
        <w:rPr>
          <w:rFonts w:ascii="Times New Roman" w:hAnsi="Times New Roman" w:cs="Times New Roman"/>
          <w:i/>
          <w:iCs/>
          <w:sz w:val="26"/>
          <w:szCs w:val="26"/>
        </w:rPr>
        <w:t>I</w:t>
      </w:r>
      <w:r w:rsidRPr="0072600F">
        <w:rPr>
          <w:rFonts w:ascii="Times New Roman" w:hAnsi="Times New Roman" w:cs="Times New Roman"/>
          <w:sz w:val="26"/>
          <w:szCs w:val="26"/>
        </w:rPr>
        <w:t xml:space="preserve">nterconnection </w:t>
      </w:r>
      <w:r w:rsidRPr="0072600F" w:rsidR="006E36D2">
        <w:rPr>
          <w:rFonts w:ascii="Times New Roman" w:hAnsi="Times New Roman" w:cs="Times New Roman"/>
          <w:sz w:val="26"/>
          <w:szCs w:val="26"/>
        </w:rPr>
        <w:t>[</w:t>
      </w:r>
      <w:r w:rsidRPr="0072600F">
        <w:rPr>
          <w:rFonts w:ascii="Times New Roman" w:hAnsi="Times New Roman" w:cs="Times New Roman"/>
          <w:sz w:val="26"/>
          <w:szCs w:val="26"/>
        </w:rPr>
        <w:t>c</w:t>
      </w:r>
      <w:r w:rsidRPr="0072600F" w:rsidR="006E36D2">
        <w:rPr>
          <w:rFonts w:ascii="Times New Roman" w:hAnsi="Times New Roman" w:cs="Times New Roman"/>
          <w:sz w:val="26"/>
          <w:szCs w:val="26"/>
        </w:rPr>
        <w:t>]</w:t>
      </w:r>
      <w:r w:rsidRPr="0072600F" w:rsidR="006E36D2">
        <w:rPr>
          <w:rFonts w:ascii="Times New Roman" w:hAnsi="Times New Roman" w:cs="Times New Roman"/>
          <w:i/>
          <w:iCs/>
          <w:sz w:val="26"/>
          <w:szCs w:val="26"/>
        </w:rPr>
        <w:t>C</w:t>
      </w:r>
      <w:r w:rsidRPr="0072600F">
        <w:rPr>
          <w:rFonts w:ascii="Times New Roman" w:hAnsi="Times New Roman" w:cs="Times New Roman"/>
          <w:sz w:val="26"/>
          <w:szCs w:val="26"/>
        </w:rPr>
        <w:t>ustomer, Transmission Provider must notify Interconnection Customer of such impacts and set the deadline to execute the LGIA (or request that the LGIA be filed unexecuted) to thirty (30) Calendar Days after such notice is provided.</w:t>
      </w:r>
    </w:p>
    <w:p w:rsidR="00911580" w:rsidRPr="0072600F" w14:paraId="43426C10" w14:textId="77777777">
      <w:pPr>
        <w:rPr>
          <w:rFonts w:ascii="Times New Roman" w:hAnsi="Times New Roman" w:cs="Times New Roman"/>
          <w:sz w:val="26"/>
          <w:szCs w:val="26"/>
        </w:rPr>
      </w:pPr>
    </w:p>
    <w:p w:rsidR="00911580" w:rsidRPr="0072600F" w:rsidP="00A55BDA" w14:paraId="6638811F" w14:textId="77777777">
      <w:pPr>
        <w:pStyle w:val="Heading3"/>
        <w:rPr>
          <w:b/>
          <w:sz w:val="26"/>
        </w:rPr>
      </w:pPr>
      <w:bookmarkStart w:id="302" w:name="_Toc149903679"/>
      <w:r w:rsidRPr="0072600F">
        <w:rPr>
          <w:b/>
          <w:sz w:val="26"/>
        </w:rPr>
        <w:t>11.3</w:t>
      </w:r>
      <w:r w:rsidRPr="0072600F">
        <w:rPr>
          <w:b/>
          <w:sz w:val="26"/>
        </w:rPr>
        <w:tab/>
        <w:t>Execution and Filing.</w:t>
      </w:r>
      <w:bookmarkEnd w:id="302"/>
    </w:p>
    <w:p w:rsidR="00911580" w:rsidRPr="0072600F" w14:paraId="20BE5DE7"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Simultaneously with submitting the executed LGIA to Transmission Provider, or within ten (10) Business Days after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requests that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file the LGIA unexecuted at the Commission, Interconnection Customer shall provide Transmission Provider with</w:t>
      </w:r>
      <w:r w:rsidRPr="0072600F" w:rsidR="00922461">
        <w:rPr>
          <w:rFonts w:ascii="Times New Roman" w:hAnsi="Times New Roman" w:cs="Times New Roman"/>
          <w:sz w:val="26"/>
          <w:szCs w:val="26"/>
        </w:rPr>
        <w:t xml:space="preserve"> </w:t>
      </w:r>
      <w:r w:rsidRPr="0072600F" w:rsidR="00922461">
        <w:rPr>
          <w:rFonts w:ascii="Times New Roman" w:hAnsi="Times New Roman" w:cs="Times New Roman"/>
          <w:i/>
          <w:iCs/>
          <w:sz w:val="26"/>
          <w:szCs w:val="26"/>
        </w:rPr>
        <w:t xml:space="preserve">the following: </w:t>
      </w:r>
      <w:r w:rsidRPr="0072600F">
        <w:rPr>
          <w:rFonts w:ascii="Times New Roman" w:hAnsi="Times New Roman" w:cs="Times New Roman"/>
          <w:sz w:val="26"/>
          <w:szCs w:val="26"/>
        </w:rPr>
        <w:t xml:space="preserve"> (1) demonstration of continued Site Control pursuant to Section 8.1(2) of this LGIP; and (2) the LGIA Deposit equal to twenty percent (20%) of Interconnection Customer’s estimated Network Upgrade costs identified in the draft LGIA minus the total amount of Commercial Readiness Deposits that Interconnection Customer has provided to Transmission Provider for its Interconnection Request.  Transmission Provider shall use LGIA Deposit as (or as a portion of)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security required under LGIA Article 11.5.  Interconnection Customer may not request to suspend its LGIA under LGIA Article 5.16 until Interconnection Customer has provided (1) and (2) to Transmission Provider.  If Interconnection Customer fails to provide (1) and (2) to Transmission Provider within the thirty (30) Calendar Days allowed for returning the executed LGIA and appendices under LGIP Section 11.1, or within ten (10) Business Days after Interconnection Customer requests that Transmission Provider file the LGIA unexecuted at the Commission as allowed in this Section 11.3 of this LGIP, the Interconnection Request will be deemed withdrawn pursuant to Section 3.7 of this LGIP.  </w:t>
      </w:r>
    </w:p>
    <w:p w:rsidR="00911580" w:rsidRPr="0072600F" w14:paraId="42252003" w14:textId="77777777">
      <w:pPr>
        <w:ind w:left="1440"/>
        <w:rPr>
          <w:rFonts w:ascii="Times New Roman" w:hAnsi="Times New Roman" w:cs="Times New Roman"/>
          <w:sz w:val="26"/>
          <w:szCs w:val="26"/>
        </w:rPr>
      </w:pPr>
    </w:p>
    <w:p w:rsidR="00911580" w:rsidRPr="0072600F" w14:paraId="2549FCAA" w14:textId="77777777">
      <w:pPr>
        <w:ind w:left="1440"/>
        <w:rPr>
          <w:rFonts w:ascii="Times New Roman" w:hAnsi="Times New Roman" w:cs="Times New Roman"/>
          <w:sz w:val="26"/>
          <w:szCs w:val="26"/>
        </w:rPr>
      </w:pPr>
      <w:r w:rsidRPr="0072600F">
        <w:rPr>
          <w:rFonts w:ascii="Times New Roman" w:hAnsi="Times New Roman" w:cs="Times New Roman"/>
          <w:sz w:val="26"/>
          <w:szCs w:val="26"/>
        </w:rPr>
        <w:t>At the same time, Interconnection Customer also shall provide reasonable evidence that one or more of the following milestones in the development of the Large Generating Facility, at Interconnection Customer election, has been achieved (unless such milestone is inapplicable due to the characteristics of the Generating Facility):  (</w:t>
      </w:r>
      <w:r w:rsidRPr="0072600F">
        <w:rPr>
          <w:rFonts w:ascii="Times New Roman" w:hAnsi="Times New Roman" w:cs="Times New Roman"/>
          <w:sz w:val="26"/>
          <w:szCs w:val="26"/>
        </w:rPr>
        <w:t>i</w:t>
      </w:r>
      <w:r w:rsidRPr="0072600F">
        <w:rPr>
          <w:rFonts w:ascii="Times New Roman" w:hAnsi="Times New Roman" w:cs="Times New Roman"/>
          <w:sz w:val="26"/>
          <w:szCs w:val="26"/>
        </w:rPr>
        <w:t>) the execution of a contract for the supply or transportation of fuel to the Large Generating Facility; (ii) the execution of a contract for the supply of cooling water to the Large Generating Facility; (iii) execution of a contract for the engineering for, procurement of major equipment for, or construction of, the Large Generating Facility; (iv) execution of a contract (or comparable evidence) for the sale of electric energy or capacity from the Large Generating Facility; or (v) application for an air, water, or land use permit.</w:t>
      </w:r>
    </w:p>
    <w:p w:rsidR="00911580" w:rsidRPr="0072600F" w14:paraId="226EDCFA" w14:textId="77777777">
      <w:pPr>
        <w:ind w:left="1440"/>
        <w:rPr>
          <w:rFonts w:ascii="Times New Roman" w:hAnsi="Times New Roman" w:cs="Times New Roman"/>
          <w:sz w:val="26"/>
          <w:szCs w:val="26"/>
        </w:rPr>
      </w:pPr>
    </w:p>
    <w:p w:rsidR="00911580" w:rsidRPr="0072600F" w14:paraId="122026C9"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Interconnection Customer shall either: </w:t>
      </w:r>
      <w:r w:rsidRPr="0072600F" w:rsidR="0060646E">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execute two originals of the tendered LGIA and return them to Transmission Provider; or (ii) request in writing that Transmission Provider file with FERC an LGIA in unexecuted form.  As soon as practicable, but not later than ten (10) Business Days after receiving either the two executed originals of the tendered LGIA (if it does not conform with a FERC-approved </w:t>
      </w:r>
      <w:r w:rsidRPr="0072600F" w:rsidR="005E16EE">
        <w:rPr>
          <w:rFonts w:ascii="Times New Roman" w:hAnsi="Times New Roman" w:cs="Times New Roman"/>
          <w:sz w:val="26"/>
          <w:szCs w:val="26"/>
        </w:rPr>
        <w:t>[</w:t>
      </w:r>
      <w:r w:rsidRPr="0072600F">
        <w:rPr>
          <w:rFonts w:ascii="Times New Roman" w:hAnsi="Times New Roman" w:cs="Times New Roman"/>
          <w:sz w:val="26"/>
          <w:szCs w:val="26"/>
        </w:rPr>
        <w:t>standard form of interconnection agreement</w:t>
      </w:r>
      <w:r w:rsidRPr="0072600F" w:rsidR="005E16EE">
        <w:rPr>
          <w:rFonts w:ascii="Times New Roman" w:hAnsi="Times New Roman" w:cs="Times New Roman"/>
          <w:sz w:val="26"/>
          <w:szCs w:val="26"/>
        </w:rPr>
        <w:t xml:space="preserve">] </w:t>
      </w:r>
      <w:r w:rsidRPr="0072600F" w:rsidR="005E16EE">
        <w:rPr>
          <w:rFonts w:ascii="Times New Roman" w:hAnsi="Times New Roman" w:cs="Times New Roman"/>
          <w:i/>
          <w:iCs/>
          <w:sz w:val="26"/>
          <w:szCs w:val="26"/>
        </w:rPr>
        <w:t>Standard Large Generator Interconnection Agreement</w:t>
      </w:r>
      <w:r w:rsidRPr="0072600F">
        <w:rPr>
          <w:rFonts w:ascii="Times New Roman" w:hAnsi="Times New Roman" w:cs="Times New Roman"/>
          <w:sz w:val="26"/>
          <w:szCs w:val="26"/>
        </w:rPr>
        <w:t>) or the request to file an unexecuted LGIA, Transmission Provider shall file the LGIA with FERC, together with its explanation of any matters as to which Interconnection Customer and Transmission Provider disagree and support for the costs that Transmission Provider proposes to charge to Interconnection Customer under the LGIA.  An unexecuted LGIA should contain terms and conditions deemed appropriate by Transmission Provider for the Interconnection Request.  If the Parties agree to proceed with design, procurement, and construction of facilities and upgrades under the agreed-upon terms of the unexecuted LGIA, they may proceed pending FERC action.</w:t>
      </w:r>
    </w:p>
    <w:p w:rsidR="00911580" w:rsidRPr="0072600F" w14:paraId="767C96D4" w14:textId="77777777">
      <w:pPr>
        <w:rPr>
          <w:rFonts w:ascii="Times New Roman" w:hAnsi="Times New Roman" w:cs="Times New Roman"/>
          <w:sz w:val="26"/>
          <w:szCs w:val="26"/>
        </w:rPr>
      </w:pPr>
    </w:p>
    <w:p w:rsidR="00911580" w:rsidRPr="0072600F" w:rsidP="00A55BDA" w14:paraId="24B32A7E" w14:textId="77777777">
      <w:pPr>
        <w:pStyle w:val="Heading3"/>
        <w:rPr>
          <w:b/>
          <w:sz w:val="26"/>
        </w:rPr>
      </w:pPr>
      <w:bookmarkStart w:id="303" w:name="_Toc149903680"/>
      <w:r w:rsidRPr="0072600F">
        <w:rPr>
          <w:b/>
          <w:sz w:val="26"/>
        </w:rPr>
        <w:t>11.4</w:t>
      </w:r>
      <w:r w:rsidRPr="0072600F">
        <w:rPr>
          <w:b/>
          <w:sz w:val="26"/>
        </w:rPr>
        <w:tab/>
        <w:t>Commencement of Interconnection Activities.</w:t>
      </w:r>
      <w:bookmarkEnd w:id="303"/>
    </w:p>
    <w:p w:rsidR="00911580" w:rsidRPr="0072600F" w14:paraId="0871F7C6" w14:textId="77777777">
      <w:pPr>
        <w:ind w:left="1440"/>
        <w:rPr>
          <w:rFonts w:ascii="Times New Roman" w:hAnsi="Times New Roman" w:cs="Times New Roman"/>
          <w:sz w:val="26"/>
          <w:szCs w:val="26"/>
        </w:rPr>
      </w:pPr>
      <w:r w:rsidRPr="0072600F">
        <w:rPr>
          <w:rFonts w:ascii="Times New Roman" w:hAnsi="Times New Roman" w:cs="Times New Roman"/>
          <w:sz w:val="26"/>
          <w:szCs w:val="26"/>
        </w:rPr>
        <w:t>If Interconnection Customer executes the final LGIA, Transmission Provider and Interconnection Customer shall perform their respective obligations in accordance with the terms of the LGIA, subject to modification by FERC.  Upon submission of an unexecuted LGIA, Interconnection Customer and Transmission Provider shall promptly comply with the unexecuted LGIA, subject to modification by FERC.</w:t>
      </w:r>
    </w:p>
    <w:p w:rsidR="00911580" w:rsidRPr="0072600F" w14:paraId="173B0BCC" w14:textId="77777777">
      <w:pPr>
        <w:rPr>
          <w:rFonts w:ascii="Times New Roman" w:hAnsi="Times New Roman" w:cs="Times New Roman"/>
          <w:sz w:val="26"/>
          <w:szCs w:val="26"/>
        </w:rPr>
      </w:pPr>
    </w:p>
    <w:p w:rsidR="00911580" w:rsidRPr="0072600F" w14:paraId="4F4052AC" w14:textId="77777777">
      <w:pPr>
        <w:rPr>
          <w:rFonts w:ascii="Times New Roman" w:hAnsi="Times New Roman" w:cs="Times New Roman"/>
          <w:sz w:val="26"/>
          <w:szCs w:val="26"/>
        </w:rPr>
      </w:pPr>
    </w:p>
    <w:p w:rsidR="00911580" w:rsidRPr="0072600F" w:rsidP="00960A78" w14:paraId="71B067D9" w14:textId="77777777">
      <w:pPr>
        <w:pStyle w:val="Heading2"/>
        <w:ind w:left="1440" w:hanging="1440"/>
        <w:rPr>
          <w:b/>
          <w:bCs/>
          <w:sz w:val="26"/>
          <w:szCs w:val="26"/>
        </w:rPr>
      </w:pPr>
      <w:bookmarkStart w:id="304" w:name="_Toc149903681"/>
      <w:r w:rsidRPr="0072600F">
        <w:rPr>
          <w:b/>
          <w:bCs/>
          <w:sz w:val="26"/>
          <w:szCs w:val="26"/>
        </w:rPr>
        <w:t>Section 12.</w:t>
      </w:r>
      <w:r w:rsidRPr="0072600F">
        <w:rPr>
          <w:b/>
          <w:bCs/>
          <w:sz w:val="26"/>
          <w:szCs w:val="26"/>
        </w:rPr>
        <w:tab/>
        <w:t>Construction of Transmission Provider</w:t>
      </w:r>
      <w:r w:rsidRPr="0072600F" w:rsidR="00BD11B3">
        <w:rPr>
          <w:b/>
          <w:bCs/>
          <w:sz w:val="26"/>
          <w:szCs w:val="26"/>
        </w:rPr>
        <w:t>’</w:t>
      </w:r>
      <w:r w:rsidRPr="0072600F">
        <w:rPr>
          <w:b/>
          <w:bCs/>
          <w:sz w:val="26"/>
          <w:szCs w:val="26"/>
        </w:rPr>
        <w:t>s Interconnection Facilities and Network Upgrades</w:t>
      </w:r>
      <w:bookmarkEnd w:id="304"/>
    </w:p>
    <w:p w:rsidR="00911580" w:rsidRPr="0072600F" w14:paraId="178CE818" w14:textId="77777777">
      <w:pPr>
        <w:rPr>
          <w:rFonts w:ascii="Times New Roman" w:hAnsi="Times New Roman" w:cs="Times New Roman"/>
          <w:b/>
          <w:bCs/>
          <w:sz w:val="26"/>
          <w:szCs w:val="26"/>
        </w:rPr>
      </w:pPr>
    </w:p>
    <w:p w:rsidR="00911580" w:rsidRPr="0072600F" w:rsidP="00A55BDA" w14:paraId="13B0A8BA" w14:textId="77777777">
      <w:pPr>
        <w:pStyle w:val="Heading3"/>
        <w:ind w:left="0" w:firstLine="0"/>
        <w:rPr>
          <w:b/>
          <w:sz w:val="26"/>
        </w:rPr>
      </w:pPr>
      <w:r w:rsidRPr="0072600F">
        <w:rPr>
          <w:sz w:val="26"/>
        </w:rPr>
        <w:tab/>
      </w:r>
      <w:bookmarkStart w:id="305" w:name="_Toc149903682"/>
      <w:r w:rsidRPr="0072600F">
        <w:rPr>
          <w:b/>
          <w:sz w:val="26"/>
        </w:rPr>
        <w:t>12.1</w:t>
      </w:r>
      <w:r w:rsidRPr="0072600F">
        <w:rPr>
          <w:b/>
          <w:sz w:val="26"/>
        </w:rPr>
        <w:tab/>
        <w:t>Schedule.</w:t>
      </w:r>
      <w:bookmarkEnd w:id="305"/>
    </w:p>
    <w:p w:rsidR="00911580" w:rsidRPr="0072600F" w14:paraId="7B45B066"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Transmission Provider and Interconnection Customer shall negotiate in good faith concerning a schedule for the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the Network Upgrades.</w:t>
      </w:r>
    </w:p>
    <w:p w:rsidR="00911580" w:rsidRPr="0072600F" w14:paraId="3B8D282D" w14:textId="77777777">
      <w:pPr>
        <w:rPr>
          <w:rFonts w:ascii="Times New Roman" w:hAnsi="Times New Roman" w:cs="Times New Roman"/>
          <w:sz w:val="26"/>
          <w:szCs w:val="26"/>
        </w:rPr>
      </w:pPr>
    </w:p>
    <w:p w:rsidR="00911580" w:rsidRPr="0072600F" w:rsidP="001D4197" w14:paraId="314B0836" w14:textId="77777777">
      <w:pPr>
        <w:pStyle w:val="Heading3"/>
        <w:ind w:left="0" w:firstLine="0"/>
        <w:rPr>
          <w:b/>
          <w:sz w:val="26"/>
        </w:rPr>
      </w:pPr>
      <w:r w:rsidRPr="0072600F">
        <w:rPr>
          <w:sz w:val="26"/>
        </w:rPr>
        <w:tab/>
      </w:r>
      <w:bookmarkStart w:id="306" w:name="_Toc149903683"/>
      <w:r w:rsidRPr="0072600F">
        <w:rPr>
          <w:b/>
          <w:sz w:val="26"/>
        </w:rPr>
        <w:t>12.2</w:t>
      </w:r>
      <w:r w:rsidRPr="0072600F">
        <w:rPr>
          <w:b/>
          <w:sz w:val="26"/>
        </w:rPr>
        <w:tab/>
        <w:t>Construction Sequencing.</w:t>
      </w:r>
      <w:bookmarkEnd w:id="306"/>
    </w:p>
    <w:p w:rsidR="00911580" w:rsidRPr="0072600F" w14:paraId="2686CC7F" w14:textId="77777777">
      <w:pPr>
        <w:rPr>
          <w:rFonts w:ascii="Times New Roman" w:hAnsi="Times New Roman" w:cs="Times New Roman"/>
          <w:sz w:val="26"/>
          <w:szCs w:val="26"/>
        </w:rPr>
      </w:pPr>
    </w:p>
    <w:p w:rsidR="00911580" w:rsidRPr="0072600F" w:rsidP="001D4197" w14:paraId="1C5FE58D" w14:textId="77777777">
      <w:pPr>
        <w:pStyle w:val="Heading4"/>
        <w:rPr>
          <w:b/>
          <w:sz w:val="26"/>
        </w:rPr>
      </w:pPr>
      <w:r w:rsidRPr="0072600F">
        <w:rPr>
          <w:sz w:val="26"/>
        </w:rPr>
        <w:tab/>
      </w:r>
      <w:bookmarkStart w:id="307" w:name="_Toc149903684"/>
      <w:r w:rsidRPr="0072600F">
        <w:rPr>
          <w:b/>
          <w:sz w:val="26"/>
        </w:rPr>
        <w:t>12.2.1</w:t>
      </w:r>
      <w:r w:rsidRPr="0072600F">
        <w:rPr>
          <w:b/>
          <w:sz w:val="26"/>
        </w:rPr>
        <w:tab/>
      </w:r>
      <w:r w:rsidRPr="0072600F">
        <w:rPr>
          <w:b/>
          <w:sz w:val="26"/>
        </w:rPr>
        <w:tab/>
        <w:t>General.</w:t>
      </w:r>
      <w:bookmarkEnd w:id="307"/>
    </w:p>
    <w:p w:rsidR="00911580" w:rsidRPr="0072600F" w14:paraId="25F61BA8" w14:textId="77777777">
      <w:pPr>
        <w:ind w:left="2880"/>
        <w:rPr>
          <w:rFonts w:ascii="Times New Roman" w:hAnsi="Times New Roman" w:cs="Times New Roman"/>
          <w:sz w:val="26"/>
          <w:szCs w:val="26"/>
        </w:rPr>
      </w:pPr>
      <w:r w:rsidRPr="0072600F">
        <w:rPr>
          <w:rFonts w:ascii="Times New Roman" w:hAnsi="Times New Roman" w:cs="Times New Roman"/>
          <w:sz w:val="26"/>
          <w:szCs w:val="26"/>
        </w:rPr>
        <w:t>In general, the In-Service Date of an Interconnection Customer</w:t>
      </w:r>
      <w:r w:rsidRPr="0072600F" w:rsidR="369556C7">
        <w:rPr>
          <w:rFonts w:ascii="Times New Roman" w:hAnsi="Times New Roman" w:cs="Times New Roman"/>
          <w:sz w:val="26"/>
          <w:szCs w:val="26"/>
        </w:rPr>
        <w:t>[</w:t>
      </w:r>
      <w:r w:rsidRPr="0072600F">
        <w:rPr>
          <w:rFonts w:ascii="Times New Roman" w:hAnsi="Times New Roman" w:cs="Times New Roman"/>
          <w:sz w:val="26"/>
          <w:szCs w:val="26"/>
        </w:rPr>
        <w:t>s</w:t>
      </w:r>
      <w:r w:rsidRPr="0072600F" w:rsidR="2E049974">
        <w:rPr>
          <w:rFonts w:ascii="Times New Roman" w:hAnsi="Times New Roman" w:cs="Times New Roman"/>
          <w:sz w:val="26"/>
          <w:szCs w:val="26"/>
        </w:rPr>
        <w:t>]</w:t>
      </w:r>
      <w:r w:rsidRPr="0072600F">
        <w:rPr>
          <w:rFonts w:ascii="Times New Roman" w:hAnsi="Times New Roman" w:cs="Times New Roman"/>
          <w:sz w:val="26"/>
          <w:szCs w:val="26"/>
        </w:rPr>
        <w:t xml:space="preserve"> seeking interconnection to the Transmission System will determine the sequence of construction of Network Upgrades.</w:t>
      </w:r>
    </w:p>
    <w:p w:rsidR="00911580" w:rsidRPr="0072600F" w14:paraId="6D8FAFCE" w14:textId="77777777">
      <w:pPr>
        <w:rPr>
          <w:rFonts w:ascii="Times New Roman" w:hAnsi="Times New Roman" w:cs="Times New Roman"/>
          <w:sz w:val="26"/>
          <w:szCs w:val="26"/>
        </w:rPr>
      </w:pPr>
    </w:p>
    <w:p w:rsidR="00911580" w:rsidRPr="0072600F" w:rsidP="00EE695C" w14:paraId="3C585F62" w14:textId="77777777">
      <w:pPr>
        <w:pStyle w:val="Heading4"/>
        <w:ind w:left="2880" w:hanging="2160"/>
        <w:rPr>
          <w:sz w:val="26"/>
        </w:rPr>
      </w:pPr>
      <w:r w:rsidRPr="0072600F">
        <w:rPr>
          <w:sz w:val="26"/>
        </w:rPr>
        <w:tab/>
      </w:r>
      <w:bookmarkStart w:id="308" w:name="_Toc149903685"/>
      <w:r w:rsidRPr="0072600F">
        <w:rPr>
          <w:b/>
          <w:sz w:val="26"/>
        </w:rPr>
        <w:t>12.2.2</w:t>
      </w:r>
      <w:r w:rsidRPr="0072600F">
        <w:rPr>
          <w:b/>
          <w:bCs/>
          <w:sz w:val="26"/>
        </w:rPr>
        <w:tab/>
      </w:r>
      <w:r w:rsidRPr="0072600F">
        <w:rPr>
          <w:sz w:val="26"/>
        </w:rPr>
        <w:tab/>
      </w:r>
      <w:r w:rsidRPr="0072600F">
        <w:rPr>
          <w:b/>
          <w:sz w:val="26"/>
        </w:rPr>
        <w:t>Advance Construction of Network Upgrades that are an Obligation of an Entity other than Interconnection Customer.</w:t>
      </w:r>
      <w:bookmarkEnd w:id="308"/>
    </w:p>
    <w:p w:rsidR="00911580" w:rsidRPr="0072600F" w14:paraId="254FFBA9" w14:textId="77777777">
      <w:pPr>
        <w:ind w:left="2880"/>
        <w:rPr>
          <w:rFonts w:ascii="Times New Roman" w:hAnsi="Times New Roman" w:cs="Times New Roman"/>
          <w:sz w:val="26"/>
          <w:szCs w:val="26"/>
        </w:rPr>
      </w:pPr>
      <w:r w:rsidRPr="0072600F">
        <w:rPr>
          <w:rFonts w:ascii="Times New Roman" w:hAnsi="Times New Roman" w:cs="Times New Roman"/>
          <w:sz w:val="26"/>
          <w:szCs w:val="26"/>
        </w:rPr>
        <w:t>An Interconnection Customer with an LGIA, in order to maintain its In-Service Date, may request that Transmission Provider advance to the extent necessary the completion of Network Upgrades that: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were assumed in the Interconnection Studies for such Interconnection Customer, (ii) are necessary to support such In-Service Date, and (iii) would otherwise not be completed, pursuant to a contractual obligation of an entity other than Interconnection Customer that is seeking interconnection to the Transmission System, in time to support such In-Service Date.  Upon such request, Transmission Provider will use Reasonable Efforts to advance the construction of such Network Upgrades to accommodate such request; provided that Interconnection Customer commits to pay Transmission Provider: </w:t>
      </w:r>
      <w:r w:rsidRPr="0072600F" w:rsidR="0060646E">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any associated expediting costs and (ii) the cost of such Network Upgrades.</w:t>
      </w:r>
    </w:p>
    <w:p w:rsidR="00911580" w:rsidRPr="0072600F" w14:paraId="087639B2" w14:textId="77777777">
      <w:pPr>
        <w:rPr>
          <w:rFonts w:ascii="Times New Roman" w:hAnsi="Times New Roman" w:cs="Times New Roman"/>
          <w:sz w:val="26"/>
          <w:szCs w:val="26"/>
        </w:rPr>
      </w:pPr>
    </w:p>
    <w:p w:rsidR="00911580" w:rsidRPr="0072600F" w14:paraId="3A901717" w14:textId="77777777">
      <w:pPr>
        <w:ind w:left="2880"/>
        <w:rPr>
          <w:rFonts w:ascii="Times New Roman" w:hAnsi="Times New Roman" w:cs="Times New Roman"/>
          <w:sz w:val="26"/>
          <w:szCs w:val="26"/>
        </w:rPr>
      </w:pPr>
      <w:r w:rsidRPr="0072600F">
        <w:rPr>
          <w:rFonts w:ascii="Times New Roman" w:hAnsi="Times New Roman" w:cs="Times New Roman"/>
          <w:sz w:val="26"/>
          <w:szCs w:val="26"/>
        </w:rPr>
        <w:t>Transmission Provider will refund to Interconnection Customer both the expediting costs and the cost of Network Upgrades, in accordance with Article 11.4 of the LGIA.  Consequently, the entity with a contractual obligation to construct such Network Upgrades shall be obligated to pay only that portion of the costs of the Network Upgrades that Transmission Provider has not refunded to Interconnection Customer.  Payment by that entity shall be due on the date that it would have been due had there been no request for advance construction.  Transmission Provider shall forward to Interconnection Customer the amount paid by the entity with a contractual obligation to construct the Network Upgrades as payment in full for the outstanding balance owed to Interconnection Customer.  Transmission Provider then shall refund to that entity the amount that it paid for the Network Upgrades, in accordance with Article 11.4 of the LGIA.</w:t>
      </w:r>
    </w:p>
    <w:p w:rsidR="00911580" w:rsidRPr="0072600F" w14:paraId="44D29463" w14:textId="77777777">
      <w:pPr>
        <w:rPr>
          <w:rFonts w:ascii="Times New Roman" w:hAnsi="Times New Roman" w:cs="Times New Roman"/>
          <w:sz w:val="26"/>
          <w:szCs w:val="26"/>
        </w:rPr>
      </w:pPr>
    </w:p>
    <w:p w:rsidR="00911580" w:rsidRPr="0072600F" w:rsidP="00EE695C" w14:paraId="5D937B4C" w14:textId="77777777">
      <w:pPr>
        <w:pStyle w:val="Heading4"/>
        <w:ind w:left="2880" w:hanging="2160"/>
        <w:rPr>
          <w:b/>
          <w:sz w:val="26"/>
        </w:rPr>
      </w:pPr>
      <w:r w:rsidRPr="0072600F">
        <w:rPr>
          <w:sz w:val="26"/>
        </w:rPr>
        <w:tab/>
      </w:r>
      <w:bookmarkStart w:id="309" w:name="_Toc149903686"/>
      <w:r w:rsidRPr="0072600F">
        <w:rPr>
          <w:b/>
          <w:sz w:val="26"/>
        </w:rPr>
        <w:t>12.2.3</w:t>
      </w:r>
      <w:r w:rsidRPr="0072600F">
        <w:rPr>
          <w:b/>
          <w:bCs/>
          <w:sz w:val="26"/>
        </w:rPr>
        <w:tab/>
      </w:r>
      <w:r w:rsidRPr="0072600F">
        <w:rPr>
          <w:b/>
          <w:sz w:val="26"/>
        </w:rPr>
        <w:tab/>
        <w:t xml:space="preserve">Advancing Construction of Network Upgrades that are Part of an Expansion Plan of </w:t>
      </w:r>
      <w:r w:rsidRPr="0072600F" w:rsidR="00C6044A">
        <w:rPr>
          <w:b/>
          <w:sz w:val="26"/>
        </w:rPr>
        <w:t>[</w:t>
      </w:r>
      <w:r w:rsidRPr="0072600F">
        <w:rPr>
          <w:b/>
          <w:sz w:val="26"/>
        </w:rPr>
        <w:t>the</w:t>
      </w:r>
      <w:r w:rsidRPr="0072600F" w:rsidR="00C6044A">
        <w:rPr>
          <w:b/>
          <w:sz w:val="26"/>
        </w:rPr>
        <w:t>]</w:t>
      </w:r>
      <w:r w:rsidRPr="0072600F">
        <w:rPr>
          <w:b/>
          <w:sz w:val="26"/>
        </w:rPr>
        <w:t xml:space="preserve"> Transmission Provider.</w:t>
      </w:r>
      <w:bookmarkEnd w:id="309"/>
    </w:p>
    <w:p w:rsidR="00911580" w:rsidRPr="0072600F" w14:paraId="7DEDEA92" w14:textId="77777777">
      <w:pPr>
        <w:ind w:left="2880"/>
        <w:rPr>
          <w:rFonts w:ascii="Times New Roman" w:hAnsi="Times New Roman" w:cs="Times New Roman"/>
          <w:sz w:val="26"/>
          <w:szCs w:val="26"/>
        </w:rPr>
      </w:pPr>
      <w:r w:rsidRPr="0072600F">
        <w:rPr>
          <w:rFonts w:ascii="Times New Roman" w:hAnsi="Times New Roman" w:cs="Times New Roman"/>
          <w:sz w:val="26"/>
          <w:szCs w:val="26"/>
        </w:rPr>
        <w:t>An Interconnection Customer with an LGIA, in order to maintain its In-Service Date, may request that Transmission Provider advance to the extent necessary the completion of Network Upgrades that:  (</w:t>
      </w:r>
      <w:r w:rsidRPr="0072600F">
        <w:rPr>
          <w:rFonts w:ascii="Times New Roman" w:hAnsi="Times New Roman" w:cs="Times New Roman"/>
          <w:sz w:val="26"/>
          <w:szCs w:val="26"/>
        </w:rPr>
        <w:t>i</w:t>
      </w:r>
      <w:r w:rsidRPr="0072600F">
        <w:rPr>
          <w:rFonts w:ascii="Times New Roman" w:hAnsi="Times New Roman" w:cs="Times New Roman"/>
          <w:sz w:val="26"/>
          <w:szCs w:val="26"/>
        </w:rPr>
        <w:t>) are necessary to support such In-Service Date and (ii) would otherwise not be completed, pursuant to an expansion plan of Transmission Provider, in time to support such In-Service Date.  Upon such request, Transmission Provider will use Reasonable Efforts to advance the construction of such Network Upgrades to accommodate such request; provided that Interconnection Customer commits to pay Transmission Provider any associated expediting costs.  Interconnection Customer shall be entitled to transmission credits, if any, for any expediting costs paid.</w:t>
      </w:r>
    </w:p>
    <w:p w:rsidR="00911580" w:rsidRPr="0072600F" w14:paraId="2B4CECAF" w14:textId="77777777">
      <w:pPr>
        <w:rPr>
          <w:rFonts w:ascii="Times New Roman" w:hAnsi="Times New Roman" w:cs="Times New Roman"/>
          <w:sz w:val="26"/>
          <w:szCs w:val="26"/>
        </w:rPr>
      </w:pPr>
    </w:p>
    <w:p w:rsidR="00911580" w:rsidRPr="0072600F" w14:paraId="4120C2FA" w14:textId="77777777">
      <w:pPr>
        <w:rPr>
          <w:rFonts w:ascii="Times New Roman" w:hAnsi="Times New Roman" w:cs="Times New Roman"/>
          <w:sz w:val="26"/>
          <w:szCs w:val="26"/>
        </w:rPr>
      </w:pPr>
    </w:p>
    <w:p w:rsidR="00911580" w:rsidRPr="0072600F" w14:paraId="20E4BCA6" w14:textId="77777777">
      <w:pPr>
        <w:rPr>
          <w:rFonts w:ascii="Times New Roman" w:hAnsi="Times New Roman" w:cs="Times New Roman"/>
          <w:sz w:val="26"/>
          <w:szCs w:val="26"/>
        </w:rPr>
      </w:pPr>
    </w:p>
    <w:p w:rsidR="00911580" w:rsidRPr="0072600F" w:rsidP="001D4197" w14:paraId="0225FF41" w14:textId="77777777">
      <w:pPr>
        <w:pStyle w:val="Heading4"/>
        <w:rPr>
          <w:b/>
          <w:sz w:val="26"/>
        </w:rPr>
      </w:pPr>
      <w:r w:rsidRPr="0072600F">
        <w:rPr>
          <w:sz w:val="26"/>
        </w:rPr>
        <w:tab/>
      </w:r>
      <w:bookmarkStart w:id="310" w:name="_Toc149903687"/>
      <w:r w:rsidRPr="0072600F">
        <w:rPr>
          <w:b/>
          <w:sz w:val="26"/>
        </w:rPr>
        <w:t>12.2.4</w:t>
      </w:r>
      <w:r w:rsidRPr="0072600F">
        <w:rPr>
          <w:b/>
          <w:sz w:val="26"/>
        </w:rPr>
        <w:tab/>
      </w:r>
      <w:r w:rsidRPr="0072600F">
        <w:rPr>
          <w:b/>
          <w:sz w:val="26"/>
        </w:rPr>
        <w:tab/>
        <w:t>Amended Interconnection Cluster Study Report.</w:t>
      </w:r>
      <w:bookmarkEnd w:id="310"/>
    </w:p>
    <w:p w:rsidR="00911580" w:rsidRPr="0072600F" w14:paraId="06BE1704" w14:textId="77777777">
      <w:pPr>
        <w:ind w:left="2880"/>
        <w:rPr>
          <w:rFonts w:ascii="Times New Roman" w:hAnsi="Times New Roman" w:cs="Times New Roman"/>
          <w:sz w:val="26"/>
          <w:szCs w:val="26"/>
        </w:rPr>
      </w:pPr>
      <w:r w:rsidRPr="0072600F">
        <w:rPr>
          <w:rFonts w:ascii="Times New Roman" w:hAnsi="Times New Roman" w:cs="Times New Roman"/>
          <w:sz w:val="26"/>
          <w:szCs w:val="26"/>
        </w:rPr>
        <w:t>An Interconnection Cluster Study Report will be amended to determine the facilities necessary to support the requested In-Service Date.  This amended study report will include those transmission and Large Generating Facilities that are expected to be in service on or before the requested In-Service Date.</w:t>
      </w:r>
    </w:p>
    <w:p w:rsidR="00911580" w:rsidRPr="0072600F" w14:paraId="4585A2FC" w14:textId="77777777">
      <w:pPr>
        <w:rPr>
          <w:rFonts w:ascii="Times New Roman" w:hAnsi="Times New Roman" w:cs="Times New Roman"/>
          <w:sz w:val="26"/>
          <w:szCs w:val="26"/>
        </w:rPr>
      </w:pPr>
    </w:p>
    <w:p w:rsidR="00911580" w:rsidRPr="0072600F" w14:paraId="32CA86AA" w14:textId="77777777">
      <w:pPr>
        <w:rPr>
          <w:rFonts w:ascii="Times New Roman" w:hAnsi="Times New Roman" w:cs="Times New Roman"/>
          <w:sz w:val="26"/>
          <w:szCs w:val="26"/>
        </w:rPr>
      </w:pPr>
    </w:p>
    <w:p w:rsidR="00911580" w:rsidRPr="0072600F" w:rsidP="001D4197" w14:paraId="1E9CEC3F" w14:textId="77777777">
      <w:pPr>
        <w:pStyle w:val="Heading2"/>
        <w:rPr>
          <w:b/>
          <w:bCs/>
          <w:sz w:val="26"/>
          <w:szCs w:val="26"/>
        </w:rPr>
      </w:pPr>
      <w:bookmarkStart w:id="311" w:name="_Toc149903688"/>
      <w:r w:rsidRPr="0072600F">
        <w:rPr>
          <w:b/>
          <w:bCs/>
          <w:sz w:val="26"/>
          <w:szCs w:val="26"/>
        </w:rPr>
        <w:t>Section 13.</w:t>
      </w:r>
      <w:r w:rsidRPr="0072600F">
        <w:rPr>
          <w:b/>
          <w:bCs/>
          <w:sz w:val="26"/>
          <w:szCs w:val="26"/>
        </w:rPr>
        <w:tab/>
        <w:t>Miscellaneous</w:t>
      </w:r>
      <w:bookmarkEnd w:id="311"/>
    </w:p>
    <w:p w:rsidR="00911580" w:rsidRPr="0072600F" w14:paraId="051FE11E" w14:textId="77777777">
      <w:pPr>
        <w:rPr>
          <w:rFonts w:ascii="Times New Roman" w:hAnsi="Times New Roman" w:cs="Times New Roman"/>
          <w:b/>
          <w:bCs/>
          <w:sz w:val="26"/>
          <w:szCs w:val="26"/>
        </w:rPr>
      </w:pPr>
    </w:p>
    <w:p w:rsidR="00911580" w:rsidRPr="0072600F" w:rsidP="001D4197" w14:paraId="330BE02A" w14:textId="77777777">
      <w:pPr>
        <w:pStyle w:val="Heading3"/>
        <w:ind w:left="0" w:firstLine="0"/>
        <w:rPr>
          <w:b/>
          <w:sz w:val="26"/>
        </w:rPr>
      </w:pPr>
      <w:r w:rsidRPr="0072600F">
        <w:rPr>
          <w:b/>
          <w:sz w:val="26"/>
        </w:rPr>
        <w:tab/>
      </w:r>
      <w:bookmarkStart w:id="312" w:name="_Toc149903689"/>
      <w:r w:rsidRPr="0072600F">
        <w:rPr>
          <w:b/>
          <w:sz w:val="26"/>
        </w:rPr>
        <w:t>13.1</w:t>
      </w:r>
      <w:r w:rsidRPr="0072600F">
        <w:rPr>
          <w:b/>
          <w:sz w:val="26"/>
        </w:rPr>
        <w:tab/>
        <w:t>Confidentiality.</w:t>
      </w:r>
      <w:bookmarkEnd w:id="312"/>
    </w:p>
    <w:p w:rsidR="00911580" w:rsidRPr="0072600F" w14:paraId="69A381CC" w14:textId="77777777">
      <w:pPr>
        <w:ind w:left="1440"/>
        <w:rPr>
          <w:rFonts w:ascii="Times New Roman" w:hAnsi="Times New Roman" w:cs="Times New Roman"/>
          <w:sz w:val="26"/>
          <w:szCs w:val="26"/>
        </w:rPr>
      </w:pPr>
      <w:r w:rsidRPr="0072600F">
        <w:rPr>
          <w:rFonts w:ascii="Times New Roman" w:hAnsi="Times New Roman" w:cs="Times New Roman"/>
          <w:sz w:val="26"/>
          <w:szCs w:val="26"/>
        </w:rPr>
        <w:t>Confidential Information shall include, without limitation, all information relating to a Party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technology, research and development, business affairs, and pricing, and any information supplied by either of the Parties to the other prior to the execution of an LGIA.</w:t>
      </w:r>
    </w:p>
    <w:p w:rsidR="00911580" w:rsidRPr="0072600F" w14:paraId="40B76772" w14:textId="77777777">
      <w:pPr>
        <w:rPr>
          <w:rFonts w:ascii="Times New Roman" w:hAnsi="Times New Roman" w:cs="Times New Roman"/>
          <w:sz w:val="26"/>
          <w:szCs w:val="26"/>
        </w:rPr>
      </w:pPr>
    </w:p>
    <w:p w:rsidR="00911580" w:rsidRPr="0072600F" w14:paraId="57084F50" w14:textId="77777777">
      <w:pPr>
        <w:ind w:left="1440"/>
        <w:rPr>
          <w:rFonts w:ascii="Times New Roman" w:hAnsi="Times New Roman" w:cs="Times New Roman"/>
          <w:sz w:val="26"/>
          <w:szCs w:val="26"/>
        </w:rPr>
      </w:pPr>
      <w:r w:rsidRPr="0072600F">
        <w:rPr>
          <w:rFonts w:ascii="Times New Roman" w:hAnsi="Times New Roman" w:cs="Times New Roman"/>
          <w:sz w:val="26"/>
          <w:szCs w:val="26"/>
        </w:rPr>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rsidR="00911580" w:rsidRPr="0072600F" w14:paraId="74D7942A" w14:textId="77777777">
      <w:pPr>
        <w:rPr>
          <w:rFonts w:ascii="Times New Roman" w:hAnsi="Times New Roman" w:cs="Times New Roman"/>
          <w:sz w:val="26"/>
          <w:szCs w:val="26"/>
        </w:rPr>
      </w:pPr>
    </w:p>
    <w:p w:rsidR="00911580" w:rsidRPr="0072600F" w14:paraId="0D5C02E0" w14:textId="77777777">
      <w:pPr>
        <w:ind w:left="1440"/>
        <w:rPr>
          <w:rFonts w:ascii="Times New Roman" w:hAnsi="Times New Roman" w:cs="Times New Roman"/>
          <w:sz w:val="26"/>
          <w:szCs w:val="26"/>
        </w:rPr>
      </w:pPr>
      <w:r w:rsidRPr="0072600F">
        <w:rPr>
          <w:rFonts w:ascii="Times New Roman" w:hAnsi="Times New Roman" w:cs="Times New Roman"/>
          <w:sz w:val="26"/>
          <w:szCs w:val="26"/>
        </w:rPr>
        <w:t>If requested by either Party, the other Party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911580" w:rsidRPr="0072600F" w14:paraId="1DE70958" w14:textId="77777777">
      <w:pPr>
        <w:rPr>
          <w:rFonts w:ascii="Times New Roman" w:hAnsi="Times New Roman" w:cs="Times New Roman"/>
          <w:sz w:val="26"/>
          <w:szCs w:val="26"/>
        </w:rPr>
      </w:pPr>
    </w:p>
    <w:p w:rsidR="00911580" w:rsidRPr="0072600F" w:rsidP="000113D3" w14:paraId="435E30C3" w14:textId="77777777">
      <w:pPr>
        <w:pStyle w:val="Heading4"/>
        <w:rPr>
          <w:b/>
          <w:sz w:val="26"/>
        </w:rPr>
      </w:pPr>
      <w:r w:rsidRPr="0072600F">
        <w:rPr>
          <w:sz w:val="26"/>
        </w:rPr>
        <w:tab/>
      </w:r>
      <w:bookmarkStart w:id="313" w:name="_Toc149903690"/>
      <w:r w:rsidRPr="0072600F">
        <w:rPr>
          <w:b/>
          <w:sz w:val="26"/>
        </w:rPr>
        <w:t>13.1.1</w:t>
      </w:r>
      <w:r w:rsidRPr="0072600F">
        <w:rPr>
          <w:b/>
          <w:sz w:val="26"/>
        </w:rPr>
        <w:tab/>
      </w:r>
      <w:r w:rsidRPr="0072600F">
        <w:rPr>
          <w:b/>
          <w:sz w:val="26"/>
        </w:rPr>
        <w:tab/>
        <w:t>Scope.</w:t>
      </w:r>
      <w:bookmarkEnd w:id="313"/>
    </w:p>
    <w:p w:rsidR="00911580" w:rsidRPr="0072600F" w14:paraId="0F8180BC"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Confidential Information shall not include information that the receiving Party can demonstrate: </w:t>
      </w:r>
      <w:r w:rsidRPr="0072600F" w:rsidR="0060646E">
        <w:rPr>
          <w:rFonts w:ascii="Times New Roman" w:hAnsi="Times New Roman" w:cs="Times New Roman"/>
          <w:sz w:val="26"/>
          <w:szCs w:val="26"/>
        </w:rPr>
        <w:t xml:space="preserve"> </w:t>
      </w:r>
      <w:r w:rsidRPr="0072600F">
        <w:rPr>
          <w:rFonts w:ascii="Times New Roman" w:hAnsi="Times New Roman" w:cs="Times New Roman"/>
          <w:sz w:val="26"/>
          <w:szCs w:val="26"/>
        </w:rPr>
        <w:t>(1)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the LGIA; or (6) is required, in accordance with Section 13.1.6</w:t>
      </w:r>
      <w:r w:rsidRPr="0072600F" w:rsidR="157155C9">
        <w:rPr>
          <w:rFonts w:ascii="Times New Roman" w:hAnsi="Times New Roman" w:cs="Times New Roman"/>
          <w:sz w:val="26"/>
          <w:szCs w:val="26"/>
        </w:rPr>
        <w:t xml:space="preserve"> </w:t>
      </w:r>
      <w:r w:rsidRPr="0072600F" w:rsidR="157155C9">
        <w:rPr>
          <w:rFonts w:ascii="Times New Roman" w:hAnsi="Times New Roman" w:cs="Times New Roman"/>
          <w:i/>
          <w:iCs/>
          <w:sz w:val="26"/>
          <w:szCs w:val="26"/>
        </w:rPr>
        <w:t>of this LGIP</w:t>
      </w:r>
      <w:r w:rsidRPr="0072600F">
        <w:rPr>
          <w:rFonts w:ascii="Times New Roman" w:hAnsi="Times New Roman" w:cs="Times New Roman"/>
          <w:sz w:val="26"/>
          <w:szCs w:val="26"/>
        </w:rPr>
        <w:t xml:space="preserve">, Order of Disclosure, to be disclosed by any Governmental Authority or is otherwise required to be disclosed by law or subpoena, or is necessary in any legal proceeding establishing rights and obligations under the </w:t>
      </w:r>
    </w:p>
    <w:p w:rsidR="00911580" w:rsidRPr="0072600F" w14:paraId="7634623E" w14:textId="77777777">
      <w:pPr>
        <w:ind w:left="2880"/>
        <w:rPr>
          <w:rFonts w:ascii="Times New Roman" w:hAnsi="Times New Roman" w:cs="Times New Roman"/>
          <w:sz w:val="26"/>
          <w:szCs w:val="26"/>
        </w:rPr>
      </w:pPr>
    </w:p>
    <w:p w:rsidR="00911580" w:rsidRPr="0072600F" w14:paraId="52A9DC55" w14:textId="77777777">
      <w:pPr>
        <w:ind w:left="2880"/>
        <w:rPr>
          <w:rFonts w:ascii="Times New Roman" w:hAnsi="Times New Roman" w:cs="Times New Roman"/>
          <w:sz w:val="26"/>
          <w:szCs w:val="26"/>
        </w:rPr>
      </w:pPr>
      <w:r w:rsidRPr="0072600F">
        <w:rPr>
          <w:rFonts w:ascii="Times New Roman" w:hAnsi="Times New Roman" w:cs="Times New Roman"/>
          <w:sz w:val="26"/>
          <w:szCs w:val="26"/>
        </w:rPr>
        <w:t>LGIA. Information designated as Confidential Information will no longer be deemed confidential if the Party that designated the information as confidential notifies the other Party that it no longer is confidential.</w:t>
      </w:r>
    </w:p>
    <w:p w:rsidR="00911580" w:rsidRPr="0072600F" w14:paraId="597693CD" w14:textId="77777777">
      <w:pPr>
        <w:rPr>
          <w:rFonts w:ascii="Times New Roman" w:hAnsi="Times New Roman" w:cs="Times New Roman"/>
          <w:sz w:val="26"/>
          <w:szCs w:val="26"/>
        </w:rPr>
      </w:pPr>
    </w:p>
    <w:p w:rsidR="00911580" w:rsidRPr="0072600F" w:rsidP="000113D3" w14:paraId="35110108" w14:textId="77777777">
      <w:pPr>
        <w:pStyle w:val="Heading4"/>
        <w:rPr>
          <w:b/>
          <w:sz w:val="26"/>
        </w:rPr>
      </w:pPr>
      <w:r w:rsidRPr="0072600F">
        <w:rPr>
          <w:sz w:val="26"/>
        </w:rPr>
        <w:tab/>
      </w:r>
      <w:bookmarkStart w:id="314" w:name="_Toc149903691"/>
      <w:r w:rsidRPr="0072600F">
        <w:rPr>
          <w:b/>
          <w:sz w:val="26"/>
        </w:rPr>
        <w:t>13.1.2</w:t>
      </w:r>
      <w:r w:rsidRPr="0072600F">
        <w:rPr>
          <w:b/>
          <w:sz w:val="26"/>
        </w:rPr>
        <w:tab/>
      </w:r>
      <w:r w:rsidRPr="0072600F">
        <w:rPr>
          <w:b/>
          <w:sz w:val="26"/>
        </w:rPr>
        <w:tab/>
        <w:t>Release of Confidential Information.</w:t>
      </w:r>
      <w:bookmarkEnd w:id="314"/>
    </w:p>
    <w:p w:rsidR="00911580" w:rsidRPr="0072600F" w14:paraId="68615669" w14:textId="77777777">
      <w:pPr>
        <w:ind w:left="2880"/>
        <w:rPr>
          <w:rFonts w:ascii="Times New Roman" w:hAnsi="Times New Roman" w:cs="Times New Roman"/>
          <w:sz w:val="26"/>
          <w:szCs w:val="26"/>
        </w:rPr>
      </w:pPr>
      <w:r w:rsidRPr="0072600F">
        <w:rPr>
          <w:rFonts w:ascii="Times New Roman" w:hAnsi="Times New Roman" w:cs="Times New Roman"/>
          <w:sz w:val="26"/>
          <w:szCs w:val="26"/>
        </w:rPr>
        <w:t>Neither Party shall release or disclose Confidential Information to any other person, except to its Affiliates (limited by the Standards of Conduct requirements), employees, consultants, or to parties who may be or considering providing financing to or equity participation with Interconnection Customer, or to potential purchasers or assignees of Interconnection Customer, on a need-to-know basis in connection with these procedures, unless such person has first been advised of the confidentiality provisions of this Section 13.1 and has agreed to comply with such provisions.  Notwithstanding the foregoing, a Party providing Confidential Information to any person shall remain primarily responsible for any release of Confidential Information in contravention of this Section 13.1.</w:t>
      </w:r>
    </w:p>
    <w:p w:rsidR="00911580" w:rsidRPr="0072600F" w14:paraId="793CF76C" w14:textId="77777777">
      <w:pPr>
        <w:rPr>
          <w:rFonts w:ascii="Times New Roman" w:hAnsi="Times New Roman" w:cs="Times New Roman"/>
          <w:sz w:val="26"/>
          <w:szCs w:val="26"/>
        </w:rPr>
      </w:pPr>
    </w:p>
    <w:p w:rsidR="00911580" w:rsidRPr="0072600F" w:rsidP="000113D3" w14:paraId="32ECDF0C" w14:textId="77777777">
      <w:pPr>
        <w:pStyle w:val="Heading4"/>
        <w:rPr>
          <w:b/>
          <w:sz w:val="26"/>
        </w:rPr>
      </w:pPr>
      <w:r w:rsidRPr="0072600F">
        <w:rPr>
          <w:sz w:val="26"/>
        </w:rPr>
        <w:tab/>
      </w:r>
      <w:bookmarkStart w:id="315" w:name="_Toc149903692"/>
      <w:r w:rsidRPr="0072600F">
        <w:rPr>
          <w:b/>
          <w:sz w:val="26"/>
        </w:rPr>
        <w:t>13.1.3</w:t>
      </w:r>
      <w:r w:rsidRPr="0072600F">
        <w:rPr>
          <w:b/>
          <w:sz w:val="26"/>
        </w:rPr>
        <w:tab/>
      </w:r>
      <w:r w:rsidRPr="0072600F">
        <w:rPr>
          <w:b/>
          <w:sz w:val="26"/>
        </w:rPr>
        <w:tab/>
        <w:t>Rights.</w:t>
      </w:r>
      <w:bookmarkEnd w:id="315"/>
    </w:p>
    <w:p w:rsidR="00911580" w:rsidRPr="0072600F" w14:paraId="4435B018" w14:textId="77777777">
      <w:pPr>
        <w:ind w:left="2880"/>
        <w:rPr>
          <w:rFonts w:ascii="Times New Roman" w:hAnsi="Times New Roman" w:cs="Times New Roman"/>
          <w:sz w:val="26"/>
          <w:szCs w:val="26"/>
        </w:rPr>
      </w:pPr>
      <w:r w:rsidRPr="0072600F">
        <w:rPr>
          <w:rFonts w:ascii="Times New Roman" w:hAnsi="Times New Roman" w:cs="Times New Roman"/>
          <w:sz w:val="26"/>
          <w:szCs w:val="26"/>
        </w:rPr>
        <w:t>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p>
    <w:p w:rsidR="00911580" w:rsidRPr="0072600F" w14:paraId="5AB14F4D" w14:textId="77777777">
      <w:pPr>
        <w:rPr>
          <w:rFonts w:ascii="Times New Roman" w:hAnsi="Times New Roman" w:cs="Times New Roman"/>
          <w:sz w:val="26"/>
          <w:szCs w:val="26"/>
        </w:rPr>
      </w:pPr>
    </w:p>
    <w:p w:rsidR="00911580" w:rsidRPr="0072600F" w:rsidP="000113D3" w14:paraId="5F3C1ADB" w14:textId="77777777">
      <w:pPr>
        <w:pStyle w:val="Heading4"/>
        <w:rPr>
          <w:b/>
          <w:sz w:val="26"/>
        </w:rPr>
      </w:pPr>
      <w:r w:rsidRPr="0072600F">
        <w:rPr>
          <w:sz w:val="26"/>
        </w:rPr>
        <w:tab/>
      </w:r>
      <w:bookmarkStart w:id="316" w:name="_Toc149903693"/>
      <w:r w:rsidRPr="0072600F">
        <w:rPr>
          <w:b/>
          <w:sz w:val="26"/>
        </w:rPr>
        <w:t>13.1.4</w:t>
      </w:r>
      <w:r w:rsidRPr="0072600F">
        <w:rPr>
          <w:b/>
          <w:sz w:val="26"/>
        </w:rPr>
        <w:tab/>
      </w:r>
      <w:r w:rsidRPr="0072600F">
        <w:rPr>
          <w:b/>
          <w:sz w:val="26"/>
        </w:rPr>
        <w:tab/>
        <w:t>No Warranties.</w:t>
      </w:r>
      <w:bookmarkEnd w:id="316"/>
    </w:p>
    <w:p w:rsidR="00911580" w:rsidRPr="0072600F" w14:paraId="1FDF3441" w14:textId="77777777">
      <w:pPr>
        <w:ind w:left="2880"/>
        <w:rPr>
          <w:rFonts w:ascii="Times New Roman" w:hAnsi="Times New Roman" w:cs="Times New Roman"/>
          <w:sz w:val="26"/>
          <w:szCs w:val="26"/>
        </w:rPr>
      </w:pPr>
      <w:r w:rsidRPr="0072600F">
        <w:rPr>
          <w:rFonts w:ascii="Times New Roman" w:hAnsi="Times New Roman" w:cs="Times New Roman"/>
          <w:sz w:val="26"/>
          <w:szCs w:val="26"/>
        </w:rPr>
        <w:t>By providing Confidential Information, neither Party makes any warranties or representations as to its accuracy or 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p>
    <w:p w:rsidR="00911580" w:rsidRPr="0072600F" w14:paraId="50E45C48" w14:textId="77777777">
      <w:pPr>
        <w:rPr>
          <w:rFonts w:ascii="Times New Roman" w:hAnsi="Times New Roman" w:cs="Times New Roman"/>
          <w:sz w:val="26"/>
          <w:szCs w:val="26"/>
        </w:rPr>
      </w:pPr>
    </w:p>
    <w:p w:rsidR="00911580" w:rsidRPr="0072600F" w:rsidP="000113D3" w14:paraId="63B5189C" w14:textId="77777777">
      <w:pPr>
        <w:pStyle w:val="Heading4"/>
        <w:rPr>
          <w:b/>
          <w:sz w:val="26"/>
        </w:rPr>
      </w:pPr>
      <w:r w:rsidRPr="0072600F">
        <w:rPr>
          <w:sz w:val="26"/>
        </w:rPr>
        <w:tab/>
      </w:r>
      <w:bookmarkStart w:id="317" w:name="_Toc149903694"/>
      <w:r w:rsidRPr="0072600F">
        <w:rPr>
          <w:b/>
          <w:sz w:val="26"/>
        </w:rPr>
        <w:t>13.1.5</w:t>
      </w:r>
      <w:r w:rsidRPr="0072600F">
        <w:rPr>
          <w:b/>
          <w:sz w:val="26"/>
        </w:rPr>
        <w:tab/>
      </w:r>
      <w:r w:rsidRPr="0072600F">
        <w:rPr>
          <w:b/>
          <w:sz w:val="26"/>
        </w:rPr>
        <w:tab/>
        <w:t>Standard of Care.</w:t>
      </w:r>
      <w:bookmarkEnd w:id="317"/>
    </w:p>
    <w:p w:rsidR="00911580" w:rsidRPr="0072600F" w14:paraId="357E0C70" w14:textId="77777777">
      <w:pPr>
        <w:ind w:left="2880"/>
        <w:rPr>
          <w:rFonts w:ascii="Times New Roman" w:hAnsi="Times New Roman" w:cs="Times New Roman"/>
          <w:sz w:val="26"/>
          <w:szCs w:val="26"/>
        </w:rPr>
      </w:pPr>
      <w:r w:rsidRPr="0072600F">
        <w:rPr>
          <w:rFonts w:ascii="Times New Roman" w:hAnsi="Times New Roman" w:cs="Times New Roman"/>
          <w:sz w:val="26"/>
          <w:szCs w:val="26"/>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these procedures or its regulatory requirements.</w:t>
      </w:r>
    </w:p>
    <w:p w:rsidR="00911580" w:rsidRPr="0072600F" w14:paraId="3FAFF084" w14:textId="77777777">
      <w:pPr>
        <w:rPr>
          <w:rFonts w:ascii="Times New Roman" w:hAnsi="Times New Roman" w:cs="Times New Roman"/>
          <w:sz w:val="26"/>
          <w:szCs w:val="26"/>
        </w:rPr>
      </w:pPr>
    </w:p>
    <w:p w:rsidR="00911580" w:rsidRPr="0072600F" w:rsidP="000113D3" w14:paraId="5BAACAE6" w14:textId="77777777">
      <w:pPr>
        <w:pStyle w:val="Heading4"/>
        <w:rPr>
          <w:b/>
          <w:sz w:val="26"/>
        </w:rPr>
      </w:pPr>
      <w:r w:rsidRPr="0072600F">
        <w:rPr>
          <w:sz w:val="26"/>
        </w:rPr>
        <w:tab/>
      </w:r>
      <w:bookmarkStart w:id="318" w:name="_Toc149903695"/>
      <w:r w:rsidRPr="0072600F">
        <w:rPr>
          <w:b/>
          <w:sz w:val="26"/>
        </w:rPr>
        <w:t>13.1.6</w:t>
      </w:r>
      <w:r w:rsidRPr="0072600F">
        <w:rPr>
          <w:b/>
          <w:sz w:val="26"/>
        </w:rPr>
        <w:tab/>
      </w:r>
      <w:r w:rsidRPr="0072600F">
        <w:rPr>
          <w:b/>
          <w:sz w:val="26"/>
        </w:rPr>
        <w:tab/>
        <w:t>Order of Disclosure.</w:t>
      </w:r>
      <w:bookmarkEnd w:id="318"/>
    </w:p>
    <w:p w:rsidR="00911580" w:rsidRPr="0072600F" w14:paraId="4236B651" w14:textId="77777777">
      <w:pPr>
        <w:ind w:left="2880"/>
        <w:rPr>
          <w:rFonts w:ascii="Times New Roman" w:hAnsi="Times New Roman" w:cs="Times New Roman"/>
          <w:sz w:val="26"/>
          <w:szCs w:val="26"/>
        </w:rPr>
      </w:pPr>
      <w:r w:rsidRPr="0072600F">
        <w:rPr>
          <w:rFonts w:ascii="Times New Roman" w:hAnsi="Times New Roman" w:cs="Times New Roman"/>
          <w:sz w:val="26"/>
          <w:szCs w:val="26"/>
        </w:rPr>
        <w:t>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the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911580" w:rsidRPr="0072600F" w14:paraId="47FD1652" w14:textId="77777777">
      <w:pPr>
        <w:rPr>
          <w:rFonts w:ascii="Times New Roman" w:hAnsi="Times New Roman" w:cs="Times New Roman"/>
          <w:sz w:val="26"/>
          <w:szCs w:val="26"/>
        </w:rPr>
      </w:pPr>
    </w:p>
    <w:p w:rsidR="00911580" w:rsidRPr="0072600F" w:rsidP="000113D3" w14:paraId="534E19E9" w14:textId="77777777">
      <w:pPr>
        <w:pStyle w:val="Heading4"/>
        <w:rPr>
          <w:b/>
          <w:sz w:val="26"/>
        </w:rPr>
      </w:pPr>
      <w:r w:rsidRPr="0072600F">
        <w:rPr>
          <w:sz w:val="26"/>
        </w:rPr>
        <w:tab/>
      </w:r>
      <w:bookmarkStart w:id="319" w:name="_Toc149903696"/>
      <w:r w:rsidRPr="0072600F">
        <w:rPr>
          <w:b/>
          <w:sz w:val="26"/>
        </w:rPr>
        <w:t>13.1.7</w:t>
      </w:r>
      <w:r w:rsidRPr="0072600F">
        <w:rPr>
          <w:b/>
          <w:sz w:val="26"/>
        </w:rPr>
        <w:tab/>
      </w:r>
      <w:r w:rsidRPr="0072600F">
        <w:rPr>
          <w:b/>
          <w:sz w:val="26"/>
        </w:rPr>
        <w:tab/>
        <w:t>Remedies.</w:t>
      </w:r>
      <w:bookmarkEnd w:id="319"/>
    </w:p>
    <w:p w:rsidR="00911580" w:rsidRPr="0072600F" w14:paraId="7644DC7A" w14:textId="77777777">
      <w:pPr>
        <w:ind w:left="2880"/>
        <w:rPr>
          <w:rFonts w:ascii="Times New Roman" w:hAnsi="Times New Roman" w:cs="Times New Roman"/>
          <w:sz w:val="26"/>
          <w:szCs w:val="26"/>
        </w:rPr>
      </w:pPr>
      <w:r w:rsidRPr="0072600F">
        <w:rPr>
          <w:rFonts w:ascii="Times New Roman" w:hAnsi="Times New Roman" w:cs="Times New Roman"/>
          <w:sz w:val="26"/>
          <w:szCs w:val="26"/>
        </w:rPr>
        <w:t>The Parties agree that monetary damages would be inadequate to compensate a Party for the other Party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Breach of its obligations under this Section 13.1.  Each Party accordingly agrees that the other Party shall be entitled to equitable relief, by way of injunction or otherwise, if the first Party Breaches or threatens to Breach its obligations under this Section 13.1, which equitable relief shall be granted without bond or proof of damages, and the receiving Party shall not plead in defense that there would be an adequate remedy at law.  Such remedy shall not be deemed an exclusive remedy for the Breach of this Section 13.1,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Section 13.1.</w:t>
      </w:r>
    </w:p>
    <w:p w:rsidR="00911580" w:rsidRPr="0072600F" w14:paraId="4ACB368C" w14:textId="77777777">
      <w:pPr>
        <w:rPr>
          <w:rFonts w:ascii="Times New Roman" w:hAnsi="Times New Roman" w:cs="Times New Roman"/>
          <w:sz w:val="26"/>
          <w:szCs w:val="26"/>
        </w:rPr>
      </w:pPr>
    </w:p>
    <w:p w:rsidR="00911580" w:rsidRPr="0072600F" w:rsidP="000113D3" w14:paraId="70F86702" w14:textId="77777777">
      <w:pPr>
        <w:pStyle w:val="Heading4"/>
        <w:rPr>
          <w:b/>
          <w:sz w:val="26"/>
        </w:rPr>
      </w:pPr>
      <w:r w:rsidRPr="0072600F">
        <w:rPr>
          <w:sz w:val="26"/>
        </w:rPr>
        <w:tab/>
      </w:r>
      <w:bookmarkStart w:id="320" w:name="_Toc149903697"/>
      <w:r w:rsidRPr="0072600F">
        <w:rPr>
          <w:b/>
          <w:sz w:val="26"/>
        </w:rPr>
        <w:t>13.1.8</w:t>
      </w:r>
      <w:r w:rsidRPr="0072600F">
        <w:rPr>
          <w:b/>
          <w:sz w:val="26"/>
        </w:rPr>
        <w:tab/>
      </w:r>
      <w:r w:rsidRPr="0072600F">
        <w:rPr>
          <w:b/>
          <w:sz w:val="26"/>
        </w:rPr>
        <w:tab/>
        <w:t>Disclosure to FERC, its Staff, or a State.</w:t>
      </w:r>
      <w:bookmarkEnd w:id="320"/>
    </w:p>
    <w:p w:rsidR="00911580" w:rsidRPr="0072600F" w14:paraId="0494A2E1" w14:textId="77777777">
      <w:pPr>
        <w:ind w:left="2880"/>
        <w:rPr>
          <w:rFonts w:ascii="Times New Roman" w:hAnsi="Times New Roman" w:cs="Times New Roman"/>
          <w:sz w:val="26"/>
          <w:szCs w:val="26"/>
        </w:rPr>
      </w:pPr>
      <w:r w:rsidRPr="0072600F">
        <w:rPr>
          <w:rFonts w:ascii="Times New Roman" w:hAnsi="Times New Roman" w:cs="Times New Roman"/>
          <w:sz w:val="26"/>
          <w:szCs w:val="26"/>
        </w:rPr>
        <w:t>Notwithstanding anything in this Section 13.1 to the contrary, and pursuant to 18 CFR section 1b.20, if FERC or its staff, during the course of an investigation or otherwise, requests information from one of the Parties that is otherwise required to be maintained in confidence pursuant to the LGIP,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Party prior to the release of the Confidential Information to FERC or its staff.  The Party shall notify the other Party to the LGIA when it</w:t>
      </w:r>
      <w:r w:rsidRPr="0072600F" w:rsidR="005E0A06">
        <w:rPr>
          <w:rFonts w:ascii="Times New Roman" w:hAnsi="Times New Roman" w:cs="Times New Roman"/>
          <w:sz w:val="26"/>
          <w:szCs w:val="26"/>
        </w:rPr>
        <w:t>[</w:t>
      </w:r>
      <w:r w:rsidRPr="0072600F">
        <w:rPr>
          <w:rFonts w:ascii="Times New Roman" w:hAnsi="Times New Roman" w:cs="Times New Roman"/>
          <w:sz w:val="26"/>
          <w:szCs w:val="26"/>
        </w:rPr>
        <w:t>s</w:t>
      </w:r>
      <w:r w:rsidRPr="0072600F" w:rsidR="005E0A06">
        <w:rPr>
          <w:rFonts w:ascii="Times New Roman" w:hAnsi="Times New Roman" w:cs="Times New Roman"/>
          <w:sz w:val="26"/>
          <w:szCs w:val="26"/>
        </w:rPr>
        <w:t>]</w:t>
      </w:r>
      <w:r w:rsidRPr="0072600F">
        <w:rPr>
          <w:rFonts w:ascii="Times New Roman" w:hAnsi="Times New Roman" w:cs="Times New Roman"/>
          <w:sz w:val="26"/>
          <w:szCs w:val="26"/>
        </w:rPr>
        <w:t xml:space="preserve">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consistent with applicable state rules and regulations.</w:t>
      </w:r>
    </w:p>
    <w:p w:rsidR="00911580" w:rsidRPr="0072600F" w14:paraId="55393B9F" w14:textId="77777777">
      <w:pPr>
        <w:rPr>
          <w:rFonts w:ascii="Times New Roman" w:hAnsi="Times New Roman" w:cs="Times New Roman"/>
          <w:sz w:val="26"/>
          <w:szCs w:val="26"/>
        </w:rPr>
      </w:pPr>
    </w:p>
    <w:p w:rsidR="00911580" w:rsidRPr="0072600F" w14:paraId="0FB13136" w14:textId="77777777">
      <w:pPr>
        <w:tabs>
          <w:tab w:val="left" w:pos="720"/>
          <w:tab w:val="left" w:pos="2880"/>
        </w:tabs>
        <w:ind w:left="2880" w:hanging="2160"/>
        <w:rPr>
          <w:rFonts w:ascii="Times New Roman" w:hAnsi="Times New Roman" w:cs="Times New Roman"/>
          <w:sz w:val="26"/>
          <w:szCs w:val="26"/>
        </w:rPr>
      </w:pPr>
      <w:r w:rsidRPr="0072600F">
        <w:rPr>
          <w:rStyle w:val="Heading4Char"/>
          <w:rFonts w:eastAsiaTheme="minorHAnsi"/>
          <w:sz w:val="26"/>
        </w:rPr>
        <w:t xml:space="preserve">          </w:t>
      </w:r>
      <w:r w:rsidRPr="0072600F">
        <w:rPr>
          <w:rStyle w:val="Heading4Char"/>
          <w:rFonts w:eastAsiaTheme="minorHAnsi"/>
          <w:b/>
          <w:sz w:val="26"/>
        </w:rPr>
        <w:t xml:space="preserve"> </w:t>
      </w:r>
      <w:bookmarkStart w:id="321" w:name="_Toc148644249"/>
      <w:bookmarkStart w:id="322" w:name="_Toc148688807"/>
      <w:bookmarkStart w:id="323" w:name="_Toc149903698"/>
      <w:r w:rsidRPr="0072600F">
        <w:rPr>
          <w:rStyle w:val="Heading4Char"/>
          <w:rFonts w:eastAsiaTheme="minorHAnsi"/>
          <w:b/>
          <w:sz w:val="26"/>
        </w:rPr>
        <w:t>13.1.9</w:t>
      </w:r>
      <w:bookmarkEnd w:id="321"/>
      <w:bookmarkEnd w:id="322"/>
      <w:bookmarkEnd w:id="323"/>
      <w:r w:rsidRPr="0072600F">
        <w:rPr>
          <w:rStyle w:val="Heading4Char"/>
          <w:rFonts w:eastAsiaTheme="minorHAnsi"/>
          <w:sz w:val="26"/>
        </w:rPr>
        <w:tab/>
      </w:r>
      <w:r w:rsidRPr="0072600F">
        <w:rPr>
          <w:rFonts w:ascii="Times New Roman" w:hAnsi="Times New Roman" w:cs="Times New Roman"/>
          <w:sz w:val="26"/>
          <w:szCs w:val="26"/>
        </w:rPr>
        <w:t>Subject to the exception in Section 13.1.8 of this LGIP, any information that a Party claims is competitively sensitive, commercial or financial information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Confidential Information</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shall not be disclosed by the other Party to any person not employed or retained by the other Party, except to the extent disclosure is (</w:t>
      </w:r>
      <w:r w:rsidRPr="0072600F">
        <w:rPr>
          <w:rFonts w:ascii="Times New Roman" w:hAnsi="Times New Roman" w:cs="Times New Roman"/>
          <w:sz w:val="26"/>
          <w:szCs w:val="26"/>
        </w:rPr>
        <w:t>i</w:t>
      </w:r>
      <w:r w:rsidRPr="0072600F">
        <w:rPr>
          <w:rFonts w:ascii="Times New Roman" w:hAnsi="Times New Roman" w:cs="Times New Roman"/>
          <w:sz w:val="26"/>
          <w:szCs w:val="26"/>
        </w:rPr>
        <w:t>)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LGIP or as a transmission service provider or a Balancing Authority Area operator including disclosing the Confidential Information to an RTO or ISO or to a subregional, regional or national reliability organization or planning group.  The Party asserting confidentiality shall notify the other Party in writing of the information it claims is confidential.  Prior to any disclosures of the 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911580" w:rsidRPr="0072600F" w14:paraId="1BB98E0E" w14:textId="77777777">
      <w:pPr>
        <w:rPr>
          <w:rFonts w:ascii="Times New Roman" w:hAnsi="Times New Roman" w:cs="Times New Roman"/>
          <w:sz w:val="26"/>
          <w:szCs w:val="26"/>
        </w:rPr>
      </w:pPr>
    </w:p>
    <w:p w:rsidR="00911580" w:rsidRPr="0072600F" w14:paraId="388B73B9" w14:textId="77777777">
      <w:pPr>
        <w:tabs>
          <w:tab w:val="left" w:pos="720"/>
          <w:tab w:val="left" w:pos="1440"/>
          <w:tab w:val="left" w:pos="2160"/>
          <w:tab w:val="left" w:pos="2880"/>
        </w:tabs>
        <w:ind w:left="288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324" w:name="_Toc148644250"/>
      <w:bookmarkStart w:id="325" w:name="_Toc148688808"/>
      <w:bookmarkStart w:id="326" w:name="_Toc149903699"/>
      <w:r w:rsidRPr="0072600F">
        <w:rPr>
          <w:rStyle w:val="Heading4Char"/>
          <w:rFonts w:eastAsiaTheme="minorHAnsi"/>
          <w:b/>
          <w:sz w:val="26"/>
        </w:rPr>
        <w:t>13.1.10</w:t>
      </w:r>
      <w:bookmarkEnd w:id="324"/>
      <w:bookmarkEnd w:id="325"/>
      <w:bookmarkEnd w:id="326"/>
      <w:r w:rsidRPr="0072600F">
        <w:rPr>
          <w:rFonts w:ascii="Times New Roman" w:hAnsi="Times New Roman" w:cs="Times New Roman"/>
          <w:b/>
          <w:bCs/>
          <w:sz w:val="26"/>
          <w:szCs w:val="26"/>
        </w:rPr>
        <w:tab/>
      </w:r>
      <w:r w:rsidRPr="0072600F">
        <w:rPr>
          <w:rFonts w:ascii="Times New Roman" w:hAnsi="Times New Roman" w:cs="Times New Roman"/>
          <w:sz w:val="26"/>
          <w:szCs w:val="26"/>
        </w:rPr>
        <w:t>This provision shall not apply to any information that was or is hereafter in the public domain (except as a result of a Breach of this provision).</w:t>
      </w:r>
    </w:p>
    <w:p w:rsidR="00911580" w:rsidRPr="0072600F" w14:paraId="58E3425E" w14:textId="77777777">
      <w:pPr>
        <w:rPr>
          <w:rFonts w:ascii="Times New Roman" w:hAnsi="Times New Roman" w:cs="Times New Roman"/>
          <w:sz w:val="26"/>
          <w:szCs w:val="26"/>
        </w:rPr>
      </w:pPr>
    </w:p>
    <w:p w:rsidR="00911580" w:rsidRPr="0072600F" w14:paraId="2175F8E6" w14:textId="77777777">
      <w:pPr>
        <w:tabs>
          <w:tab w:val="left" w:pos="720"/>
          <w:tab w:val="left" w:pos="1440"/>
          <w:tab w:val="left" w:pos="2160"/>
          <w:tab w:val="left" w:pos="2880"/>
        </w:tabs>
        <w:ind w:left="2880" w:hanging="1440"/>
        <w:rPr>
          <w:rFonts w:ascii="Times New Roman" w:hAnsi="Times New Roman" w:cs="Times New Roman"/>
          <w:sz w:val="26"/>
          <w:szCs w:val="26"/>
        </w:rPr>
      </w:pPr>
      <w:bookmarkStart w:id="327" w:name="_Toc148644251"/>
      <w:bookmarkStart w:id="328" w:name="_Toc148688809"/>
      <w:bookmarkStart w:id="329" w:name="_Toc149903700"/>
      <w:r w:rsidRPr="0072600F">
        <w:rPr>
          <w:rStyle w:val="Heading4Char"/>
          <w:rFonts w:eastAsiaTheme="minorHAnsi"/>
          <w:b/>
          <w:sz w:val="26"/>
        </w:rPr>
        <w:t>13.1.11</w:t>
      </w:r>
      <w:bookmarkEnd w:id="327"/>
      <w:bookmarkEnd w:id="328"/>
      <w:bookmarkEnd w:id="329"/>
      <w:r w:rsidRPr="0072600F">
        <w:rPr>
          <w:rFonts w:ascii="Times New Roman" w:hAnsi="Times New Roman" w:cs="Times New Roman"/>
          <w:sz w:val="26"/>
          <w:szCs w:val="26"/>
        </w:rPr>
        <w:tab/>
        <w:t>Transmission Provider shall, at 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election, destroy, in a confidential manner, or return the Confidential Information provided at the time of Confidential Information is no longer needed.</w:t>
      </w:r>
    </w:p>
    <w:p w:rsidR="00911580" w:rsidRPr="0072600F" w14:paraId="45DA66D9" w14:textId="77777777">
      <w:pPr>
        <w:rPr>
          <w:rFonts w:ascii="Times New Roman" w:hAnsi="Times New Roman" w:cs="Times New Roman"/>
          <w:sz w:val="26"/>
          <w:szCs w:val="26"/>
        </w:rPr>
      </w:pPr>
    </w:p>
    <w:p w:rsidR="00911580" w:rsidRPr="0072600F" w:rsidP="000113D3" w14:paraId="66A85DC2" w14:textId="77777777">
      <w:pPr>
        <w:pStyle w:val="Heading3"/>
        <w:rPr>
          <w:b/>
          <w:sz w:val="26"/>
        </w:rPr>
      </w:pPr>
      <w:bookmarkStart w:id="330" w:name="_Toc149903701"/>
      <w:r w:rsidRPr="0072600F">
        <w:rPr>
          <w:b/>
          <w:sz w:val="26"/>
        </w:rPr>
        <w:t>13.2</w:t>
      </w:r>
      <w:r w:rsidRPr="0072600F">
        <w:rPr>
          <w:b/>
          <w:sz w:val="26"/>
        </w:rPr>
        <w:tab/>
        <w:t>Delegation of Responsibility.</w:t>
      </w:r>
      <w:bookmarkEnd w:id="330"/>
    </w:p>
    <w:p w:rsidR="00911580" w:rsidRPr="0072600F" w14:paraId="6421CDE4" w14:textId="77777777">
      <w:pPr>
        <w:ind w:left="1440"/>
        <w:rPr>
          <w:rFonts w:ascii="Times New Roman" w:hAnsi="Times New Roman" w:cs="Times New Roman"/>
          <w:sz w:val="26"/>
          <w:szCs w:val="26"/>
        </w:rPr>
      </w:pPr>
      <w:r w:rsidRPr="0072600F">
        <w:rPr>
          <w:rFonts w:ascii="Times New Roman" w:hAnsi="Times New Roman" w:cs="Times New Roman"/>
          <w:sz w:val="26"/>
          <w:szCs w:val="26"/>
        </w:rPr>
        <w:t>Transmission Provider may use the services of subcontractors as it deems appropriate to perform its obligations under this LGIP.  Transmission Provider shall remain primarily liable to Interconnection Customer for the performance of such subcontractors and compliance with its obligations of this LGIP.  The subcontractor shall keep all information provided confidential and shall use such information solely for the performance of such obligation for which it was provided and no other purpose.</w:t>
      </w:r>
    </w:p>
    <w:p w:rsidR="00911580" w:rsidRPr="0072600F" w14:paraId="7FE48BAD" w14:textId="77777777">
      <w:pPr>
        <w:ind w:left="1440"/>
        <w:rPr>
          <w:rFonts w:ascii="Times New Roman" w:hAnsi="Times New Roman" w:cs="Times New Roman"/>
          <w:sz w:val="26"/>
          <w:szCs w:val="26"/>
        </w:rPr>
      </w:pPr>
    </w:p>
    <w:p w:rsidR="00911580" w:rsidRPr="0072600F" w14:paraId="7DCF629B" w14:textId="77777777">
      <w:pPr>
        <w:ind w:left="1440"/>
        <w:rPr>
          <w:rFonts w:ascii="Times New Roman" w:hAnsi="Times New Roman" w:cs="Times New Roman"/>
          <w:sz w:val="26"/>
          <w:szCs w:val="26"/>
        </w:rPr>
      </w:pPr>
    </w:p>
    <w:p w:rsidR="00911580" w:rsidRPr="0072600F" w:rsidP="000113D3" w14:paraId="1806D0C4" w14:textId="77777777">
      <w:pPr>
        <w:pStyle w:val="Heading3"/>
        <w:rPr>
          <w:b/>
          <w:sz w:val="26"/>
        </w:rPr>
      </w:pPr>
      <w:bookmarkStart w:id="331" w:name="_Toc149903702"/>
      <w:r w:rsidRPr="0072600F">
        <w:rPr>
          <w:b/>
          <w:sz w:val="26"/>
        </w:rPr>
        <w:t>13.3</w:t>
      </w:r>
      <w:r w:rsidRPr="0072600F">
        <w:rPr>
          <w:b/>
          <w:sz w:val="26"/>
        </w:rPr>
        <w:tab/>
        <w:t>Obligation for Study Costs.</w:t>
      </w:r>
      <w:bookmarkEnd w:id="331"/>
    </w:p>
    <w:p w:rsidR="00911580" w:rsidRPr="0072600F" w14:paraId="5883BDCD"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In the event an Interconnection Customer withdraws its Interconnection Request prior to the commencement of the Cluster Study, Interconnection Customer must pay Transmission Provider the actual costs of processing its Interconnection Request.  In the event an Interconnection Customer withdraws after the commencement of the Cluster Study, Transmission Provider shall charge and Interconnection Customer shall pay the actual costs of the Interconnection Studies.  The costs of any interconnection study conducted on a clustered basis shall be allocated among each Interconnection Customer within the cluster as follows: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 shall include in this section a description of how the cost of any clustered interconnection study will be allocated.</w:t>
      </w:r>
      <w:r w:rsidRPr="0072600F" w:rsidR="0042166D">
        <w:rPr>
          <w:rFonts w:ascii="Times New Roman" w:hAnsi="Times New Roman" w:cs="Times New Roman"/>
          <w:sz w:val="26"/>
          <w:szCs w:val="26"/>
        </w:rPr>
        <w:t>}</w:t>
      </w:r>
    </w:p>
    <w:p w:rsidR="00911580" w:rsidRPr="0072600F" w14:paraId="51155011" w14:textId="77777777">
      <w:pPr>
        <w:ind w:left="1440"/>
        <w:rPr>
          <w:rFonts w:ascii="Times New Roman" w:hAnsi="Times New Roman" w:cs="Times New Roman"/>
          <w:sz w:val="26"/>
          <w:szCs w:val="26"/>
        </w:rPr>
      </w:pPr>
    </w:p>
    <w:p w:rsidR="00911580" w:rsidRPr="0072600F" w14:paraId="39AD79E9"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Any difference between the study deposit and the actual cost of the </w:t>
      </w:r>
      <w:r w:rsidRPr="0072600F" w:rsidR="0095559C">
        <w:rPr>
          <w:rFonts w:ascii="Times New Roman" w:hAnsi="Times New Roman" w:cs="Times New Roman"/>
          <w:sz w:val="26"/>
          <w:szCs w:val="26"/>
        </w:rPr>
        <w:t>[</w:t>
      </w:r>
      <w:r w:rsidRPr="0072600F">
        <w:rPr>
          <w:rFonts w:ascii="Times New Roman" w:hAnsi="Times New Roman" w:cs="Times New Roman"/>
          <w:sz w:val="26"/>
          <w:szCs w:val="26"/>
        </w:rPr>
        <w:t>applicable</w:t>
      </w:r>
      <w:r w:rsidRPr="0072600F" w:rsidR="0095559C">
        <w:rPr>
          <w:rFonts w:ascii="Times New Roman" w:hAnsi="Times New Roman" w:cs="Times New Roman"/>
          <w:sz w:val="26"/>
          <w:szCs w:val="26"/>
        </w:rPr>
        <w:t>]</w:t>
      </w:r>
      <w:r w:rsidRPr="0072600F">
        <w:rPr>
          <w:rFonts w:ascii="Times New Roman" w:hAnsi="Times New Roman" w:cs="Times New Roman"/>
          <w:sz w:val="26"/>
          <w:szCs w:val="26"/>
        </w:rPr>
        <w:t xml:space="preserve"> Interconnection Stud</w:t>
      </w:r>
      <w:r w:rsidRPr="0072600F" w:rsidR="0095559C">
        <w:rPr>
          <w:rFonts w:ascii="Times New Roman" w:hAnsi="Times New Roman" w:cs="Times New Roman"/>
          <w:i/>
          <w:iCs/>
          <w:sz w:val="26"/>
          <w:szCs w:val="26"/>
        </w:rPr>
        <w:t>ies</w:t>
      </w:r>
      <w:r w:rsidRPr="0072600F" w:rsidR="0095559C">
        <w:rPr>
          <w:rFonts w:ascii="Times New Roman" w:hAnsi="Times New Roman" w:cs="Times New Roman"/>
          <w:sz w:val="26"/>
          <w:szCs w:val="26"/>
        </w:rPr>
        <w:t>[</w:t>
      </w:r>
      <w:r w:rsidRPr="0072600F">
        <w:rPr>
          <w:rFonts w:ascii="Times New Roman" w:hAnsi="Times New Roman" w:cs="Times New Roman"/>
          <w:sz w:val="26"/>
          <w:szCs w:val="26"/>
        </w:rPr>
        <w:t>y</w:t>
      </w:r>
      <w:r w:rsidRPr="0072600F" w:rsidR="0095559C">
        <w:rPr>
          <w:rFonts w:ascii="Times New Roman" w:hAnsi="Times New Roman" w:cs="Times New Roman"/>
          <w:sz w:val="26"/>
          <w:szCs w:val="26"/>
        </w:rPr>
        <w:t>]</w:t>
      </w:r>
      <w:r w:rsidRPr="0072600F">
        <w:rPr>
          <w:rFonts w:ascii="Times New Roman" w:hAnsi="Times New Roman" w:cs="Times New Roman"/>
          <w:sz w:val="26"/>
          <w:szCs w:val="26"/>
        </w:rPr>
        <w:t xml:space="preserve"> shall be paid by or refunded</w:t>
      </w:r>
      <w:r w:rsidRPr="0072600F" w:rsidR="0095559C">
        <w:rPr>
          <w:rFonts w:ascii="Times New Roman" w:hAnsi="Times New Roman" w:cs="Times New Roman"/>
          <w:sz w:val="26"/>
          <w:szCs w:val="26"/>
        </w:rPr>
        <w:t xml:space="preserve"> </w:t>
      </w:r>
      <w:r w:rsidRPr="0072600F" w:rsidR="0095559C">
        <w:rPr>
          <w:rFonts w:ascii="Times New Roman" w:hAnsi="Times New Roman" w:cs="Times New Roman"/>
          <w:i/>
          <w:iCs/>
          <w:sz w:val="26"/>
          <w:szCs w:val="26"/>
        </w:rPr>
        <w:t>to</w:t>
      </w:r>
      <w:r w:rsidRPr="0072600F">
        <w:rPr>
          <w:rFonts w:ascii="Times New Roman" w:hAnsi="Times New Roman" w:cs="Times New Roman"/>
          <w:sz w:val="26"/>
          <w:szCs w:val="26"/>
        </w:rPr>
        <w:t xml:space="preserve">, except as otherwise provided herein, to Interconnection Customers </w:t>
      </w:r>
      <w:r w:rsidRPr="0072600F" w:rsidR="0095559C">
        <w:rPr>
          <w:rFonts w:ascii="Times New Roman" w:hAnsi="Times New Roman" w:cs="Times New Roman"/>
          <w:sz w:val="26"/>
          <w:szCs w:val="26"/>
        </w:rPr>
        <w:t>[</w:t>
      </w:r>
      <w:r w:rsidRPr="0072600F">
        <w:rPr>
          <w:rFonts w:ascii="Times New Roman" w:hAnsi="Times New Roman" w:cs="Times New Roman"/>
          <w:sz w:val="26"/>
          <w:szCs w:val="26"/>
        </w:rPr>
        <w:t>or offset against the cost of any future Interconnection Studies associated with the applicable Cluster prior to beginning of any such future Interconnection Studies</w:t>
      </w:r>
      <w:r w:rsidRPr="0072600F" w:rsidR="0095559C">
        <w:rPr>
          <w:rFonts w:ascii="Times New Roman" w:hAnsi="Times New Roman" w:cs="Times New Roman"/>
          <w:sz w:val="26"/>
          <w:szCs w:val="26"/>
        </w:rPr>
        <w:t>]</w:t>
      </w:r>
      <w:r w:rsidRPr="0072600F">
        <w:rPr>
          <w:rFonts w:ascii="Times New Roman" w:hAnsi="Times New Roman" w:cs="Times New Roman"/>
          <w:sz w:val="26"/>
          <w:szCs w:val="26"/>
        </w:rPr>
        <w:t xml:space="preserve">. Any invoices for Interconnection Studies shall include a detailed and itemized accounting of the cost of each Interconnection Study. Interconnection Customers shall pay any such undisputed costs within thirty (30) Calendar Days of receipt of an invoice therefor.  If </w:t>
      </w:r>
      <w:r w:rsidRPr="0072600F" w:rsidR="003753F5">
        <w:rPr>
          <w:rFonts w:ascii="Times New Roman" w:hAnsi="Times New Roman" w:cs="Times New Roman"/>
          <w:sz w:val="26"/>
          <w:szCs w:val="26"/>
        </w:rPr>
        <w:t>[</w:t>
      </w:r>
      <w:r w:rsidRPr="0072600F">
        <w:rPr>
          <w:rFonts w:ascii="Times New Roman" w:hAnsi="Times New Roman" w:cs="Times New Roman"/>
          <w:sz w:val="26"/>
          <w:szCs w:val="26"/>
        </w:rPr>
        <w:t>an</w:t>
      </w:r>
      <w:r w:rsidRPr="0072600F" w:rsidR="003753F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fails to pay such undisputed costs within the time allotted, its Interconnection Request shall be deemed withdrawn from the Cluster Study Process and will be subject to Withdrawal Penalties pursuant to Section 3.7 of this LGIP.</w:t>
      </w:r>
    </w:p>
    <w:p w:rsidR="00911580" w:rsidRPr="0072600F" w14:paraId="4F2AC266" w14:textId="77777777">
      <w:pPr>
        <w:rPr>
          <w:rFonts w:ascii="Times New Roman" w:hAnsi="Times New Roman" w:cs="Times New Roman"/>
          <w:sz w:val="26"/>
          <w:szCs w:val="26"/>
        </w:rPr>
      </w:pPr>
    </w:p>
    <w:p w:rsidR="00911580" w:rsidRPr="0072600F" w:rsidP="000E180F" w14:paraId="3670AC54" w14:textId="77777777">
      <w:pPr>
        <w:pStyle w:val="Heading3"/>
        <w:rPr>
          <w:b/>
          <w:sz w:val="26"/>
        </w:rPr>
      </w:pPr>
      <w:bookmarkStart w:id="332" w:name="_Toc149903703"/>
      <w:r w:rsidRPr="0072600F">
        <w:rPr>
          <w:b/>
          <w:sz w:val="26"/>
        </w:rPr>
        <w:t>13.4</w:t>
      </w:r>
      <w:r w:rsidRPr="0072600F">
        <w:rPr>
          <w:b/>
          <w:sz w:val="26"/>
        </w:rPr>
        <w:tab/>
        <w:t>Third Parties Conducting Studies.</w:t>
      </w:r>
      <w:bookmarkEnd w:id="332"/>
    </w:p>
    <w:p w:rsidR="00911580" w:rsidRPr="0072600F" w14:paraId="1B8FF43A" w14:textId="77777777">
      <w:pPr>
        <w:ind w:left="1440"/>
        <w:rPr>
          <w:rFonts w:ascii="Times New Roman" w:hAnsi="Times New Roman" w:cs="Times New Roman"/>
          <w:sz w:val="26"/>
          <w:szCs w:val="26"/>
        </w:rPr>
      </w:pPr>
      <w:r w:rsidRPr="0072600F">
        <w:rPr>
          <w:rFonts w:ascii="Times New Roman" w:hAnsi="Times New Roman" w:cs="Times New Roman"/>
          <w:sz w:val="26"/>
          <w:szCs w:val="26"/>
        </w:rPr>
        <w:t>If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at the time of the signing of an Interconnection Study Agreement there is disagreement as to the estimated time to complete an Interconnection Study, (ii) Interconnection Customer receives notice pursuant to Sections 6.3, 7.4 or 8.3 </w:t>
      </w:r>
      <w:r w:rsidRPr="0072600F" w:rsidR="63321590">
        <w:rPr>
          <w:rFonts w:ascii="Times New Roman" w:hAnsi="Times New Roman" w:cs="Times New Roman"/>
          <w:i/>
          <w:iCs/>
          <w:sz w:val="26"/>
          <w:szCs w:val="26"/>
        </w:rPr>
        <w:t>of this LGIP</w:t>
      </w:r>
      <w:r w:rsidRPr="0072600F">
        <w:rPr>
          <w:rFonts w:ascii="Times New Roman" w:hAnsi="Times New Roman" w:cs="Times New Roman"/>
          <w:sz w:val="26"/>
          <w:szCs w:val="26"/>
        </w:rPr>
        <w:t xml:space="preserve"> that Transmission Provider will not complete an Interconnection Study within the applicable timeframe for such Interconnection Study, or (iii) Interconnection Customer receives neither the Interconnection Study nor a notice under Sections 6.3, 7.4 or 8.3 </w:t>
      </w:r>
      <w:r w:rsidRPr="0072600F" w:rsidR="5D4EA1E1">
        <w:rPr>
          <w:rFonts w:ascii="Times New Roman" w:hAnsi="Times New Roman" w:cs="Times New Roman"/>
          <w:i/>
          <w:iCs/>
          <w:sz w:val="26"/>
          <w:szCs w:val="26"/>
        </w:rPr>
        <w:t xml:space="preserve">of this LGIP </w:t>
      </w:r>
      <w:r w:rsidRPr="0072600F">
        <w:rPr>
          <w:rFonts w:ascii="Times New Roman" w:hAnsi="Times New Roman" w:cs="Times New Roman"/>
          <w:sz w:val="26"/>
          <w:szCs w:val="26"/>
        </w:rPr>
        <w:t>within the applicable timeframe for such Interconnection Study, then Interconnection Customer may require Transmission Provider to utilize a third party consultant reasonably acceptable to Interconnection Customer and Transmission Provider to perform such Interconnection Study under the direction of Transmission Provider.  At other times, Transmission Provider may also utilize a third party consultant to perform such Interconnection Study, either in response to a general request of Interconnection Customer, or on its own volition.</w:t>
      </w:r>
    </w:p>
    <w:p w:rsidR="00911580" w:rsidRPr="0072600F" w14:paraId="7C990326" w14:textId="77777777">
      <w:pPr>
        <w:rPr>
          <w:rFonts w:ascii="Times New Roman" w:hAnsi="Times New Roman" w:cs="Times New Roman"/>
          <w:sz w:val="26"/>
          <w:szCs w:val="26"/>
        </w:rPr>
      </w:pPr>
    </w:p>
    <w:p w:rsidR="00911580" w:rsidRPr="0072600F" w14:paraId="151ABDD8" w14:textId="77777777">
      <w:pPr>
        <w:ind w:left="1440"/>
        <w:rPr>
          <w:rFonts w:ascii="Times New Roman" w:hAnsi="Times New Roman" w:cs="Times New Roman"/>
          <w:sz w:val="26"/>
          <w:szCs w:val="26"/>
        </w:rPr>
      </w:pPr>
      <w:r w:rsidRPr="0072600F">
        <w:rPr>
          <w:rFonts w:ascii="Times New Roman" w:hAnsi="Times New Roman" w:cs="Times New Roman"/>
          <w:sz w:val="26"/>
          <w:szCs w:val="26"/>
        </w:rPr>
        <w:t>In all cases, use of a third party consultant shall be in accord with Article 26 of the LGIA (Subcontractors) and limited to situations where Transmission Provider determines that doing so will help maintain or accelerate the study process for 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s pending Interconnection Request and not interfere with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progress on Interconnection Studies for other pending Interconnection Requests.  In cases where Interconnection Customer requests use of a third party consultant to perform such Interconnection Study, Interconnection Customer and Transmission Provider shall negotiate all of the pertinent terms and conditions, including reimbursement arrangements and the estimated study completion date and study review deadline.  Transmission Provider shall convey all workpapers, data bases, study results and all other supporting documentation prepared to date with respect to the Interconnection Request as soon as soon as practicable upon 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request subject to the confidentiality provision in Section 13.1</w:t>
      </w:r>
      <w:r w:rsidRPr="0072600F" w:rsidR="176CC556">
        <w:rPr>
          <w:rFonts w:ascii="Times New Roman" w:hAnsi="Times New Roman" w:cs="Times New Roman"/>
          <w:sz w:val="26"/>
          <w:szCs w:val="26"/>
        </w:rPr>
        <w:t xml:space="preserve"> </w:t>
      </w:r>
      <w:r w:rsidRPr="0072600F" w:rsidR="176CC556">
        <w:rPr>
          <w:rFonts w:ascii="Times New Roman" w:hAnsi="Times New Roman" w:cs="Times New Roman"/>
          <w:i/>
          <w:iCs/>
          <w:sz w:val="26"/>
          <w:szCs w:val="26"/>
        </w:rPr>
        <w:t>of this LGIP</w:t>
      </w:r>
      <w:r w:rsidRPr="0072600F">
        <w:rPr>
          <w:rFonts w:ascii="Times New Roman" w:hAnsi="Times New Roman" w:cs="Times New Roman"/>
          <w:sz w:val="26"/>
          <w:szCs w:val="26"/>
        </w:rPr>
        <w:t xml:space="preserve">.  In any case, such third party contract may be entered into with either Interconnection Customer or Transmission Provider at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discretion.  In the case of (iii) Interconnection Customer maintains its right to submit a claim to Dispute Resolution to recover the costs of such third party study.  Such third party consultant shall be required to comply with this LGIP, Article 26 of the LGIA (Subcontractors), and the relevant Tariff procedures and protocols as would apply if Transmission Provider were to conduct the Interconnection Study and shall use the information provided to </w:t>
      </w:r>
    </w:p>
    <w:p w:rsidR="00911580" w:rsidRPr="0072600F" w14:paraId="3DF1D6D1" w14:textId="77777777">
      <w:pPr>
        <w:ind w:left="1440"/>
        <w:rPr>
          <w:rFonts w:ascii="Times New Roman" w:hAnsi="Times New Roman" w:cs="Times New Roman"/>
          <w:sz w:val="26"/>
          <w:szCs w:val="26"/>
        </w:rPr>
      </w:pPr>
      <w:r w:rsidRPr="0072600F">
        <w:rPr>
          <w:rFonts w:ascii="Times New Roman" w:hAnsi="Times New Roman" w:cs="Times New Roman"/>
          <w:sz w:val="26"/>
          <w:szCs w:val="26"/>
        </w:rPr>
        <w:t>it solely for purposes of performing</w:t>
      </w:r>
      <w:r w:rsidRPr="0072600F" w:rsidR="00C6044A">
        <w:rPr>
          <w:rFonts w:ascii="Times New Roman" w:hAnsi="Times New Roman" w:cs="Times New Roman"/>
          <w:sz w:val="26"/>
          <w:szCs w:val="26"/>
        </w:rPr>
        <w:t xml:space="preserve"> </w:t>
      </w:r>
      <w:r w:rsidRPr="0072600F">
        <w:rPr>
          <w:rFonts w:ascii="Times New Roman" w:hAnsi="Times New Roman" w:cs="Times New Roman"/>
          <w:sz w:val="26"/>
          <w:szCs w:val="26"/>
        </w:rPr>
        <w:t>such services and for no other purposes.  Transmission Provider shall cooperate with such third party consultant and Interconnection Customer to complete and issue the Interconnection Study in the shortest reasonable time.</w:t>
      </w:r>
    </w:p>
    <w:p w:rsidR="00911580" w:rsidRPr="0072600F" w14:paraId="01CAF77B" w14:textId="77777777">
      <w:pPr>
        <w:rPr>
          <w:rFonts w:ascii="Times New Roman" w:hAnsi="Times New Roman" w:cs="Times New Roman"/>
          <w:sz w:val="26"/>
          <w:szCs w:val="26"/>
        </w:rPr>
      </w:pPr>
    </w:p>
    <w:p w:rsidR="00911580" w:rsidRPr="0072600F" w:rsidP="000E180F" w14:paraId="6284DE35" w14:textId="77777777">
      <w:pPr>
        <w:pStyle w:val="Heading3"/>
        <w:rPr>
          <w:b/>
          <w:sz w:val="26"/>
        </w:rPr>
      </w:pPr>
      <w:bookmarkStart w:id="333" w:name="_Toc149903704"/>
      <w:r w:rsidRPr="0072600F">
        <w:rPr>
          <w:b/>
          <w:sz w:val="26"/>
        </w:rPr>
        <w:t>13.5</w:t>
      </w:r>
      <w:r w:rsidRPr="0072600F">
        <w:rPr>
          <w:b/>
          <w:sz w:val="26"/>
        </w:rPr>
        <w:tab/>
        <w:t>Disputes.</w:t>
      </w:r>
      <w:bookmarkEnd w:id="333"/>
    </w:p>
    <w:p w:rsidR="00911580" w:rsidRPr="0072600F" w14:paraId="1E4D7DC3" w14:textId="77777777">
      <w:pPr>
        <w:rPr>
          <w:rFonts w:ascii="Times New Roman" w:hAnsi="Times New Roman" w:cs="Times New Roman"/>
          <w:b/>
          <w:bCs/>
          <w:sz w:val="26"/>
          <w:szCs w:val="26"/>
        </w:rPr>
      </w:pPr>
    </w:p>
    <w:p w:rsidR="00911580" w:rsidRPr="0072600F" w:rsidP="000E180F" w14:paraId="1DDE588A" w14:textId="77777777">
      <w:pPr>
        <w:pStyle w:val="Heading4"/>
        <w:rPr>
          <w:b/>
          <w:sz w:val="26"/>
        </w:rPr>
      </w:pPr>
      <w:r w:rsidRPr="0072600F">
        <w:rPr>
          <w:sz w:val="26"/>
        </w:rPr>
        <w:tab/>
      </w:r>
      <w:bookmarkStart w:id="334" w:name="_Toc149903705"/>
      <w:r w:rsidRPr="0072600F">
        <w:rPr>
          <w:b/>
          <w:sz w:val="26"/>
        </w:rPr>
        <w:t>13.5.1</w:t>
      </w:r>
      <w:r w:rsidRPr="0072600F">
        <w:rPr>
          <w:b/>
          <w:sz w:val="26"/>
        </w:rPr>
        <w:tab/>
      </w:r>
      <w:r w:rsidRPr="0072600F">
        <w:rPr>
          <w:b/>
          <w:sz w:val="26"/>
        </w:rPr>
        <w:tab/>
        <w:t>Submission.</w:t>
      </w:r>
      <w:bookmarkEnd w:id="334"/>
    </w:p>
    <w:p w:rsidR="00911580" w:rsidRPr="0072600F" w14:paraId="75F77089"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In the event either Party has a dispute, or asserts a claim, that arises out of or in connection with the LGIA, the LGIP, or their performance, such Party (the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disputing Party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shall provide the other Party with written notice of the dispute or claim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Notice of Dispute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w:t>
      </w:r>
    </w:p>
    <w:p w:rsidR="00911580" w:rsidRPr="0072600F" w14:paraId="30A51FC5" w14:textId="77777777">
      <w:pPr>
        <w:rPr>
          <w:rFonts w:ascii="Times New Roman" w:hAnsi="Times New Roman" w:cs="Times New Roman"/>
          <w:sz w:val="26"/>
          <w:szCs w:val="26"/>
        </w:rPr>
      </w:pPr>
    </w:p>
    <w:p w:rsidR="00911580" w:rsidRPr="0072600F" w:rsidP="000E180F" w14:paraId="49C0A6E7" w14:textId="77777777">
      <w:pPr>
        <w:pStyle w:val="Heading4"/>
        <w:rPr>
          <w:b/>
          <w:sz w:val="26"/>
        </w:rPr>
      </w:pPr>
      <w:r w:rsidRPr="0072600F">
        <w:rPr>
          <w:sz w:val="26"/>
        </w:rPr>
        <w:tab/>
      </w:r>
      <w:bookmarkStart w:id="335" w:name="_Toc149903706"/>
      <w:r w:rsidRPr="0072600F">
        <w:rPr>
          <w:b/>
          <w:sz w:val="26"/>
        </w:rPr>
        <w:t>13.5.2</w:t>
      </w:r>
      <w:r w:rsidRPr="0072600F">
        <w:rPr>
          <w:b/>
          <w:sz w:val="26"/>
        </w:rPr>
        <w:tab/>
      </w:r>
      <w:r w:rsidRPr="0072600F">
        <w:rPr>
          <w:b/>
          <w:sz w:val="26"/>
        </w:rPr>
        <w:tab/>
        <w:t>External Arbitration Procedures.</w:t>
      </w:r>
      <w:bookmarkEnd w:id="335"/>
    </w:p>
    <w:p w:rsidR="00911580" w:rsidRPr="0072600F" w14:paraId="7ECFB9B1" w14:textId="77777777">
      <w:pPr>
        <w:ind w:left="2880"/>
        <w:rPr>
          <w:rFonts w:ascii="Times New Roman" w:hAnsi="Times New Roman" w:cs="Times New Roman"/>
          <w:sz w:val="26"/>
          <w:szCs w:val="26"/>
        </w:rPr>
      </w:pPr>
      <w:r w:rsidRPr="0072600F">
        <w:rPr>
          <w:rFonts w:ascii="Times New Roman" w:hAnsi="Times New Roman" w:cs="Times New Roman"/>
          <w:sz w:val="26"/>
          <w:szCs w:val="26"/>
        </w:rPr>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Arbitration Rules</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and any applicable FERC regulations or RTO rules; provided, however, in the event of a conflict between the Arbitration Rules and the terms of this Section 13, the terms of this Section 13 shall prevail.</w:t>
      </w:r>
    </w:p>
    <w:p w:rsidR="00911580" w:rsidRPr="0072600F" w14:paraId="0213A9F9" w14:textId="77777777">
      <w:pPr>
        <w:rPr>
          <w:rFonts w:ascii="Times New Roman" w:hAnsi="Times New Roman" w:cs="Times New Roman"/>
          <w:sz w:val="26"/>
          <w:szCs w:val="26"/>
        </w:rPr>
      </w:pPr>
    </w:p>
    <w:p w:rsidR="00911580" w:rsidRPr="0072600F" w:rsidP="000E180F" w14:paraId="476C73DF" w14:textId="77777777">
      <w:pPr>
        <w:pStyle w:val="Heading4"/>
        <w:rPr>
          <w:b/>
          <w:sz w:val="26"/>
        </w:rPr>
      </w:pPr>
      <w:r w:rsidRPr="0072600F">
        <w:rPr>
          <w:sz w:val="26"/>
        </w:rPr>
        <w:tab/>
      </w:r>
      <w:bookmarkStart w:id="336" w:name="_Toc149903707"/>
      <w:r w:rsidRPr="0072600F">
        <w:rPr>
          <w:b/>
          <w:sz w:val="26"/>
        </w:rPr>
        <w:t>13.5.3</w:t>
      </w:r>
      <w:r w:rsidRPr="0072600F">
        <w:rPr>
          <w:b/>
          <w:sz w:val="26"/>
        </w:rPr>
        <w:tab/>
      </w:r>
      <w:r w:rsidRPr="0072600F">
        <w:rPr>
          <w:b/>
          <w:sz w:val="26"/>
        </w:rPr>
        <w:tab/>
        <w:t>Arbitration Decisions.</w:t>
      </w:r>
      <w:bookmarkEnd w:id="336"/>
    </w:p>
    <w:p w:rsidR="00911580" w:rsidRPr="0072600F" w14:paraId="26A6179E" w14:textId="77777777">
      <w:pPr>
        <w:ind w:left="2880"/>
        <w:rPr>
          <w:rFonts w:ascii="Times New Roman" w:hAnsi="Times New Roman" w:cs="Times New Roman"/>
          <w:sz w:val="26"/>
          <w:szCs w:val="26"/>
        </w:rPr>
      </w:pPr>
      <w:r w:rsidRPr="0072600F">
        <w:rPr>
          <w:rFonts w:ascii="Times New Roman" w:hAnsi="Times New Roman" w:cs="Times New Roman"/>
          <w:sz w:val="26"/>
          <w:szCs w:val="26"/>
        </w:rP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LGIA and LGIP and shall have no power to modify or change any provision of the LGIA and LGIP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rsidR="00911580" w:rsidRPr="0072600F" w14:paraId="4CE4DE91" w14:textId="77777777">
      <w:pPr>
        <w:rPr>
          <w:rFonts w:ascii="Times New Roman" w:hAnsi="Times New Roman" w:cs="Times New Roman"/>
          <w:sz w:val="26"/>
          <w:szCs w:val="26"/>
        </w:rPr>
      </w:pPr>
    </w:p>
    <w:p w:rsidR="00911580" w:rsidRPr="0072600F" w:rsidP="000E180F" w14:paraId="033B362C" w14:textId="77777777">
      <w:pPr>
        <w:pStyle w:val="Heading4"/>
        <w:rPr>
          <w:b/>
          <w:sz w:val="26"/>
        </w:rPr>
      </w:pPr>
      <w:r w:rsidRPr="0072600F">
        <w:rPr>
          <w:sz w:val="26"/>
        </w:rPr>
        <w:tab/>
      </w:r>
      <w:bookmarkStart w:id="337" w:name="_Toc149903708"/>
      <w:r w:rsidRPr="0072600F">
        <w:rPr>
          <w:b/>
          <w:sz w:val="26"/>
        </w:rPr>
        <w:t>13.5.4</w:t>
      </w:r>
      <w:r w:rsidRPr="0072600F">
        <w:rPr>
          <w:b/>
          <w:sz w:val="26"/>
        </w:rPr>
        <w:tab/>
      </w:r>
      <w:r w:rsidRPr="0072600F">
        <w:rPr>
          <w:b/>
          <w:sz w:val="26"/>
        </w:rPr>
        <w:tab/>
        <w:t>Costs.</w:t>
      </w:r>
      <w:bookmarkEnd w:id="337"/>
    </w:p>
    <w:p w:rsidR="00911580" w:rsidRPr="0072600F" w14:paraId="1199F321" w14:textId="77777777">
      <w:pPr>
        <w:ind w:left="2880"/>
        <w:rPr>
          <w:rFonts w:ascii="Times New Roman" w:hAnsi="Times New Roman" w:cs="Times New Roman"/>
          <w:sz w:val="26"/>
          <w:szCs w:val="26"/>
        </w:rPr>
      </w:pPr>
      <w:r w:rsidRPr="0072600F">
        <w:rPr>
          <w:rFonts w:ascii="Times New Roman" w:hAnsi="Times New Roman" w:cs="Times New Roman"/>
          <w:sz w:val="26"/>
          <w:szCs w:val="26"/>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rsidR="00911580" w:rsidRPr="0072600F" w14:paraId="5A10F4DB" w14:textId="77777777">
      <w:pPr>
        <w:ind w:left="2880"/>
        <w:rPr>
          <w:rFonts w:ascii="Times New Roman" w:hAnsi="Times New Roman" w:cs="Times New Roman"/>
          <w:sz w:val="26"/>
          <w:szCs w:val="26"/>
        </w:rPr>
      </w:pPr>
    </w:p>
    <w:p w:rsidR="00911580" w:rsidRPr="0072600F" w:rsidP="000E180F" w14:paraId="578E6B6B" w14:textId="77777777">
      <w:pPr>
        <w:pStyle w:val="Heading4"/>
        <w:rPr>
          <w:b/>
          <w:sz w:val="26"/>
        </w:rPr>
      </w:pPr>
      <w:bookmarkStart w:id="338" w:name="thirteenpoint5point5"/>
      <w:r w:rsidRPr="0072600F">
        <w:rPr>
          <w:sz w:val="26"/>
        </w:rPr>
        <w:tab/>
      </w:r>
      <w:bookmarkStart w:id="339" w:name="_Toc149903709"/>
      <w:r w:rsidRPr="0072600F">
        <w:rPr>
          <w:b/>
          <w:sz w:val="26"/>
        </w:rPr>
        <w:t>13.5.5</w:t>
      </w:r>
      <w:r w:rsidRPr="0072600F">
        <w:rPr>
          <w:b/>
          <w:sz w:val="26"/>
        </w:rPr>
        <w:tab/>
      </w:r>
      <w:r w:rsidRPr="0072600F">
        <w:rPr>
          <w:b/>
          <w:sz w:val="26"/>
        </w:rPr>
        <w:tab/>
        <w:t>Non-binding dispute resolution procedures.</w:t>
      </w:r>
      <w:bookmarkEnd w:id="339"/>
    </w:p>
    <w:bookmarkEnd w:id="338"/>
    <w:p w:rsidR="00911580" w:rsidRPr="0072600F" w14:paraId="0DBBDD5D" w14:textId="77777777">
      <w:pPr>
        <w:ind w:left="2880"/>
        <w:rPr>
          <w:rFonts w:ascii="Times New Roman" w:hAnsi="Times New Roman" w:cs="Times New Roman"/>
          <w:sz w:val="26"/>
          <w:szCs w:val="26"/>
        </w:rPr>
      </w:pPr>
      <w:r w:rsidRPr="0072600F">
        <w:rPr>
          <w:rFonts w:ascii="Times New Roman" w:hAnsi="Times New Roman" w:cs="Times New Roman"/>
          <w:sz w:val="26"/>
          <w:szCs w:val="26"/>
        </w:rPr>
        <w:t>If a Party has submitted a Notice of Dispute pursuant to Section 13.5.1</w:t>
      </w:r>
      <w:r w:rsidRPr="0072600F" w:rsidR="15DE1F3B">
        <w:rPr>
          <w:rFonts w:ascii="Times New Roman" w:hAnsi="Times New Roman" w:cs="Times New Roman"/>
          <w:i/>
          <w:iCs/>
          <w:sz w:val="26"/>
          <w:szCs w:val="26"/>
        </w:rPr>
        <w:t xml:space="preserve"> of this LGIP</w:t>
      </w:r>
      <w:r w:rsidRPr="0072600F">
        <w:rPr>
          <w:rFonts w:ascii="Times New Roman" w:hAnsi="Times New Roman" w:cs="Times New Roman"/>
          <w:sz w:val="26"/>
          <w:szCs w:val="26"/>
        </w:rPr>
        <w:t xml:space="preserve">, and the Parties are unable to resolve the claim or dispute through unassisted or assisted negotiations within the thirty (30) Calendar Days provided in that section, and the Parties cannot reach mutual agreement to pursue the Section 13.5 arbitration process, a Party may request that Transmission Provider engage in Non-binding Dispute Resolution pursuant to this </w:t>
      </w:r>
      <w:r w:rsidRPr="0072600F" w:rsidR="53D94390">
        <w:rPr>
          <w:rFonts w:ascii="Times New Roman" w:hAnsi="Times New Roman" w:cs="Times New Roman"/>
          <w:sz w:val="26"/>
          <w:szCs w:val="26"/>
        </w:rPr>
        <w:t>[</w:t>
      </w:r>
      <w:r w:rsidRPr="0072600F">
        <w:rPr>
          <w:rFonts w:ascii="Times New Roman" w:hAnsi="Times New Roman" w:cs="Times New Roman"/>
          <w:sz w:val="26"/>
          <w:szCs w:val="26"/>
        </w:rPr>
        <w:t>s</w:t>
      </w:r>
      <w:r w:rsidRPr="0072600F" w:rsidR="2D326956">
        <w:rPr>
          <w:rFonts w:ascii="Times New Roman" w:hAnsi="Times New Roman" w:cs="Times New Roman"/>
          <w:sz w:val="26"/>
          <w:szCs w:val="26"/>
        </w:rPr>
        <w:t>]</w:t>
      </w:r>
      <w:r w:rsidRPr="0072600F" w:rsidR="2D326956">
        <w:rPr>
          <w:rFonts w:ascii="Times New Roman" w:hAnsi="Times New Roman" w:cs="Times New Roman"/>
          <w:i/>
          <w:iCs/>
          <w:sz w:val="26"/>
          <w:szCs w:val="26"/>
        </w:rPr>
        <w:t>S</w:t>
      </w:r>
      <w:r w:rsidRPr="0072600F">
        <w:rPr>
          <w:rFonts w:ascii="Times New Roman" w:hAnsi="Times New Roman" w:cs="Times New Roman"/>
          <w:sz w:val="26"/>
          <w:szCs w:val="26"/>
        </w:rPr>
        <w:t xml:space="preserve">ection by providing written notice to Transmission Provider (“Request for Non-binding Dispute Resolution”).  Conversely, either Party may file a Request for Non-binding Dispute Resolution pursuant to this </w:t>
      </w:r>
      <w:r w:rsidRPr="0072600F" w:rsidR="38832FA6">
        <w:rPr>
          <w:rFonts w:ascii="Times New Roman" w:hAnsi="Times New Roman" w:cs="Times New Roman"/>
          <w:sz w:val="26"/>
          <w:szCs w:val="26"/>
        </w:rPr>
        <w:t>[</w:t>
      </w:r>
      <w:r w:rsidRPr="0072600F">
        <w:rPr>
          <w:rFonts w:ascii="Times New Roman" w:hAnsi="Times New Roman" w:cs="Times New Roman"/>
          <w:sz w:val="26"/>
          <w:szCs w:val="26"/>
        </w:rPr>
        <w:t>s</w:t>
      </w:r>
      <w:r w:rsidRPr="0072600F" w:rsidR="61C19474">
        <w:rPr>
          <w:rFonts w:ascii="Times New Roman" w:hAnsi="Times New Roman" w:cs="Times New Roman"/>
          <w:sz w:val="26"/>
          <w:szCs w:val="26"/>
        </w:rPr>
        <w:t>]</w:t>
      </w:r>
      <w:r w:rsidRPr="0072600F" w:rsidR="61C19474">
        <w:rPr>
          <w:rFonts w:ascii="Times New Roman" w:hAnsi="Times New Roman" w:cs="Times New Roman"/>
          <w:i/>
          <w:iCs/>
          <w:sz w:val="26"/>
          <w:szCs w:val="26"/>
        </w:rPr>
        <w:t>S</w:t>
      </w:r>
      <w:r w:rsidRPr="0072600F">
        <w:rPr>
          <w:rFonts w:ascii="Times New Roman" w:hAnsi="Times New Roman" w:cs="Times New Roman"/>
          <w:sz w:val="26"/>
          <w:szCs w:val="26"/>
        </w:rPr>
        <w:t>ection without first seeking mutual agreement to pursue the Section 13.5 arbitration process.  The process in</w:t>
      </w:r>
      <w:r w:rsidRPr="0072600F" w:rsidR="0095559C">
        <w:rPr>
          <w:rFonts w:ascii="Times New Roman" w:hAnsi="Times New Roman" w:cs="Times New Roman"/>
          <w:sz w:val="26"/>
          <w:szCs w:val="26"/>
        </w:rPr>
        <w:t xml:space="preserve"> </w:t>
      </w:r>
      <w:r w:rsidRPr="0072600F" w:rsidR="0095559C">
        <w:rPr>
          <w:rFonts w:ascii="Times New Roman" w:hAnsi="Times New Roman" w:cs="Times New Roman"/>
          <w:i/>
          <w:iCs/>
          <w:sz w:val="26"/>
          <w:szCs w:val="26"/>
        </w:rPr>
        <w:t>this</w:t>
      </w:r>
      <w:r w:rsidRPr="0072600F">
        <w:rPr>
          <w:rFonts w:ascii="Times New Roman" w:hAnsi="Times New Roman" w:cs="Times New Roman"/>
          <w:sz w:val="26"/>
          <w:szCs w:val="26"/>
        </w:rPr>
        <w:t xml:space="preserve"> Section 13.5.5 shall serve as an alternative to, and not a replacement of, the Section 13.5 arbitration process.  Pursuant to this process, a Transmission Provider must within </w:t>
      </w:r>
      <w:r w:rsidRPr="0072600F" w:rsidR="004C249F">
        <w:rPr>
          <w:rFonts w:ascii="Times New Roman" w:hAnsi="Times New Roman" w:cs="Times New Roman"/>
          <w:i/>
          <w:iCs/>
          <w:sz w:val="26"/>
          <w:szCs w:val="26"/>
        </w:rPr>
        <w:t xml:space="preserve">thirty </w:t>
      </w:r>
      <w:r w:rsidRPr="0072600F" w:rsidR="004C249F">
        <w:rPr>
          <w:rFonts w:ascii="Times New Roman" w:hAnsi="Times New Roman" w:cs="Times New Roman"/>
          <w:sz w:val="26"/>
          <w:szCs w:val="26"/>
        </w:rPr>
        <w:t>(</w:t>
      </w:r>
      <w:r w:rsidRPr="0072600F">
        <w:rPr>
          <w:rFonts w:ascii="Times New Roman" w:hAnsi="Times New Roman" w:cs="Times New Roman"/>
          <w:sz w:val="26"/>
          <w:szCs w:val="26"/>
        </w:rPr>
        <w:t>30</w:t>
      </w:r>
      <w:r w:rsidRPr="0072600F" w:rsidR="004C249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C249F">
        <w:rPr>
          <w:rFonts w:ascii="Times New Roman" w:hAnsi="Times New Roman" w:cs="Times New Roman"/>
          <w:i/>
          <w:iCs/>
          <w:sz w:val="26"/>
          <w:szCs w:val="26"/>
        </w:rPr>
        <w:t xml:space="preserve">Calendar </w:t>
      </w:r>
      <w:r w:rsidRPr="0072600F" w:rsidR="004C249F">
        <w:rPr>
          <w:rFonts w:ascii="Times New Roman" w:hAnsi="Times New Roman" w:cs="Times New Roman"/>
          <w:sz w:val="26"/>
          <w:szCs w:val="26"/>
        </w:rPr>
        <w:t>[</w:t>
      </w:r>
      <w:r w:rsidRPr="0072600F">
        <w:rPr>
          <w:rFonts w:ascii="Times New Roman" w:hAnsi="Times New Roman" w:cs="Times New Roman"/>
          <w:sz w:val="26"/>
          <w:szCs w:val="26"/>
        </w:rPr>
        <w:t>d</w:t>
      </w:r>
      <w:r w:rsidRPr="0072600F" w:rsidR="004C249F">
        <w:rPr>
          <w:rFonts w:ascii="Times New Roman" w:hAnsi="Times New Roman" w:cs="Times New Roman"/>
          <w:sz w:val="26"/>
          <w:szCs w:val="26"/>
        </w:rPr>
        <w:t>]</w:t>
      </w:r>
      <w:r w:rsidRPr="0072600F" w:rsidR="004C249F">
        <w:rPr>
          <w:rFonts w:ascii="Times New Roman" w:hAnsi="Times New Roman" w:cs="Times New Roman"/>
          <w:i/>
          <w:iCs/>
          <w:sz w:val="26"/>
          <w:szCs w:val="26"/>
        </w:rPr>
        <w:t>D</w:t>
      </w:r>
      <w:r w:rsidRPr="0072600F">
        <w:rPr>
          <w:rFonts w:ascii="Times New Roman" w:hAnsi="Times New Roman" w:cs="Times New Roman"/>
          <w:sz w:val="26"/>
          <w:szCs w:val="26"/>
        </w:rPr>
        <w:t xml:space="preserve">ays of receipt of the Request for Non-binding Dispute Resolution appoint a neutral decision-maker that is an independent subcontractor that shall not have any current or past substantial business or financial relationships with either Party.  Unless otherwise agreed by the Parties, the decision-maker shall render a decision within sixty (60) Calendar Days of appointment and shall notify the Parties in writing of such decision and </w:t>
      </w:r>
      <w:r w:rsidRPr="0072600F">
        <w:rPr>
          <w:rFonts w:ascii="Times New Roman" w:hAnsi="Times New Roman" w:cs="Times New Roman"/>
          <w:sz w:val="26"/>
          <w:szCs w:val="26"/>
        </w:rPr>
        <w:t>reasons</w:t>
      </w:r>
      <w:r w:rsidRPr="0072600F">
        <w:rPr>
          <w:rFonts w:ascii="Times New Roman" w:hAnsi="Times New Roman" w:cs="Times New Roman"/>
          <w:sz w:val="26"/>
          <w:szCs w:val="26"/>
        </w:rPr>
        <w:t xml:space="preserve"> therefore.  This decision-maker shall be authorized only to interpret and apply the provisions of the LGIP and LGIA and shall have no power to modify or change any provision of the LGIP and LGIA in any manner.  The result reached in this process is not binding, but, unless otherwise agreed, the Parties may cite the record and decision in the non-binding dispute resolution process in future dispute resolution processes, including in a Section 13.5 arbitration, or in a Federal Power Act section 206 complaint.  Each Party shall be responsible for its own costs incurred during the process and the cost of the decision-maker shall be divided equally among each Party to the dispute.</w:t>
      </w:r>
    </w:p>
    <w:p w:rsidR="00911580" w:rsidRPr="0072600F" w14:paraId="7B27E511" w14:textId="77777777">
      <w:pPr>
        <w:ind w:left="720"/>
        <w:rPr>
          <w:rFonts w:ascii="Times New Roman" w:hAnsi="Times New Roman" w:cs="Times New Roman"/>
          <w:sz w:val="26"/>
          <w:szCs w:val="26"/>
        </w:rPr>
      </w:pPr>
    </w:p>
    <w:p w:rsidR="00911580" w:rsidRPr="0072600F" w:rsidP="000E180F" w14:paraId="448BA46D" w14:textId="77777777">
      <w:pPr>
        <w:pStyle w:val="Heading3"/>
        <w:ind w:left="0" w:firstLine="0"/>
        <w:rPr>
          <w:b/>
          <w:sz w:val="26"/>
        </w:rPr>
      </w:pPr>
      <w:r w:rsidRPr="0072600F">
        <w:rPr>
          <w:sz w:val="26"/>
        </w:rPr>
        <w:tab/>
      </w:r>
      <w:bookmarkStart w:id="340" w:name="_Toc149903710"/>
      <w:r w:rsidRPr="0072600F">
        <w:rPr>
          <w:b/>
          <w:sz w:val="26"/>
        </w:rPr>
        <w:t>13.6</w:t>
      </w:r>
      <w:r w:rsidRPr="0072600F">
        <w:rPr>
          <w:b/>
          <w:sz w:val="26"/>
        </w:rPr>
        <w:tab/>
        <w:t>Local Furnishing Bonds.</w:t>
      </w:r>
      <w:bookmarkEnd w:id="340"/>
    </w:p>
    <w:p w:rsidR="00911580" w:rsidRPr="0072600F" w14:paraId="3C2FCF20" w14:textId="77777777">
      <w:pPr>
        <w:ind w:left="720"/>
        <w:rPr>
          <w:rFonts w:ascii="Times New Roman" w:hAnsi="Times New Roman" w:cs="Times New Roman"/>
          <w:b/>
          <w:sz w:val="26"/>
          <w:szCs w:val="26"/>
        </w:rPr>
      </w:pPr>
    </w:p>
    <w:p w:rsidR="00911580" w:rsidRPr="0072600F" w:rsidP="00BD42DF" w14:paraId="1129DD30" w14:textId="77777777">
      <w:pPr>
        <w:pStyle w:val="Heading4"/>
        <w:ind w:left="2880" w:hanging="2160"/>
        <w:rPr>
          <w:b/>
          <w:sz w:val="26"/>
        </w:rPr>
      </w:pPr>
      <w:r w:rsidRPr="0072600F">
        <w:rPr>
          <w:sz w:val="26"/>
        </w:rPr>
        <w:tab/>
      </w:r>
      <w:bookmarkStart w:id="341" w:name="_Toc149903711"/>
      <w:r w:rsidRPr="0072600F">
        <w:rPr>
          <w:b/>
          <w:sz w:val="26"/>
        </w:rPr>
        <w:t>13.6.1</w:t>
      </w:r>
      <w:r w:rsidRPr="0072600F">
        <w:rPr>
          <w:b/>
          <w:sz w:val="26"/>
        </w:rPr>
        <w:tab/>
      </w:r>
      <w:r w:rsidRPr="0072600F" w:rsidR="00BD42DF">
        <w:rPr>
          <w:b/>
          <w:bCs/>
          <w:sz w:val="26"/>
        </w:rPr>
        <w:tab/>
      </w:r>
      <w:r w:rsidRPr="0072600F">
        <w:rPr>
          <w:b/>
          <w:sz w:val="26"/>
        </w:rPr>
        <w:t>Transmission Providers That Own Facilities Financed by Local Furnishing Bonds.</w:t>
      </w:r>
      <w:bookmarkEnd w:id="341"/>
    </w:p>
    <w:p w:rsidR="00911580" w:rsidRPr="0072600F" w14:paraId="0E1736C2" w14:textId="77777777">
      <w:pPr>
        <w:ind w:left="2880" w:hanging="2880"/>
        <w:rPr>
          <w:rFonts w:ascii="Times New Roman" w:hAnsi="Times New Roman" w:cs="Times New Roman"/>
          <w:sz w:val="26"/>
          <w:szCs w:val="26"/>
        </w:rPr>
      </w:pPr>
      <w:r w:rsidRPr="0072600F">
        <w:rPr>
          <w:rFonts w:ascii="Times New Roman" w:hAnsi="Times New Roman" w:cs="Times New Roman"/>
          <w:sz w:val="26"/>
          <w:szCs w:val="26"/>
        </w:rPr>
        <w:tab/>
        <w:t>This provision is applicable only to a Transmission Provider that has financed facilities for the local furnishing of electric energy with tax-exempt bonds, as described in Section 142(f) of the Internal Revenue Code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local furnishing bonds</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Notwithstanding any other provision of this LGIA and LGIP, Transmission Provider shall not be required to provide Interconnection Service to Interconnection Customer pursuant to this LGIA and LGIP if the provision of such Transmission Service would jeopardize the tax-exempt status of any local furnishing bond(s) used to finance Transmission Provider’s facilities that would be used in providing such Interconnection Service.</w:t>
      </w:r>
    </w:p>
    <w:p w:rsidR="00911580" w:rsidRPr="0072600F" w14:paraId="2B9C6C6C" w14:textId="77777777">
      <w:pPr>
        <w:ind w:left="720"/>
        <w:rPr>
          <w:rFonts w:ascii="Times New Roman" w:hAnsi="Times New Roman" w:cs="Times New Roman"/>
          <w:sz w:val="26"/>
          <w:szCs w:val="26"/>
        </w:rPr>
      </w:pPr>
    </w:p>
    <w:p w:rsidR="00911580" w:rsidRPr="0072600F" w:rsidP="00BD42DF" w14:paraId="2AF82AB3" w14:textId="77777777">
      <w:pPr>
        <w:pStyle w:val="Heading4"/>
        <w:ind w:left="2880" w:hanging="2160"/>
        <w:rPr>
          <w:b/>
          <w:sz w:val="26"/>
        </w:rPr>
      </w:pPr>
      <w:r w:rsidRPr="0072600F">
        <w:rPr>
          <w:sz w:val="26"/>
        </w:rPr>
        <w:tab/>
      </w:r>
      <w:bookmarkStart w:id="342" w:name="_Toc149903712"/>
      <w:r w:rsidRPr="0072600F">
        <w:rPr>
          <w:b/>
          <w:sz w:val="26"/>
        </w:rPr>
        <w:t>13.6.2</w:t>
      </w:r>
      <w:r w:rsidRPr="0072600F">
        <w:rPr>
          <w:b/>
          <w:sz w:val="26"/>
        </w:rPr>
        <w:tab/>
      </w:r>
      <w:r w:rsidRPr="0072600F" w:rsidR="00BD42DF">
        <w:rPr>
          <w:b/>
          <w:bCs/>
          <w:sz w:val="26"/>
        </w:rPr>
        <w:tab/>
      </w:r>
      <w:r w:rsidRPr="0072600F">
        <w:rPr>
          <w:b/>
          <w:sz w:val="26"/>
        </w:rPr>
        <w:t>Alternative Procedures for Requesting Interconnection Service.</w:t>
      </w:r>
      <w:bookmarkEnd w:id="342"/>
    </w:p>
    <w:p w:rsidR="00911580" w:rsidRPr="0072600F" w14:paraId="0D8AE91A" w14:textId="77777777">
      <w:pPr>
        <w:tabs>
          <w:tab w:val="left" w:pos="2160"/>
        </w:tabs>
        <w:ind w:left="2880" w:hanging="1440"/>
        <w:rPr>
          <w:rFonts w:ascii="Times New Roman" w:hAnsi="Times New Roman" w:cs="Times New Roman"/>
          <w:sz w:val="26"/>
          <w:szCs w:val="26"/>
        </w:rPr>
      </w:pPr>
      <w:r w:rsidRPr="0072600F">
        <w:rPr>
          <w:rFonts w:ascii="Times New Roman" w:hAnsi="Times New Roman" w:cs="Times New Roman"/>
          <w:b/>
          <w:sz w:val="26"/>
          <w:szCs w:val="26"/>
        </w:rPr>
        <w:tab/>
      </w:r>
      <w:r w:rsidRPr="0072600F">
        <w:rPr>
          <w:rFonts w:ascii="Times New Roman" w:hAnsi="Times New Roman" w:cs="Times New Roman"/>
          <w:sz w:val="26"/>
          <w:szCs w:val="26"/>
        </w:rPr>
        <w:tab/>
        <w:t xml:space="preserve">If Transmission Provider determines that the provision of Interconnection Service requested by Interconnection Customer would jeopardize the tax-exempt status of any local furnishing bond(s) used to finance its facilities that would be used in providing such Interconnection Service, it shall advise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within thirty (30) Calendar Days of receipt of the Interconnection Request.</w:t>
      </w:r>
    </w:p>
    <w:p w:rsidR="00911580" w:rsidRPr="0072600F" w14:paraId="251D3648" w14:textId="77777777">
      <w:pPr>
        <w:tabs>
          <w:tab w:val="left" w:pos="2160"/>
        </w:tabs>
        <w:ind w:left="2880" w:hanging="1440"/>
        <w:rPr>
          <w:rFonts w:ascii="Times New Roman" w:hAnsi="Times New Roman" w:cs="Times New Roman"/>
          <w:sz w:val="26"/>
          <w:szCs w:val="26"/>
        </w:rPr>
      </w:pPr>
    </w:p>
    <w:p w:rsidR="00911580" w:rsidRPr="0072600F" w14:paraId="6CB82598" w14:textId="77777777">
      <w:pPr>
        <w:tabs>
          <w:tab w:val="left" w:pos="2160"/>
          <w:tab w:val="num" w:pos="2880"/>
        </w:tabs>
        <w:ind w:left="2880" w:hanging="144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Interconnection Customer thereafter may renew its request for interconnection using the process specified in </w:t>
      </w:r>
      <w:r w:rsidRPr="0072600F" w:rsidR="00277BD9">
        <w:rPr>
          <w:rFonts w:ascii="Times New Roman" w:hAnsi="Times New Roman" w:cs="Times New Roman"/>
          <w:sz w:val="26"/>
          <w:szCs w:val="26"/>
        </w:rPr>
        <w:t>[</w:t>
      </w:r>
      <w:r w:rsidRPr="0072600F">
        <w:rPr>
          <w:rFonts w:ascii="Times New Roman" w:hAnsi="Times New Roman" w:cs="Times New Roman"/>
          <w:sz w:val="26"/>
          <w:szCs w:val="26"/>
        </w:rPr>
        <w:t>Article</w:t>
      </w:r>
      <w:r w:rsidRPr="0072600F" w:rsidR="00277BD9">
        <w:rPr>
          <w:rFonts w:ascii="Times New Roman" w:hAnsi="Times New Roman" w:cs="Times New Roman"/>
          <w:sz w:val="26"/>
          <w:szCs w:val="26"/>
        </w:rPr>
        <w:t>]</w:t>
      </w:r>
      <w:r w:rsidRPr="0072600F" w:rsidR="00AA20A3">
        <w:rPr>
          <w:rFonts w:ascii="Times New Roman" w:hAnsi="Times New Roman" w:cs="Times New Roman"/>
          <w:i/>
          <w:iCs/>
          <w:sz w:val="26"/>
          <w:szCs w:val="26"/>
        </w:rPr>
        <w:t>Section</w:t>
      </w:r>
      <w:r w:rsidRPr="0072600F">
        <w:rPr>
          <w:rFonts w:ascii="Times New Roman" w:hAnsi="Times New Roman" w:cs="Times New Roman"/>
          <w:sz w:val="26"/>
          <w:szCs w:val="26"/>
        </w:rPr>
        <w:t xml:space="preserve"> 5.2(ii) of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Tariff.</w:t>
      </w:r>
    </w:p>
    <w:p w:rsidR="00911580" w:rsidRPr="0072600F" w14:paraId="6F873652" w14:textId="77777777">
      <w:pPr>
        <w:tabs>
          <w:tab w:val="left" w:pos="2160"/>
          <w:tab w:val="num" w:pos="2880"/>
        </w:tabs>
        <w:rPr>
          <w:rFonts w:ascii="Times New Roman" w:hAnsi="Times New Roman" w:cs="Times New Roman"/>
          <w:sz w:val="26"/>
          <w:szCs w:val="26"/>
        </w:rPr>
      </w:pPr>
    </w:p>
    <w:p w:rsidR="00911580" w:rsidRPr="0072600F" w:rsidP="000E180F" w14:paraId="313BDC9A" w14:textId="77777777">
      <w:pPr>
        <w:pStyle w:val="Heading3"/>
        <w:ind w:left="0" w:firstLine="0"/>
        <w:rPr>
          <w:b/>
          <w:sz w:val="26"/>
        </w:rPr>
      </w:pPr>
      <w:bookmarkStart w:id="343" w:name="_Toc149903713"/>
      <w:r w:rsidRPr="0072600F">
        <w:rPr>
          <w:sz w:val="26"/>
        </w:rPr>
        <w:tab/>
      </w:r>
      <w:r w:rsidRPr="0072600F">
        <w:rPr>
          <w:b/>
          <w:sz w:val="26"/>
        </w:rPr>
        <w:t xml:space="preserve">13.7 </w:t>
      </w:r>
      <w:r w:rsidRPr="0072600F">
        <w:rPr>
          <w:b/>
          <w:sz w:val="26"/>
        </w:rPr>
        <w:tab/>
        <w:t>Engineering &amp; Procurement (‘E&amp;P’) Agreement.</w:t>
      </w:r>
      <w:bookmarkEnd w:id="343"/>
    </w:p>
    <w:p w:rsidR="00911580" w:rsidRPr="0072600F" w14:paraId="608AE0AD" w14:textId="77777777">
      <w:pPr>
        <w:tabs>
          <w:tab w:val="num" w:pos="1440"/>
          <w:tab w:val="left" w:pos="2160"/>
        </w:tabs>
        <w:ind w:left="1440"/>
        <w:rPr>
          <w:rFonts w:ascii="Times New Roman" w:hAnsi="Times New Roman" w:cs="Times New Roman"/>
          <w:sz w:val="26"/>
          <w:szCs w:val="26"/>
        </w:rPr>
      </w:pPr>
      <w:r w:rsidRPr="0072600F">
        <w:rPr>
          <w:rFonts w:ascii="Times New Roman" w:hAnsi="Times New Roman" w:cs="Times New Roman"/>
          <w:sz w:val="26"/>
          <w:szCs w:val="26"/>
        </w:rPr>
        <w:t>Prior to executing an LGIA, an Interconnection Customer may, in order to advance the implementation of its interconnection, request and Transmission Provider shall offer Interconnection Customer, an E&amp;P Agreement that authorizes Transmission Provider to begin engineering and procurement of long lead-time items necessary for the establishment of the interconnection.  However, Transmission Provider shall not be obligated to offer an E&amp;P Agreement if Interconnection Customer is in Dispute Resolution as a result of an allegation that Interconnection Customer has failed to meet any milestones or comply with any prerequisites specified in other parts of the LGIP.  The E&amp;P Agreement is an optional procedure and it will not alter Interconnection Customer’s Queue Position or In-Service Date.  The E&amp;P Agreement shall provide for Interconnection Customer to pay the cost of all activities authorized by Interconnection Customer and to make advance payments or provide other satisfactory security for such costs.</w:t>
      </w:r>
    </w:p>
    <w:p w:rsidR="00911580" w:rsidRPr="0072600F" w14:paraId="4ADA39CB" w14:textId="77777777">
      <w:pPr>
        <w:tabs>
          <w:tab w:val="left" w:pos="2160"/>
          <w:tab w:val="num" w:pos="2880"/>
        </w:tabs>
        <w:ind w:left="1440"/>
        <w:rPr>
          <w:rFonts w:ascii="Times New Roman" w:hAnsi="Times New Roman" w:cs="Times New Roman"/>
          <w:sz w:val="26"/>
          <w:szCs w:val="26"/>
        </w:rPr>
      </w:pPr>
    </w:p>
    <w:p w:rsidR="00911580" w:rsidRPr="0072600F" w14:paraId="30E7FEA2" w14:textId="77777777">
      <w:pPr>
        <w:tabs>
          <w:tab w:val="left" w:pos="2160"/>
          <w:tab w:val="num" w:pos="2880"/>
        </w:tabs>
        <w:ind w:left="1440"/>
        <w:rPr>
          <w:rFonts w:ascii="Times New Roman" w:hAnsi="Times New Roman" w:cs="Times New Roman"/>
          <w:sz w:val="26"/>
          <w:szCs w:val="26"/>
        </w:rPr>
      </w:pPr>
      <w:r w:rsidRPr="0072600F">
        <w:rPr>
          <w:rFonts w:ascii="Times New Roman" w:hAnsi="Times New Roman" w:cs="Times New Roman"/>
          <w:sz w:val="26"/>
          <w:szCs w:val="26"/>
        </w:rPr>
        <w:t xml:space="preserve">Interconnection Customer shall pay the cost of such authorized activities and any cancellation costs for equipment that is already ordered for its interconnection, which cannot be mitigated as hereafter described, whether or not such items or equipment later become unnecessary.  If Interconnection Customer withdraws its Interconnection Request or either Party terminates the E&amp;P Agreement, to the extent the equipment ordered can be canceled under reasonable terms, Interconnection Customer shall be obligated to pay the associated cancellation costs.  To the extent that </w:t>
      </w:r>
    </w:p>
    <w:p w:rsidR="00911580" w:rsidRPr="0072600F" w14:paraId="4F20572E" w14:textId="77777777">
      <w:pPr>
        <w:tabs>
          <w:tab w:val="left" w:pos="2160"/>
          <w:tab w:val="num" w:pos="2880"/>
        </w:tabs>
        <w:ind w:left="1440"/>
        <w:rPr>
          <w:rFonts w:ascii="Times New Roman" w:hAnsi="Times New Roman" w:cs="Times New Roman"/>
          <w:sz w:val="26"/>
          <w:szCs w:val="26"/>
        </w:rPr>
      </w:pPr>
      <w:r w:rsidRPr="0072600F">
        <w:rPr>
          <w:rFonts w:ascii="Times New Roman" w:hAnsi="Times New Roman" w:cs="Times New Roman"/>
          <w:sz w:val="26"/>
          <w:szCs w:val="26"/>
        </w:rPr>
        <w:t>the equipment cannot be reasonably canceled, Transmission Provider may elect: (</w:t>
      </w:r>
      <w:r w:rsidRPr="0072600F">
        <w:rPr>
          <w:rFonts w:ascii="Times New Roman" w:hAnsi="Times New Roman" w:cs="Times New Roman"/>
          <w:sz w:val="26"/>
          <w:szCs w:val="26"/>
        </w:rPr>
        <w:t>i</w:t>
      </w:r>
      <w:r w:rsidRPr="0072600F">
        <w:rPr>
          <w:rFonts w:ascii="Times New Roman" w:hAnsi="Times New Roman" w:cs="Times New Roman"/>
          <w:sz w:val="26"/>
          <w:szCs w:val="26"/>
        </w:rPr>
        <w:t>) to take title to the equipment, in which event Transmission Provider shall refund Interconnection Customer any amounts paid by Interconnection Customer for such equipment and shall pay the cost of delivery of such equipment, or (ii) to transfer title to and deliver such equipment to Interconnection Customer, in which event Interconnection Customer shall pay any unpaid balance and cost of delivery of such equipment.</w:t>
      </w:r>
    </w:p>
    <w:p w:rsidR="00911580" w:rsidRPr="0072600F" w14:paraId="26BD60BF" w14:textId="77777777">
      <w:pPr>
        <w:rPr>
          <w:rFonts w:ascii="Times New Roman" w:hAnsi="Times New Roman" w:cs="Times New Roman"/>
          <w:sz w:val="26"/>
          <w:szCs w:val="26"/>
        </w:rPr>
        <w:sectPr w:rsidSect="001D7B01">
          <w:footerReference w:type="default" r:id="rId26"/>
          <w:pgSz w:w="12240" w:h="15840"/>
          <w:pgMar w:top="1440" w:right="1440" w:bottom="1440" w:left="1440" w:header="720" w:footer="864" w:gutter="0"/>
          <w:pgNumType w:fmt="numberInDash" w:start="1"/>
          <w:cols w:space="720"/>
          <w:noEndnote/>
          <w:docGrid w:linePitch="299"/>
        </w:sectPr>
      </w:pPr>
    </w:p>
    <w:p w:rsidR="00911580" w:rsidRPr="0072600F" w14:paraId="4A353B7B"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APPENDIX 1 to LGIP</w:t>
      </w:r>
    </w:p>
    <w:p w:rsidR="00911580" w:rsidRPr="0072600F" w14:paraId="7737AB15" w14:textId="77777777">
      <w:pPr>
        <w:jc w:val="center"/>
        <w:rPr>
          <w:rFonts w:ascii="Times New Roman" w:hAnsi="Times New Roman" w:cs="Times New Roman"/>
          <w:b/>
          <w:sz w:val="26"/>
          <w:szCs w:val="26"/>
        </w:rPr>
      </w:pPr>
      <w:r w:rsidRPr="0072600F">
        <w:rPr>
          <w:rFonts w:ascii="Times New Roman" w:hAnsi="Times New Roman" w:cs="Times New Roman"/>
          <w:b/>
          <w:bCs/>
          <w:sz w:val="26"/>
          <w:szCs w:val="26"/>
        </w:rPr>
        <w:t>INTERCONNECTION REQUEST</w:t>
      </w:r>
      <w:r w:rsidRPr="0072600F">
        <w:rPr>
          <w:rFonts w:ascii="Times New Roman" w:hAnsi="Times New Roman" w:cs="Times New Roman"/>
          <w:b/>
          <w:sz w:val="26"/>
          <w:szCs w:val="26"/>
        </w:rPr>
        <w:t xml:space="preserve"> FOR A</w:t>
      </w:r>
    </w:p>
    <w:p w:rsidR="00911580" w:rsidRPr="0072600F" w14:paraId="2DAB36D2" w14:textId="77777777">
      <w:pPr>
        <w:jc w:val="center"/>
        <w:rPr>
          <w:rFonts w:ascii="Times New Roman" w:hAnsi="Times New Roman" w:cs="Times New Roman"/>
          <w:sz w:val="26"/>
          <w:szCs w:val="26"/>
        </w:rPr>
      </w:pPr>
      <w:r w:rsidRPr="0072600F">
        <w:rPr>
          <w:rFonts w:ascii="Times New Roman" w:hAnsi="Times New Roman" w:cs="Times New Roman"/>
          <w:b/>
          <w:sz w:val="26"/>
          <w:szCs w:val="26"/>
        </w:rPr>
        <w:t>LARGE GENERATING FACILITY</w:t>
      </w:r>
    </w:p>
    <w:p w:rsidR="00911580" w:rsidRPr="0072600F" w14:paraId="1C62E93D" w14:textId="77777777">
      <w:pPr>
        <w:rPr>
          <w:rFonts w:ascii="Times New Roman" w:hAnsi="Times New Roman" w:cs="Times New Roman"/>
          <w:sz w:val="26"/>
          <w:szCs w:val="26"/>
        </w:rPr>
      </w:pPr>
    </w:p>
    <w:p w:rsidR="00911580" w:rsidRPr="0072600F" w14:paraId="199A7F90" w14:textId="77777777">
      <w:pPr>
        <w:rPr>
          <w:rFonts w:ascii="Times New Roman" w:hAnsi="Times New Roman" w:cs="Times New Roman"/>
          <w:sz w:val="26"/>
          <w:szCs w:val="26"/>
        </w:rPr>
      </w:pPr>
    </w:p>
    <w:p w:rsidR="00911580" w:rsidRPr="0072600F" w:rsidP="007A0ADB" w14:paraId="571C65D8"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sz w:val="26"/>
          <w:szCs w:val="26"/>
        </w:rPr>
        <w:t>1.</w:t>
      </w:r>
      <w:r w:rsidRPr="0072600F">
        <w:rPr>
          <w:rFonts w:ascii="Times New Roman" w:hAnsi="Times New Roman" w:cs="Times New Roman"/>
          <w:sz w:val="26"/>
          <w:szCs w:val="26"/>
        </w:rPr>
        <w:tab/>
        <w:t xml:space="preserve">The undersigned Interconnection Customer submits this request to interconnect its Large Generating Facility with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pursuant to a Tariff.</w:t>
      </w:r>
    </w:p>
    <w:p w:rsidR="00911580" w:rsidRPr="0072600F" w14:paraId="777BE196" w14:textId="77777777">
      <w:pPr>
        <w:rPr>
          <w:rFonts w:ascii="Times New Roman" w:hAnsi="Times New Roman" w:cs="Times New Roman"/>
          <w:sz w:val="26"/>
          <w:szCs w:val="26"/>
        </w:rPr>
      </w:pPr>
    </w:p>
    <w:p w:rsidR="00911580" w:rsidRPr="0072600F" w14:paraId="668A3AB1"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sz w:val="26"/>
          <w:szCs w:val="26"/>
        </w:rPr>
        <w:t>2.</w:t>
      </w:r>
      <w:r w:rsidRPr="0072600F">
        <w:rPr>
          <w:rFonts w:ascii="Times New Roman" w:hAnsi="Times New Roman" w:cs="Times New Roman"/>
          <w:sz w:val="26"/>
          <w:szCs w:val="26"/>
        </w:rPr>
        <w:tab/>
        <w:t>This Interconnection Request is for (check one):</w:t>
      </w:r>
    </w:p>
    <w:p w:rsidR="00911580" w:rsidRPr="0072600F" w14:paraId="5FFA743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t>_____</w:t>
      </w:r>
      <w:r w:rsidRPr="0072600F">
        <w:rPr>
          <w:rFonts w:ascii="Times New Roman" w:hAnsi="Times New Roman" w:cs="Times New Roman"/>
          <w:sz w:val="26"/>
          <w:szCs w:val="26"/>
        </w:rPr>
        <w:tab/>
        <w:t>A proposed new Large Generating Facility.</w:t>
      </w:r>
    </w:p>
    <w:p w:rsidR="00911580" w:rsidRPr="0072600F" w14:paraId="264A1D21" w14:textId="77777777">
      <w:pPr>
        <w:tabs>
          <w:tab w:val="left" w:pos="720"/>
          <w:tab w:val="left" w:pos="1440"/>
          <w:tab w:val="left" w:pos="2160"/>
        </w:tabs>
        <w:ind w:left="1440" w:hanging="1440"/>
        <w:rPr>
          <w:rFonts w:ascii="Times New Roman" w:hAnsi="Times New Roman" w:cs="Times New Roman"/>
          <w:sz w:val="26"/>
          <w:szCs w:val="26"/>
        </w:rPr>
      </w:pPr>
      <w:r w:rsidRPr="0072600F">
        <w:rPr>
          <w:rFonts w:ascii="Times New Roman" w:hAnsi="Times New Roman" w:cs="Times New Roman"/>
          <w:sz w:val="26"/>
          <w:szCs w:val="26"/>
        </w:rPr>
        <w:tab/>
        <w:t>_____</w:t>
      </w:r>
      <w:r w:rsidRPr="0072600F">
        <w:rPr>
          <w:rFonts w:ascii="Times New Roman" w:hAnsi="Times New Roman" w:cs="Times New Roman"/>
          <w:sz w:val="26"/>
          <w:szCs w:val="26"/>
        </w:rPr>
        <w:tab/>
        <w:t>An increase in the generating capacity or a Material Modification of an existing Generating Facility.</w:t>
      </w:r>
    </w:p>
    <w:p w:rsidR="00911580" w:rsidRPr="0072600F" w14:paraId="044C5415" w14:textId="77777777">
      <w:pPr>
        <w:rPr>
          <w:rFonts w:ascii="Times New Roman" w:hAnsi="Times New Roman" w:cs="Times New Roman"/>
          <w:sz w:val="26"/>
          <w:szCs w:val="26"/>
        </w:rPr>
      </w:pPr>
    </w:p>
    <w:p w:rsidR="00911580" w:rsidRPr="0072600F" w14:paraId="7F425BFA"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sz w:val="26"/>
          <w:szCs w:val="26"/>
        </w:rPr>
        <w:t>3.</w:t>
      </w:r>
      <w:r w:rsidRPr="0072600F">
        <w:rPr>
          <w:rFonts w:ascii="Times New Roman" w:hAnsi="Times New Roman" w:cs="Times New Roman"/>
          <w:sz w:val="26"/>
          <w:szCs w:val="26"/>
        </w:rPr>
        <w:tab/>
        <w:t>The type of interconnection service requested (check one):</w:t>
      </w:r>
    </w:p>
    <w:p w:rsidR="00911580" w:rsidRPr="0072600F" w14:paraId="2FCF886C" w14:textId="77777777">
      <w:pPr>
        <w:tabs>
          <w:tab w:val="left" w:pos="720"/>
          <w:tab w:val="left" w:pos="1440"/>
          <w:tab w:val="left" w:pos="2160"/>
        </w:tabs>
        <w:ind w:left="1440" w:hanging="1440"/>
        <w:rPr>
          <w:rFonts w:ascii="Times New Roman" w:hAnsi="Times New Roman" w:cs="Times New Roman"/>
          <w:sz w:val="26"/>
          <w:szCs w:val="26"/>
        </w:rPr>
      </w:pPr>
      <w:r w:rsidRPr="0072600F">
        <w:rPr>
          <w:rFonts w:ascii="Times New Roman" w:hAnsi="Times New Roman" w:cs="Times New Roman"/>
          <w:sz w:val="26"/>
          <w:szCs w:val="26"/>
        </w:rPr>
        <w:tab/>
        <w:t>_____</w:t>
      </w:r>
      <w:r w:rsidRPr="0072600F">
        <w:rPr>
          <w:rFonts w:ascii="Times New Roman" w:hAnsi="Times New Roman" w:cs="Times New Roman"/>
          <w:sz w:val="26"/>
          <w:szCs w:val="26"/>
        </w:rPr>
        <w:tab/>
        <w:t>Energy Resource Interconnection Service</w:t>
      </w:r>
    </w:p>
    <w:p w:rsidR="00911580" w:rsidRPr="0072600F" w14:paraId="47B161CA" w14:textId="77777777">
      <w:pPr>
        <w:tabs>
          <w:tab w:val="left" w:pos="720"/>
          <w:tab w:val="left" w:pos="1440"/>
          <w:tab w:val="left" w:pos="2160"/>
        </w:tabs>
        <w:ind w:left="1440" w:hanging="1440"/>
        <w:rPr>
          <w:rFonts w:ascii="Times New Roman" w:hAnsi="Times New Roman" w:cs="Times New Roman"/>
          <w:sz w:val="26"/>
          <w:szCs w:val="26"/>
        </w:rPr>
      </w:pPr>
      <w:r w:rsidRPr="0072600F">
        <w:rPr>
          <w:rFonts w:ascii="Times New Roman" w:hAnsi="Times New Roman" w:cs="Times New Roman"/>
          <w:sz w:val="26"/>
          <w:szCs w:val="26"/>
        </w:rPr>
        <w:tab/>
        <w:t>_____</w:t>
      </w:r>
      <w:r w:rsidRPr="0072600F">
        <w:rPr>
          <w:rFonts w:ascii="Times New Roman" w:hAnsi="Times New Roman" w:cs="Times New Roman"/>
          <w:sz w:val="26"/>
          <w:szCs w:val="26"/>
        </w:rPr>
        <w:tab/>
        <w:t>Network Resource Interconnection Service</w:t>
      </w:r>
    </w:p>
    <w:p w:rsidR="00911580" w:rsidRPr="0072600F" w14:paraId="7B0151F4" w14:textId="77777777">
      <w:pPr>
        <w:rPr>
          <w:rFonts w:ascii="Times New Roman" w:hAnsi="Times New Roman" w:cs="Times New Roman"/>
          <w:sz w:val="26"/>
          <w:szCs w:val="26"/>
        </w:rPr>
      </w:pPr>
    </w:p>
    <w:p w:rsidR="00911580" w:rsidRPr="0072600F" w14:paraId="7CB1FA18" w14:textId="77777777">
      <w:pPr>
        <w:ind w:left="720" w:hanging="720"/>
        <w:rPr>
          <w:rFonts w:ascii="Times New Roman" w:hAnsi="Times New Roman" w:cs="Times New Roman"/>
          <w:sz w:val="26"/>
          <w:szCs w:val="26"/>
        </w:rPr>
      </w:pPr>
      <w:r w:rsidRPr="0072600F">
        <w:rPr>
          <w:rFonts w:ascii="Times New Roman" w:hAnsi="Times New Roman" w:cs="Times New Roman"/>
          <w:sz w:val="26"/>
          <w:szCs w:val="26"/>
        </w:rPr>
        <w:t>4. </w:t>
      </w:r>
      <w:r w:rsidRPr="0072600F">
        <w:rPr>
          <w:rFonts w:ascii="Times New Roman" w:hAnsi="Times New Roman" w:cs="Times New Roman"/>
          <w:sz w:val="26"/>
          <w:szCs w:val="26"/>
        </w:rPr>
        <w:tab/>
        <w:t>_____ Check here only if Interconnection Customer requesting Network Resource Interconnection Service also seeks to have its Generating Facility studied for Energy Resource Interconnection Service</w:t>
      </w:r>
    </w:p>
    <w:p w:rsidR="00911580" w:rsidRPr="0072600F" w14:paraId="52D45FAE" w14:textId="77777777">
      <w:pPr>
        <w:rPr>
          <w:rFonts w:ascii="Times New Roman" w:hAnsi="Times New Roman" w:cs="Times New Roman"/>
          <w:sz w:val="26"/>
          <w:szCs w:val="26"/>
        </w:rPr>
      </w:pPr>
    </w:p>
    <w:p w:rsidR="00911580" w:rsidRPr="0072600F" w:rsidP="007A0ADB" w14:paraId="386784E1" w14:textId="77777777">
      <w:pPr>
        <w:rPr>
          <w:rFonts w:ascii="Times New Roman" w:hAnsi="Times New Roman" w:cs="Times New Roman"/>
          <w:sz w:val="26"/>
          <w:szCs w:val="26"/>
        </w:rPr>
      </w:pPr>
      <w:r w:rsidRPr="0072600F">
        <w:rPr>
          <w:rFonts w:ascii="Times New Roman" w:hAnsi="Times New Roman" w:cs="Times New Roman"/>
          <w:sz w:val="26"/>
          <w:szCs w:val="26"/>
        </w:rPr>
        <w:t>5.</w:t>
      </w:r>
      <w:r w:rsidRPr="0072600F">
        <w:rPr>
          <w:rFonts w:ascii="Times New Roman" w:hAnsi="Times New Roman" w:cs="Times New Roman"/>
          <w:sz w:val="26"/>
          <w:szCs w:val="26"/>
        </w:rPr>
        <w:tab/>
        <w:t>Interconnection Customer provides the following information:</w:t>
      </w:r>
    </w:p>
    <w:p w:rsidR="00911580" w:rsidRPr="0072600F" w14:paraId="76619070" w14:textId="77777777">
      <w:pPr>
        <w:rPr>
          <w:rFonts w:ascii="Times New Roman" w:hAnsi="Times New Roman" w:cs="Times New Roman"/>
          <w:sz w:val="26"/>
          <w:szCs w:val="26"/>
        </w:rPr>
      </w:pPr>
    </w:p>
    <w:p w:rsidR="00911580" w:rsidRPr="0072600F" w:rsidP="007A0ADB" w14:paraId="17EF1DB0"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a.</w:t>
      </w:r>
      <w:r w:rsidRPr="0072600F">
        <w:rPr>
          <w:rFonts w:ascii="Times New Roman" w:hAnsi="Times New Roman" w:cs="Times New Roman"/>
          <w:sz w:val="26"/>
          <w:szCs w:val="26"/>
        </w:rPr>
        <w:tab/>
        <w:t>Address or location or the proposed new Large Generating Facility site (to the extent known) or, in the case of an existing Generating Facility, the name and specific location of the existing Generating Facility;</w:t>
      </w:r>
    </w:p>
    <w:p w:rsidR="00911580" w:rsidRPr="0072600F" w14:paraId="4B52AC4C" w14:textId="77777777">
      <w:pPr>
        <w:rPr>
          <w:rFonts w:ascii="Times New Roman" w:hAnsi="Times New Roman" w:cs="Times New Roman"/>
          <w:sz w:val="26"/>
          <w:szCs w:val="26"/>
        </w:rPr>
      </w:pPr>
    </w:p>
    <w:p w:rsidR="00911580" w:rsidRPr="0072600F" w14:paraId="3DA8C4C3"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b.</w:t>
      </w:r>
      <w:r w:rsidRPr="0072600F">
        <w:rPr>
          <w:rFonts w:ascii="Times New Roman" w:hAnsi="Times New Roman" w:cs="Times New Roman"/>
          <w:sz w:val="26"/>
          <w:szCs w:val="26"/>
        </w:rPr>
        <w:tab/>
        <w:t>Maximum summer at ____ degrees C and winter at _____ degrees C megawatt electrical output of the proposed new Large Generating Facility or the amount of megawatt increase in the generating capacity of an existing Generating Facility;</w:t>
      </w:r>
    </w:p>
    <w:p w:rsidR="00911580" w:rsidRPr="0072600F" w14:paraId="0E914EED" w14:textId="77777777">
      <w:pPr>
        <w:rPr>
          <w:rFonts w:ascii="Times New Roman" w:hAnsi="Times New Roman" w:cs="Times New Roman"/>
          <w:sz w:val="26"/>
          <w:szCs w:val="26"/>
        </w:rPr>
      </w:pPr>
    </w:p>
    <w:p w:rsidR="00911580" w:rsidRPr="0072600F" w14:paraId="778D84A7" w14:textId="77777777">
      <w:pPr>
        <w:rPr>
          <w:rFonts w:ascii="Times New Roman" w:hAnsi="Times New Roman" w:cs="Times New Roman"/>
          <w:sz w:val="26"/>
          <w:szCs w:val="26"/>
        </w:rPr>
      </w:pPr>
      <w:r w:rsidRPr="0072600F">
        <w:rPr>
          <w:rFonts w:ascii="Times New Roman" w:hAnsi="Times New Roman" w:cs="Times New Roman"/>
          <w:sz w:val="26"/>
          <w:szCs w:val="26"/>
        </w:rPr>
        <w:tab/>
        <w:t>c.</w:t>
      </w:r>
      <w:r w:rsidRPr="0072600F">
        <w:rPr>
          <w:rFonts w:ascii="Times New Roman" w:hAnsi="Times New Roman" w:cs="Times New Roman"/>
          <w:sz w:val="26"/>
          <w:szCs w:val="26"/>
        </w:rPr>
        <w:tab/>
        <w:t>General description of the equipment configuration;</w:t>
      </w:r>
    </w:p>
    <w:p w:rsidR="00911580" w:rsidRPr="0072600F" w14:paraId="0B270178" w14:textId="77777777">
      <w:pPr>
        <w:rPr>
          <w:rFonts w:ascii="Times New Roman" w:hAnsi="Times New Roman" w:cs="Times New Roman"/>
          <w:sz w:val="26"/>
          <w:szCs w:val="26"/>
        </w:rPr>
      </w:pPr>
    </w:p>
    <w:p w:rsidR="00911580" w:rsidRPr="0072600F" w14:paraId="72700360" w14:textId="77777777">
      <w:pPr>
        <w:rPr>
          <w:rFonts w:ascii="Times New Roman" w:hAnsi="Times New Roman" w:cs="Times New Roman"/>
          <w:sz w:val="26"/>
          <w:szCs w:val="26"/>
        </w:rPr>
      </w:pPr>
      <w:r w:rsidRPr="0072600F">
        <w:rPr>
          <w:rFonts w:ascii="Times New Roman" w:hAnsi="Times New Roman" w:cs="Times New Roman"/>
          <w:sz w:val="26"/>
          <w:szCs w:val="26"/>
        </w:rPr>
        <w:tab/>
        <w:t>d.</w:t>
      </w:r>
      <w:r w:rsidRPr="0072600F">
        <w:rPr>
          <w:rFonts w:ascii="Times New Roman" w:hAnsi="Times New Roman" w:cs="Times New Roman"/>
          <w:sz w:val="26"/>
          <w:szCs w:val="26"/>
        </w:rPr>
        <w:tab/>
        <w:t>Commercial Operation Date (Day, Month, and Year);</w:t>
      </w:r>
    </w:p>
    <w:p w:rsidR="00911580" w:rsidRPr="0072600F" w14:paraId="4E3E6F36" w14:textId="77777777">
      <w:pPr>
        <w:rPr>
          <w:rFonts w:ascii="Times New Roman" w:hAnsi="Times New Roman" w:cs="Times New Roman"/>
          <w:sz w:val="26"/>
          <w:szCs w:val="26"/>
        </w:rPr>
      </w:pPr>
    </w:p>
    <w:p w:rsidR="00911580" w:rsidRPr="0072600F" w14:paraId="4C3D55D7"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 xml:space="preserve">e. </w:t>
      </w:r>
      <w:r w:rsidRPr="0072600F">
        <w:rPr>
          <w:rFonts w:ascii="Times New Roman" w:hAnsi="Times New Roman" w:cs="Times New Roman"/>
          <w:sz w:val="26"/>
          <w:szCs w:val="26"/>
        </w:rPr>
        <w:tab/>
        <w:t>Name, address, telephone number, and e-mail address of Interconnection Customer’s contact person;</w:t>
      </w:r>
    </w:p>
    <w:p w:rsidR="00911580" w:rsidRPr="0072600F" w14:paraId="6812F02C" w14:textId="77777777">
      <w:pPr>
        <w:rPr>
          <w:rFonts w:ascii="Times New Roman" w:hAnsi="Times New Roman" w:cs="Times New Roman"/>
          <w:sz w:val="26"/>
          <w:szCs w:val="26"/>
        </w:rPr>
      </w:pPr>
    </w:p>
    <w:p w:rsidR="00911580" w:rsidRPr="0072600F" w14:paraId="3994A45F"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 xml:space="preserve">f. </w:t>
      </w:r>
      <w:r w:rsidRPr="0072600F">
        <w:rPr>
          <w:rFonts w:ascii="Times New Roman" w:hAnsi="Times New Roman" w:cs="Times New Roman"/>
          <w:sz w:val="26"/>
          <w:szCs w:val="26"/>
        </w:rPr>
        <w:tab/>
        <w:t xml:space="preserve">Approximate location of the proposed Point of Interconnection (optional); </w:t>
      </w:r>
    </w:p>
    <w:p w:rsidR="00911580" w:rsidRPr="0072600F" w14:paraId="1672A8EE" w14:textId="77777777">
      <w:pPr>
        <w:rPr>
          <w:rFonts w:ascii="Times New Roman" w:hAnsi="Times New Roman" w:cs="Times New Roman"/>
          <w:sz w:val="26"/>
          <w:szCs w:val="26"/>
        </w:rPr>
      </w:pPr>
    </w:p>
    <w:p w:rsidR="00911580" w:rsidRPr="0072600F" w:rsidP="00D64A28" w14:paraId="47C772D3"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 xml:space="preserve">g. </w:t>
      </w:r>
      <w:r w:rsidRPr="0072600F">
        <w:rPr>
          <w:rFonts w:ascii="Times New Roman" w:hAnsi="Times New Roman" w:cs="Times New Roman"/>
          <w:sz w:val="26"/>
          <w:szCs w:val="26"/>
        </w:rPr>
        <w:tab/>
        <w:t xml:space="preserve">Interconnection Customer Data (set forth in Attachment A); </w:t>
      </w:r>
    </w:p>
    <w:p w:rsidR="00911580" w:rsidRPr="0072600F" w14:paraId="498CE39D" w14:textId="77777777">
      <w:pPr>
        <w:tabs>
          <w:tab w:val="left" w:pos="720"/>
          <w:tab w:val="left" w:pos="1440"/>
        </w:tabs>
        <w:ind w:left="1440" w:hanging="1440"/>
        <w:rPr>
          <w:rFonts w:ascii="Times New Roman" w:hAnsi="Times New Roman" w:cs="Times New Roman"/>
          <w:sz w:val="26"/>
          <w:szCs w:val="26"/>
        </w:rPr>
      </w:pPr>
    </w:p>
    <w:p w:rsidR="00911580" w:rsidRPr="0072600F" w:rsidP="00FF0F67" w14:paraId="3D04EB82" w14:textId="77777777">
      <w:pPr>
        <w:pStyle w:val="ListParagraph"/>
        <w:widowControl/>
        <w:numPr>
          <w:ilvl w:val="0"/>
          <w:numId w:val="4"/>
        </w:numPr>
        <w:autoSpaceDE w:val="0"/>
        <w:autoSpaceDN w:val="0"/>
        <w:adjustRightInd w:val="0"/>
        <w:rPr>
          <w:color w:val="FF0000"/>
          <w:szCs w:val="26"/>
        </w:rPr>
      </w:pPr>
      <w:r w:rsidRPr="0072600F">
        <w:rPr>
          <w:szCs w:val="26"/>
        </w:rPr>
        <w:tab/>
        <w:t>Primary frequency response operating range for electric storage resources;</w:t>
      </w:r>
    </w:p>
    <w:p w:rsidR="00911580" w:rsidRPr="0072600F" w14:paraId="00CB9C2B" w14:textId="77777777">
      <w:pPr>
        <w:rPr>
          <w:rFonts w:ascii="Times New Roman" w:hAnsi="Times New Roman" w:cs="Times New Roman"/>
          <w:color w:val="FF0000"/>
          <w:sz w:val="26"/>
          <w:szCs w:val="26"/>
        </w:rPr>
      </w:pPr>
    </w:p>
    <w:p w:rsidR="00911580" w:rsidRPr="0072600F" w:rsidP="00FF0F67" w14:paraId="1E32CB1B" w14:textId="77777777">
      <w:pPr>
        <w:pStyle w:val="ListParagraph"/>
        <w:widowControl/>
        <w:numPr>
          <w:ilvl w:val="0"/>
          <w:numId w:val="4"/>
        </w:numPr>
        <w:autoSpaceDE w:val="0"/>
        <w:autoSpaceDN w:val="0"/>
        <w:adjustRightInd w:val="0"/>
        <w:rPr>
          <w:color w:val="FF0000"/>
          <w:szCs w:val="26"/>
        </w:rPr>
      </w:pPr>
      <w:r w:rsidRPr="0072600F">
        <w:rPr>
          <w:color w:val="FF0000"/>
          <w:szCs w:val="26"/>
        </w:rPr>
        <w:tab/>
      </w:r>
      <w:r w:rsidRPr="0072600F">
        <w:rPr>
          <w:szCs w:val="26"/>
        </w:rPr>
        <w:t xml:space="preserve">Requested capacity (in MW) of Interconnection Service (if lower than the </w:t>
      </w:r>
      <w:r w:rsidRPr="0072600F">
        <w:rPr>
          <w:szCs w:val="26"/>
        </w:rPr>
        <w:tab/>
        <w:t>Generating Facility Capacity);</w:t>
      </w:r>
    </w:p>
    <w:p w:rsidR="00911580" w:rsidRPr="0072600F" w14:paraId="1DA6881B" w14:textId="77777777">
      <w:pPr>
        <w:pStyle w:val="ListParagraph"/>
        <w:rPr>
          <w:szCs w:val="26"/>
        </w:rPr>
      </w:pPr>
    </w:p>
    <w:p w:rsidR="001661A1" w:rsidRPr="0072600F" w14:paraId="18C022C1" w14:textId="77777777">
      <w:pPr>
        <w:pStyle w:val="ListParagraph"/>
        <w:rPr>
          <w:szCs w:val="26"/>
        </w:rPr>
      </w:pPr>
    </w:p>
    <w:p w:rsidR="00911580" w:rsidRPr="0072600F" w:rsidP="00FF0F67" w14:paraId="1E020505" w14:textId="77777777">
      <w:pPr>
        <w:pStyle w:val="ListParagraph"/>
        <w:widowControl/>
        <w:numPr>
          <w:ilvl w:val="0"/>
          <w:numId w:val="4"/>
        </w:numPr>
        <w:autoSpaceDE w:val="0"/>
        <w:autoSpaceDN w:val="0"/>
        <w:adjustRightInd w:val="0"/>
        <w:ind w:left="1440" w:hanging="720"/>
        <w:rPr>
          <w:color w:val="FF0000"/>
          <w:szCs w:val="26"/>
        </w:rPr>
      </w:pPr>
      <w:r w:rsidRPr="0072600F">
        <w:rPr>
          <w:szCs w:val="26"/>
        </w:rPr>
        <w:t xml:space="preserve">If applicable, (1) the requested operating assumptions (i.e., whether the interconnecting Generating Facility will or will not charge at peak load) to be used by Transmission Provider that reflect the proposed charging behavior of a Generating Facility that includes at least one electric storage resource, and (2) a description of any control technologies (software and/or hardware) that will limit the operation of the Generating Facility to its intended operation.   </w:t>
      </w:r>
    </w:p>
    <w:p w:rsidR="00C6044A" w:rsidRPr="0072600F" w:rsidP="00A67733" w14:paraId="4E8743CE" w14:textId="77777777">
      <w:pPr>
        <w:pStyle w:val="ListParagraph"/>
        <w:rPr>
          <w:szCs w:val="26"/>
        </w:rPr>
      </w:pPr>
    </w:p>
    <w:p w:rsidR="00911580" w:rsidRPr="0072600F" w14:paraId="364113C2"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sz w:val="26"/>
          <w:szCs w:val="26"/>
        </w:rPr>
        <w:t>6.</w:t>
      </w:r>
      <w:r w:rsidRPr="0072600F">
        <w:rPr>
          <w:rFonts w:ascii="Times New Roman" w:hAnsi="Times New Roman" w:cs="Times New Roman"/>
          <w:sz w:val="26"/>
          <w:szCs w:val="26"/>
        </w:rPr>
        <w:tab/>
        <w:t>Applicable deposit amount as specified in the LGIP.</w:t>
      </w:r>
    </w:p>
    <w:p w:rsidR="00911580" w:rsidRPr="0072600F" w14:paraId="799FDA6E" w14:textId="77777777">
      <w:pPr>
        <w:rPr>
          <w:rFonts w:ascii="Times New Roman" w:hAnsi="Times New Roman" w:cs="Times New Roman"/>
          <w:sz w:val="26"/>
          <w:szCs w:val="26"/>
        </w:rPr>
      </w:pPr>
    </w:p>
    <w:p w:rsidR="00911580" w:rsidRPr="0072600F" w:rsidP="00D64A28" w14:paraId="048BAFD1"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sz w:val="26"/>
          <w:szCs w:val="26"/>
        </w:rPr>
        <w:t>7.</w:t>
      </w:r>
      <w:r w:rsidRPr="0072600F">
        <w:rPr>
          <w:rFonts w:ascii="Times New Roman" w:hAnsi="Times New Roman" w:cs="Times New Roman"/>
          <w:sz w:val="26"/>
          <w:szCs w:val="26"/>
        </w:rPr>
        <w:tab/>
        <w:t>Evidence of Site Control as specified in the LGIP (check one)</w:t>
      </w:r>
    </w:p>
    <w:p w:rsidR="00911580" w:rsidRPr="0072600F" w14:paraId="7DE49028" w14:textId="77777777">
      <w:pPr>
        <w:rPr>
          <w:rFonts w:ascii="Times New Roman" w:hAnsi="Times New Roman" w:cs="Times New Roman"/>
          <w:sz w:val="26"/>
          <w:szCs w:val="26"/>
        </w:rPr>
      </w:pPr>
      <w:r w:rsidRPr="0072600F">
        <w:rPr>
          <w:rFonts w:ascii="Times New Roman" w:hAnsi="Times New Roman" w:cs="Times New Roman"/>
          <w:sz w:val="26"/>
          <w:szCs w:val="26"/>
        </w:rPr>
        <w:tab/>
        <w:t xml:space="preserve">____ </w:t>
      </w:r>
      <w:r w:rsidRPr="0072600F">
        <w:rPr>
          <w:rFonts w:ascii="Times New Roman" w:hAnsi="Times New Roman" w:cs="Times New Roman"/>
          <w:sz w:val="26"/>
          <w:szCs w:val="26"/>
        </w:rPr>
        <w:tab/>
        <w:t xml:space="preserve">Is attached to this Interconnection Request </w:t>
      </w:r>
    </w:p>
    <w:p w:rsidR="00911580" w:rsidRPr="0072600F" w14:paraId="447B4751"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____</w:t>
      </w:r>
      <w:r w:rsidRPr="0072600F">
        <w:rPr>
          <w:rFonts w:ascii="Times New Roman" w:hAnsi="Times New Roman" w:cs="Times New Roman"/>
          <w:sz w:val="26"/>
          <w:szCs w:val="26"/>
        </w:rPr>
        <w:tab/>
        <w:t xml:space="preserve">Will be provided at a later date in accordance with this LGIP </w:t>
      </w:r>
    </w:p>
    <w:p w:rsidR="00911580" w:rsidRPr="0072600F" w14:paraId="486BC0C6" w14:textId="77777777">
      <w:pPr>
        <w:rPr>
          <w:rFonts w:ascii="Times New Roman" w:hAnsi="Times New Roman" w:cs="Times New Roman"/>
          <w:sz w:val="26"/>
          <w:szCs w:val="26"/>
        </w:rPr>
      </w:pPr>
    </w:p>
    <w:p w:rsidR="00911580" w:rsidRPr="0072600F" w:rsidP="00D64A28" w14:paraId="68CF374E"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sz w:val="26"/>
          <w:szCs w:val="26"/>
        </w:rPr>
        <w:t>8.</w:t>
      </w:r>
      <w:r w:rsidRPr="0072600F">
        <w:rPr>
          <w:rFonts w:ascii="Times New Roman" w:hAnsi="Times New Roman" w:cs="Times New Roman"/>
          <w:sz w:val="26"/>
          <w:szCs w:val="26"/>
        </w:rPr>
        <w:tab/>
        <w:t>This Interconnection Request shall be submitted to the representative indicated below:</w:t>
      </w:r>
    </w:p>
    <w:p w:rsidR="00911580" w:rsidRPr="0072600F" w14:paraId="7089A132" w14:textId="77777777">
      <w:pPr>
        <w:rPr>
          <w:rFonts w:ascii="Times New Roman" w:hAnsi="Times New Roman" w:cs="Times New Roman"/>
          <w:sz w:val="26"/>
          <w:szCs w:val="26"/>
        </w:rPr>
      </w:pPr>
    </w:p>
    <w:p w:rsidR="00911580" w:rsidRPr="0072600F" w14:paraId="6AF9F0A6"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completed by Transmission Provider</w:t>
      </w:r>
      <w:r w:rsidRPr="0072600F" w:rsidR="0042166D">
        <w:rPr>
          <w:rFonts w:ascii="Times New Roman" w:hAnsi="Times New Roman" w:cs="Times New Roman"/>
          <w:sz w:val="26"/>
          <w:szCs w:val="26"/>
        </w:rPr>
        <w:t>}</w:t>
      </w:r>
    </w:p>
    <w:p w:rsidR="00911580" w:rsidRPr="0072600F" w14:paraId="11920951" w14:textId="77777777">
      <w:pPr>
        <w:rPr>
          <w:rFonts w:ascii="Times New Roman" w:hAnsi="Times New Roman" w:cs="Times New Roman"/>
          <w:sz w:val="26"/>
          <w:szCs w:val="26"/>
        </w:rPr>
      </w:pPr>
    </w:p>
    <w:p w:rsidR="00911580" w:rsidRPr="0072600F" w14:paraId="2A7C2964" w14:textId="77777777">
      <w:pPr>
        <w:rPr>
          <w:rFonts w:ascii="Times New Roman" w:hAnsi="Times New Roman" w:cs="Times New Roman"/>
          <w:sz w:val="26"/>
          <w:szCs w:val="26"/>
        </w:rPr>
      </w:pPr>
      <w:r w:rsidRPr="0072600F">
        <w:rPr>
          <w:rFonts w:ascii="Times New Roman" w:hAnsi="Times New Roman" w:cs="Times New Roman"/>
          <w:sz w:val="26"/>
          <w:szCs w:val="26"/>
        </w:rPr>
        <w:t>9.</w:t>
      </w:r>
      <w:r w:rsidRPr="0072600F">
        <w:rPr>
          <w:rFonts w:ascii="Times New Roman" w:hAnsi="Times New Roman" w:cs="Times New Roman"/>
          <w:sz w:val="26"/>
          <w:szCs w:val="26"/>
        </w:rPr>
        <w:tab/>
        <w:t>Representative of Interconnection Customer to contact:</w:t>
      </w:r>
    </w:p>
    <w:p w:rsidR="00911580" w:rsidRPr="0072600F" w14:paraId="784CA74F" w14:textId="77777777">
      <w:pPr>
        <w:rPr>
          <w:rFonts w:ascii="Times New Roman" w:hAnsi="Times New Roman" w:cs="Times New Roman"/>
          <w:sz w:val="26"/>
          <w:szCs w:val="26"/>
        </w:rPr>
      </w:pPr>
    </w:p>
    <w:p w:rsidR="00911580" w:rsidRPr="0072600F" w14:paraId="2FBB7491"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completed by Interconnection Customer</w:t>
      </w:r>
      <w:r w:rsidRPr="0072600F" w:rsidR="0042166D">
        <w:rPr>
          <w:rFonts w:ascii="Times New Roman" w:hAnsi="Times New Roman" w:cs="Times New Roman"/>
          <w:sz w:val="26"/>
          <w:szCs w:val="26"/>
        </w:rPr>
        <w:t>}</w:t>
      </w:r>
    </w:p>
    <w:p w:rsidR="00911580" w:rsidRPr="0072600F" w14:paraId="4573A3AF" w14:textId="77777777">
      <w:pPr>
        <w:rPr>
          <w:rFonts w:ascii="Times New Roman" w:hAnsi="Times New Roman" w:cs="Times New Roman"/>
          <w:sz w:val="26"/>
          <w:szCs w:val="26"/>
        </w:rPr>
      </w:pPr>
    </w:p>
    <w:p w:rsidR="00911580" w:rsidRPr="0072600F" w14:paraId="005B5595" w14:textId="77777777">
      <w:pPr>
        <w:rPr>
          <w:rFonts w:ascii="Times New Roman" w:hAnsi="Times New Roman" w:cs="Times New Roman"/>
          <w:sz w:val="26"/>
          <w:szCs w:val="26"/>
        </w:rPr>
      </w:pPr>
      <w:r w:rsidRPr="0072600F">
        <w:rPr>
          <w:rFonts w:ascii="Times New Roman" w:hAnsi="Times New Roman" w:cs="Times New Roman"/>
          <w:sz w:val="26"/>
          <w:szCs w:val="26"/>
        </w:rPr>
        <w:t>10.</w:t>
      </w:r>
      <w:r w:rsidRPr="0072600F">
        <w:rPr>
          <w:rFonts w:ascii="Times New Roman" w:hAnsi="Times New Roman" w:cs="Times New Roman"/>
          <w:sz w:val="26"/>
          <w:szCs w:val="26"/>
        </w:rPr>
        <w:tab/>
        <w:t>This Interconnection Request is submitted by:</w:t>
      </w:r>
    </w:p>
    <w:p w:rsidR="00911580" w:rsidRPr="0072600F" w14:paraId="4AEEE2E9" w14:textId="77777777">
      <w:pPr>
        <w:rPr>
          <w:rFonts w:ascii="Times New Roman" w:hAnsi="Times New Roman" w:cs="Times New Roman"/>
          <w:sz w:val="26"/>
          <w:szCs w:val="26"/>
        </w:rPr>
      </w:pPr>
    </w:p>
    <w:p w:rsidR="00911580" w:rsidRPr="0072600F" w14:paraId="4983DDCF" w14:textId="77777777">
      <w:pPr>
        <w:rPr>
          <w:rFonts w:ascii="Times New Roman" w:hAnsi="Times New Roman" w:cs="Times New Roman"/>
          <w:sz w:val="26"/>
          <w:szCs w:val="26"/>
        </w:rPr>
      </w:pPr>
      <w:r w:rsidRPr="0072600F">
        <w:rPr>
          <w:rFonts w:ascii="Times New Roman" w:hAnsi="Times New Roman" w:cs="Times New Roman"/>
          <w:sz w:val="26"/>
          <w:szCs w:val="26"/>
        </w:rPr>
        <w:tab/>
        <w:t>Name of Interconnection Customer: ___________________________________</w:t>
      </w:r>
    </w:p>
    <w:p w:rsidR="00911580" w:rsidRPr="0072600F" w14:paraId="62E13C44"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t>By (signature): ____________________________________________________</w:t>
      </w:r>
    </w:p>
    <w:p w:rsidR="00911580" w:rsidRPr="0072600F" w14:paraId="75D1F662"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Name (type or print): _______________________________________________</w:t>
      </w:r>
    </w:p>
    <w:p w:rsidR="00911580" w:rsidRPr="0072600F" w14:paraId="12E60D35" w14:textId="77777777">
      <w:pPr>
        <w:ind w:left="720"/>
        <w:rPr>
          <w:rFonts w:ascii="Times New Roman" w:hAnsi="Times New Roman" w:cs="Times New Roman"/>
          <w:sz w:val="26"/>
          <w:szCs w:val="26"/>
        </w:rPr>
      </w:pPr>
      <w:r w:rsidRPr="0072600F">
        <w:rPr>
          <w:rFonts w:ascii="Times New Roman" w:hAnsi="Times New Roman" w:cs="Times New Roman"/>
          <w:sz w:val="26"/>
          <w:szCs w:val="26"/>
        </w:rPr>
        <w:t>Title: ____________________________________________________________</w:t>
      </w:r>
    </w:p>
    <w:p w:rsidR="00911580" w:rsidRPr="0072600F" w14:paraId="1E956A9F" w14:textId="77777777">
      <w:pPr>
        <w:rPr>
          <w:rFonts w:ascii="Times New Roman" w:hAnsi="Times New Roman" w:cs="Times New Roman"/>
          <w:sz w:val="26"/>
          <w:szCs w:val="26"/>
        </w:rPr>
      </w:pPr>
      <w:r w:rsidRPr="0072600F">
        <w:rPr>
          <w:rFonts w:ascii="Times New Roman" w:hAnsi="Times New Roman" w:cs="Times New Roman"/>
          <w:sz w:val="26"/>
          <w:szCs w:val="26"/>
        </w:rPr>
        <w:tab/>
        <w:t>Date: ___________________</w:t>
      </w:r>
    </w:p>
    <w:p w:rsidR="00911580" w:rsidRPr="0072600F" w14:paraId="65280A5C" w14:textId="77777777">
      <w:pPr>
        <w:rPr>
          <w:rFonts w:ascii="Times New Roman" w:hAnsi="Times New Roman" w:cs="Times New Roman"/>
          <w:sz w:val="26"/>
          <w:szCs w:val="26"/>
          <w:u w:val="single"/>
        </w:rPr>
        <w:sectPr>
          <w:footerReference w:type="default" r:id="rId27"/>
          <w:pgSz w:w="12240" w:h="15840"/>
          <w:pgMar w:top="1440" w:right="1440" w:bottom="1440" w:left="1440" w:header="1440" w:footer="1440" w:gutter="0"/>
          <w:pgNumType w:fmt="numberInDash" w:start="1"/>
          <w:cols w:space="720"/>
          <w:noEndnote/>
        </w:sectPr>
      </w:pPr>
    </w:p>
    <w:p w:rsidR="00911580" w:rsidRPr="0072600F" w14:paraId="4C2258E4"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Attachment A to Appendix 1</w:t>
      </w:r>
    </w:p>
    <w:p w:rsidR="00911580" w:rsidRPr="0072600F" w14:paraId="5CB90B20" w14:textId="77777777">
      <w:pPr>
        <w:tabs>
          <w:tab w:val="right" w:pos="9360"/>
        </w:tabs>
        <w:jc w:val="right"/>
        <w:rPr>
          <w:rFonts w:ascii="Times New Roman" w:hAnsi="Times New Roman" w:cs="Times New Roman"/>
          <w:b/>
          <w:bCs/>
          <w:sz w:val="26"/>
          <w:szCs w:val="26"/>
        </w:rPr>
      </w:pPr>
      <w:r w:rsidRPr="0072600F">
        <w:rPr>
          <w:rFonts w:ascii="Times New Roman" w:hAnsi="Times New Roman" w:cs="Times New Roman"/>
          <w:b/>
          <w:bCs/>
          <w:sz w:val="26"/>
          <w:szCs w:val="26"/>
        </w:rPr>
        <w:t>Interconnection Request</w:t>
      </w:r>
    </w:p>
    <w:p w:rsidR="00911580" w:rsidRPr="0072600F" w14:paraId="41ECC4D5" w14:textId="77777777">
      <w:pPr>
        <w:tabs>
          <w:tab w:val="right" w:pos="9360"/>
        </w:tabs>
        <w:jc w:val="right"/>
        <w:rPr>
          <w:rFonts w:ascii="Times New Roman" w:hAnsi="Times New Roman" w:cs="Times New Roman"/>
          <w:b/>
          <w:bCs/>
          <w:sz w:val="26"/>
          <w:szCs w:val="26"/>
        </w:rPr>
      </w:pPr>
    </w:p>
    <w:p w:rsidR="00911580" w:rsidRPr="0072600F" w14:paraId="33480309"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LARGE GENERATING FACILITY DATA</w:t>
      </w:r>
    </w:p>
    <w:p w:rsidR="00911580" w:rsidRPr="0072600F" w14:paraId="6CA93A12" w14:textId="77777777">
      <w:pPr>
        <w:rPr>
          <w:rFonts w:ascii="Times New Roman" w:hAnsi="Times New Roman" w:cs="Times New Roman"/>
          <w:b/>
          <w:bCs/>
          <w:sz w:val="26"/>
          <w:szCs w:val="26"/>
        </w:rPr>
      </w:pPr>
    </w:p>
    <w:p w:rsidR="00911580" w:rsidRPr="0072600F" w14:paraId="3325C185"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UNIT RATINGS</w:t>
      </w:r>
    </w:p>
    <w:p w:rsidR="00911580" w:rsidRPr="0072600F" w14:paraId="4A7DE442" w14:textId="77777777">
      <w:pPr>
        <w:rPr>
          <w:rFonts w:ascii="Times New Roman" w:hAnsi="Times New Roman" w:cs="Times New Roman"/>
          <w:sz w:val="26"/>
          <w:szCs w:val="26"/>
        </w:rPr>
      </w:pPr>
    </w:p>
    <w:p w:rsidR="00911580" w:rsidRPr="0072600F" w14:paraId="5AAA82C1"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 xml:space="preserve">kVA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 xml:space="preserve"> °F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Voltage _____________</w:t>
      </w:r>
    </w:p>
    <w:p w:rsidR="00911580" w:rsidRPr="0072600F" w14:paraId="5A670A97"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Power Factor</w:t>
      </w:r>
      <w:r w:rsidRPr="0072600F">
        <w:rPr>
          <w:rFonts w:ascii="Times New Roman" w:hAnsi="Times New Roman" w:cs="Times New Roman"/>
          <w:sz w:val="26"/>
          <w:szCs w:val="26"/>
        </w:rPr>
        <w:tab/>
        <w:t xml:space="preserve">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3E0E32F3" w14:textId="77777777">
      <w:pPr>
        <w:tabs>
          <w:tab w:val="left" w:pos="720"/>
          <w:tab w:val="left" w:pos="1440"/>
          <w:tab w:val="left" w:pos="2160"/>
        </w:tabs>
        <w:ind w:left="2160" w:hanging="2160"/>
        <w:rPr>
          <w:rFonts w:ascii="Times New Roman" w:hAnsi="Times New Roman" w:cs="Times New Roman"/>
          <w:sz w:val="26"/>
          <w:szCs w:val="26"/>
          <w:u w:val="single"/>
        </w:rPr>
      </w:pPr>
      <w:r w:rsidRPr="0072600F">
        <w:rPr>
          <w:rFonts w:ascii="Times New Roman" w:hAnsi="Times New Roman" w:cs="Times New Roman"/>
          <w:sz w:val="26"/>
          <w:szCs w:val="26"/>
        </w:rPr>
        <w:t>Speed (RPM)</w:t>
      </w:r>
      <w:r w:rsidRPr="0072600F">
        <w:rPr>
          <w:rFonts w:ascii="Times New Roman" w:hAnsi="Times New Roman" w:cs="Times New Roman"/>
          <w:sz w:val="26"/>
          <w:szCs w:val="26"/>
        </w:rPr>
        <w:tab/>
        <w:t xml:space="preserve">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Connection (e.g. Wye) _____________</w:t>
      </w:r>
    </w:p>
    <w:p w:rsidR="00911580" w:rsidRPr="0072600F" w14:paraId="41C563ED" w14:textId="77777777">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6"/>
          <w:szCs w:val="26"/>
        </w:rPr>
      </w:pPr>
      <w:r w:rsidRPr="0072600F">
        <w:rPr>
          <w:rFonts w:ascii="Times New Roman" w:hAnsi="Times New Roman" w:cs="Times New Roman"/>
          <w:sz w:val="26"/>
          <w:szCs w:val="26"/>
        </w:rPr>
        <w:t>Short Circuit Ratio ________</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Frequency, Hertz ____________</w:t>
      </w:r>
    </w:p>
    <w:p w:rsidR="00911580" w:rsidRPr="0072600F" w14:paraId="4C975828"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rPr>
      </w:pPr>
      <w:r w:rsidRPr="0072600F">
        <w:rPr>
          <w:rFonts w:ascii="Times New Roman" w:hAnsi="Times New Roman" w:cs="Times New Roman"/>
          <w:sz w:val="26"/>
          <w:szCs w:val="26"/>
        </w:rPr>
        <w:t xml:space="preserve">Stator Amperes at Rated kVA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Field Volts _______________</w:t>
      </w:r>
    </w:p>
    <w:p w:rsidR="00911580" w:rsidRPr="0072600F" w14:paraId="651DE74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 xml:space="preserve">Max Turbine MW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°F ______</w:t>
      </w:r>
    </w:p>
    <w:p w:rsidR="00911580" w:rsidRPr="0072600F" w14:paraId="473F369C" w14:textId="77777777">
      <w:pPr>
        <w:rPr>
          <w:rFonts w:ascii="Times New Roman" w:hAnsi="Times New Roman" w:cs="Times New Roman"/>
          <w:sz w:val="26"/>
          <w:szCs w:val="26"/>
        </w:rPr>
      </w:pPr>
    </w:p>
    <w:p w:rsidR="00911580" w:rsidRPr="0072600F" w14:paraId="5F1EDD01" w14:textId="77777777">
      <w:pPr>
        <w:rPr>
          <w:rFonts w:ascii="Times New Roman" w:hAnsi="Times New Roman" w:cs="Times New Roman"/>
          <w:sz w:val="26"/>
          <w:szCs w:val="26"/>
        </w:rPr>
      </w:pPr>
      <w:r w:rsidRPr="0072600F">
        <w:rPr>
          <w:rFonts w:ascii="Times New Roman" w:hAnsi="Times New Roman" w:cs="Times New Roman"/>
          <w:sz w:val="26"/>
          <w:szCs w:val="26"/>
        </w:rPr>
        <w:t xml:space="preserve"> Primary frequency response operating range for electric storage</w:t>
      </w:r>
    </w:p>
    <w:p w:rsidR="00911580" w:rsidRPr="0072600F" w14:paraId="3E116381" w14:textId="77777777">
      <w:pPr>
        <w:rPr>
          <w:rFonts w:ascii="Times New Roman" w:hAnsi="Times New Roman" w:cs="Times New Roman"/>
          <w:sz w:val="26"/>
          <w:szCs w:val="26"/>
        </w:rPr>
      </w:pPr>
      <w:r w:rsidRPr="0072600F">
        <w:rPr>
          <w:rFonts w:ascii="Times New Roman" w:hAnsi="Times New Roman" w:cs="Times New Roman"/>
          <w:sz w:val="26"/>
          <w:szCs w:val="26"/>
        </w:rPr>
        <w:t xml:space="preserve"> resources:</w:t>
      </w:r>
    </w:p>
    <w:p w:rsidR="00911580" w:rsidRPr="0072600F" w14:paraId="3C23142B" w14:textId="77777777">
      <w:pPr>
        <w:rPr>
          <w:rFonts w:ascii="Times New Roman" w:hAnsi="Times New Roman" w:cs="Times New Roman"/>
          <w:sz w:val="26"/>
          <w:szCs w:val="26"/>
          <w:u w:val="single"/>
        </w:rPr>
      </w:pPr>
      <w:r w:rsidRPr="0072600F">
        <w:rPr>
          <w:rFonts w:ascii="Times New Roman" w:hAnsi="Times New Roman" w:cs="Times New Roman"/>
          <w:sz w:val="26"/>
          <w:szCs w:val="26"/>
        </w:rPr>
        <w:t>Minimum State of Charge:</w:t>
      </w:r>
      <w:r w:rsidRPr="0072600F">
        <w:rPr>
          <w:rFonts w:ascii="Times New Roman" w:hAnsi="Times New Roman" w:cs="Times New Roman"/>
          <w:sz w:val="26"/>
          <w:szCs w:val="26"/>
          <w:u w:val="single"/>
        </w:rPr>
        <w:t>                        </w:t>
      </w:r>
    </w:p>
    <w:p w:rsidR="00911580" w:rsidRPr="0072600F" w14:paraId="28C99A54" w14:textId="77777777">
      <w:pPr>
        <w:rPr>
          <w:rFonts w:ascii="Times New Roman" w:hAnsi="Times New Roman" w:cs="Times New Roman"/>
          <w:sz w:val="26"/>
          <w:szCs w:val="26"/>
        </w:rPr>
      </w:pPr>
    </w:p>
    <w:p w:rsidR="00911580" w:rsidRPr="0072600F" w14:paraId="593240C9" w14:textId="77777777">
      <w:pPr>
        <w:rPr>
          <w:rFonts w:ascii="Times New Roman" w:hAnsi="Times New Roman" w:cs="Times New Roman"/>
          <w:sz w:val="26"/>
          <w:szCs w:val="26"/>
        </w:rPr>
      </w:pPr>
      <w:r w:rsidRPr="0072600F">
        <w:rPr>
          <w:rFonts w:ascii="Times New Roman" w:hAnsi="Times New Roman" w:cs="Times New Roman"/>
          <w:sz w:val="26"/>
          <w:szCs w:val="26"/>
        </w:rPr>
        <w:t>Maximum State of Charge:</w:t>
      </w:r>
      <w:r w:rsidRPr="0072600F">
        <w:rPr>
          <w:rFonts w:ascii="Times New Roman" w:hAnsi="Times New Roman" w:cs="Times New Roman"/>
          <w:sz w:val="26"/>
          <w:szCs w:val="26"/>
          <w:u w:val="single"/>
        </w:rPr>
        <w:t>                        </w:t>
      </w:r>
    </w:p>
    <w:p w:rsidR="00911580" w:rsidRPr="0072600F" w14:paraId="77EC48AA" w14:textId="77777777">
      <w:pPr>
        <w:rPr>
          <w:rFonts w:ascii="Times New Roman" w:hAnsi="Times New Roman" w:cs="Times New Roman"/>
          <w:sz w:val="26"/>
          <w:szCs w:val="26"/>
        </w:rPr>
      </w:pPr>
    </w:p>
    <w:p w:rsidR="00911580" w:rsidRPr="0072600F" w14:paraId="3EACA64E"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COMBINED TURBINE-GENERATOR-EXCITER INERTIA DATA</w:t>
      </w:r>
    </w:p>
    <w:p w:rsidR="00911580" w:rsidRPr="0072600F" w14:paraId="0074E49E" w14:textId="77777777">
      <w:pPr>
        <w:rPr>
          <w:rFonts w:ascii="Times New Roman" w:hAnsi="Times New Roman" w:cs="Times New Roman"/>
          <w:sz w:val="26"/>
          <w:szCs w:val="26"/>
        </w:rPr>
      </w:pPr>
    </w:p>
    <w:p w:rsidR="00911580" w:rsidRPr="0072600F" w14:paraId="1F73328E" w14:textId="77777777">
      <w:pPr>
        <w:rPr>
          <w:rFonts w:ascii="Times New Roman" w:hAnsi="Times New Roman" w:cs="Times New Roman"/>
          <w:sz w:val="26"/>
          <w:szCs w:val="26"/>
        </w:rPr>
      </w:pPr>
      <w:r w:rsidRPr="0072600F">
        <w:rPr>
          <w:rFonts w:ascii="Times New Roman" w:hAnsi="Times New Roman" w:cs="Times New Roman"/>
          <w:sz w:val="26"/>
          <w:szCs w:val="26"/>
        </w:rPr>
        <w:t>Inertia Constant, H =</w:t>
      </w:r>
      <w:r w:rsidRPr="0072600F">
        <w:rPr>
          <w:rFonts w:ascii="Times New Roman" w:hAnsi="Times New Roman" w:cs="Times New Roman"/>
          <w:sz w:val="26"/>
          <w:szCs w:val="26"/>
        </w:rPr>
        <w:tab/>
        <w:t xml:space="preserve">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kW sec/kVA</w:t>
      </w:r>
    </w:p>
    <w:p w:rsidR="00911580" w:rsidRPr="0072600F" w14:paraId="21672B0F" w14:textId="77777777">
      <w:pPr>
        <w:rPr>
          <w:rFonts w:ascii="Times New Roman" w:hAnsi="Times New Roman" w:cs="Times New Roman"/>
          <w:sz w:val="26"/>
          <w:szCs w:val="26"/>
        </w:rPr>
      </w:pPr>
      <w:r w:rsidRPr="0072600F">
        <w:rPr>
          <w:rFonts w:ascii="Times New Roman" w:hAnsi="Times New Roman" w:cs="Times New Roman"/>
          <w:sz w:val="26"/>
          <w:szCs w:val="26"/>
        </w:rPr>
        <w:t>Moment-of-Inertia, WR</w:t>
      </w:r>
      <w:r w:rsidRPr="0072600F">
        <w:rPr>
          <w:rFonts w:ascii="Times New Roman" w:hAnsi="Times New Roman" w:cs="Times New Roman"/>
          <w:sz w:val="26"/>
          <w:szCs w:val="26"/>
          <w:vertAlign w:val="superscript"/>
        </w:rPr>
        <w:t>2</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 xml:space="preserve"> ____________________ lb. ft.</w:t>
      </w:r>
      <w:r w:rsidRPr="0072600F">
        <w:rPr>
          <w:rFonts w:ascii="Times New Roman" w:hAnsi="Times New Roman" w:cs="Times New Roman"/>
          <w:sz w:val="26"/>
          <w:szCs w:val="26"/>
          <w:vertAlign w:val="superscript"/>
        </w:rPr>
        <w:t>2</w:t>
      </w:r>
    </w:p>
    <w:p w:rsidR="00911580" w:rsidRPr="0072600F" w14:paraId="0DEBA9A5" w14:textId="77777777">
      <w:pPr>
        <w:rPr>
          <w:rFonts w:ascii="Times New Roman" w:hAnsi="Times New Roman" w:cs="Times New Roman"/>
          <w:sz w:val="26"/>
          <w:szCs w:val="26"/>
        </w:rPr>
      </w:pPr>
    </w:p>
    <w:p w:rsidR="00FE408A" w:rsidRPr="0072600F" w14:paraId="24D7C9D7" w14:textId="77777777">
      <w:pPr>
        <w:tabs>
          <w:tab w:val="left" w:pos="720"/>
          <w:tab w:val="left" w:pos="1440"/>
          <w:tab w:val="left" w:pos="2160"/>
          <w:tab w:val="left" w:pos="2880"/>
          <w:tab w:val="left" w:pos="3600"/>
          <w:tab w:val="left" w:pos="4320"/>
          <w:tab w:val="left" w:pos="5040"/>
          <w:tab w:val="left" w:pos="5760"/>
        </w:tabs>
        <w:ind w:left="5760" w:hanging="5760"/>
        <w:jc w:val="center"/>
        <w:rPr>
          <w:rFonts w:ascii="Times New Roman" w:hAnsi="Times New Roman" w:cs="Times New Roman"/>
          <w:b/>
          <w:bCs/>
          <w:sz w:val="26"/>
          <w:szCs w:val="26"/>
        </w:rPr>
      </w:pPr>
    </w:p>
    <w:p w:rsidR="00FE408A" w:rsidRPr="0072600F" w14:paraId="0567035B" w14:textId="77777777">
      <w:pPr>
        <w:tabs>
          <w:tab w:val="left" w:pos="720"/>
          <w:tab w:val="left" w:pos="1440"/>
          <w:tab w:val="left" w:pos="2160"/>
          <w:tab w:val="left" w:pos="2880"/>
          <w:tab w:val="left" w:pos="3600"/>
          <w:tab w:val="left" w:pos="4320"/>
          <w:tab w:val="left" w:pos="5040"/>
          <w:tab w:val="left" w:pos="5760"/>
        </w:tabs>
        <w:ind w:left="5760" w:hanging="5760"/>
        <w:jc w:val="center"/>
        <w:rPr>
          <w:rFonts w:ascii="Times New Roman" w:hAnsi="Times New Roman" w:cs="Times New Roman"/>
          <w:b/>
          <w:bCs/>
          <w:sz w:val="26"/>
          <w:szCs w:val="26"/>
        </w:rPr>
      </w:pPr>
    </w:p>
    <w:p w:rsidR="00911580" w:rsidRPr="0072600F" w14:paraId="5BF86567" w14:textId="77777777">
      <w:pPr>
        <w:tabs>
          <w:tab w:val="left" w:pos="720"/>
          <w:tab w:val="left" w:pos="1440"/>
          <w:tab w:val="left" w:pos="2160"/>
          <w:tab w:val="left" w:pos="2880"/>
          <w:tab w:val="left" w:pos="3600"/>
          <w:tab w:val="left" w:pos="4320"/>
          <w:tab w:val="left" w:pos="5040"/>
          <w:tab w:val="left" w:pos="5760"/>
        </w:tabs>
        <w:ind w:left="5760" w:hanging="5760"/>
        <w:jc w:val="center"/>
        <w:rPr>
          <w:rFonts w:ascii="Times New Roman" w:hAnsi="Times New Roman" w:cs="Times New Roman"/>
          <w:b/>
          <w:bCs/>
          <w:sz w:val="26"/>
          <w:szCs w:val="26"/>
        </w:rPr>
      </w:pPr>
      <w:r w:rsidRPr="0072600F">
        <w:rPr>
          <w:rFonts w:ascii="Times New Roman" w:hAnsi="Times New Roman" w:cs="Times New Roman"/>
          <w:b/>
          <w:bCs/>
          <w:sz w:val="26"/>
          <w:szCs w:val="26"/>
        </w:rPr>
        <w:t>REACTANCE DATA (PER UNIT-RATED KVA)</w:t>
      </w:r>
    </w:p>
    <w:p w:rsidR="00911580" w:rsidRPr="0072600F" w14:paraId="63571079" w14:textId="77777777">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b/>
          <w:bCs/>
          <w:sz w:val="26"/>
          <w:szCs w:val="26"/>
        </w:rPr>
      </w:pPr>
    </w:p>
    <w:p w:rsidR="00911580" w:rsidRPr="0072600F" w14:paraId="1E1FD145" w14:textId="77777777">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t>DIRECT AXIS</w:t>
      </w:r>
      <w:r w:rsidRPr="0072600F">
        <w:rPr>
          <w:rFonts w:ascii="Times New Roman" w:hAnsi="Times New Roman" w:cs="Times New Roman"/>
          <w:b/>
          <w:bCs/>
          <w:sz w:val="26"/>
          <w:szCs w:val="26"/>
        </w:rPr>
        <w:tab/>
        <w:t>QUADRATURE AXIS</w:t>
      </w:r>
    </w:p>
    <w:p w:rsidR="00911580" w:rsidRPr="0072600F" w14:paraId="45ABF957" w14:textId="77777777">
      <w:pPr>
        <w:rPr>
          <w:rFonts w:ascii="Times New Roman" w:hAnsi="Times New Roman" w:cs="Times New Roman"/>
          <w:sz w:val="26"/>
          <w:szCs w:val="26"/>
        </w:rPr>
      </w:pPr>
    </w:p>
    <w:p w:rsidR="00911580" w:rsidRPr="0072600F" w14:paraId="71895E10" w14:textId="77777777">
      <w:pPr>
        <w:tabs>
          <w:tab w:val="left" w:pos="720"/>
          <w:tab w:val="left" w:pos="1440"/>
          <w:tab w:val="left" w:pos="2160"/>
          <w:tab w:val="left" w:pos="2880"/>
          <w:tab w:val="left" w:pos="3600"/>
          <w:tab w:val="left" w:pos="4320"/>
        </w:tabs>
        <w:ind w:left="4320" w:hanging="4320"/>
        <w:rPr>
          <w:rFonts w:ascii="Times New Roman" w:hAnsi="Times New Roman" w:cs="Times New Roman"/>
          <w:sz w:val="26"/>
          <w:szCs w:val="26"/>
        </w:rPr>
      </w:pPr>
      <w:r w:rsidRPr="0072600F">
        <w:rPr>
          <w:rFonts w:ascii="Times New Roman" w:hAnsi="Times New Roman" w:cs="Times New Roman"/>
          <w:sz w:val="26"/>
          <w:szCs w:val="26"/>
        </w:rPr>
        <w:t>Synchronous – saturated</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dv</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qv</w:t>
      </w:r>
      <w:r w:rsidRPr="0072600F">
        <w:rPr>
          <w:rFonts w:ascii="Times New Roman" w:hAnsi="Times New Roman" w:cs="Times New Roman"/>
          <w:sz w:val="26"/>
          <w:szCs w:val="26"/>
        </w:rPr>
        <w:tab/>
        <w:t>_______</w:t>
      </w:r>
    </w:p>
    <w:p w:rsidR="00911580" w:rsidRPr="0072600F" w14:paraId="3DEA7563" w14:textId="77777777">
      <w:pPr>
        <w:tabs>
          <w:tab w:val="left" w:pos="720"/>
          <w:tab w:val="left" w:pos="1440"/>
          <w:tab w:val="left" w:pos="2160"/>
          <w:tab w:val="left" w:pos="2880"/>
          <w:tab w:val="left" w:pos="3600"/>
          <w:tab w:val="left" w:pos="4320"/>
        </w:tabs>
        <w:ind w:left="4320" w:hanging="4320"/>
        <w:rPr>
          <w:rFonts w:ascii="Times New Roman" w:hAnsi="Times New Roman" w:cs="Times New Roman"/>
          <w:sz w:val="26"/>
          <w:szCs w:val="26"/>
        </w:rPr>
      </w:pPr>
      <w:r w:rsidRPr="0072600F">
        <w:rPr>
          <w:rFonts w:ascii="Times New Roman" w:hAnsi="Times New Roman" w:cs="Times New Roman"/>
          <w:sz w:val="26"/>
          <w:szCs w:val="26"/>
        </w:rPr>
        <w:t>Synchronous – unsaturated</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di</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qi</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66A62E41"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Transient – saturated</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sidR="00D64A28">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dv</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qv</w:t>
      </w:r>
      <w:r w:rsidRPr="0072600F">
        <w:rPr>
          <w:rFonts w:ascii="Times New Roman" w:hAnsi="Times New Roman" w:cs="Times New Roman"/>
          <w:sz w:val="26"/>
          <w:szCs w:val="26"/>
        </w:rPr>
        <w:tab/>
        <w:t>_______</w:t>
      </w:r>
    </w:p>
    <w:p w:rsidR="00911580" w:rsidRPr="0072600F" w14:paraId="104964E8"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Transient – unsaturated</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di</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qi</w:t>
      </w:r>
      <w:r w:rsidRPr="0072600F">
        <w:rPr>
          <w:rFonts w:ascii="Times New Roman" w:hAnsi="Times New Roman" w:cs="Times New Roman"/>
          <w:sz w:val="26"/>
          <w:szCs w:val="26"/>
        </w:rPr>
        <w:tab/>
        <w:t>_______</w:t>
      </w:r>
    </w:p>
    <w:p w:rsidR="00911580" w:rsidRPr="0072600F" w14:paraId="6AB0E455"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Subtransient</w:t>
      </w:r>
      <w:r w:rsidRPr="0072600F">
        <w:rPr>
          <w:rFonts w:ascii="Times New Roman" w:hAnsi="Times New Roman" w:cs="Times New Roman"/>
          <w:sz w:val="26"/>
          <w:szCs w:val="26"/>
        </w:rPr>
        <w:t xml:space="preserve"> – saturated</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dv</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qv</w:t>
      </w:r>
      <w:r w:rsidRPr="0072600F">
        <w:rPr>
          <w:rFonts w:ascii="Times New Roman" w:hAnsi="Times New Roman" w:cs="Times New Roman"/>
          <w:sz w:val="26"/>
          <w:szCs w:val="26"/>
        </w:rPr>
        <w:tab/>
        <w:t>_______</w:t>
      </w:r>
    </w:p>
    <w:p w:rsidR="00911580" w:rsidRPr="0072600F" w14:paraId="1F3478BB"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Subtransient</w:t>
      </w:r>
      <w:r w:rsidRPr="0072600F">
        <w:rPr>
          <w:rFonts w:ascii="Times New Roman" w:hAnsi="Times New Roman" w:cs="Times New Roman"/>
          <w:sz w:val="26"/>
          <w:szCs w:val="26"/>
        </w:rPr>
        <w:t xml:space="preserve"> – unsaturated</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di</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X"</w:t>
      </w:r>
      <w:r w:rsidRPr="0072600F">
        <w:rPr>
          <w:rFonts w:ascii="Times New Roman" w:hAnsi="Times New Roman" w:cs="Times New Roman"/>
          <w:sz w:val="26"/>
          <w:szCs w:val="26"/>
          <w:vertAlign w:val="subscript"/>
        </w:rPr>
        <w:t>qi</w:t>
      </w:r>
      <w:r w:rsidRPr="0072600F">
        <w:rPr>
          <w:rFonts w:ascii="Times New Roman" w:hAnsi="Times New Roman" w:cs="Times New Roman"/>
          <w:sz w:val="26"/>
          <w:szCs w:val="26"/>
        </w:rPr>
        <w:tab/>
        <w:t>_______</w:t>
      </w:r>
    </w:p>
    <w:p w:rsidR="00911580" w:rsidRPr="0072600F" w14:paraId="3B086E55"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Negative Sequence – saturated</w:t>
      </w:r>
      <w:r w:rsidRPr="0072600F">
        <w:rPr>
          <w:rFonts w:ascii="Times New Roman" w:hAnsi="Times New Roman" w:cs="Times New Roman"/>
          <w:sz w:val="26"/>
          <w:szCs w:val="26"/>
        </w:rPr>
        <w:tab/>
        <w:t>X2</w:t>
      </w:r>
      <w:r w:rsidRPr="0072600F">
        <w:rPr>
          <w:rFonts w:ascii="Times New Roman" w:hAnsi="Times New Roman" w:cs="Times New Roman"/>
          <w:sz w:val="26"/>
          <w:szCs w:val="26"/>
          <w:vertAlign w:val="subscript"/>
        </w:rPr>
        <w:t>v</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4D7D88E5"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Negative Sequence – unsaturated</w:t>
      </w:r>
      <w:r w:rsidRPr="0072600F">
        <w:rPr>
          <w:rFonts w:ascii="Times New Roman" w:hAnsi="Times New Roman" w:cs="Times New Roman"/>
          <w:sz w:val="26"/>
          <w:szCs w:val="26"/>
        </w:rPr>
        <w:tab/>
        <w:t>X2</w:t>
      </w:r>
      <w:r w:rsidRPr="0072600F">
        <w:rPr>
          <w:rFonts w:ascii="Times New Roman" w:hAnsi="Times New Roman" w:cs="Times New Roman"/>
          <w:sz w:val="26"/>
          <w:szCs w:val="26"/>
          <w:vertAlign w:val="subscript"/>
        </w:rPr>
        <w:t>i</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63F9A71C"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Zero Sequence – saturated</w:t>
      </w:r>
      <w:r w:rsidRPr="0072600F">
        <w:rPr>
          <w:rFonts w:ascii="Times New Roman" w:hAnsi="Times New Roman" w:cs="Times New Roman"/>
          <w:sz w:val="26"/>
          <w:szCs w:val="26"/>
        </w:rPr>
        <w:tab/>
      </w:r>
      <w:r w:rsidRPr="0072600F">
        <w:rPr>
          <w:rFonts w:ascii="Times New Roman" w:hAnsi="Times New Roman" w:cs="Times New Roman"/>
          <w:sz w:val="26"/>
          <w:szCs w:val="26"/>
        </w:rPr>
        <w:tab/>
        <w:t>X0</w:t>
      </w:r>
      <w:r w:rsidRPr="0072600F">
        <w:rPr>
          <w:rFonts w:ascii="Times New Roman" w:hAnsi="Times New Roman" w:cs="Times New Roman"/>
          <w:sz w:val="26"/>
          <w:szCs w:val="26"/>
          <w:vertAlign w:val="subscript"/>
        </w:rPr>
        <w:t>v</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7B8CC8EA"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Zero Sequence – unsaturated</w:t>
      </w:r>
      <w:r w:rsidRPr="0072600F">
        <w:rPr>
          <w:rFonts w:ascii="Times New Roman" w:hAnsi="Times New Roman" w:cs="Times New Roman"/>
          <w:sz w:val="26"/>
          <w:szCs w:val="26"/>
        </w:rPr>
        <w:tab/>
      </w:r>
      <w:r w:rsidRPr="0072600F" w:rsidR="00D64A28">
        <w:rPr>
          <w:rFonts w:ascii="Times New Roman" w:hAnsi="Times New Roman" w:cs="Times New Roman"/>
          <w:sz w:val="26"/>
          <w:szCs w:val="26"/>
        </w:rPr>
        <w:tab/>
      </w:r>
      <w:r w:rsidRPr="0072600F">
        <w:rPr>
          <w:rFonts w:ascii="Times New Roman" w:hAnsi="Times New Roman" w:cs="Times New Roman"/>
          <w:sz w:val="26"/>
          <w:szCs w:val="26"/>
        </w:rPr>
        <w:t>X0</w:t>
      </w:r>
      <w:r w:rsidRPr="0072600F">
        <w:rPr>
          <w:rFonts w:ascii="Times New Roman" w:hAnsi="Times New Roman" w:cs="Times New Roman"/>
          <w:sz w:val="26"/>
          <w:szCs w:val="26"/>
          <w:vertAlign w:val="subscript"/>
        </w:rPr>
        <w:t>i</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6304C0DA"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Leakage Reactance</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Xl</w:t>
      </w:r>
      <w:r w:rsidRPr="0072600F">
        <w:rPr>
          <w:rFonts w:ascii="Times New Roman" w:hAnsi="Times New Roman" w:cs="Times New Roman"/>
          <w:sz w:val="26"/>
          <w:szCs w:val="26"/>
          <w:vertAlign w:val="subscript"/>
        </w:rPr>
        <w:t>m</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4867512C" w14:textId="77777777">
      <w:pPr>
        <w:jc w:val="center"/>
        <w:rPr>
          <w:rFonts w:ascii="Times New Roman" w:hAnsi="Times New Roman" w:cs="Times New Roman"/>
          <w:sz w:val="26"/>
          <w:szCs w:val="26"/>
        </w:rPr>
      </w:pPr>
      <w:r w:rsidRPr="0072600F">
        <w:rPr>
          <w:rFonts w:ascii="Times New Roman" w:hAnsi="Times New Roman" w:cs="Times New Roman"/>
          <w:sz w:val="26"/>
          <w:szCs w:val="26"/>
        </w:rPr>
        <w:br w:type="page"/>
      </w:r>
      <w:r w:rsidRPr="0072600F">
        <w:rPr>
          <w:rFonts w:ascii="Times New Roman" w:hAnsi="Times New Roman" w:cs="Times New Roman"/>
          <w:b/>
          <w:bCs/>
          <w:sz w:val="26"/>
          <w:szCs w:val="26"/>
        </w:rPr>
        <w:t>FIELD TIME CONSTANT DATA (SEC)</w:t>
      </w:r>
    </w:p>
    <w:p w:rsidR="00911580" w:rsidRPr="0072600F" w14:paraId="3EA1E6FE" w14:textId="77777777">
      <w:pPr>
        <w:rPr>
          <w:rFonts w:ascii="Times New Roman" w:hAnsi="Times New Roman" w:cs="Times New Roman"/>
          <w:sz w:val="26"/>
          <w:szCs w:val="26"/>
        </w:rPr>
      </w:pPr>
    </w:p>
    <w:p w:rsidR="00911580" w:rsidRPr="0072600F" w14:paraId="6427683A"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rPr>
      </w:pPr>
      <w:r w:rsidRPr="0072600F">
        <w:rPr>
          <w:rFonts w:ascii="Times New Roman" w:hAnsi="Times New Roman" w:cs="Times New Roman"/>
          <w:sz w:val="26"/>
          <w:szCs w:val="26"/>
        </w:rPr>
        <w:t>Open Circuit</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do</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qo</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56D65D9F"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rPr>
      </w:pPr>
      <w:r w:rsidRPr="0072600F">
        <w:rPr>
          <w:rFonts w:ascii="Times New Roman" w:hAnsi="Times New Roman" w:cs="Times New Roman"/>
          <w:sz w:val="26"/>
          <w:szCs w:val="26"/>
        </w:rPr>
        <w:t>Three-Phase Short Circuit Transient</w:t>
      </w:r>
      <w:r w:rsidRPr="0072600F">
        <w:rPr>
          <w:rFonts w:ascii="Times New Roman" w:hAnsi="Times New Roman" w:cs="Times New Roman"/>
          <w:sz w:val="26"/>
          <w:szCs w:val="26"/>
        </w:rPr>
        <w:tab/>
      </w:r>
      <w:r w:rsidRPr="0072600F" w:rsidR="0037125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d3</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q</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78D293D2"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rPr>
      </w:pPr>
      <w:r w:rsidRPr="0072600F">
        <w:rPr>
          <w:rFonts w:ascii="Times New Roman" w:hAnsi="Times New Roman" w:cs="Times New Roman"/>
          <w:sz w:val="26"/>
          <w:szCs w:val="26"/>
        </w:rPr>
        <w:t>Line to Line Short Circuit Transient</w:t>
      </w:r>
      <w:r w:rsidRPr="0072600F">
        <w:rPr>
          <w:rFonts w:ascii="Times New Roman" w:hAnsi="Times New Roman" w:cs="Times New Roman"/>
          <w:sz w:val="26"/>
          <w:szCs w:val="26"/>
        </w:rPr>
        <w:tab/>
      </w:r>
      <w:r w:rsidRPr="0072600F" w:rsidR="0037125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d2</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417DD12E"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rPr>
      </w:pPr>
      <w:r w:rsidRPr="0072600F">
        <w:rPr>
          <w:rFonts w:ascii="Times New Roman" w:hAnsi="Times New Roman" w:cs="Times New Roman"/>
          <w:sz w:val="26"/>
          <w:szCs w:val="26"/>
        </w:rPr>
        <w:t>Line to Neutral Short Circuit Transient</w:t>
      </w:r>
      <w:r w:rsidRPr="0072600F">
        <w:rPr>
          <w:rFonts w:ascii="Times New Roman" w:hAnsi="Times New Roman" w:cs="Times New Roman"/>
          <w:sz w:val="26"/>
          <w:szCs w:val="26"/>
        </w:rPr>
        <w:tab/>
        <w:t>T'</w:t>
      </w:r>
      <w:r w:rsidRPr="0072600F">
        <w:rPr>
          <w:rFonts w:ascii="Times New Roman" w:hAnsi="Times New Roman" w:cs="Times New Roman"/>
          <w:sz w:val="26"/>
          <w:szCs w:val="26"/>
          <w:vertAlign w:val="subscript"/>
        </w:rPr>
        <w:t>d1</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12CEAF26"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u w:val="single"/>
        </w:rPr>
      </w:pPr>
      <w:r w:rsidRPr="0072600F">
        <w:rPr>
          <w:rFonts w:ascii="Times New Roman" w:hAnsi="Times New Roman" w:cs="Times New Roman"/>
          <w:sz w:val="26"/>
          <w:szCs w:val="26"/>
        </w:rPr>
        <w:t xml:space="preserve">Short Circuit </w:t>
      </w:r>
      <w:r w:rsidRPr="0072600F">
        <w:rPr>
          <w:rFonts w:ascii="Times New Roman" w:hAnsi="Times New Roman" w:cs="Times New Roman"/>
          <w:sz w:val="26"/>
          <w:szCs w:val="26"/>
        </w:rPr>
        <w:t>Subtransient</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d</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q</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1E220BB0" w14:textId="77777777">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6"/>
          <w:szCs w:val="26"/>
        </w:rPr>
      </w:pPr>
      <w:r w:rsidRPr="0072600F">
        <w:rPr>
          <w:rFonts w:ascii="Times New Roman" w:hAnsi="Times New Roman" w:cs="Times New Roman"/>
          <w:sz w:val="26"/>
          <w:szCs w:val="26"/>
        </w:rPr>
        <w:t xml:space="preserve">Open Circuit </w:t>
      </w:r>
      <w:r w:rsidRPr="0072600F">
        <w:rPr>
          <w:rFonts w:ascii="Times New Roman" w:hAnsi="Times New Roman" w:cs="Times New Roman"/>
          <w:sz w:val="26"/>
          <w:szCs w:val="26"/>
        </w:rPr>
        <w:t>Subtransient</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do</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T"</w:t>
      </w:r>
      <w:r w:rsidRPr="0072600F">
        <w:rPr>
          <w:rFonts w:ascii="Times New Roman" w:hAnsi="Times New Roman" w:cs="Times New Roman"/>
          <w:sz w:val="26"/>
          <w:szCs w:val="26"/>
          <w:vertAlign w:val="subscript"/>
        </w:rPr>
        <w:t>qo</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1B273256" w14:textId="77777777">
      <w:pPr>
        <w:rPr>
          <w:rFonts w:ascii="Times New Roman" w:hAnsi="Times New Roman" w:cs="Times New Roman"/>
          <w:sz w:val="26"/>
          <w:szCs w:val="26"/>
        </w:rPr>
      </w:pPr>
    </w:p>
    <w:p w:rsidR="00911580" w:rsidRPr="0072600F" w14:paraId="49C2C716" w14:textId="77777777">
      <w:pPr>
        <w:rPr>
          <w:rFonts w:ascii="Times New Roman" w:hAnsi="Times New Roman" w:cs="Times New Roman"/>
          <w:sz w:val="26"/>
          <w:szCs w:val="26"/>
        </w:rPr>
      </w:pPr>
    </w:p>
    <w:p w:rsidR="00911580" w:rsidRPr="0072600F" w14:paraId="505C7986" w14:textId="77777777">
      <w:pPr>
        <w:rPr>
          <w:rFonts w:ascii="Times New Roman" w:hAnsi="Times New Roman" w:cs="Times New Roman"/>
          <w:sz w:val="26"/>
          <w:szCs w:val="26"/>
        </w:rPr>
      </w:pPr>
    </w:p>
    <w:p w:rsidR="00911580" w:rsidRPr="0072600F" w14:paraId="06AEDE0E" w14:textId="77777777">
      <w:pPr>
        <w:rPr>
          <w:rFonts w:ascii="Times New Roman" w:hAnsi="Times New Roman" w:cs="Times New Roman"/>
          <w:sz w:val="26"/>
          <w:szCs w:val="26"/>
        </w:rPr>
      </w:pPr>
    </w:p>
    <w:p w:rsidR="00911580" w:rsidRPr="0072600F" w14:paraId="7D89606D"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ARMATURE TIME CONSTANT DATA (SEC)</w:t>
      </w:r>
    </w:p>
    <w:p w:rsidR="00911580" w:rsidRPr="0072600F" w14:paraId="1A452F49" w14:textId="77777777">
      <w:pPr>
        <w:rPr>
          <w:rFonts w:ascii="Times New Roman" w:hAnsi="Times New Roman" w:cs="Times New Roman"/>
          <w:sz w:val="26"/>
          <w:szCs w:val="26"/>
        </w:rPr>
      </w:pPr>
    </w:p>
    <w:p w:rsidR="00911580" w:rsidRPr="0072600F" w14:paraId="6B33B665" w14:textId="77777777">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6"/>
          <w:szCs w:val="26"/>
        </w:rPr>
      </w:pPr>
      <w:r w:rsidRPr="0072600F">
        <w:rPr>
          <w:rFonts w:ascii="Times New Roman" w:hAnsi="Times New Roman" w:cs="Times New Roman"/>
          <w:sz w:val="26"/>
          <w:szCs w:val="26"/>
        </w:rPr>
        <w:t>Three Phase Short Circuit</w:t>
      </w:r>
      <w:r w:rsidRPr="0072600F">
        <w:rPr>
          <w:rFonts w:ascii="Times New Roman" w:hAnsi="Times New Roman" w:cs="Times New Roman"/>
          <w:sz w:val="26"/>
          <w:szCs w:val="26"/>
        </w:rPr>
        <w:tab/>
      </w:r>
      <w:r w:rsidRPr="0072600F">
        <w:rPr>
          <w:rFonts w:ascii="Times New Roman" w:hAnsi="Times New Roman" w:cs="Times New Roman"/>
          <w:sz w:val="26"/>
          <w:szCs w:val="26"/>
        </w:rPr>
        <w:tab/>
        <w:t>T</w:t>
      </w:r>
      <w:r w:rsidRPr="0072600F">
        <w:rPr>
          <w:rFonts w:ascii="Times New Roman" w:hAnsi="Times New Roman" w:cs="Times New Roman"/>
          <w:sz w:val="26"/>
          <w:szCs w:val="26"/>
          <w:vertAlign w:val="subscript"/>
        </w:rPr>
        <w:t>a3</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39E92758" w14:textId="77777777">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6"/>
          <w:szCs w:val="26"/>
        </w:rPr>
      </w:pPr>
      <w:r w:rsidRPr="0072600F">
        <w:rPr>
          <w:rFonts w:ascii="Times New Roman" w:hAnsi="Times New Roman" w:cs="Times New Roman"/>
          <w:sz w:val="26"/>
          <w:szCs w:val="26"/>
        </w:rPr>
        <w:t>Line to Line Short Circuit</w:t>
      </w:r>
      <w:r w:rsidRPr="0072600F">
        <w:rPr>
          <w:rFonts w:ascii="Times New Roman" w:hAnsi="Times New Roman" w:cs="Times New Roman"/>
          <w:sz w:val="26"/>
          <w:szCs w:val="26"/>
        </w:rPr>
        <w:tab/>
      </w:r>
      <w:r w:rsidRPr="0072600F">
        <w:rPr>
          <w:rFonts w:ascii="Times New Roman" w:hAnsi="Times New Roman" w:cs="Times New Roman"/>
          <w:sz w:val="26"/>
          <w:szCs w:val="26"/>
        </w:rPr>
        <w:tab/>
        <w:t>T</w:t>
      </w:r>
      <w:r w:rsidRPr="0072600F">
        <w:rPr>
          <w:rFonts w:ascii="Times New Roman" w:hAnsi="Times New Roman" w:cs="Times New Roman"/>
          <w:sz w:val="26"/>
          <w:szCs w:val="26"/>
          <w:vertAlign w:val="subscript"/>
        </w:rPr>
        <w:t>a2</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40972F1D" w14:textId="77777777">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6"/>
          <w:szCs w:val="26"/>
        </w:rPr>
      </w:pPr>
      <w:r w:rsidRPr="0072600F">
        <w:rPr>
          <w:rFonts w:ascii="Times New Roman" w:hAnsi="Times New Roman" w:cs="Times New Roman"/>
          <w:sz w:val="26"/>
          <w:szCs w:val="26"/>
        </w:rPr>
        <w:t>Line to Neutral Short Circuit</w:t>
      </w:r>
      <w:r w:rsidRPr="0072600F">
        <w:rPr>
          <w:rFonts w:ascii="Times New Roman" w:hAnsi="Times New Roman" w:cs="Times New Roman"/>
          <w:sz w:val="26"/>
          <w:szCs w:val="26"/>
        </w:rPr>
        <w:tab/>
        <w:t>T</w:t>
      </w:r>
      <w:r w:rsidRPr="0072600F">
        <w:rPr>
          <w:rFonts w:ascii="Times New Roman" w:hAnsi="Times New Roman" w:cs="Times New Roman"/>
          <w:sz w:val="26"/>
          <w:szCs w:val="26"/>
          <w:vertAlign w:val="subscript"/>
        </w:rPr>
        <w:t>a1</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02F744B4" w14:textId="77777777">
      <w:pPr>
        <w:rPr>
          <w:rFonts w:ascii="Times New Roman" w:hAnsi="Times New Roman" w:cs="Times New Roman"/>
          <w:sz w:val="26"/>
          <w:szCs w:val="26"/>
        </w:rPr>
      </w:pPr>
    </w:p>
    <w:p w:rsidR="00911580" w:rsidRPr="0072600F" w14:paraId="631366B5" w14:textId="77777777">
      <w:pPr>
        <w:rPr>
          <w:rFonts w:ascii="Times New Roman" w:hAnsi="Times New Roman" w:cs="Times New Roman"/>
          <w:sz w:val="26"/>
          <w:szCs w:val="26"/>
        </w:rPr>
      </w:pPr>
      <w:r w:rsidRPr="0072600F">
        <w:rPr>
          <w:rFonts w:ascii="Times New Roman" w:hAnsi="Times New Roman" w:cs="Times New Roman"/>
          <w:sz w:val="26"/>
          <w:szCs w:val="26"/>
        </w:rPr>
        <w:t xml:space="preserve">NOTE: If requested information is not applicable, indicate by marking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N/A.</w:t>
      </w:r>
      <w:r w:rsidRPr="0072600F" w:rsidR="00C6044A">
        <w:rPr>
          <w:rFonts w:ascii="Times New Roman" w:hAnsi="Times New Roman" w:cs="Times New Roman"/>
          <w:sz w:val="26"/>
          <w:szCs w:val="26"/>
        </w:rPr>
        <w:t>”</w:t>
      </w:r>
    </w:p>
    <w:p w:rsidR="00911580" w:rsidRPr="0072600F" w14:paraId="7A582C3B" w14:textId="77777777">
      <w:pPr>
        <w:rPr>
          <w:rFonts w:ascii="Times New Roman" w:hAnsi="Times New Roman" w:cs="Times New Roman"/>
          <w:sz w:val="26"/>
          <w:szCs w:val="26"/>
        </w:rPr>
      </w:pPr>
    </w:p>
    <w:p w:rsidR="00911580" w:rsidRPr="0072600F" w14:paraId="23A5DBA8" w14:textId="77777777">
      <w:pPr>
        <w:rPr>
          <w:rFonts w:ascii="Times New Roman" w:hAnsi="Times New Roman" w:cs="Times New Roman"/>
          <w:sz w:val="26"/>
          <w:szCs w:val="26"/>
        </w:rPr>
      </w:pPr>
    </w:p>
    <w:p w:rsidR="00911580" w:rsidRPr="0072600F" w14:paraId="2CE87833" w14:textId="77777777">
      <w:pPr>
        <w:rPr>
          <w:rFonts w:ascii="Times New Roman" w:hAnsi="Times New Roman" w:cs="Times New Roman"/>
          <w:sz w:val="26"/>
          <w:szCs w:val="26"/>
        </w:rPr>
      </w:pPr>
    </w:p>
    <w:p w:rsidR="00D64A28" w:rsidRPr="0072600F" w14:paraId="6D5810E5" w14:textId="77777777">
      <w:pPr>
        <w:rPr>
          <w:rFonts w:ascii="Times New Roman" w:hAnsi="Times New Roman" w:cs="Times New Roman"/>
          <w:sz w:val="26"/>
          <w:szCs w:val="26"/>
        </w:rPr>
      </w:pPr>
    </w:p>
    <w:p w:rsidR="00D64A28" w:rsidRPr="0072600F" w14:paraId="668D0F42" w14:textId="77777777">
      <w:pPr>
        <w:rPr>
          <w:rFonts w:ascii="Times New Roman" w:hAnsi="Times New Roman" w:cs="Times New Roman"/>
          <w:sz w:val="26"/>
          <w:szCs w:val="26"/>
        </w:rPr>
      </w:pPr>
    </w:p>
    <w:p w:rsidR="00D64A28" w:rsidRPr="0072600F" w14:paraId="4C8F50BC" w14:textId="77777777">
      <w:pPr>
        <w:rPr>
          <w:rFonts w:ascii="Times New Roman" w:hAnsi="Times New Roman" w:cs="Times New Roman"/>
          <w:sz w:val="26"/>
          <w:szCs w:val="26"/>
        </w:rPr>
      </w:pPr>
    </w:p>
    <w:p w:rsidR="00D64A28" w:rsidRPr="0072600F" w14:paraId="31191C82" w14:textId="77777777">
      <w:pPr>
        <w:rPr>
          <w:rFonts w:ascii="Times New Roman" w:hAnsi="Times New Roman" w:cs="Times New Roman"/>
          <w:sz w:val="26"/>
          <w:szCs w:val="26"/>
        </w:rPr>
      </w:pPr>
    </w:p>
    <w:p w:rsidR="00D64A28" w:rsidRPr="0072600F" w14:paraId="2B676365" w14:textId="77777777">
      <w:pPr>
        <w:rPr>
          <w:rFonts w:ascii="Times New Roman" w:hAnsi="Times New Roman" w:cs="Times New Roman"/>
          <w:sz w:val="26"/>
          <w:szCs w:val="26"/>
        </w:rPr>
      </w:pPr>
    </w:p>
    <w:p w:rsidR="00911580" w:rsidRPr="0072600F" w14:paraId="385CEE10" w14:textId="77777777">
      <w:pPr>
        <w:tabs>
          <w:tab w:val="right" w:pos="9360"/>
        </w:tabs>
        <w:jc w:val="center"/>
        <w:rPr>
          <w:rFonts w:ascii="Times New Roman" w:hAnsi="Times New Roman" w:cs="Times New Roman"/>
          <w:b/>
          <w:bCs/>
          <w:sz w:val="26"/>
          <w:szCs w:val="26"/>
        </w:rPr>
      </w:pPr>
      <w:r w:rsidRPr="0072600F">
        <w:rPr>
          <w:rFonts w:ascii="Times New Roman" w:hAnsi="Times New Roman" w:cs="Times New Roman"/>
          <w:b/>
          <w:bCs/>
          <w:sz w:val="26"/>
          <w:szCs w:val="26"/>
        </w:rPr>
        <w:t>MW CAPABILITY AND PLANT CONFIGURATION</w:t>
      </w:r>
    </w:p>
    <w:p w:rsidR="00911580" w:rsidRPr="0072600F" w14:paraId="6025A384"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LARGE GENERATING FACILITY DATA</w:t>
      </w:r>
    </w:p>
    <w:p w:rsidR="00911580" w:rsidRPr="0072600F" w14:paraId="1EFEF8A4" w14:textId="77777777">
      <w:pPr>
        <w:rPr>
          <w:rFonts w:ascii="Times New Roman" w:hAnsi="Times New Roman" w:cs="Times New Roman"/>
          <w:b/>
          <w:bCs/>
          <w:sz w:val="26"/>
          <w:szCs w:val="26"/>
        </w:rPr>
      </w:pPr>
    </w:p>
    <w:p w:rsidR="00911580" w:rsidRPr="0072600F" w14:paraId="36955E75"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ARMATURE WINDING RESISTANCE DATA (PER UNIT)</w:t>
      </w:r>
    </w:p>
    <w:p w:rsidR="00911580" w:rsidRPr="0072600F" w:rsidP="001661A1" w14:paraId="1B556ECC" w14:textId="77777777">
      <w:pPr>
        <w:tabs>
          <w:tab w:val="left" w:pos="1080"/>
        </w:tabs>
        <w:rPr>
          <w:rFonts w:ascii="Times New Roman" w:hAnsi="Times New Roman" w:cs="Times New Roman"/>
          <w:sz w:val="26"/>
          <w:szCs w:val="26"/>
        </w:rPr>
      </w:pPr>
      <w:r w:rsidRPr="0072600F">
        <w:rPr>
          <w:rFonts w:ascii="Times New Roman" w:hAnsi="Times New Roman" w:cs="Times New Roman"/>
          <w:sz w:val="26"/>
          <w:szCs w:val="26"/>
        </w:rPr>
        <w:tab/>
      </w:r>
    </w:p>
    <w:p w:rsidR="00911580" w:rsidRPr="0072600F" w14:paraId="378835BE" w14:textId="77777777">
      <w:pPr>
        <w:rPr>
          <w:rFonts w:ascii="Times New Roman" w:hAnsi="Times New Roman" w:cs="Times New Roman"/>
          <w:sz w:val="26"/>
          <w:szCs w:val="26"/>
        </w:rPr>
      </w:pPr>
      <w:r w:rsidRPr="0072600F">
        <w:rPr>
          <w:rFonts w:ascii="Times New Roman" w:hAnsi="Times New Roman" w:cs="Times New Roman"/>
          <w:sz w:val="26"/>
          <w:szCs w:val="26"/>
        </w:rPr>
        <w:t>Positive</w:t>
      </w:r>
      <w:r w:rsidRPr="0072600F">
        <w:rPr>
          <w:rFonts w:ascii="Times New Roman" w:hAnsi="Times New Roman" w:cs="Times New Roman"/>
          <w:sz w:val="26"/>
          <w:szCs w:val="26"/>
        </w:rPr>
        <w:tab/>
      </w:r>
      <w:r w:rsidRPr="0072600F">
        <w:rPr>
          <w:rFonts w:ascii="Times New Roman" w:hAnsi="Times New Roman" w:cs="Times New Roman"/>
          <w:sz w:val="26"/>
          <w:szCs w:val="26"/>
        </w:rPr>
        <w:tab/>
        <w:t>R</w:t>
      </w:r>
      <w:r w:rsidRPr="0072600F">
        <w:rPr>
          <w:rFonts w:ascii="Times New Roman" w:hAnsi="Times New Roman" w:cs="Times New Roman"/>
          <w:sz w:val="26"/>
          <w:szCs w:val="26"/>
          <w:vertAlign w:val="subscript"/>
        </w:rPr>
        <w:t>1</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7F82853F" w14:textId="77777777">
      <w:pPr>
        <w:rPr>
          <w:rFonts w:ascii="Times New Roman" w:hAnsi="Times New Roman" w:cs="Times New Roman"/>
          <w:sz w:val="26"/>
          <w:szCs w:val="26"/>
        </w:rPr>
      </w:pPr>
      <w:r w:rsidRPr="0072600F">
        <w:rPr>
          <w:rFonts w:ascii="Times New Roman" w:hAnsi="Times New Roman" w:cs="Times New Roman"/>
          <w:sz w:val="26"/>
          <w:szCs w:val="26"/>
        </w:rPr>
        <w:t>Negative</w:t>
      </w:r>
      <w:r w:rsidRPr="0072600F">
        <w:rPr>
          <w:rFonts w:ascii="Times New Roman" w:hAnsi="Times New Roman" w:cs="Times New Roman"/>
          <w:sz w:val="26"/>
          <w:szCs w:val="26"/>
        </w:rPr>
        <w:tab/>
      </w:r>
      <w:r w:rsidRPr="0072600F">
        <w:rPr>
          <w:rFonts w:ascii="Times New Roman" w:hAnsi="Times New Roman" w:cs="Times New Roman"/>
          <w:sz w:val="26"/>
          <w:szCs w:val="26"/>
        </w:rPr>
        <w:tab/>
        <w:t>R</w:t>
      </w:r>
      <w:r w:rsidRPr="0072600F">
        <w:rPr>
          <w:rFonts w:ascii="Times New Roman" w:hAnsi="Times New Roman" w:cs="Times New Roman"/>
          <w:sz w:val="26"/>
          <w:szCs w:val="26"/>
          <w:vertAlign w:val="subscript"/>
        </w:rPr>
        <w:t>2</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4D3ED02D" w14:textId="77777777">
      <w:pPr>
        <w:rPr>
          <w:rFonts w:ascii="Times New Roman" w:hAnsi="Times New Roman" w:cs="Times New Roman"/>
          <w:sz w:val="26"/>
          <w:szCs w:val="26"/>
        </w:rPr>
      </w:pPr>
      <w:r w:rsidRPr="0072600F">
        <w:rPr>
          <w:rFonts w:ascii="Times New Roman" w:hAnsi="Times New Roman" w:cs="Times New Roman"/>
          <w:sz w:val="26"/>
          <w:szCs w:val="26"/>
        </w:rPr>
        <w:t>Zero</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R</w:t>
      </w:r>
      <w:r w:rsidRPr="0072600F">
        <w:rPr>
          <w:rFonts w:ascii="Times New Roman" w:hAnsi="Times New Roman" w:cs="Times New Roman"/>
          <w:sz w:val="26"/>
          <w:szCs w:val="26"/>
          <w:vertAlign w:val="subscript"/>
        </w:rPr>
        <w:t>0</w:t>
      </w:r>
      <w:r w:rsidRPr="0072600F">
        <w:rPr>
          <w:rFonts w:ascii="Times New Roman" w:hAnsi="Times New Roman" w:cs="Times New Roman"/>
          <w:sz w:val="26"/>
          <w:szCs w:val="26"/>
        </w:rPr>
        <w:tab/>
        <w:t>_______</w:t>
      </w:r>
      <w:r w:rsidRPr="0072600F">
        <w:rPr>
          <w:rFonts w:ascii="Times New Roman" w:hAnsi="Times New Roman" w:cs="Times New Roman"/>
          <w:sz w:val="26"/>
          <w:szCs w:val="26"/>
          <w:u w:val="single"/>
        </w:rPr>
        <w:t xml:space="preserve"> </w:t>
      </w:r>
    </w:p>
    <w:p w:rsidR="00911580" w:rsidRPr="0072600F" w14:paraId="7DC525C9" w14:textId="77777777">
      <w:pPr>
        <w:rPr>
          <w:rFonts w:ascii="Times New Roman" w:hAnsi="Times New Roman" w:cs="Times New Roman"/>
          <w:sz w:val="26"/>
          <w:szCs w:val="26"/>
        </w:rPr>
      </w:pPr>
    </w:p>
    <w:p w:rsidR="00911580" w:rsidRPr="0072600F" w14:paraId="0F478F40" w14:textId="77777777">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sz w:val="26"/>
          <w:szCs w:val="26"/>
        </w:rPr>
      </w:pPr>
      <w:r w:rsidRPr="0072600F">
        <w:rPr>
          <w:rFonts w:ascii="Times New Roman" w:hAnsi="Times New Roman" w:cs="Times New Roman"/>
          <w:sz w:val="26"/>
          <w:szCs w:val="26"/>
        </w:rPr>
        <w:t>Rotor Short Time Thermal Capacity I</w:t>
      </w:r>
      <w:r w:rsidRPr="0072600F">
        <w:rPr>
          <w:rFonts w:ascii="Times New Roman" w:hAnsi="Times New Roman" w:cs="Times New Roman"/>
          <w:sz w:val="26"/>
          <w:szCs w:val="26"/>
          <w:vertAlign w:val="subscript"/>
        </w:rPr>
        <w:t>2</w:t>
      </w:r>
      <w:r w:rsidRPr="0072600F">
        <w:rPr>
          <w:rFonts w:ascii="Times New Roman" w:hAnsi="Times New Roman" w:cs="Times New Roman"/>
          <w:sz w:val="26"/>
          <w:szCs w:val="26"/>
          <w:vertAlign w:val="superscript"/>
        </w:rPr>
        <w:t>2</w:t>
      </w:r>
      <w:r w:rsidRPr="0072600F">
        <w:rPr>
          <w:rFonts w:ascii="Times New Roman" w:hAnsi="Times New Roman" w:cs="Times New Roman"/>
          <w:sz w:val="26"/>
          <w:szCs w:val="26"/>
        </w:rPr>
        <w:t xml:space="preserve">t = _______ </w:t>
      </w:r>
    </w:p>
    <w:p w:rsidR="00911580" w:rsidRPr="0072600F" w14:paraId="474F4E36" w14:textId="77777777">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sz w:val="26"/>
          <w:szCs w:val="26"/>
        </w:rPr>
      </w:pPr>
      <w:r w:rsidRPr="0072600F">
        <w:rPr>
          <w:rFonts w:ascii="Times New Roman" w:hAnsi="Times New Roman" w:cs="Times New Roman"/>
          <w:sz w:val="26"/>
          <w:szCs w:val="26"/>
        </w:rPr>
        <w:t xml:space="preserve">Field Current at Rated kVA, Armature Voltage and PF =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amps</w:t>
      </w:r>
    </w:p>
    <w:p w:rsidR="00911580" w:rsidRPr="0072600F" w14:paraId="48783DCA" w14:textId="77777777">
      <w:pPr>
        <w:rPr>
          <w:rFonts w:ascii="Times New Roman" w:hAnsi="Times New Roman" w:cs="Times New Roman"/>
          <w:sz w:val="26"/>
          <w:szCs w:val="26"/>
        </w:rPr>
      </w:pPr>
      <w:r w:rsidRPr="0072600F">
        <w:rPr>
          <w:rFonts w:ascii="Times New Roman" w:hAnsi="Times New Roman" w:cs="Times New Roman"/>
          <w:sz w:val="26"/>
          <w:szCs w:val="26"/>
        </w:rPr>
        <w:t xml:space="preserve">Field Current at Rated kVA and Armature Voltage, 0 PF =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amps</w:t>
      </w:r>
    </w:p>
    <w:p w:rsidR="00911580" w:rsidRPr="0072600F" w14:paraId="47E755DC" w14:textId="77777777">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sz w:val="26"/>
          <w:szCs w:val="26"/>
        </w:rPr>
      </w:pPr>
      <w:r w:rsidRPr="0072600F">
        <w:rPr>
          <w:rFonts w:ascii="Times New Roman" w:hAnsi="Times New Roman" w:cs="Times New Roman"/>
          <w:sz w:val="26"/>
          <w:szCs w:val="26"/>
        </w:rPr>
        <w:t xml:space="preserve">Three Phase Armature Winding Capacitance =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microfarad</w:t>
      </w:r>
    </w:p>
    <w:p w:rsidR="00911580" w:rsidRPr="0072600F" w14:paraId="10D5ACD8" w14:textId="77777777">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6"/>
          <w:szCs w:val="26"/>
        </w:rPr>
      </w:pPr>
      <w:r w:rsidRPr="0072600F">
        <w:rPr>
          <w:rFonts w:ascii="Times New Roman" w:hAnsi="Times New Roman" w:cs="Times New Roman"/>
          <w:sz w:val="26"/>
          <w:szCs w:val="26"/>
        </w:rPr>
        <w:t>Field Winding Resistance = _______ ohms _____ °C</w:t>
      </w:r>
    </w:p>
    <w:p w:rsidR="00911580" w:rsidRPr="0072600F" w14:paraId="70549EBA" w14:textId="77777777">
      <w:pPr>
        <w:rPr>
          <w:rFonts w:ascii="Times New Roman" w:hAnsi="Times New Roman" w:cs="Times New Roman"/>
          <w:sz w:val="26"/>
          <w:szCs w:val="26"/>
        </w:rPr>
      </w:pPr>
      <w:r w:rsidRPr="0072600F">
        <w:rPr>
          <w:rFonts w:ascii="Times New Roman" w:hAnsi="Times New Roman" w:cs="Times New Roman"/>
          <w:sz w:val="26"/>
          <w:szCs w:val="26"/>
        </w:rPr>
        <w:t xml:space="preserve">Armature Winding Resistance (Per Phase) =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ohms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°C</w:t>
      </w:r>
    </w:p>
    <w:p w:rsidR="00911580" w:rsidRPr="0072600F" w14:paraId="795A319D" w14:textId="77777777">
      <w:pPr>
        <w:jc w:val="center"/>
        <w:rPr>
          <w:rFonts w:ascii="Times New Roman" w:hAnsi="Times New Roman" w:cs="Times New Roman"/>
          <w:sz w:val="26"/>
          <w:szCs w:val="26"/>
        </w:rPr>
      </w:pPr>
      <w:r w:rsidRPr="0072600F">
        <w:rPr>
          <w:rFonts w:ascii="Times New Roman" w:hAnsi="Times New Roman" w:cs="Times New Roman"/>
          <w:sz w:val="26"/>
          <w:szCs w:val="26"/>
        </w:rPr>
        <w:br w:type="page"/>
      </w:r>
      <w:r w:rsidRPr="0072600F">
        <w:rPr>
          <w:rFonts w:ascii="Times New Roman" w:hAnsi="Times New Roman" w:cs="Times New Roman"/>
          <w:b/>
          <w:bCs/>
          <w:sz w:val="26"/>
          <w:szCs w:val="26"/>
        </w:rPr>
        <w:t>CURVES</w:t>
      </w:r>
    </w:p>
    <w:p w:rsidR="00911580" w:rsidRPr="0072600F" w14:paraId="142E518B" w14:textId="77777777">
      <w:pPr>
        <w:rPr>
          <w:rFonts w:ascii="Times New Roman" w:hAnsi="Times New Roman" w:cs="Times New Roman"/>
          <w:sz w:val="26"/>
          <w:szCs w:val="26"/>
        </w:rPr>
      </w:pPr>
    </w:p>
    <w:p w:rsidR="00911580" w:rsidRPr="0072600F" w14:paraId="4FFAFE90" w14:textId="77777777">
      <w:pPr>
        <w:rPr>
          <w:rFonts w:ascii="Times New Roman" w:hAnsi="Times New Roman" w:cs="Times New Roman"/>
          <w:sz w:val="26"/>
          <w:szCs w:val="26"/>
        </w:rPr>
      </w:pPr>
      <w:r w:rsidRPr="0072600F">
        <w:rPr>
          <w:rFonts w:ascii="Times New Roman" w:hAnsi="Times New Roman" w:cs="Times New Roman"/>
          <w:sz w:val="26"/>
          <w:szCs w:val="26"/>
        </w:rPr>
        <w:t>Provide Saturation, Vee, Reactive Capability, Capacity Temperature Correction curves.  Designate normal and emergency Hydrogen Pressure operating range for multiple curves.</w:t>
      </w:r>
    </w:p>
    <w:p w:rsidR="00911580" w:rsidRPr="0072600F" w14:paraId="6B04B593" w14:textId="77777777">
      <w:pPr>
        <w:rPr>
          <w:rFonts w:ascii="Times New Roman" w:hAnsi="Times New Roman" w:cs="Times New Roman"/>
          <w:sz w:val="26"/>
          <w:szCs w:val="26"/>
        </w:rPr>
      </w:pPr>
    </w:p>
    <w:p w:rsidR="00911580" w:rsidRPr="0072600F" w14:paraId="2EB6AB62" w14:textId="77777777">
      <w:pPr>
        <w:rPr>
          <w:rFonts w:ascii="Times New Roman" w:hAnsi="Times New Roman" w:cs="Times New Roman"/>
          <w:sz w:val="26"/>
          <w:szCs w:val="26"/>
        </w:rPr>
      </w:pPr>
    </w:p>
    <w:p w:rsidR="00911580" w:rsidRPr="0072600F" w14:paraId="30D9A67E" w14:textId="77777777">
      <w:pPr>
        <w:rPr>
          <w:rFonts w:ascii="Times New Roman" w:hAnsi="Times New Roman" w:cs="Times New Roman"/>
          <w:sz w:val="26"/>
          <w:szCs w:val="26"/>
        </w:rPr>
      </w:pPr>
    </w:p>
    <w:p w:rsidR="00911580" w:rsidRPr="0072600F" w14:paraId="28D50C16" w14:textId="77777777">
      <w:pPr>
        <w:tabs>
          <w:tab w:val="right" w:pos="9360"/>
        </w:tabs>
        <w:jc w:val="center"/>
        <w:rPr>
          <w:rFonts w:ascii="Times New Roman" w:hAnsi="Times New Roman" w:cs="Times New Roman"/>
          <w:sz w:val="26"/>
          <w:szCs w:val="26"/>
        </w:rPr>
      </w:pPr>
      <w:r w:rsidRPr="0072600F">
        <w:rPr>
          <w:rFonts w:ascii="Times New Roman" w:hAnsi="Times New Roman" w:cs="Times New Roman"/>
          <w:b/>
          <w:bCs/>
          <w:sz w:val="26"/>
          <w:szCs w:val="26"/>
        </w:rPr>
        <w:t>GENERATOR STEP-UP TRANSFORMER DATA RATINGS</w:t>
      </w:r>
    </w:p>
    <w:p w:rsidR="00911580" w:rsidRPr="0072600F" w14:paraId="103D7971" w14:textId="77777777">
      <w:pPr>
        <w:rPr>
          <w:rFonts w:ascii="Times New Roman" w:hAnsi="Times New Roman" w:cs="Times New Roman"/>
          <w:sz w:val="26"/>
          <w:szCs w:val="26"/>
        </w:rPr>
      </w:pPr>
    </w:p>
    <w:p w:rsidR="00911580" w:rsidRPr="0072600F" w14:paraId="2168A88A" w14:textId="77777777">
      <w:pPr>
        <w:rPr>
          <w:rFonts w:ascii="Times New Roman" w:hAnsi="Times New Roman" w:cs="Times New Roman"/>
          <w:sz w:val="26"/>
          <w:szCs w:val="26"/>
        </w:rPr>
      </w:pPr>
      <w:r w:rsidRPr="0072600F">
        <w:rPr>
          <w:rFonts w:ascii="Times New Roman" w:hAnsi="Times New Roman" w:cs="Times New Roman"/>
          <w:sz w:val="26"/>
          <w:szCs w:val="26"/>
        </w:rPr>
        <w:t>Capacity</w:t>
      </w:r>
      <w:r w:rsidRPr="0072600F">
        <w:rPr>
          <w:rFonts w:ascii="Times New Roman" w:hAnsi="Times New Roman" w:cs="Times New Roman"/>
          <w:sz w:val="26"/>
          <w:szCs w:val="26"/>
        </w:rPr>
        <w:tab/>
      </w:r>
      <w:r w:rsidRPr="0072600F">
        <w:rPr>
          <w:rFonts w:ascii="Times New Roman" w:hAnsi="Times New Roman" w:cs="Times New Roman"/>
          <w:sz w:val="26"/>
          <w:szCs w:val="26"/>
        </w:rPr>
        <w:tab/>
        <w:t>Self-cooled/</w:t>
      </w:r>
    </w:p>
    <w:p w:rsidR="00911580" w:rsidRPr="0072600F" w14:paraId="47166A5C"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Maximum Nameplate</w:t>
      </w:r>
    </w:p>
    <w:p w:rsidR="00911580" w:rsidRPr="0072600F" w14:paraId="41FB160D"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kVA</w:t>
      </w:r>
    </w:p>
    <w:p w:rsidR="00911580" w:rsidRPr="0072600F" w14:paraId="5889C743" w14:textId="77777777">
      <w:pPr>
        <w:rPr>
          <w:rFonts w:ascii="Times New Roman" w:hAnsi="Times New Roman" w:cs="Times New Roman"/>
          <w:sz w:val="26"/>
          <w:szCs w:val="26"/>
        </w:rPr>
      </w:pPr>
    </w:p>
    <w:p w:rsidR="00911580" w:rsidRPr="0072600F" w14:paraId="38AE4DAD" w14:textId="77777777">
      <w:pPr>
        <w:rPr>
          <w:rFonts w:ascii="Times New Roman" w:hAnsi="Times New Roman" w:cs="Times New Roman"/>
          <w:sz w:val="26"/>
          <w:szCs w:val="26"/>
        </w:rPr>
      </w:pPr>
      <w:r w:rsidRPr="0072600F">
        <w:rPr>
          <w:rFonts w:ascii="Times New Roman" w:hAnsi="Times New Roman" w:cs="Times New Roman"/>
          <w:sz w:val="26"/>
          <w:szCs w:val="26"/>
        </w:rPr>
        <w:t>Voltage Ratio(Generator Side/System side/Tertiary)</w:t>
      </w:r>
    </w:p>
    <w:p w:rsidR="00911580" w:rsidRPr="0072600F" w14:paraId="11E6B4C0"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u w:val="single"/>
        </w:rPr>
        <w:t xml:space="preserve">                              /                             </w:t>
      </w:r>
      <w:r w:rsidRPr="0072600F">
        <w:rPr>
          <w:rFonts w:ascii="Times New Roman" w:hAnsi="Times New Roman" w:cs="Times New Roman"/>
          <w:sz w:val="26"/>
          <w:szCs w:val="26"/>
        </w:rPr>
        <w:t>kV</w:t>
      </w:r>
    </w:p>
    <w:p w:rsidR="00911580" w:rsidRPr="0072600F" w14:paraId="5AB0E77D" w14:textId="77777777">
      <w:pPr>
        <w:rPr>
          <w:rFonts w:ascii="Times New Roman" w:hAnsi="Times New Roman" w:cs="Times New Roman"/>
          <w:sz w:val="26"/>
          <w:szCs w:val="26"/>
        </w:rPr>
      </w:pPr>
    </w:p>
    <w:p w:rsidR="00911580" w:rsidRPr="0072600F" w14:paraId="4FAD9A06" w14:textId="77777777">
      <w:pPr>
        <w:rPr>
          <w:rFonts w:ascii="Times New Roman" w:hAnsi="Times New Roman" w:cs="Times New Roman"/>
          <w:sz w:val="26"/>
          <w:szCs w:val="26"/>
        </w:rPr>
      </w:pPr>
      <w:r w:rsidRPr="0072600F">
        <w:rPr>
          <w:rFonts w:ascii="Times New Roman" w:hAnsi="Times New Roman" w:cs="Times New Roman"/>
          <w:sz w:val="26"/>
          <w:szCs w:val="26"/>
        </w:rPr>
        <w:t>Winding Connections (Low V/High V/Tertiary V (Delta or Wye))</w:t>
      </w:r>
    </w:p>
    <w:p w:rsidR="00911580" w:rsidRPr="0072600F" w14:paraId="51FABC6F"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/______________/_______________</w:t>
      </w:r>
    </w:p>
    <w:p w:rsidR="00911580" w:rsidRPr="0072600F" w14:paraId="1B1BC984" w14:textId="77777777">
      <w:pPr>
        <w:rPr>
          <w:rFonts w:ascii="Times New Roman" w:hAnsi="Times New Roman" w:cs="Times New Roman"/>
          <w:sz w:val="26"/>
          <w:szCs w:val="26"/>
        </w:rPr>
      </w:pPr>
    </w:p>
    <w:p w:rsidR="00911580" w:rsidRPr="0072600F" w14:paraId="140E829B" w14:textId="77777777">
      <w:pPr>
        <w:rPr>
          <w:rFonts w:ascii="Times New Roman" w:hAnsi="Times New Roman" w:cs="Times New Roman"/>
          <w:sz w:val="26"/>
          <w:szCs w:val="26"/>
          <w:u w:val="single"/>
        </w:rPr>
      </w:pPr>
      <w:r w:rsidRPr="0072600F">
        <w:rPr>
          <w:rFonts w:ascii="Times New Roman" w:hAnsi="Times New Roman" w:cs="Times New Roman"/>
          <w:sz w:val="26"/>
          <w:szCs w:val="26"/>
        </w:rPr>
        <w:t>Fixed Taps Available _____________________________________________________</w:t>
      </w:r>
      <w:r w:rsidRPr="0072600F">
        <w:rPr>
          <w:rFonts w:ascii="Times New Roman" w:hAnsi="Times New Roman" w:cs="Times New Roman"/>
          <w:sz w:val="26"/>
          <w:szCs w:val="26"/>
          <w:u w:val="single"/>
        </w:rPr>
        <w:t xml:space="preserve"> </w:t>
      </w:r>
    </w:p>
    <w:p w:rsidR="00911580" w:rsidRPr="0072600F" w14:paraId="0BB529E3" w14:textId="77777777">
      <w:pPr>
        <w:rPr>
          <w:rFonts w:ascii="Times New Roman" w:hAnsi="Times New Roman" w:cs="Times New Roman"/>
          <w:sz w:val="26"/>
          <w:szCs w:val="26"/>
        </w:rPr>
      </w:pPr>
    </w:p>
    <w:p w:rsidR="00911580" w:rsidRPr="0072600F" w14:paraId="40149812" w14:textId="77777777">
      <w:pPr>
        <w:rPr>
          <w:rFonts w:ascii="Times New Roman" w:hAnsi="Times New Roman" w:cs="Times New Roman"/>
          <w:sz w:val="26"/>
          <w:szCs w:val="26"/>
        </w:rPr>
      </w:pPr>
      <w:r w:rsidRPr="0072600F">
        <w:rPr>
          <w:rFonts w:ascii="Times New Roman" w:hAnsi="Times New Roman" w:cs="Times New Roman"/>
          <w:sz w:val="26"/>
          <w:szCs w:val="26"/>
        </w:rPr>
        <w:t>Present Tap Setting _______________________________________________________</w:t>
      </w:r>
    </w:p>
    <w:p w:rsidR="00911580" w:rsidRPr="0072600F" w14:paraId="711AC3A0" w14:textId="77777777">
      <w:pPr>
        <w:rPr>
          <w:rFonts w:ascii="Times New Roman" w:hAnsi="Times New Roman" w:cs="Times New Roman"/>
          <w:sz w:val="26"/>
          <w:szCs w:val="26"/>
        </w:rPr>
      </w:pPr>
    </w:p>
    <w:p w:rsidR="00911580" w:rsidRPr="0072600F" w14:paraId="2ACFD034" w14:textId="77777777">
      <w:pPr>
        <w:rPr>
          <w:rFonts w:ascii="Times New Roman" w:hAnsi="Times New Roman" w:cs="Times New Roman"/>
          <w:sz w:val="26"/>
          <w:szCs w:val="26"/>
        </w:rPr>
      </w:pPr>
    </w:p>
    <w:p w:rsidR="00911580" w:rsidRPr="0072600F" w14:paraId="01733722" w14:textId="77777777">
      <w:pPr>
        <w:rPr>
          <w:rFonts w:ascii="Times New Roman" w:hAnsi="Times New Roman" w:cs="Times New Roman"/>
          <w:sz w:val="26"/>
          <w:szCs w:val="26"/>
        </w:rPr>
      </w:pPr>
    </w:p>
    <w:p w:rsidR="00911580" w:rsidRPr="0072600F" w14:paraId="3C16B778"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IMPEDANCE</w:t>
      </w:r>
    </w:p>
    <w:p w:rsidR="00911580" w:rsidRPr="0072600F" w14:paraId="4E893F33" w14:textId="77777777">
      <w:pPr>
        <w:rPr>
          <w:rFonts w:ascii="Times New Roman" w:hAnsi="Times New Roman" w:cs="Times New Roman"/>
          <w:sz w:val="26"/>
          <w:szCs w:val="26"/>
        </w:rPr>
      </w:pPr>
    </w:p>
    <w:p w:rsidR="00911580" w:rsidRPr="0072600F" w14:paraId="024A6D36" w14:textId="77777777">
      <w:pPr>
        <w:rPr>
          <w:rFonts w:ascii="Times New Roman" w:hAnsi="Times New Roman" w:cs="Times New Roman"/>
          <w:sz w:val="26"/>
          <w:szCs w:val="26"/>
        </w:rPr>
      </w:pPr>
      <w:r w:rsidRPr="0072600F">
        <w:rPr>
          <w:rFonts w:ascii="Times New Roman" w:hAnsi="Times New Roman" w:cs="Times New Roman"/>
          <w:sz w:val="26"/>
          <w:szCs w:val="26"/>
        </w:rPr>
        <w:t xml:space="preserve">Positive </w:t>
      </w:r>
      <w:r w:rsidRPr="0072600F">
        <w:rPr>
          <w:rFonts w:ascii="Times New Roman" w:hAnsi="Times New Roman" w:cs="Times New Roman"/>
          <w:sz w:val="26"/>
          <w:szCs w:val="26"/>
        </w:rPr>
        <w:tab/>
        <w:t xml:space="preserve"> Z</w:t>
      </w:r>
      <w:r w:rsidRPr="0072600F">
        <w:rPr>
          <w:rFonts w:ascii="Times New Roman" w:hAnsi="Times New Roman" w:cs="Times New Roman"/>
          <w:sz w:val="26"/>
          <w:szCs w:val="26"/>
          <w:vertAlign w:val="subscript"/>
        </w:rPr>
        <w:t>1</w:t>
      </w:r>
      <w:r w:rsidRPr="0072600F">
        <w:rPr>
          <w:rFonts w:ascii="Times New Roman" w:hAnsi="Times New Roman" w:cs="Times New Roman"/>
          <w:sz w:val="26"/>
          <w:szCs w:val="26"/>
        </w:rPr>
        <w:t xml:space="preserve"> (on self-cooled kVA rating)</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X/R</w:t>
      </w:r>
    </w:p>
    <w:p w:rsidR="00911580" w:rsidRPr="0072600F" w14:paraId="7C4C5062" w14:textId="77777777">
      <w:pPr>
        <w:rPr>
          <w:rFonts w:ascii="Times New Roman" w:hAnsi="Times New Roman" w:cs="Times New Roman"/>
          <w:sz w:val="26"/>
          <w:szCs w:val="26"/>
        </w:rPr>
      </w:pPr>
    </w:p>
    <w:p w:rsidR="00911580" w:rsidRPr="0072600F" w14:paraId="16B4C069" w14:textId="77777777">
      <w:pPr>
        <w:rPr>
          <w:rFonts w:ascii="Times New Roman" w:hAnsi="Times New Roman" w:cs="Times New Roman"/>
          <w:sz w:val="26"/>
          <w:szCs w:val="26"/>
        </w:rPr>
      </w:pPr>
      <w:r w:rsidRPr="0072600F">
        <w:rPr>
          <w:rFonts w:ascii="Times New Roman" w:hAnsi="Times New Roman" w:cs="Times New Roman"/>
          <w:sz w:val="26"/>
          <w:szCs w:val="26"/>
        </w:rPr>
        <w:t xml:space="preserve">Zero </w:t>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 Z</w:t>
      </w:r>
      <w:r w:rsidRPr="0072600F">
        <w:rPr>
          <w:rFonts w:ascii="Times New Roman" w:hAnsi="Times New Roman" w:cs="Times New Roman"/>
          <w:sz w:val="26"/>
          <w:szCs w:val="26"/>
          <w:vertAlign w:val="subscript"/>
        </w:rPr>
        <w:t>0</w:t>
      </w:r>
      <w:r w:rsidRPr="0072600F">
        <w:rPr>
          <w:rFonts w:ascii="Times New Roman" w:hAnsi="Times New Roman" w:cs="Times New Roman"/>
          <w:sz w:val="26"/>
          <w:szCs w:val="26"/>
        </w:rPr>
        <w:t xml:space="preserve"> (on self-cooled kVA rating)</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X/R</w:t>
      </w:r>
    </w:p>
    <w:p w:rsidR="00911580" w:rsidRPr="0072600F" w14:paraId="2F46297A" w14:textId="77777777">
      <w:pPr>
        <w:tabs>
          <w:tab w:val="right" w:pos="9360"/>
        </w:tabs>
        <w:jc w:val="center"/>
        <w:rPr>
          <w:rFonts w:ascii="Times New Roman" w:hAnsi="Times New Roman" w:cs="Times New Roman"/>
          <w:sz w:val="26"/>
          <w:szCs w:val="26"/>
        </w:rPr>
      </w:pPr>
      <w:r w:rsidRPr="0072600F">
        <w:rPr>
          <w:rFonts w:ascii="Times New Roman" w:hAnsi="Times New Roman" w:cs="Times New Roman"/>
          <w:sz w:val="26"/>
          <w:szCs w:val="26"/>
        </w:rPr>
        <w:br w:type="page"/>
      </w:r>
      <w:r w:rsidRPr="0072600F">
        <w:rPr>
          <w:rFonts w:ascii="Times New Roman" w:hAnsi="Times New Roman" w:cs="Times New Roman"/>
          <w:b/>
          <w:bCs/>
          <w:sz w:val="26"/>
          <w:szCs w:val="26"/>
        </w:rPr>
        <w:t>EXCITATION SYSTEM DATA</w:t>
      </w:r>
    </w:p>
    <w:p w:rsidR="00911580" w:rsidRPr="0072600F" w14:paraId="31B2030A" w14:textId="77777777">
      <w:pPr>
        <w:rPr>
          <w:rFonts w:ascii="Times New Roman" w:hAnsi="Times New Roman" w:cs="Times New Roman"/>
          <w:sz w:val="26"/>
          <w:szCs w:val="26"/>
        </w:rPr>
      </w:pPr>
    </w:p>
    <w:p w:rsidR="00911580" w:rsidRPr="0072600F" w14:paraId="152B68AF" w14:textId="77777777">
      <w:pPr>
        <w:rPr>
          <w:rFonts w:ascii="Times New Roman" w:hAnsi="Times New Roman" w:cs="Times New Roman"/>
          <w:sz w:val="26"/>
          <w:szCs w:val="26"/>
        </w:rPr>
      </w:pPr>
      <w:r w:rsidRPr="0072600F">
        <w:rPr>
          <w:rFonts w:ascii="Times New Roman" w:hAnsi="Times New Roman" w:cs="Times New Roman"/>
          <w:sz w:val="26"/>
          <w:szCs w:val="26"/>
        </w:rPr>
        <w:t>Identify appropriate IEEE model block diagram of excitation system and power system stabilizer (PSS) for computer representation in power system stability simulations and the corresponding excitation system and PSS constants for use in the model.</w:t>
      </w:r>
    </w:p>
    <w:p w:rsidR="00911580" w:rsidRPr="0072600F" w14:paraId="3D5BB114" w14:textId="77777777">
      <w:pPr>
        <w:rPr>
          <w:rFonts w:ascii="Times New Roman" w:hAnsi="Times New Roman" w:cs="Times New Roman"/>
          <w:sz w:val="26"/>
          <w:szCs w:val="26"/>
        </w:rPr>
      </w:pPr>
    </w:p>
    <w:p w:rsidR="00911580" w:rsidRPr="0072600F" w14:paraId="01A52C41" w14:textId="77777777">
      <w:pPr>
        <w:rPr>
          <w:rFonts w:ascii="Times New Roman" w:hAnsi="Times New Roman" w:cs="Times New Roman"/>
          <w:sz w:val="26"/>
          <w:szCs w:val="26"/>
        </w:rPr>
      </w:pPr>
    </w:p>
    <w:p w:rsidR="00911580" w:rsidRPr="0072600F" w14:paraId="389F60E0" w14:textId="77777777">
      <w:pPr>
        <w:rPr>
          <w:rFonts w:ascii="Times New Roman" w:hAnsi="Times New Roman" w:cs="Times New Roman"/>
          <w:sz w:val="26"/>
          <w:szCs w:val="26"/>
        </w:rPr>
      </w:pPr>
    </w:p>
    <w:p w:rsidR="00911580" w:rsidRPr="0072600F" w14:paraId="5554521C"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GOVERNOR SYSTEM DATA</w:t>
      </w:r>
    </w:p>
    <w:p w:rsidR="00911580" w:rsidRPr="0072600F" w14:paraId="1EDECE39" w14:textId="77777777">
      <w:pPr>
        <w:rPr>
          <w:rFonts w:ascii="Times New Roman" w:hAnsi="Times New Roman" w:cs="Times New Roman"/>
          <w:sz w:val="26"/>
          <w:szCs w:val="26"/>
        </w:rPr>
      </w:pPr>
    </w:p>
    <w:p w:rsidR="00911580" w:rsidRPr="0072600F" w14:paraId="649A1036" w14:textId="77777777">
      <w:pPr>
        <w:rPr>
          <w:rFonts w:ascii="Times New Roman" w:hAnsi="Times New Roman" w:cs="Times New Roman"/>
          <w:sz w:val="26"/>
          <w:szCs w:val="26"/>
        </w:rPr>
      </w:pPr>
      <w:r w:rsidRPr="0072600F">
        <w:rPr>
          <w:rFonts w:ascii="Times New Roman" w:hAnsi="Times New Roman" w:cs="Times New Roman"/>
          <w:sz w:val="26"/>
          <w:szCs w:val="26"/>
        </w:rPr>
        <w:t>Identify appropriate IEEE model block diagram of governor system for computer representation in power system stability simulations and the corresponding governor system constants for use in the model.</w:t>
      </w:r>
    </w:p>
    <w:p w:rsidR="00911580" w:rsidRPr="0072600F" w14:paraId="056CC79B" w14:textId="77777777">
      <w:pPr>
        <w:rPr>
          <w:rFonts w:ascii="Times New Roman" w:hAnsi="Times New Roman" w:cs="Times New Roman"/>
          <w:sz w:val="26"/>
          <w:szCs w:val="26"/>
        </w:rPr>
      </w:pPr>
    </w:p>
    <w:p w:rsidR="00911580" w:rsidRPr="0072600F" w14:paraId="39322C92" w14:textId="77777777">
      <w:pPr>
        <w:rPr>
          <w:rFonts w:ascii="Times New Roman" w:hAnsi="Times New Roman" w:cs="Times New Roman"/>
          <w:sz w:val="26"/>
          <w:szCs w:val="26"/>
        </w:rPr>
      </w:pPr>
    </w:p>
    <w:p w:rsidR="00911580" w:rsidRPr="0072600F" w14:paraId="54E4BDC5" w14:textId="77777777">
      <w:pPr>
        <w:rPr>
          <w:rFonts w:ascii="Times New Roman" w:hAnsi="Times New Roman" w:cs="Times New Roman"/>
          <w:sz w:val="26"/>
          <w:szCs w:val="26"/>
        </w:rPr>
      </w:pPr>
    </w:p>
    <w:p w:rsidR="00911580" w:rsidRPr="0072600F" w14:paraId="66511B83"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WIND GENERATORS</w:t>
      </w:r>
    </w:p>
    <w:p w:rsidR="00911580" w:rsidRPr="0072600F" w14:paraId="50994E79" w14:textId="77777777">
      <w:pPr>
        <w:rPr>
          <w:rFonts w:ascii="Times New Roman" w:hAnsi="Times New Roman" w:cs="Times New Roman"/>
          <w:sz w:val="26"/>
          <w:szCs w:val="26"/>
        </w:rPr>
      </w:pPr>
    </w:p>
    <w:p w:rsidR="00911580" w:rsidRPr="0072600F" w14:paraId="246468A7" w14:textId="77777777">
      <w:pPr>
        <w:pBdr>
          <w:bottom w:val="single" w:sz="12" w:space="1" w:color="auto"/>
        </w:pBdr>
        <w:rPr>
          <w:rFonts w:ascii="Times New Roman" w:hAnsi="Times New Roman" w:cs="Times New Roman"/>
          <w:sz w:val="26"/>
          <w:szCs w:val="26"/>
        </w:rPr>
      </w:pPr>
      <w:r w:rsidRPr="0072600F">
        <w:rPr>
          <w:rFonts w:ascii="Times New Roman" w:hAnsi="Times New Roman" w:cs="Times New Roman"/>
          <w:sz w:val="26"/>
          <w:szCs w:val="26"/>
        </w:rPr>
        <w:t>Number of generators to be interconnected pursuant to this Interconnection Request:</w:t>
      </w:r>
    </w:p>
    <w:p w:rsidR="00911580" w:rsidRPr="0072600F" w14:paraId="3B0F8956" w14:textId="77777777">
      <w:pPr>
        <w:rPr>
          <w:rFonts w:ascii="Times New Roman" w:hAnsi="Times New Roman" w:cs="Times New Roman"/>
          <w:sz w:val="26"/>
          <w:szCs w:val="26"/>
        </w:rPr>
      </w:pPr>
      <w:r w:rsidRPr="0072600F">
        <w:rPr>
          <w:rFonts w:ascii="Times New Roman" w:hAnsi="Times New Roman" w:cs="Times New Roman"/>
          <w:sz w:val="26"/>
          <w:szCs w:val="26"/>
        </w:rPr>
        <w:t>_____________</w:t>
      </w:r>
    </w:p>
    <w:p w:rsidR="00911580" w:rsidRPr="0072600F" w14:paraId="5E148AB2" w14:textId="77777777">
      <w:pPr>
        <w:rPr>
          <w:rFonts w:ascii="Times New Roman" w:hAnsi="Times New Roman" w:cs="Times New Roman"/>
          <w:sz w:val="26"/>
          <w:szCs w:val="26"/>
        </w:rPr>
      </w:pPr>
    </w:p>
    <w:p w:rsidR="00911580" w:rsidRPr="0072600F" w14:paraId="5519C26D" w14:textId="77777777">
      <w:pPr>
        <w:tabs>
          <w:tab w:val="left" w:pos="720"/>
          <w:tab w:val="left" w:pos="1440"/>
          <w:tab w:val="left" w:pos="2160"/>
          <w:tab w:val="left" w:pos="2880"/>
          <w:tab w:val="left" w:pos="3600"/>
          <w:tab w:val="left" w:pos="4320"/>
          <w:tab w:val="left" w:pos="5040"/>
          <w:tab w:val="left" w:pos="5760"/>
          <w:tab w:val="left" w:pos="6480"/>
        </w:tabs>
        <w:ind w:left="6480" w:hanging="6480"/>
        <w:rPr>
          <w:rFonts w:ascii="Times New Roman" w:hAnsi="Times New Roman" w:cs="Times New Roman"/>
          <w:sz w:val="26"/>
          <w:szCs w:val="26"/>
        </w:rPr>
      </w:pPr>
      <w:r w:rsidRPr="0072600F">
        <w:rPr>
          <w:rFonts w:ascii="Times New Roman" w:hAnsi="Times New Roman" w:cs="Times New Roman"/>
          <w:sz w:val="26"/>
          <w:szCs w:val="26"/>
        </w:rPr>
        <w:t xml:space="preserve">Elevation: _____________   </w:t>
      </w:r>
      <w:r w:rsidRPr="0072600F">
        <w:rPr>
          <w:rFonts w:ascii="Times New Roman" w:hAnsi="Times New Roman" w:cs="Times New Roman"/>
          <w:sz w:val="26"/>
          <w:szCs w:val="26"/>
        </w:rPr>
        <w:tab/>
        <w:t xml:space="preserve"> _____ Single Phase</w:t>
      </w:r>
      <w:r w:rsidRPr="0072600F">
        <w:rPr>
          <w:rFonts w:ascii="Times New Roman" w:hAnsi="Times New Roman" w:cs="Times New Roman"/>
          <w:sz w:val="26"/>
          <w:szCs w:val="26"/>
        </w:rPr>
        <w:tab/>
        <w:t xml:space="preserve"> _____ Three Phase</w:t>
      </w:r>
    </w:p>
    <w:p w:rsidR="00911580" w:rsidRPr="0072600F" w14:paraId="5844C1CA" w14:textId="77777777">
      <w:pPr>
        <w:rPr>
          <w:rFonts w:ascii="Times New Roman" w:hAnsi="Times New Roman" w:cs="Times New Roman"/>
          <w:sz w:val="26"/>
          <w:szCs w:val="26"/>
        </w:rPr>
      </w:pPr>
    </w:p>
    <w:p w:rsidR="00911580" w:rsidRPr="0072600F" w14:paraId="60CB3554" w14:textId="77777777">
      <w:pPr>
        <w:pBdr>
          <w:bottom w:val="single" w:sz="12" w:space="1" w:color="auto"/>
        </w:pBdr>
        <w:rPr>
          <w:rFonts w:ascii="Times New Roman" w:hAnsi="Times New Roman" w:cs="Times New Roman"/>
          <w:sz w:val="26"/>
          <w:szCs w:val="26"/>
        </w:rPr>
      </w:pPr>
      <w:r w:rsidRPr="0072600F">
        <w:rPr>
          <w:rFonts w:ascii="Times New Roman" w:hAnsi="Times New Roman" w:cs="Times New Roman"/>
          <w:sz w:val="26"/>
          <w:szCs w:val="26"/>
        </w:rPr>
        <w:t>Inverter manufacturer, model name, number, and version:</w:t>
      </w:r>
    </w:p>
    <w:p w:rsidR="00911580" w:rsidRPr="0072600F" w14:paraId="6EC9B446" w14:textId="77777777">
      <w:pPr>
        <w:rPr>
          <w:rFonts w:ascii="Times New Roman" w:hAnsi="Times New Roman" w:cs="Times New Roman"/>
          <w:sz w:val="26"/>
          <w:szCs w:val="26"/>
        </w:rPr>
      </w:pPr>
      <w:r w:rsidRPr="0072600F">
        <w:rPr>
          <w:rFonts w:ascii="Times New Roman" w:hAnsi="Times New Roman" w:cs="Times New Roman"/>
          <w:sz w:val="26"/>
          <w:szCs w:val="26"/>
        </w:rPr>
        <w:t>_________________________________________________________________</w:t>
      </w:r>
    </w:p>
    <w:p w:rsidR="00911580" w:rsidRPr="0072600F" w14:paraId="4B15DCB0" w14:textId="77777777">
      <w:pPr>
        <w:rPr>
          <w:rFonts w:ascii="Times New Roman" w:hAnsi="Times New Roman" w:cs="Times New Roman"/>
          <w:sz w:val="26"/>
          <w:szCs w:val="26"/>
        </w:rPr>
      </w:pPr>
    </w:p>
    <w:p w:rsidR="00911580" w:rsidRPr="0072600F" w14:paraId="20C01E23" w14:textId="77777777">
      <w:pPr>
        <w:pBdr>
          <w:bottom w:val="single" w:sz="12" w:space="1" w:color="auto"/>
        </w:pBdr>
        <w:rPr>
          <w:rFonts w:ascii="Times New Roman" w:hAnsi="Times New Roman" w:cs="Times New Roman"/>
          <w:sz w:val="26"/>
          <w:szCs w:val="26"/>
        </w:rPr>
      </w:pPr>
      <w:r w:rsidRPr="0072600F">
        <w:rPr>
          <w:rFonts w:ascii="Times New Roman" w:hAnsi="Times New Roman" w:cs="Times New Roman"/>
          <w:sz w:val="26"/>
          <w:szCs w:val="26"/>
        </w:rPr>
        <w:t>List of adjustable setpoints for the protective equipment or software:</w:t>
      </w:r>
    </w:p>
    <w:p w:rsidR="00911580" w:rsidRPr="0072600F" w14:paraId="0550E229" w14:textId="77777777">
      <w:pPr>
        <w:rPr>
          <w:rFonts w:ascii="Times New Roman" w:hAnsi="Times New Roman" w:cs="Times New Roman"/>
          <w:sz w:val="26"/>
          <w:szCs w:val="26"/>
        </w:rPr>
      </w:pPr>
      <w:r w:rsidRPr="0072600F">
        <w:rPr>
          <w:rFonts w:ascii="Times New Roman" w:hAnsi="Times New Roman" w:cs="Times New Roman"/>
          <w:sz w:val="26"/>
          <w:szCs w:val="26"/>
        </w:rPr>
        <w:t>_________________________________________________________________</w:t>
      </w:r>
    </w:p>
    <w:p w:rsidR="00911580" w:rsidRPr="0072600F" w14:paraId="0B00F047" w14:textId="77777777">
      <w:pPr>
        <w:rPr>
          <w:rFonts w:ascii="Times New Roman" w:hAnsi="Times New Roman" w:cs="Times New Roman"/>
          <w:sz w:val="26"/>
          <w:szCs w:val="26"/>
        </w:rPr>
      </w:pPr>
    </w:p>
    <w:p w:rsidR="00911580" w:rsidRPr="0072600F" w14:paraId="3E0E7BCE" w14:textId="77777777">
      <w:pPr>
        <w:rPr>
          <w:rFonts w:ascii="Times New Roman" w:hAnsi="Times New Roman" w:cs="Times New Roman"/>
          <w:sz w:val="26"/>
          <w:szCs w:val="26"/>
        </w:rPr>
      </w:pPr>
      <w:r w:rsidRPr="0072600F">
        <w:rPr>
          <w:rFonts w:ascii="Times New Roman" w:hAnsi="Times New Roman" w:cs="Times New Roman"/>
          <w:sz w:val="26"/>
          <w:szCs w:val="26"/>
        </w:rPr>
        <w:t>Note: A completed General Electric Company Power Systems Load Flow (PSLF) data sheet or other compatible formats, such as IEEE and PTI power flow models, must be supplied with the Interconnection Request.  If other data sheets are more appropriate to the proposed device, then they shall be provided and discussed at Scoping Meeting.</w:t>
      </w:r>
    </w:p>
    <w:p w:rsidR="00911580" w:rsidRPr="0072600F" w14:paraId="4CB06786" w14:textId="77777777">
      <w:pPr>
        <w:jc w:val="center"/>
        <w:rPr>
          <w:rFonts w:ascii="Times New Roman" w:hAnsi="Times New Roman" w:cs="Times New Roman"/>
          <w:sz w:val="26"/>
          <w:szCs w:val="26"/>
        </w:rPr>
      </w:pPr>
      <w:r w:rsidRPr="0072600F">
        <w:rPr>
          <w:rFonts w:ascii="Times New Roman" w:hAnsi="Times New Roman" w:cs="Times New Roman"/>
          <w:sz w:val="26"/>
          <w:szCs w:val="26"/>
        </w:rPr>
        <w:br w:type="page"/>
      </w:r>
      <w:r w:rsidRPr="0072600F">
        <w:rPr>
          <w:rFonts w:ascii="Times New Roman" w:hAnsi="Times New Roman" w:cs="Times New Roman"/>
          <w:b/>
          <w:bCs/>
          <w:sz w:val="26"/>
          <w:szCs w:val="26"/>
        </w:rPr>
        <w:t>INDUCTION GENERATORS</w:t>
      </w:r>
    </w:p>
    <w:p w:rsidR="00911580" w:rsidRPr="0072600F" w14:paraId="268069C8" w14:textId="77777777">
      <w:pPr>
        <w:rPr>
          <w:rFonts w:ascii="Times New Roman" w:hAnsi="Times New Roman" w:cs="Times New Roman"/>
          <w:sz w:val="26"/>
          <w:szCs w:val="26"/>
        </w:rPr>
      </w:pPr>
    </w:p>
    <w:p w:rsidR="00911580" w:rsidRPr="0072600F" w14:paraId="2766D8ED" w14:textId="77777777">
      <w:pPr>
        <w:rPr>
          <w:rFonts w:ascii="Times New Roman" w:hAnsi="Times New Roman" w:cs="Times New Roman"/>
          <w:sz w:val="26"/>
          <w:szCs w:val="26"/>
        </w:rPr>
      </w:pPr>
      <w:r w:rsidRPr="0072600F">
        <w:rPr>
          <w:rFonts w:ascii="Times New Roman" w:hAnsi="Times New Roman" w:cs="Times New Roman"/>
          <w:sz w:val="26"/>
          <w:szCs w:val="26"/>
        </w:rPr>
        <w:t>(*) Field Volts: _________________</w:t>
      </w:r>
    </w:p>
    <w:p w:rsidR="00911580" w:rsidRPr="0072600F" w14:paraId="2F9CC993" w14:textId="77777777">
      <w:pPr>
        <w:rPr>
          <w:rFonts w:ascii="Times New Roman" w:hAnsi="Times New Roman" w:cs="Times New Roman"/>
          <w:sz w:val="26"/>
          <w:szCs w:val="26"/>
        </w:rPr>
      </w:pPr>
      <w:r w:rsidRPr="0072600F">
        <w:rPr>
          <w:rFonts w:ascii="Times New Roman" w:hAnsi="Times New Roman" w:cs="Times New Roman"/>
          <w:sz w:val="26"/>
          <w:szCs w:val="26"/>
        </w:rPr>
        <w:t>(*) Field Amperes: ______________</w:t>
      </w:r>
    </w:p>
    <w:p w:rsidR="00911580" w:rsidRPr="0072600F" w14:paraId="2CEDDF33" w14:textId="77777777">
      <w:pPr>
        <w:rPr>
          <w:rFonts w:ascii="Times New Roman" w:hAnsi="Times New Roman" w:cs="Times New Roman"/>
          <w:sz w:val="26"/>
          <w:szCs w:val="26"/>
        </w:rPr>
      </w:pPr>
      <w:r w:rsidRPr="0072600F">
        <w:rPr>
          <w:rFonts w:ascii="Times New Roman" w:hAnsi="Times New Roman" w:cs="Times New Roman"/>
          <w:sz w:val="26"/>
          <w:szCs w:val="26"/>
        </w:rPr>
        <w:t>(*) Motoring Power (kW): ________</w:t>
      </w:r>
    </w:p>
    <w:p w:rsidR="00911580" w:rsidRPr="0072600F" w14:paraId="3C98765A" w14:textId="77777777">
      <w:pPr>
        <w:rPr>
          <w:rFonts w:ascii="Times New Roman" w:hAnsi="Times New Roman" w:cs="Times New Roman"/>
          <w:sz w:val="26"/>
          <w:szCs w:val="26"/>
        </w:rPr>
      </w:pPr>
      <w:r w:rsidRPr="0072600F">
        <w:rPr>
          <w:rFonts w:ascii="Times New Roman" w:hAnsi="Times New Roman" w:cs="Times New Roman"/>
          <w:sz w:val="26"/>
          <w:szCs w:val="26"/>
        </w:rPr>
        <w:t>(*) Neutral Grounding Resistor (If Applicable): ____________</w:t>
      </w:r>
    </w:p>
    <w:p w:rsidR="00911580" w:rsidRPr="0072600F" w14:paraId="400137D5" w14:textId="77777777">
      <w:pPr>
        <w:rPr>
          <w:rFonts w:ascii="Times New Roman" w:hAnsi="Times New Roman" w:cs="Times New Roman"/>
          <w:sz w:val="26"/>
          <w:szCs w:val="26"/>
        </w:rPr>
      </w:pPr>
      <w:r w:rsidRPr="0072600F">
        <w:rPr>
          <w:rFonts w:ascii="Times New Roman" w:hAnsi="Times New Roman" w:cs="Times New Roman"/>
          <w:sz w:val="26"/>
          <w:szCs w:val="26"/>
        </w:rPr>
        <w:t>(*) I</w:t>
      </w:r>
      <w:r w:rsidRPr="0072600F">
        <w:rPr>
          <w:rFonts w:ascii="Times New Roman" w:hAnsi="Times New Roman" w:cs="Times New Roman"/>
          <w:sz w:val="26"/>
          <w:szCs w:val="26"/>
          <w:vertAlign w:val="subscript"/>
        </w:rPr>
        <w:t>2</w:t>
      </w:r>
      <w:r w:rsidRPr="0072600F">
        <w:rPr>
          <w:rFonts w:ascii="Times New Roman" w:hAnsi="Times New Roman" w:cs="Times New Roman"/>
          <w:sz w:val="26"/>
          <w:szCs w:val="26"/>
          <w:vertAlign w:val="superscript"/>
        </w:rPr>
        <w:t>2</w:t>
      </w:r>
      <w:r w:rsidRPr="0072600F">
        <w:rPr>
          <w:rFonts w:ascii="Times New Roman" w:hAnsi="Times New Roman" w:cs="Times New Roman"/>
          <w:sz w:val="26"/>
          <w:szCs w:val="26"/>
        </w:rPr>
        <w:t>t or K (Heating Time Constant): ____________</w:t>
      </w:r>
    </w:p>
    <w:p w:rsidR="00911580" w:rsidRPr="0072600F" w14:paraId="09C7B7C1" w14:textId="77777777">
      <w:pPr>
        <w:rPr>
          <w:rFonts w:ascii="Times New Roman" w:hAnsi="Times New Roman" w:cs="Times New Roman"/>
          <w:sz w:val="26"/>
          <w:szCs w:val="26"/>
        </w:rPr>
      </w:pPr>
      <w:r w:rsidRPr="0072600F">
        <w:rPr>
          <w:rFonts w:ascii="Times New Roman" w:hAnsi="Times New Roman" w:cs="Times New Roman"/>
          <w:sz w:val="26"/>
          <w:szCs w:val="26"/>
        </w:rPr>
        <w:t>(*) Rotor Resistance: ____________</w:t>
      </w:r>
    </w:p>
    <w:p w:rsidR="00911580" w:rsidRPr="0072600F" w14:paraId="4DE124A1" w14:textId="77777777">
      <w:pPr>
        <w:rPr>
          <w:rFonts w:ascii="Times New Roman" w:hAnsi="Times New Roman" w:cs="Times New Roman"/>
          <w:sz w:val="26"/>
          <w:szCs w:val="26"/>
        </w:rPr>
      </w:pPr>
      <w:r w:rsidRPr="0072600F">
        <w:rPr>
          <w:rFonts w:ascii="Times New Roman" w:hAnsi="Times New Roman" w:cs="Times New Roman"/>
          <w:sz w:val="26"/>
          <w:szCs w:val="26"/>
        </w:rPr>
        <w:t>(*) Stator Resistance: ____________</w:t>
      </w:r>
    </w:p>
    <w:p w:rsidR="00911580" w:rsidRPr="0072600F" w14:paraId="51471332" w14:textId="77777777">
      <w:pPr>
        <w:rPr>
          <w:rFonts w:ascii="Times New Roman" w:hAnsi="Times New Roman" w:cs="Times New Roman"/>
          <w:sz w:val="26"/>
          <w:szCs w:val="26"/>
        </w:rPr>
      </w:pPr>
      <w:r w:rsidRPr="0072600F">
        <w:rPr>
          <w:rFonts w:ascii="Times New Roman" w:hAnsi="Times New Roman" w:cs="Times New Roman"/>
          <w:sz w:val="26"/>
          <w:szCs w:val="26"/>
        </w:rPr>
        <w:t>(*) Stator Reactance: _____________</w:t>
      </w:r>
    </w:p>
    <w:p w:rsidR="00911580" w:rsidRPr="0072600F" w14:paraId="2EB855C8" w14:textId="77777777">
      <w:pPr>
        <w:rPr>
          <w:rFonts w:ascii="Times New Roman" w:hAnsi="Times New Roman" w:cs="Times New Roman"/>
          <w:sz w:val="26"/>
          <w:szCs w:val="26"/>
        </w:rPr>
      </w:pPr>
      <w:r w:rsidRPr="0072600F">
        <w:rPr>
          <w:rFonts w:ascii="Times New Roman" w:hAnsi="Times New Roman" w:cs="Times New Roman"/>
          <w:sz w:val="26"/>
          <w:szCs w:val="26"/>
        </w:rPr>
        <w:t>(*) Rotor Reactance: _____________</w:t>
      </w:r>
    </w:p>
    <w:p w:rsidR="00911580" w:rsidRPr="0072600F" w14:paraId="70BFB3B8" w14:textId="77777777">
      <w:pPr>
        <w:rPr>
          <w:rFonts w:ascii="Times New Roman" w:hAnsi="Times New Roman" w:cs="Times New Roman"/>
          <w:sz w:val="26"/>
          <w:szCs w:val="26"/>
        </w:rPr>
      </w:pPr>
      <w:r w:rsidRPr="0072600F">
        <w:rPr>
          <w:rFonts w:ascii="Times New Roman" w:hAnsi="Times New Roman" w:cs="Times New Roman"/>
          <w:sz w:val="26"/>
          <w:szCs w:val="26"/>
        </w:rPr>
        <w:t>(*) Magnetizing Reactance: ___________</w:t>
      </w:r>
    </w:p>
    <w:p w:rsidR="00911580" w:rsidRPr="0072600F" w14:paraId="055E806D" w14:textId="77777777">
      <w:pPr>
        <w:rPr>
          <w:rFonts w:ascii="Times New Roman" w:hAnsi="Times New Roman" w:cs="Times New Roman"/>
          <w:sz w:val="26"/>
          <w:szCs w:val="26"/>
        </w:rPr>
      </w:pPr>
      <w:r w:rsidRPr="0072600F">
        <w:rPr>
          <w:rFonts w:ascii="Times New Roman" w:hAnsi="Times New Roman" w:cs="Times New Roman"/>
          <w:sz w:val="26"/>
          <w:szCs w:val="26"/>
        </w:rPr>
        <w:t>(*) Short Circuit Reactance: ___________</w:t>
      </w:r>
    </w:p>
    <w:p w:rsidR="00911580" w:rsidRPr="0072600F" w14:paraId="15717C57" w14:textId="77777777">
      <w:pPr>
        <w:rPr>
          <w:rFonts w:ascii="Times New Roman" w:hAnsi="Times New Roman" w:cs="Times New Roman"/>
          <w:sz w:val="26"/>
          <w:szCs w:val="26"/>
        </w:rPr>
      </w:pPr>
      <w:r w:rsidRPr="0072600F">
        <w:rPr>
          <w:rFonts w:ascii="Times New Roman" w:hAnsi="Times New Roman" w:cs="Times New Roman"/>
          <w:sz w:val="26"/>
          <w:szCs w:val="26"/>
        </w:rPr>
        <w:t>(*) Exciting Current: ________________</w:t>
      </w:r>
    </w:p>
    <w:p w:rsidR="00911580" w:rsidRPr="0072600F" w14:paraId="3DBBC58F" w14:textId="77777777">
      <w:pPr>
        <w:rPr>
          <w:rFonts w:ascii="Times New Roman" w:hAnsi="Times New Roman" w:cs="Times New Roman"/>
          <w:sz w:val="26"/>
          <w:szCs w:val="26"/>
        </w:rPr>
      </w:pPr>
      <w:r w:rsidRPr="0072600F">
        <w:rPr>
          <w:rFonts w:ascii="Times New Roman" w:hAnsi="Times New Roman" w:cs="Times New Roman"/>
          <w:sz w:val="26"/>
          <w:szCs w:val="26"/>
        </w:rPr>
        <w:t>(*) Temperature Rise: ________________</w:t>
      </w:r>
    </w:p>
    <w:p w:rsidR="00911580" w:rsidRPr="0072600F" w14:paraId="6796E261" w14:textId="77777777">
      <w:pPr>
        <w:rPr>
          <w:rFonts w:ascii="Times New Roman" w:hAnsi="Times New Roman" w:cs="Times New Roman"/>
          <w:sz w:val="26"/>
          <w:szCs w:val="26"/>
        </w:rPr>
      </w:pPr>
      <w:r w:rsidRPr="0072600F">
        <w:rPr>
          <w:rFonts w:ascii="Times New Roman" w:hAnsi="Times New Roman" w:cs="Times New Roman"/>
          <w:sz w:val="26"/>
          <w:szCs w:val="26"/>
        </w:rPr>
        <w:t>(*) Frame Size: _______________</w:t>
      </w:r>
    </w:p>
    <w:p w:rsidR="00911580" w:rsidRPr="0072600F" w14:paraId="22777E81" w14:textId="77777777">
      <w:pPr>
        <w:rPr>
          <w:rFonts w:ascii="Times New Roman" w:hAnsi="Times New Roman" w:cs="Times New Roman"/>
          <w:sz w:val="26"/>
          <w:szCs w:val="26"/>
        </w:rPr>
      </w:pPr>
      <w:r w:rsidRPr="0072600F">
        <w:rPr>
          <w:rFonts w:ascii="Times New Roman" w:hAnsi="Times New Roman" w:cs="Times New Roman"/>
          <w:sz w:val="26"/>
          <w:szCs w:val="26"/>
        </w:rPr>
        <w:t>(*) Design Letter: _____________</w:t>
      </w:r>
    </w:p>
    <w:p w:rsidR="00911580" w:rsidRPr="0072600F" w14:paraId="5D3CD77B" w14:textId="77777777">
      <w:pPr>
        <w:rPr>
          <w:rFonts w:ascii="Times New Roman" w:hAnsi="Times New Roman" w:cs="Times New Roman"/>
          <w:sz w:val="26"/>
          <w:szCs w:val="26"/>
        </w:rPr>
      </w:pPr>
      <w:r w:rsidRPr="0072600F">
        <w:rPr>
          <w:rFonts w:ascii="Times New Roman" w:hAnsi="Times New Roman" w:cs="Times New Roman"/>
          <w:sz w:val="26"/>
          <w:szCs w:val="26"/>
        </w:rPr>
        <w:t>(*) Reactive Power Required In Vars (No Load): ________</w:t>
      </w:r>
    </w:p>
    <w:p w:rsidR="00911580" w:rsidRPr="0072600F" w14:paraId="02236181" w14:textId="77777777">
      <w:pPr>
        <w:rPr>
          <w:rFonts w:ascii="Times New Roman" w:hAnsi="Times New Roman" w:cs="Times New Roman"/>
          <w:sz w:val="26"/>
          <w:szCs w:val="26"/>
        </w:rPr>
      </w:pPr>
      <w:r w:rsidRPr="0072600F">
        <w:rPr>
          <w:rFonts w:ascii="Times New Roman" w:hAnsi="Times New Roman" w:cs="Times New Roman"/>
          <w:sz w:val="26"/>
          <w:szCs w:val="26"/>
        </w:rPr>
        <w:t>(*) Reactive Power Required In Vars (Full Load): ________</w:t>
      </w:r>
    </w:p>
    <w:p w:rsidR="00911580" w:rsidRPr="0072600F" w14:paraId="226040D8" w14:textId="77777777">
      <w:pPr>
        <w:rPr>
          <w:rFonts w:ascii="Times New Roman" w:hAnsi="Times New Roman" w:cs="Times New Roman"/>
          <w:sz w:val="26"/>
          <w:szCs w:val="26"/>
        </w:rPr>
      </w:pPr>
      <w:r w:rsidRPr="0072600F">
        <w:rPr>
          <w:rFonts w:ascii="Times New Roman" w:hAnsi="Times New Roman" w:cs="Times New Roman"/>
          <w:sz w:val="26"/>
          <w:szCs w:val="26"/>
        </w:rPr>
        <w:t>(*) Total Rotating Inertia, H: ________Per Unit on KVA Base</w:t>
      </w:r>
    </w:p>
    <w:p w:rsidR="00911580" w:rsidRPr="0072600F" w14:paraId="61A4740A" w14:textId="77777777">
      <w:pPr>
        <w:rPr>
          <w:rFonts w:ascii="Times New Roman" w:hAnsi="Times New Roman" w:cs="Times New Roman"/>
          <w:sz w:val="26"/>
          <w:szCs w:val="26"/>
        </w:rPr>
      </w:pPr>
    </w:p>
    <w:p w:rsidR="00911580" w:rsidRPr="0072600F" w14:paraId="7D047EBE" w14:textId="77777777">
      <w:pPr>
        <w:rPr>
          <w:rFonts w:ascii="Times New Roman" w:hAnsi="Times New Roman" w:cs="Times New Roman"/>
          <w:sz w:val="26"/>
          <w:szCs w:val="26"/>
        </w:rPr>
      </w:pPr>
      <w:r w:rsidRPr="0072600F">
        <w:rPr>
          <w:rFonts w:ascii="Times New Roman" w:hAnsi="Times New Roman" w:cs="Times New Roman"/>
          <w:sz w:val="26"/>
          <w:szCs w:val="26"/>
        </w:rPr>
        <w:t>Note: Please consult Transmission Provider prior to submitting the Interconnection Request to determine if the information designated by (*) is required.</w:t>
      </w:r>
    </w:p>
    <w:p w:rsidR="00911580" w:rsidRPr="0072600F" w14:paraId="307F3A6E" w14:textId="77777777">
      <w:pPr>
        <w:rPr>
          <w:rFonts w:ascii="Times New Roman" w:hAnsi="Times New Roman" w:cs="Times New Roman"/>
          <w:sz w:val="26"/>
          <w:szCs w:val="26"/>
        </w:rPr>
      </w:pPr>
    </w:p>
    <w:p w:rsidR="0095559C" w:rsidRPr="0072600F" w14:paraId="1BF16E19" w14:textId="77777777">
      <w:pPr>
        <w:rPr>
          <w:rFonts w:ascii="Times New Roman" w:hAnsi="Times New Roman" w:cs="Times New Roman"/>
          <w:sz w:val="26"/>
          <w:szCs w:val="26"/>
        </w:rPr>
      </w:pPr>
    </w:p>
    <w:p w:rsidR="0095559C" w:rsidRPr="0072600F" w14:paraId="18196A49" w14:textId="77777777">
      <w:pPr>
        <w:rPr>
          <w:rFonts w:ascii="Times New Roman" w:hAnsi="Times New Roman" w:cs="Times New Roman"/>
          <w:sz w:val="26"/>
          <w:szCs w:val="26"/>
        </w:rPr>
      </w:pPr>
    </w:p>
    <w:p w:rsidR="0095559C" w:rsidRPr="0072600F" w14:paraId="220F24A6" w14:textId="77777777">
      <w:pPr>
        <w:rPr>
          <w:rFonts w:ascii="Times New Roman" w:hAnsi="Times New Roman" w:cs="Times New Roman"/>
          <w:sz w:val="26"/>
          <w:szCs w:val="26"/>
        </w:rPr>
      </w:pPr>
    </w:p>
    <w:p w:rsidR="00911580" w:rsidRPr="0072600F" w14:paraId="39FDBBA3" w14:textId="77777777">
      <w:pPr>
        <w:rPr>
          <w:rFonts w:ascii="Times New Roman" w:hAnsi="Times New Roman" w:cs="Times New Roman"/>
          <w:sz w:val="26"/>
          <w:szCs w:val="26"/>
        </w:rPr>
      </w:pPr>
    </w:p>
    <w:p w:rsidR="00911580" w:rsidRPr="0072600F" w14:paraId="5614330E" w14:textId="77777777">
      <w:pPr>
        <w:jc w:val="center"/>
        <w:rPr>
          <w:rFonts w:ascii="Times New Roman" w:hAnsi="Times New Roman" w:cs="Times New Roman"/>
          <w:b/>
          <w:iCs/>
          <w:sz w:val="26"/>
          <w:szCs w:val="26"/>
        </w:rPr>
      </w:pPr>
      <w:r w:rsidRPr="0072600F">
        <w:rPr>
          <w:rFonts w:ascii="Times New Roman" w:hAnsi="Times New Roman" w:cs="Times New Roman"/>
          <w:b/>
          <w:iCs/>
          <w:sz w:val="26"/>
          <w:szCs w:val="26"/>
        </w:rPr>
        <w:t>MODELS FOR NON-SYNCHRONOUS GENERATORS</w:t>
      </w:r>
    </w:p>
    <w:p w:rsidR="00911580" w:rsidRPr="0072600F" w14:paraId="5FF78DEE" w14:textId="77777777">
      <w:pPr>
        <w:rPr>
          <w:rFonts w:ascii="Times New Roman" w:hAnsi="Times New Roman" w:cs="Times New Roman"/>
          <w:iCs/>
          <w:sz w:val="26"/>
          <w:szCs w:val="26"/>
        </w:rPr>
      </w:pPr>
    </w:p>
    <w:p w:rsidR="00911580" w:rsidRPr="0072600F" w14:paraId="370CC83E" w14:textId="77777777">
      <w:pPr>
        <w:rPr>
          <w:rFonts w:ascii="Times New Roman" w:hAnsi="Times New Roman" w:cs="Times New Roman"/>
          <w:iCs/>
          <w:sz w:val="26"/>
          <w:szCs w:val="26"/>
        </w:rPr>
      </w:pPr>
      <w:r w:rsidRPr="0072600F">
        <w:rPr>
          <w:rFonts w:ascii="Times New Roman" w:hAnsi="Times New Roman" w:cs="Times New Roman"/>
          <w:iCs/>
          <w:sz w:val="26"/>
          <w:szCs w:val="26"/>
        </w:rPr>
        <w:t>For a non-synchronous Large Generating Facility, Interconnection Customer shall provide (1) a validated user-defined root mean squared (RMS) positive sequence dynamics model; (2) an appropriately parameterized generic library RMS positive sequence dynamics model, including model block diagram of the inverter control and plant control systems, as defined by the selection in Table 1 or a model otherwise approved by the Western Electricity Coordinating Council, that corresponds to Interconnection Customer’s Large Generating Facility; and (3) if applicable, a validated electromagnetic transient model if Transmission Provider performs an electromagnetic transient study as part of the interconnection study process.  A user-defined model is a set of programming code created by equipment manufacturers or developers that captures the latest features of controllers that are mainly software based and represents the entities’ control strategies but does not necessarily correspond to any generic library model.  Interconnection Customer must also demonstrate that the model is validated by providing evidence that the equipment behavior is consistent with the model behavior (e.g., an attestation from Interconnection Customer that the model accurately represents the entire Large Generating Facility; attestations from each equipment manufacturer that the user defined model accurately represents the component of the Large Generating Facility; or test data).</w:t>
      </w:r>
    </w:p>
    <w:p w:rsidR="00911580" w:rsidRPr="0072600F" w14:paraId="006AB1C4" w14:textId="77777777">
      <w:pPr>
        <w:rPr>
          <w:rFonts w:ascii="Times New Roman" w:hAnsi="Times New Roman" w:cs="Times New Roman"/>
          <w:iCs/>
          <w:sz w:val="26"/>
          <w:szCs w:val="26"/>
        </w:rPr>
      </w:pPr>
    </w:p>
    <w:p w:rsidR="00911580" w:rsidRPr="0072600F" w14:paraId="18326B5F"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Table 1:  Acceptable Generic Library RMS Positive Sequence Dynamics Models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805"/>
        <w:gridCol w:w="1849"/>
        <w:gridCol w:w="4927"/>
      </w:tblGrid>
      <w:tr w14:paraId="083C7992" w14:textId="77777777">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1229" w:type="dxa"/>
            <w:shd w:val="clear" w:color="auto" w:fill="auto"/>
            <w:vAlign w:val="center"/>
          </w:tcPr>
          <w:p w:rsidR="00911580" w:rsidRPr="0072600F" w14:paraId="614DD3B5"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GE PSLF</w:t>
            </w:r>
          </w:p>
        </w:tc>
        <w:tc>
          <w:tcPr>
            <w:tcW w:w="1683" w:type="dxa"/>
            <w:shd w:val="clear" w:color="auto" w:fill="auto"/>
            <w:vAlign w:val="center"/>
          </w:tcPr>
          <w:p w:rsidR="00911580" w:rsidRPr="0072600F" w14:paraId="01BFB4F1"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Siemens PSS/E*</w:t>
            </w:r>
          </w:p>
        </w:tc>
        <w:tc>
          <w:tcPr>
            <w:tcW w:w="1723" w:type="dxa"/>
            <w:shd w:val="clear" w:color="auto" w:fill="auto"/>
            <w:vAlign w:val="center"/>
          </w:tcPr>
          <w:p w:rsidR="00911580" w:rsidRPr="0072600F" w14:paraId="328D25D1"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PowerWorld</w:t>
            </w:r>
            <w:r w:rsidRPr="0072600F">
              <w:rPr>
                <w:rFonts w:ascii="Times New Roman" w:hAnsi="Times New Roman" w:cs="Times New Roman"/>
                <w:b/>
                <w:sz w:val="26"/>
                <w:szCs w:val="26"/>
              </w:rPr>
              <w:t xml:space="preserve"> Simulator</w:t>
            </w:r>
          </w:p>
        </w:tc>
        <w:tc>
          <w:tcPr>
            <w:tcW w:w="5260" w:type="dxa"/>
            <w:shd w:val="clear" w:color="auto" w:fill="auto"/>
            <w:vAlign w:val="center"/>
          </w:tcPr>
          <w:p w:rsidR="00911580" w:rsidRPr="0072600F" w14:paraId="6BF09978"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Description</w:t>
            </w:r>
          </w:p>
        </w:tc>
      </w:tr>
      <w:tr w14:paraId="093A841C" w14:textId="77777777">
        <w:tblPrEx>
          <w:tblW w:w="9895" w:type="dxa"/>
          <w:tblLook w:val="04A0"/>
        </w:tblPrEx>
        <w:trPr>
          <w:cantSplit/>
        </w:trPr>
        <w:tc>
          <w:tcPr>
            <w:tcW w:w="1229" w:type="dxa"/>
            <w:shd w:val="clear" w:color="auto" w:fill="auto"/>
            <w:vAlign w:val="center"/>
          </w:tcPr>
          <w:p w:rsidR="00911580" w:rsidRPr="0072600F" w14:paraId="13109BF3" w14:textId="77777777">
            <w:pPr>
              <w:jc w:val="center"/>
              <w:rPr>
                <w:rFonts w:ascii="Times New Roman" w:hAnsi="Times New Roman" w:cs="Times New Roman"/>
                <w:sz w:val="26"/>
                <w:szCs w:val="26"/>
              </w:rPr>
            </w:pPr>
            <w:r w:rsidRPr="0072600F">
              <w:rPr>
                <w:rFonts w:ascii="Times New Roman" w:hAnsi="Times New Roman" w:cs="Times New Roman"/>
                <w:sz w:val="26"/>
                <w:szCs w:val="26"/>
              </w:rPr>
              <w:t>pvd1</w:t>
            </w:r>
          </w:p>
        </w:tc>
        <w:tc>
          <w:tcPr>
            <w:tcW w:w="1683" w:type="dxa"/>
            <w:shd w:val="clear" w:color="auto" w:fill="auto"/>
            <w:vAlign w:val="center"/>
          </w:tcPr>
          <w:p w:rsidR="00911580" w:rsidRPr="0072600F" w14:paraId="7F3B7ECF" w14:textId="77777777">
            <w:pPr>
              <w:jc w:val="center"/>
              <w:rPr>
                <w:rFonts w:ascii="Times New Roman" w:hAnsi="Times New Roman" w:cs="Times New Roman"/>
                <w:sz w:val="26"/>
                <w:szCs w:val="26"/>
              </w:rPr>
            </w:pPr>
          </w:p>
        </w:tc>
        <w:tc>
          <w:tcPr>
            <w:tcW w:w="1723" w:type="dxa"/>
            <w:shd w:val="clear" w:color="auto" w:fill="auto"/>
            <w:vAlign w:val="center"/>
          </w:tcPr>
          <w:p w:rsidR="00911580" w:rsidRPr="0072600F" w14:paraId="287CBA9F" w14:textId="77777777">
            <w:pPr>
              <w:jc w:val="center"/>
              <w:rPr>
                <w:rFonts w:ascii="Times New Roman" w:hAnsi="Times New Roman" w:cs="Times New Roman"/>
                <w:sz w:val="26"/>
                <w:szCs w:val="26"/>
              </w:rPr>
            </w:pPr>
            <w:r w:rsidRPr="0072600F">
              <w:rPr>
                <w:rFonts w:ascii="Times New Roman" w:hAnsi="Times New Roman" w:cs="Times New Roman"/>
                <w:sz w:val="26"/>
                <w:szCs w:val="26"/>
              </w:rPr>
              <w:t>PVD1</w:t>
            </w:r>
          </w:p>
        </w:tc>
        <w:tc>
          <w:tcPr>
            <w:tcW w:w="5260" w:type="dxa"/>
            <w:shd w:val="clear" w:color="auto" w:fill="auto"/>
            <w:vAlign w:val="center"/>
          </w:tcPr>
          <w:p w:rsidR="00911580" w:rsidRPr="0072600F" w14:paraId="54101D22" w14:textId="77777777">
            <w:pPr>
              <w:jc w:val="center"/>
              <w:rPr>
                <w:rFonts w:ascii="Times New Roman" w:hAnsi="Times New Roman" w:cs="Times New Roman"/>
                <w:sz w:val="26"/>
                <w:szCs w:val="26"/>
              </w:rPr>
            </w:pPr>
            <w:r w:rsidRPr="0072600F">
              <w:rPr>
                <w:rFonts w:ascii="Times New Roman" w:hAnsi="Times New Roman" w:cs="Times New Roman"/>
                <w:sz w:val="26"/>
                <w:szCs w:val="26"/>
              </w:rPr>
              <w:t>Distributed PV system model</w:t>
            </w:r>
          </w:p>
        </w:tc>
      </w:tr>
      <w:tr w14:paraId="2ECF173C" w14:textId="77777777">
        <w:tblPrEx>
          <w:tblW w:w="9895" w:type="dxa"/>
          <w:tblLook w:val="04A0"/>
        </w:tblPrEx>
        <w:trPr>
          <w:cantSplit/>
        </w:trPr>
        <w:tc>
          <w:tcPr>
            <w:tcW w:w="1229" w:type="dxa"/>
            <w:shd w:val="clear" w:color="auto" w:fill="auto"/>
            <w:vAlign w:val="center"/>
          </w:tcPr>
          <w:p w:rsidR="00911580" w:rsidRPr="0072600F" w14:paraId="24EAE916" w14:textId="77777777">
            <w:pPr>
              <w:jc w:val="center"/>
              <w:rPr>
                <w:rFonts w:ascii="Times New Roman" w:hAnsi="Times New Roman" w:cs="Times New Roman"/>
                <w:sz w:val="26"/>
                <w:szCs w:val="26"/>
              </w:rPr>
            </w:pPr>
            <w:r w:rsidRPr="0072600F">
              <w:rPr>
                <w:rFonts w:ascii="Times New Roman" w:hAnsi="Times New Roman" w:cs="Times New Roman"/>
                <w:sz w:val="26"/>
                <w:szCs w:val="26"/>
              </w:rPr>
              <w:t>der_a</w:t>
            </w:r>
          </w:p>
        </w:tc>
        <w:tc>
          <w:tcPr>
            <w:tcW w:w="1683" w:type="dxa"/>
            <w:shd w:val="clear" w:color="auto" w:fill="auto"/>
            <w:vAlign w:val="center"/>
          </w:tcPr>
          <w:p w:rsidR="00911580" w:rsidRPr="0072600F" w14:paraId="62FCAC55" w14:textId="77777777">
            <w:pPr>
              <w:jc w:val="center"/>
              <w:rPr>
                <w:rFonts w:ascii="Times New Roman" w:hAnsi="Times New Roman" w:cs="Times New Roman"/>
                <w:sz w:val="26"/>
                <w:szCs w:val="26"/>
              </w:rPr>
            </w:pPr>
            <w:r w:rsidRPr="0072600F">
              <w:rPr>
                <w:rFonts w:ascii="Times New Roman" w:hAnsi="Times New Roman" w:cs="Times New Roman"/>
                <w:sz w:val="26"/>
                <w:szCs w:val="26"/>
              </w:rPr>
              <w:t>DERAU1</w:t>
            </w:r>
          </w:p>
        </w:tc>
        <w:tc>
          <w:tcPr>
            <w:tcW w:w="1723" w:type="dxa"/>
            <w:shd w:val="clear" w:color="auto" w:fill="auto"/>
            <w:vAlign w:val="center"/>
          </w:tcPr>
          <w:p w:rsidR="00911580" w:rsidRPr="0072600F" w14:paraId="126C33B1" w14:textId="77777777">
            <w:pPr>
              <w:jc w:val="center"/>
              <w:rPr>
                <w:rFonts w:ascii="Times New Roman" w:hAnsi="Times New Roman" w:cs="Times New Roman"/>
                <w:sz w:val="26"/>
                <w:szCs w:val="26"/>
              </w:rPr>
            </w:pPr>
            <w:r w:rsidRPr="0072600F">
              <w:rPr>
                <w:rFonts w:ascii="Times New Roman" w:hAnsi="Times New Roman" w:cs="Times New Roman"/>
                <w:sz w:val="26"/>
                <w:szCs w:val="26"/>
              </w:rPr>
              <w:t>DER_A</w:t>
            </w:r>
          </w:p>
        </w:tc>
        <w:tc>
          <w:tcPr>
            <w:tcW w:w="5260" w:type="dxa"/>
            <w:shd w:val="clear" w:color="auto" w:fill="auto"/>
            <w:vAlign w:val="center"/>
          </w:tcPr>
          <w:p w:rsidR="00911580" w:rsidRPr="0072600F" w14:paraId="5C07B59C" w14:textId="77777777">
            <w:pPr>
              <w:jc w:val="center"/>
              <w:rPr>
                <w:rFonts w:ascii="Times New Roman" w:hAnsi="Times New Roman" w:cs="Times New Roman"/>
                <w:sz w:val="26"/>
                <w:szCs w:val="26"/>
              </w:rPr>
            </w:pPr>
            <w:r w:rsidRPr="0072600F">
              <w:rPr>
                <w:rFonts w:ascii="Times New Roman" w:hAnsi="Times New Roman" w:cs="Times New Roman"/>
                <w:sz w:val="26"/>
                <w:szCs w:val="26"/>
              </w:rPr>
              <w:t>Distributed energy resource model</w:t>
            </w:r>
          </w:p>
        </w:tc>
      </w:tr>
      <w:tr w14:paraId="0D8B7469" w14:textId="77777777">
        <w:tblPrEx>
          <w:tblW w:w="9895" w:type="dxa"/>
          <w:tblLook w:val="04A0"/>
        </w:tblPrEx>
        <w:trPr>
          <w:cantSplit/>
        </w:trPr>
        <w:tc>
          <w:tcPr>
            <w:tcW w:w="1229" w:type="dxa"/>
            <w:shd w:val="clear" w:color="auto" w:fill="auto"/>
            <w:vAlign w:val="center"/>
          </w:tcPr>
          <w:p w:rsidR="00911580" w:rsidRPr="0072600F" w14:paraId="59BB3269" w14:textId="77777777">
            <w:pPr>
              <w:jc w:val="center"/>
              <w:rPr>
                <w:rFonts w:ascii="Times New Roman" w:hAnsi="Times New Roman" w:cs="Times New Roman"/>
                <w:sz w:val="26"/>
                <w:szCs w:val="26"/>
              </w:rPr>
            </w:pPr>
            <w:r w:rsidRPr="0072600F">
              <w:rPr>
                <w:rFonts w:ascii="Times New Roman" w:hAnsi="Times New Roman" w:cs="Times New Roman"/>
                <w:sz w:val="26"/>
                <w:szCs w:val="26"/>
              </w:rPr>
              <w:t>regc_a</w:t>
            </w:r>
          </w:p>
        </w:tc>
        <w:tc>
          <w:tcPr>
            <w:tcW w:w="1683" w:type="dxa"/>
            <w:shd w:val="clear" w:color="auto" w:fill="auto"/>
            <w:vAlign w:val="center"/>
          </w:tcPr>
          <w:p w:rsidR="00911580" w:rsidRPr="0072600F" w14:paraId="7D89C945" w14:textId="77777777">
            <w:pPr>
              <w:jc w:val="center"/>
              <w:rPr>
                <w:rFonts w:ascii="Times New Roman" w:hAnsi="Times New Roman" w:cs="Times New Roman"/>
                <w:sz w:val="26"/>
                <w:szCs w:val="26"/>
              </w:rPr>
            </w:pPr>
            <w:r w:rsidRPr="0072600F">
              <w:rPr>
                <w:rFonts w:ascii="Times New Roman" w:hAnsi="Times New Roman" w:cs="Times New Roman"/>
                <w:sz w:val="26"/>
                <w:szCs w:val="26"/>
              </w:rPr>
              <w:t>REGCAU1, REGCA1</w:t>
            </w:r>
          </w:p>
        </w:tc>
        <w:tc>
          <w:tcPr>
            <w:tcW w:w="1723" w:type="dxa"/>
            <w:shd w:val="clear" w:color="auto" w:fill="auto"/>
            <w:vAlign w:val="center"/>
          </w:tcPr>
          <w:p w:rsidR="00911580" w:rsidRPr="0072600F" w14:paraId="29FB682F" w14:textId="77777777">
            <w:pPr>
              <w:jc w:val="center"/>
              <w:rPr>
                <w:rFonts w:ascii="Times New Roman" w:hAnsi="Times New Roman" w:cs="Times New Roman"/>
                <w:sz w:val="26"/>
                <w:szCs w:val="26"/>
              </w:rPr>
            </w:pPr>
            <w:r w:rsidRPr="0072600F">
              <w:rPr>
                <w:rFonts w:ascii="Times New Roman" w:hAnsi="Times New Roman" w:cs="Times New Roman"/>
                <w:sz w:val="26"/>
                <w:szCs w:val="26"/>
              </w:rPr>
              <w:t>REGC_A</w:t>
            </w:r>
          </w:p>
        </w:tc>
        <w:tc>
          <w:tcPr>
            <w:tcW w:w="5260" w:type="dxa"/>
            <w:shd w:val="clear" w:color="auto" w:fill="auto"/>
            <w:vAlign w:val="center"/>
          </w:tcPr>
          <w:p w:rsidR="00911580" w:rsidRPr="0072600F" w14:paraId="2CD8A054" w14:textId="77777777">
            <w:pPr>
              <w:jc w:val="center"/>
              <w:rPr>
                <w:rFonts w:ascii="Times New Roman" w:hAnsi="Times New Roman" w:cs="Times New Roman"/>
                <w:sz w:val="26"/>
                <w:szCs w:val="26"/>
              </w:rPr>
            </w:pPr>
            <w:r w:rsidRPr="0072600F">
              <w:rPr>
                <w:rFonts w:ascii="Times New Roman" w:hAnsi="Times New Roman" w:cs="Times New Roman"/>
                <w:sz w:val="26"/>
                <w:szCs w:val="26"/>
              </w:rPr>
              <w:t>Generator/converter model</w:t>
            </w:r>
          </w:p>
        </w:tc>
      </w:tr>
      <w:tr w14:paraId="216DF127" w14:textId="77777777">
        <w:tblPrEx>
          <w:tblW w:w="9895" w:type="dxa"/>
          <w:tblLook w:val="04A0"/>
        </w:tblPrEx>
        <w:trPr>
          <w:cantSplit/>
        </w:trPr>
        <w:tc>
          <w:tcPr>
            <w:tcW w:w="1229" w:type="dxa"/>
            <w:shd w:val="clear" w:color="auto" w:fill="auto"/>
            <w:vAlign w:val="center"/>
          </w:tcPr>
          <w:p w:rsidR="00911580" w:rsidRPr="0072600F" w14:paraId="39FD94F8" w14:textId="77777777">
            <w:pPr>
              <w:jc w:val="center"/>
              <w:rPr>
                <w:rFonts w:ascii="Times New Roman" w:hAnsi="Times New Roman" w:cs="Times New Roman"/>
                <w:sz w:val="26"/>
                <w:szCs w:val="26"/>
              </w:rPr>
            </w:pPr>
            <w:r w:rsidRPr="0072600F">
              <w:rPr>
                <w:rFonts w:ascii="Times New Roman" w:hAnsi="Times New Roman" w:cs="Times New Roman"/>
                <w:sz w:val="26"/>
                <w:szCs w:val="26"/>
              </w:rPr>
              <w:t>regc_b</w:t>
            </w:r>
          </w:p>
        </w:tc>
        <w:tc>
          <w:tcPr>
            <w:tcW w:w="1683" w:type="dxa"/>
            <w:shd w:val="clear" w:color="auto" w:fill="auto"/>
            <w:vAlign w:val="center"/>
          </w:tcPr>
          <w:p w:rsidR="00911580" w:rsidRPr="0072600F" w14:paraId="5048CA1B" w14:textId="77777777">
            <w:pPr>
              <w:jc w:val="center"/>
              <w:rPr>
                <w:rFonts w:ascii="Times New Roman" w:hAnsi="Times New Roman" w:cs="Times New Roman"/>
                <w:sz w:val="26"/>
                <w:szCs w:val="26"/>
              </w:rPr>
            </w:pPr>
            <w:r w:rsidRPr="0072600F">
              <w:rPr>
                <w:rFonts w:ascii="Times New Roman" w:hAnsi="Times New Roman" w:cs="Times New Roman"/>
                <w:sz w:val="26"/>
                <w:szCs w:val="26"/>
              </w:rPr>
              <w:t>REGCBU1</w:t>
            </w:r>
          </w:p>
        </w:tc>
        <w:tc>
          <w:tcPr>
            <w:tcW w:w="1723" w:type="dxa"/>
            <w:shd w:val="clear" w:color="auto" w:fill="auto"/>
            <w:vAlign w:val="center"/>
          </w:tcPr>
          <w:p w:rsidR="00911580" w:rsidRPr="0072600F" w14:paraId="137E49C0" w14:textId="77777777">
            <w:pPr>
              <w:jc w:val="center"/>
              <w:rPr>
                <w:rFonts w:ascii="Times New Roman" w:hAnsi="Times New Roman" w:cs="Times New Roman"/>
                <w:sz w:val="26"/>
                <w:szCs w:val="26"/>
              </w:rPr>
            </w:pPr>
            <w:r w:rsidRPr="0072600F">
              <w:rPr>
                <w:rFonts w:ascii="Times New Roman" w:hAnsi="Times New Roman" w:cs="Times New Roman"/>
                <w:sz w:val="26"/>
                <w:szCs w:val="26"/>
              </w:rPr>
              <w:t>REGC_B</w:t>
            </w:r>
          </w:p>
        </w:tc>
        <w:tc>
          <w:tcPr>
            <w:tcW w:w="5260" w:type="dxa"/>
            <w:shd w:val="clear" w:color="auto" w:fill="auto"/>
            <w:vAlign w:val="center"/>
          </w:tcPr>
          <w:p w:rsidR="00911580" w:rsidRPr="0072600F" w14:paraId="6EDFF95A" w14:textId="77777777">
            <w:pPr>
              <w:jc w:val="center"/>
              <w:rPr>
                <w:rFonts w:ascii="Times New Roman" w:hAnsi="Times New Roman" w:cs="Times New Roman"/>
                <w:sz w:val="26"/>
                <w:szCs w:val="26"/>
              </w:rPr>
            </w:pPr>
            <w:r w:rsidRPr="0072600F">
              <w:rPr>
                <w:rFonts w:ascii="Times New Roman" w:hAnsi="Times New Roman" w:cs="Times New Roman"/>
                <w:sz w:val="26"/>
                <w:szCs w:val="26"/>
              </w:rPr>
              <w:t>Generator/converter model</w:t>
            </w:r>
          </w:p>
        </w:tc>
      </w:tr>
      <w:tr w14:paraId="10C0093E" w14:textId="77777777">
        <w:tblPrEx>
          <w:tblW w:w="9895" w:type="dxa"/>
          <w:tblLook w:val="04A0"/>
        </w:tblPrEx>
        <w:trPr>
          <w:cantSplit/>
        </w:trPr>
        <w:tc>
          <w:tcPr>
            <w:tcW w:w="1229" w:type="dxa"/>
            <w:shd w:val="clear" w:color="auto" w:fill="auto"/>
            <w:vAlign w:val="center"/>
          </w:tcPr>
          <w:p w:rsidR="00911580" w:rsidRPr="0072600F" w14:paraId="11C91799" w14:textId="77777777">
            <w:pPr>
              <w:jc w:val="center"/>
              <w:rPr>
                <w:rFonts w:ascii="Times New Roman" w:hAnsi="Times New Roman" w:cs="Times New Roman"/>
                <w:sz w:val="26"/>
                <w:szCs w:val="26"/>
              </w:rPr>
            </w:pPr>
            <w:r w:rsidRPr="0072600F">
              <w:rPr>
                <w:rFonts w:ascii="Times New Roman" w:hAnsi="Times New Roman" w:cs="Times New Roman"/>
                <w:sz w:val="26"/>
                <w:szCs w:val="26"/>
              </w:rPr>
              <w:t>wt1g</w:t>
            </w:r>
          </w:p>
        </w:tc>
        <w:tc>
          <w:tcPr>
            <w:tcW w:w="1683" w:type="dxa"/>
            <w:shd w:val="clear" w:color="auto" w:fill="auto"/>
            <w:vAlign w:val="center"/>
          </w:tcPr>
          <w:p w:rsidR="00911580" w:rsidRPr="0072600F" w14:paraId="6A9B056C" w14:textId="77777777">
            <w:pPr>
              <w:jc w:val="center"/>
              <w:rPr>
                <w:rFonts w:ascii="Times New Roman" w:hAnsi="Times New Roman" w:cs="Times New Roman"/>
                <w:sz w:val="26"/>
                <w:szCs w:val="26"/>
              </w:rPr>
            </w:pPr>
            <w:r w:rsidRPr="0072600F">
              <w:rPr>
                <w:rFonts w:ascii="Times New Roman" w:hAnsi="Times New Roman" w:cs="Times New Roman"/>
                <w:sz w:val="26"/>
                <w:szCs w:val="26"/>
              </w:rPr>
              <w:t>WT1G1</w:t>
            </w:r>
          </w:p>
        </w:tc>
        <w:tc>
          <w:tcPr>
            <w:tcW w:w="1723" w:type="dxa"/>
            <w:shd w:val="clear" w:color="auto" w:fill="auto"/>
            <w:vAlign w:val="center"/>
          </w:tcPr>
          <w:p w:rsidR="00911580" w:rsidRPr="0072600F" w14:paraId="582BECF4" w14:textId="77777777">
            <w:pPr>
              <w:jc w:val="center"/>
              <w:rPr>
                <w:rFonts w:ascii="Times New Roman" w:hAnsi="Times New Roman" w:cs="Times New Roman"/>
                <w:sz w:val="26"/>
                <w:szCs w:val="26"/>
              </w:rPr>
            </w:pPr>
            <w:r w:rsidRPr="0072600F">
              <w:rPr>
                <w:rFonts w:ascii="Times New Roman" w:hAnsi="Times New Roman" w:cs="Times New Roman"/>
                <w:sz w:val="26"/>
                <w:szCs w:val="26"/>
              </w:rPr>
              <w:t>WT1G and WT1G1</w:t>
            </w:r>
          </w:p>
        </w:tc>
        <w:tc>
          <w:tcPr>
            <w:tcW w:w="5260" w:type="dxa"/>
            <w:shd w:val="clear" w:color="auto" w:fill="auto"/>
            <w:vAlign w:val="center"/>
          </w:tcPr>
          <w:p w:rsidR="00911580" w:rsidRPr="0072600F" w14:paraId="282E3BFC"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model for Type-1 wind turbines (conventional directly connected induction generator)</w:t>
            </w:r>
          </w:p>
        </w:tc>
      </w:tr>
      <w:tr w14:paraId="15C32697" w14:textId="77777777">
        <w:tblPrEx>
          <w:tblW w:w="9895" w:type="dxa"/>
          <w:tblLook w:val="04A0"/>
        </w:tblPrEx>
        <w:trPr>
          <w:cantSplit/>
        </w:trPr>
        <w:tc>
          <w:tcPr>
            <w:tcW w:w="1229" w:type="dxa"/>
            <w:shd w:val="clear" w:color="auto" w:fill="auto"/>
            <w:vAlign w:val="center"/>
          </w:tcPr>
          <w:p w:rsidR="00911580" w:rsidRPr="0072600F" w14:paraId="322F4912" w14:textId="77777777">
            <w:pPr>
              <w:jc w:val="center"/>
              <w:rPr>
                <w:rFonts w:ascii="Times New Roman" w:hAnsi="Times New Roman" w:cs="Times New Roman"/>
                <w:sz w:val="26"/>
                <w:szCs w:val="26"/>
              </w:rPr>
            </w:pPr>
            <w:r w:rsidRPr="0072600F">
              <w:rPr>
                <w:rFonts w:ascii="Times New Roman" w:hAnsi="Times New Roman" w:cs="Times New Roman"/>
                <w:sz w:val="26"/>
                <w:szCs w:val="26"/>
              </w:rPr>
              <w:t>wt2g</w:t>
            </w:r>
          </w:p>
        </w:tc>
        <w:tc>
          <w:tcPr>
            <w:tcW w:w="1683" w:type="dxa"/>
            <w:shd w:val="clear" w:color="auto" w:fill="auto"/>
            <w:vAlign w:val="center"/>
          </w:tcPr>
          <w:p w:rsidR="00911580" w:rsidRPr="0072600F" w14:paraId="5B12FE32" w14:textId="77777777">
            <w:pPr>
              <w:jc w:val="center"/>
              <w:rPr>
                <w:rFonts w:ascii="Times New Roman" w:hAnsi="Times New Roman" w:cs="Times New Roman"/>
                <w:sz w:val="26"/>
                <w:szCs w:val="26"/>
              </w:rPr>
            </w:pPr>
            <w:r w:rsidRPr="0072600F">
              <w:rPr>
                <w:rFonts w:ascii="Times New Roman" w:hAnsi="Times New Roman" w:cs="Times New Roman"/>
                <w:sz w:val="26"/>
                <w:szCs w:val="26"/>
              </w:rPr>
              <w:t>WT2G1</w:t>
            </w:r>
          </w:p>
        </w:tc>
        <w:tc>
          <w:tcPr>
            <w:tcW w:w="1723" w:type="dxa"/>
            <w:shd w:val="clear" w:color="auto" w:fill="auto"/>
            <w:vAlign w:val="center"/>
          </w:tcPr>
          <w:p w:rsidR="00911580" w:rsidRPr="0072600F" w14:paraId="02AEA906" w14:textId="77777777">
            <w:pPr>
              <w:jc w:val="center"/>
              <w:rPr>
                <w:rFonts w:ascii="Times New Roman" w:hAnsi="Times New Roman" w:cs="Times New Roman"/>
                <w:sz w:val="26"/>
                <w:szCs w:val="26"/>
              </w:rPr>
            </w:pPr>
            <w:r w:rsidRPr="0072600F">
              <w:rPr>
                <w:rFonts w:ascii="Times New Roman" w:hAnsi="Times New Roman" w:cs="Times New Roman"/>
                <w:sz w:val="26"/>
                <w:szCs w:val="26"/>
              </w:rPr>
              <w:t>WT2G and WT2G1</w:t>
            </w:r>
          </w:p>
        </w:tc>
        <w:tc>
          <w:tcPr>
            <w:tcW w:w="5260" w:type="dxa"/>
            <w:shd w:val="clear" w:color="auto" w:fill="auto"/>
            <w:vAlign w:val="center"/>
          </w:tcPr>
          <w:p w:rsidR="00911580" w:rsidRPr="0072600F" w14:paraId="0196EB07" w14:textId="77777777">
            <w:pPr>
              <w:jc w:val="center"/>
              <w:rPr>
                <w:rFonts w:ascii="Times New Roman" w:hAnsi="Times New Roman" w:cs="Times New Roman"/>
                <w:sz w:val="26"/>
                <w:szCs w:val="26"/>
              </w:rPr>
            </w:pPr>
            <w:r w:rsidRPr="0072600F">
              <w:rPr>
                <w:rFonts w:ascii="Times New Roman" w:hAnsi="Times New Roman" w:cs="Times New Roman"/>
                <w:sz w:val="26"/>
                <w:szCs w:val="26"/>
              </w:rPr>
              <w:t>Generator model for generic Type-2 wind turbines</w:t>
            </w:r>
          </w:p>
        </w:tc>
      </w:tr>
      <w:tr w14:paraId="32C8A943" w14:textId="77777777">
        <w:tblPrEx>
          <w:tblW w:w="9895" w:type="dxa"/>
          <w:tblLook w:val="04A0"/>
        </w:tblPrEx>
        <w:trPr>
          <w:cantSplit/>
        </w:trPr>
        <w:tc>
          <w:tcPr>
            <w:tcW w:w="1229" w:type="dxa"/>
            <w:shd w:val="clear" w:color="auto" w:fill="auto"/>
            <w:vAlign w:val="center"/>
          </w:tcPr>
          <w:p w:rsidR="00911580" w:rsidRPr="0072600F" w14:paraId="7AAC3E6C" w14:textId="77777777">
            <w:pPr>
              <w:jc w:val="center"/>
              <w:rPr>
                <w:rFonts w:ascii="Times New Roman" w:hAnsi="Times New Roman" w:cs="Times New Roman"/>
                <w:sz w:val="26"/>
                <w:szCs w:val="26"/>
              </w:rPr>
            </w:pPr>
            <w:r w:rsidRPr="0072600F">
              <w:rPr>
                <w:rFonts w:ascii="Times New Roman" w:hAnsi="Times New Roman" w:cs="Times New Roman"/>
                <w:sz w:val="26"/>
                <w:szCs w:val="26"/>
              </w:rPr>
              <w:t>wt2e</w:t>
            </w:r>
          </w:p>
        </w:tc>
        <w:tc>
          <w:tcPr>
            <w:tcW w:w="1683" w:type="dxa"/>
            <w:shd w:val="clear" w:color="auto" w:fill="auto"/>
            <w:vAlign w:val="center"/>
          </w:tcPr>
          <w:p w:rsidR="00911580" w:rsidRPr="0072600F" w14:paraId="3CE39E91" w14:textId="77777777">
            <w:pPr>
              <w:jc w:val="center"/>
              <w:rPr>
                <w:rFonts w:ascii="Times New Roman" w:hAnsi="Times New Roman" w:cs="Times New Roman"/>
                <w:sz w:val="26"/>
                <w:szCs w:val="26"/>
              </w:rPr>
            </w:pPr>
            <w:r w:rsidRPr="0072600F">
              <w:rPr>
                <w:rFonts w:ascii="Times New Roman" w:hAnsi="Times New Roman" w:cs="Times New Roman"/>
                <w:sz w:val="26"/>
                <w:szCs w:val="26"/>
              </w:rPr>
              <w:t>WT2E1</w:t>
            </w:r>
          </w:p>
        </w:tc>
        <w:tc>
          <w:tcPr>
            <w:tcW w:w="1723" w:type="dxa"/>
            <w:shd w:val="clear" w:color="auto" w:fill="auto"/>
            <w:vAlign w:val="center"/>
          </w:tcPr>
          <w:p w:rsidR="00911580" w:rsidRPr="0072600F" w14:paraId="0346EAEF" w14:textId="77777777">
            <w:pPr>
              <w:jc w:val="center"/>
              <w:rPr>
                <w:rFonts w:ascii="Times New Roman" w:hAnsi="Times New Roman" w:cs="Times New Roman"/>
                <w:sz w:val="26"/>
                <w:szCs w:val="26"/>
              </w:rPr>
            </w:pPr>
            <w:r w:rsidRPr="0072600F">
              <w:rPr>
                <w:rFonts w:ascii="Times New Roman" w:hAnsi="Times New Roman" w:cs="Times New Roman"/>
                <w:sz w:val="26"/>
                <w:szCs w:val="26"/>
              </w:rPr>
              <w:t>WT2E and WT2E1</w:t>
            </w:r>
          </w:p>
        </w:tc>
        <w:tc>
          <w:tcPr>
            <w:tcW w:w="5260" w:type="dxa"/>
            <w:shd w:val="clear" w:color="auto" w:fill="auto"/>
            <w:vAlign w:val="center"/>
          </w:tcPr>
          <w:p w:rsidR="00911580" w:rsidRPr="0072600F" w14:paraId="52AF8686" w14:textId="77777777">
            <w:pPr>
              <w:jc w:val="center"/>
              <w:rPr>
                <w:rFonts w:ascii="Times New Roman" w:hAnsi="Times New Roman" w:cs="Times New Roman"/>
                <w:sz w:val="26"/>
                <w:szCs w:val="26"/>
              </w:rPr>
            </w:pPr>
            <w:r w:rsidRPr="0072600F">
              <w:rPr>
                <w:rFonts w:ascii="Times New Roman" w:hAnsi="Times New Roman" w:cs="Times New Roman"/>
                <w:sz w:val="26"/>
                <w:szCs w:val="26"/>
              </w:rPr>
              <w:t>Rotor resistance control model for wound-rotor induction wind-turbine generator wt2g</w:t>
            </w:r>
          </w:p>
        </w:tc>
      </w:tr>
      <w:tr w14:paraId="623A1C61" w14:textId="77777777">
        <w:tblPrEx>
          <w:tblW w:w="9895" w:type="dxa"/>
          <w:tblLook w:val="04A0"/>
        </w:tblPrEx>
        <w:trPr>
          <w:cantSplit/>
        </w:trPr>
        <w:tc>
          <w:tcPr>
            <w:tcW w:w="1229" w:type="dxa"/>
            <w:shd w:val="clear" w:color="auto" w:fill="auto"/>
            <w:vAlign w:val="center"/>
          </w:tcPr>
          <w:p w:rsidR="00911580" w:rsidRPr="0072600F" w14:paraId="57122D01"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reec_a</w:t>
            </w:r>
          </w:p>
        </w:tc>
        <w:tc>
          <w:tcPr>
            <w:tcW w:w="1683" w:type="dxa"/>
            <w:shd w:val="clear" w:color="auto" w:fill="auto"/>
            <w:vAlign w:val="center"/>
          </w:tcPr>
          <w:p w:rsidR="00911580" w:rsidRPr="0072600F" w14:paraId="6F556C02"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REECAU1, REECA1</w:t>
            </w:r>
          </w:p>
        </w:tc>
        <w:tc>
          <w:tcPr>
            <w:tcW w:w="1723" w:type="dxa"/>
            <w:shd w:val="clear" w:color="auto" w:fill="auto"/>
            <w:vAlign w:val="center"/>
          </w:tcPr>
          <w:p w:rsidR="00911580" w:rsidRPr="0072600F" w14:paraId="3B1D711A"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REEC_A</w:t>
            </w:r>
          </w:p>
        </w:tc>
        <w:tc>
          <w:tcPr>
            <w:tcW w:w="5260" w:type="dxa"/>
            <w:shd w:val="clear" w:color="auto" w:fill="auto"/>
            <w:vAlign w:val="center"/>
          </w:tcPr>
          <w:p w:rsidR="00911580" w:rsidRPr="0072600F" w14:paraId="7388CD55" w14:textId="77777777">
            <w:pPr>
              <w:jc w:val="center"/>
              <w:rPr>
                <w:rFonts w:ascii="Times New Roman" w:hAnsi="Times New Roman" w:cs="Times New Roman"/>
                <w:sz w:val="26"/>
                <w:szCs w:val="26"/>
              </w:rPr>
            </w:pPr>
            <w:r w:rsidRPr="0072600F">
              <w:rPr>
                <w:rFonts w:ascii="Times New Roman" w:hAnsi="Times New Roman" w:cs="Times New Roman"/>
                <w:sz w:val="26"/>
                <w:szCs w:val="26"/>
              </w:rPr>
              <w:t>Renewable energy electrical control model</w:t>
            </w:r>
          </w:p>
        </w:tc>
      </w:tr>
      <w:tr w14:paraId="233CAD69" w14:textId="77777777">
        <w:tblPrEx>
          <w:tblW w:w="9895" w:type="dxa"/>
          <w:tblLook w:val="04A0"/>
        </w:tblPrEx>
        <w:trPr>
          <w:cantSplit/>
        </w:trPr>
        <w:tc>
          <w:tcPr>
            <w:tcW w:w="1229" w:type="dxa"/>
            <w:shd w:val="clear" w:color="auto" w:fill="auto"/>
            <w:vAlign w:val="center"/>
          </w:tcPr>
          <w:p w:rsidR="00911580" w:rsidRPr="0072600F" w14:paraId="6A5FA1A8"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reec_c</w:t>
            </w:r>
          </w:p>
        </w:tc>
        <w:tc>
          <w:tcPr>
            <w:tcW w:w="1683" w:type="dxa"/>
            <w:shd w:val="clear" w:color="auto" w:fill="auto"/>
            <w:vAlign w:val="center"/>
          </w:tcPr>
          <w:p w:rsidR="00911580" w:rsidRPr="0072600F" w14:paraId="71C9A3DD"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REECCU1</w:t>
            </w:r>
          </w:p>
        </w:tc>
        <w:tc>
          <w:tcPr>
            <w:tcW w:w="1723" w:type="dxa"/>
            <w:shd w:val="clear" w:color="auto" w:fill="auto"/>
            <w:vAlign w:val="center"/>
          </w:tcPr>
          <w:p w:rsidR="00911580" w:rsidRPr="0072600F" w14:paraId="5FA03C76"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REEC_C</w:t>
            </w:r>
          </w:p>
        </w:tc>
        <w:tc>
          <w:tcPr>
            <w:tcW w:w="5260" w:type="dxa"/>
            <w:shd w:val="clear" w:color="auto" w:fill="auto"/>
            <w:vAlign w:val="center"/>
          </w:tcPr>
          <w:p w:rsidR="00911580" w:rsidRPr="0072600F" w14:paraId="213C595B" w14:textId="77777777">
            <w:pPr>
              <w:jc w:val="center"/>
              <w:rPr>
                <w:rFonts w:ascii="Times New Roman" w:hAnsi="Times New Roman" w:cs="Times New Roman"/>
                <w:sz w:val="26"/>
                <w:szCs w:val="26"/>
              </w:rPr>
            </w:pPr>
            <w:r w:rsidRPr="0072600F">
              <w:rPr>
                <w:rFonts w:ascii="Times New Roman" w:hAnsi="Times New Roman" w:cs="Times New Roman"/>
                <w:sz w:val="26"/>
                <w:szCs w:val="26"/>
              </w:rPr>
              <w:t>Electrical control model for battery energy storage system</w:t>
            </w:r>
          </w:p>
        </w:tc>
      </w:tr>
      <w:tr w14:paraId="7C99E77F" w14:textId="77777777">
        <w:tblPrEx>
          <w:tblW w:w="9895" w:type="dxa"/>
          <w:tblLook w:val="04A0"/>
        </w:tblPrEx>
        <w:trPr>
          <w:cantSplit/>
        </w:trPr>
        <w:tc>
          <w:tcPr>
            <w:tcW w:w="1229" w:type="dxa"/>
            <w:shd w:val="clear" w:color="auto" w:fill="auto"/>
            <w:vAlign w:val="center"/>
          </w:tcPr>
          <w:p w:rsidR="00911580" w:rsidRPr="0072600F" w14:paraId="69D55535"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reec_d</w:t>
            </w:r>
          </w:p>
        </w:tc>
        <w:tc>
          <w:tcPr>
            <w:tcW w:w="1683" w:type="dxa"/>
            <w:shd w:val="clear" w:color="auto" w:fill="auto"/>
            <w:vAlign w:val="center"/>
          </w:tcPr>
          <w:p w:rsidR="00911580" w:rsidRPr="0072600F" w14:paraId="3832B7B5"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REECDU1</w:t>
            </w:r>
          </w:p>
        </w:tc>
        <w:tc>
          <w:tcPr>
            <w:tcW w:w="1723" w:type="dxa"/>
            <w:shd w:val="clear" w:color="auto" w:fill="auto"/>
            <w:vAlign w:val="center"/>
          </w:tcPr>
          <w:p w:rsidR="00911580" w:rsidRPr="0072600F" w14:paraId="0CBE7259" w14:textId="77777777">
            <w:pPr>
              <w:jc w:val="center"/>
              <w:rPr>
                <w:rFonts w:ascii="Times New Roman" w:hAnsi="Times New Roman" w:cs="Times New Roman"/>
                <w:sz w:val="26"/>
                <w:szCs w:val="26"/>
              </w:rPr>
            </w:pPr>
            <w:r w:rsidRPr="0072600F">
              <w:rPr>
                <w:rFonts w:ascii="Times New Roman" w:hAnsi="Times New Roman" w:cs="Times New Roman"/>
                <w:sz w:val="26"/>
                <w:szCs w:val="26"/>
              </w:rPr>
              <w:t>REEC_D</w:t>
            </w:r>
          </w:p>
        </w:tc>
        <w:tc>
          <w:tcPr>
            <w:tcW w:w="5260" w:type="dxa"/>
            <w:shd w:val="clear" w:color="auto" w:fill="auto"/>
            <w:vAlign w:val="center"/>
          </w:tcPr>
          <w:p w:rsidR="00911580" w:rsidRPr="0072600F" w14:paraId="013580C6" w14:textId="77777777">
            <w:pPr>
              <w:jc w:val="center"/>
              <w:rPr>
                <w:rFonts w:ascii="Times New Roman" w:hAnsi="Times New Roman" w:cs="Times New Roman"/>
                <w:sz w:val="26"/>
                <w:szCs w:val="26"/>
              </w:rPr>
            </w:pPr>
            <w:r w:rsidRPr="0072600F">
              <w:rPr>
                <w:rFonts w:ascii="Times New Roman" w:hAnsi="Times New Roman" w:cs="Times New Roman"/>
                <w:sz w:val="26"/>
                <w:szCs w:val="26"/>
              </w:rPr>
              <w:t>Renewable energy electrical control model</w:t>
            </w:r>
          </w:p>
        </w:tc>
      </w:tr>
      <w:tr w14:paraId="7F9CACDE" w14:textId="77777777">
        <w:tblPrEx>
          <w:tblW w:w="9895" w:type="dxa"/>
          <w:tblLook w:val="04A0"/>
        </w:tblPrEx>
        <w:trPr>
          <w:cantSplit/>
        </w:trPr>
        <w:tc>
          <w:tcPr>
            <w:tcW w:w="1229" w:type="dxa"/>
            <w:shd w:val="clear" w:color="auto" w:fill="auto"/>
            <w:vAlign w:val="center"/>
          </w:tcPr>
          <w:p w:rsidR="00911580" w:rsidRPr="0072600F" w14:paraId="3752DC7D" w14:textId="77777777">
            <w:pPr>
              <w:jc w:val="center"/>
              <w:rPr>
                <w:rFonts w:ascii="Times New Roman" w:hAnsi="Times New Roman" w:cs="Times New Roman"/>
                <w:sz w:val="26"/>
                <w:szCs w:val="26"/>
              </w:rPr>
            </w:pPr>
            <w:r w:rsidRPr="0072600F">
              <w:rPr>
                <w:rFonts w:ascii="Times New Roman" w:hAnsi="Times New Roman" w:cs="Times New Roman"/>
                <w:sz w:val="26"/>
                <w:szCs w:val="26"/>
              </w:rPr>
              <w:t>wt1t</w:t>
            </w:r>
          </w:p>
        </w:tc>
        <w:tc>
          <w:tcPr>
            <w:tcW w:w="1683" w:type="dxa"/>
            <w:shd w:val="clear" w:color="auto" w:fill="auto"/>
            <w:vAlign w:val="center"/>
          </w:tcPr>
          <w:p w:rsidR="00911580" w:rsidRPr="0072600F" w14:paraId="00E17544" w14:textId="77777777">
            <w:pPr>
              <w:jc w:val="center"/>
              <w:rPr>
                <w:rFonts w:ascii="Times New Roman" w:hAnsi="Times New Roman" w:cs="Times New Roman"/>
                <w:sz w:val="26"/>
                <w:szCs w:val="26"/>
              </w:rPr>
            </w:pPr>
            <w:r w:rsidRPr="0072600F">
              <w:rPr>
                <w:rFonts w:ascii="Times New Roman" w:hAnsi="Times New Roman" w:cs="Times New Roman"/>
                <w:sz w:val="26"/>
                <w:szCs w:val="26"/>
              </w:rPr>
              <w:t>WT12T1</w:t>
            </w:r>
          </w:p>
        </w:tc>
        <w:tc>
          <w:tcPr>
            <w:tcW w:w="1723" w:type="dxa"/>
            <w:shd w:val="clear" w:color="auto" w:fill="auto"/>
            <w:vAlign w:val="center"/>
          </w:tcPr>
          <w:p w:rsidR="00911580" w:rsidRPr="0072600F" w14:paraId="645C5A9D" w14:textId="77777777">
            <w:pPr>
              <w:jc w:val="center"/>
              <w:rPr>
                <w:rFonts w:ascii="Times New Roman" w:hAnsi="Times New Roman" w:cs="Times New Roman"/>
                <w:sz w:val="26"/>
                <w:szCs w:val="26"/>
              </w:rPr>
            </w:pPr>
            <w:r w:rsidRPr="0072600F">
              <w:rPr>
                <w:rFonts w:ascii="Times New Roman" w:hAnsi="Times New Roman" w:cs="Times New Roman"/>
                <w:sz w:val="26"/>
                <w:szCs w:val="26"/>
              </w:rPr>
              <w:t>WT1T and WT12T1</w:t>
            </w:r>
          </w:p>
        </w:tc>
        <w:tc>
          <w:tcPr>
            <w:tcW w:w="5260" w:type="dxa"/>
            <w:shd w:val="clear" w:color="auto" w:fill="auto"/>
            <w:vAlign w:val="center"/>
          </w:tcPr>
          <w:p w:rsidR="00911580" w:rsidRPr="0072600F" w14:paraId="460D199E"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model for Type-1 wind turbines (conventional directly connected induction generator)</w:t>
            </w:r>
          </w:p>
        </w:tc>
      </w:tr>
      <w:tr w14:paraId="7B396AB4" w14:textId="77777777">
        <w:tblPrEx>
          <w:tblW w:w="9895" w:type="dxa"/>
          <w:tblLook w:val="04A0"/>
        </w:tblPrEx>
        <w:trPr>
          <w:cantSplit/>
        </w:trPr>
        <w:tc>
          <w:tcPr>
            <w:tcW w:w="1229" w:type="dxa"/>
            <w:shd w:val="clear" w:color="auto" w:fill="auto"/>
            <w:vAlign w:val="center"/>
          </w:tcPr>
          <w:p w:rsidR="00911580" w:rsidRPr="0072600F" w14:paraId="38A0C51F" w14:textId="77777777">
            <w:pPr>
              <w:jc w:val="center"/>
              <w:rPr>
                <w:rFonts w:ascii="Times New Roman" w:hAnsi="Times New Roman" w:cs="Times New Roman"/>
                <w:sz w:val="26"/>
                <w:szCs w:val="26"/>
              </w:rPr>
            </w:pPr>
            <w:r w:rsidRPr="0072600F">
              <w:rPr>
                <w:rFonts w:ascii="Times New Roman" w:hAnsi="Times New Roman" w:cs="Times New Roman"/>
                <w:sz w:val="26"/>
                <w:szCs w:val="26"/>
              </w:rPr>
              <w:t>wt1p_b</w:t>
            </w:r>
          </w:p>
        </w:tc>
        <w:tc>
          <w:tcPr>
            <w:tcW w:w="1683" w:type="dxa"/>
            <w:shd w:val="clear" w:color="auto" w:fill="auto"/>
            <w:vAlign w:val="center"/>
          </w:tcPr>
          <w:p w:rsidR="00911580" w:rsidRPr="0072600F" w14:paraId="0AB71580" w14:textId="77777777">
            <w:pPr>
              <w:jc w:val="center"/>
              <w:rPr>
                <w:rFonts w:ascii="Times New Roman" w:hAnsi="Times New Roman" w:cs="Times New Roman"/>
                <w:sz w:val="26"/>
                <w:szCs w:val="26"/>
              </w:rPr>
            </w:pPr>
            <w:r w:rsidRPr="0072600F">
              <w:rPr>
                <w:rFonts w:ascii="Times New Roman" w:hAnsi="Times New Roman" w:cs="Times New Roman"/>
                <w:sz w:val="26"/>
                <w:szCs w:val="26"/>
              </w:rPr>
              <w:t>wt1p_b</w:t>
            </w:r>
          </w:p>
        </w:tc>
        <w:tc>
          <w:tcPr>
            <w:tcW w:w="1723" w:type="dxa"/>
            <w:shd w:val="clear" w:color="auto" w:fill="auto"/>
            <w:vAlign w:val="center"/>
          </w:tcPr>
          <w:p w:rsidR="00911580" w:rsidRPr="0072600F" w14:paraId="2CC07DCF" w14:textId="77777777">
            <w:pPr>
              <w:jc w:val="center"/>
              <w:rPr>
                <w:rFonts w:ascii="Times New Roman" w:hAnsi="Times New Roman" w:cs="Times New Roman"/>
                <w:sz w:val="26"/>
                <w:szCs w:val="26"/>
              </w:rPr>
            </w:pPr>
            <w:r w:rsidRPr="0072600F">
              <w:rPr>
                <w:rFonts w:ascii="Times New Roman" w:hAnsi="Times New Roman" w:cs="Times New Roman"/>
                <w:sz w:val="26"/>
                <w:szCs w:val="26"/>
              </w:rPr>
              <w:t>WT12A1U_B</w:t>
            </w:r>
          </w:p>
        </w:tc>
        <w:tc>
          <w:tcPr>
            <w:tcW w:w="5260" w:type="dxa"/>
            <w:shd w:val="clear" w:color="auto" w:fill="auto"/>
            <w:vAlign w:val="center"/>
          </w:tcPr>
          <w:p w:rsidR="00911580" w:rsidRPr="0072600F" w14:paraId="6FA72B6A" w14:textId="77777777">
            <w:pPr>
              <w:jc w:val="center"/>
              <w:rPr>
                <w:rFonts w:ascii="Times New Roman" w:hAnsi="Times New Roman" w:cs="Times New Roman"/>
                <w:sz w:val="26"/>
                <w:szCs w:val="26"/>
              </w:rPr>
            </w:pPr>
            <w:r w:rsidRPr="0072600F">
              <w:rPr>
                <w:rFonts w:ascii="Times New Roman" w:hAnsi="Times New Roman" w:cs="Times New Roman"/>
                <w:sz w:val="26"/>
                <w:szCs w:val="26"/>
              </w:rPr>
              <w:t>Generic wind turbine pitch controller for WTGs of Types 1 and 2</w:t>
            </w:r>
          </w:p>
        </w:tc>
      </w:tr>
      <w:tr w14:paraId="3D38C66C" w14:textId="77777777">
        <w:tblPrEx>
          <w:tblW w:w="9895" w:type="dxa"/>
          <w:tblLook w:val="04A0"/>
        </w:tblPrEx>
        <w:trPr>
          <w:cantSplit/>
        </w:trPr>
        <w:tc>
          <w:tcPr>
            <w:tcW w:w="1229" w:type="dxa"/>
            <w:shd w:val="clear" w:color="auto" w:fill="auto"/>
            <w:vAlign w:val="center"/>
          </w:tcPr>
          <w:p w:rsidR="00911580" w:rsidRPr="0072600F" w14:paraId="64BF7C7D" w14:textId="77777777">
            <w:pPr>
              <w:jc w:val="center"/>
              <w:rPr>
                <w:rFonts w:ascii="Times New Roman" w:hAnsi="Times New Roman" w:cs="Times New Roman"/>
                <w:sz w:val="26"/>
                <w:szCs w:val="26"/>
              </w:rPr>
            </w:pPr>
            <w:r w:rsidRPr="0072600F">
              <w:rPr>
                <w:rFonts w:ascii="Times New Roman" w:hAnsi="Times New Roman" w:cs="Times New Roman"/>
                <w:sz w:val="26"/>
                <w:szCs w:val="26"/>
              </w:rPr>
              <w:t>wt2t</w:t>
            </w:r>
          </w:p>
        </w:tc>
        <w:tc>
          <w:tcPr>
            <w:tcW w:w="1683" w:type="dxa"/>
            <w:shd w:val="clear" w:color="auto" w:fill="auto"/>
            <w:vAlign w:val="center"/>
          </w:tcPr>
          <w:p w:rsidR="00911580" w:rsidRPr="0072600F" w14:paraId="2117C66A" w14:textId="77777777">
            <w:pPr>
              <w:jc w:val="center"/>
              <w:rPr>
                <w:rFonts w:ascii="Times New Roman" w:hAnsi="Times New Roman" w:cs="Times New Roman"/>
                <w:sz w:val="26"/>
                <w:szCs w:val="26"/>
              </w:rPr>
            </w:pPr>
            <w:r w:rsidRPr="0072600F">
              <w:rPr>
                <w:rFonts w:ascii="Times New Roman" w:hAnsi="Times New Roman" w:cs="Times New Roman"/>
                <w:sz w:val="26"/>
                <w:szCs w:val="26"/>
              </w:rPr>
              <w:t>WT12T1</w:t>
            </w:r>
          </w:p>
        </w:tc>
        <w:tc>
          <w:tcPr>
            <w:tcW w:w="1723" w:type="dxa"/>
            <w:shd w:val="clear" w:color="auto" w:fill="auto"/>
            <w:vAlign w:val="center"/>
          </w:tcPr>
          <w:p w:rsidR="00911580" w:rsidRPr="0072600F" w14:paraId="2823A5C7" w14:textId="77777777">
            <w:pPr>
              <w:jc w:val="center"/>
              <w:rPr>
                <w:rFonts w:ascii="Times New Roman" w:hAnsi="Times New Roman" w:cs="Times New Roman"/>
                <w:sz w:val="26"/>
                <w:szCs w:val="26"/>
              </w:rPr>
            </w:pPr>
            <w:r w:rsidRPr="0072600F">
              <w:rPr>
                <w:rFonts w:ascii="Times New Roman" w:hAnsi="Times New Roman" w:cs="Times New Roman"/>
                <w:sz w:val="26"/>
                <w:szCs w:val="26"/>
              </w:rPr>
              <w:t>WT2T</w:t>
            </w:r>
          </w:p>
        </w:tc>
        <w:tc>
          <w:tcPr>
            <w:tcW w:w="5260" w:type="dxa"/>
            <w:shd w:val="clear" w:color="auto" w:fill="auto"/>
            <w:vAlign w:val="center"/>
          </w:tcPr>
          <w:p w:rsidR="00911580" w:rsidRPr="0072600F" w14:paraId="7A9B91E4"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model for Type-2 wind turbines (directly connected induction generator wind turbines with an external rotor resistance)</w:t>
            </w:r>
          </w:p>
        </w:tc>
      </w:tr>
      <w:tr w14:paraId="31354945" w14:textId="77777777">
        <w:tblPrEx>
          <w:tblW w:w="9895" w:type="dxa"/>
          <w:tblLook w:val="04A0"/>
        </w:tblPrEx>
        <w:trPr>
          <w:cantSplit/>
        </w:trPr>
        <w:tc>
          <w:tcPr>
            <w:tcW w:w="1229" w:type="dxa"/>
            <w:shd w:val="clear" w:color="auto" w:fill="auto"/>
            <w:vAlign w:val="center"/>
          </w:tcPr>
          <w:p w:rsidR="00911580" w:rsidRPr="0072600F" w14:paraId="4620FAF8" w14:textId="77777777">
            <w:pPr>
              <w:jc w:val="center"/>
              <w:rPr>
                <w:rFonts w:ascii="Times New Roman" w:hAnsi="Times New Roman" w:cs="Times New Roman"/>
                <w:sz w:val="26"/>
                <w:szCs w:val="26"/>
              </w:rPr>
            </w:pPr>
            <w:r w:rsidRPr="0072600F">
              <w:rPr>
                <w:rFonts w:ascii="Times New Roman" w:hAnsi="Times New Roman" w:cs="Times New Roman"/>
                <w:sz w:val="26"/>
                <w:szCs w:val="26"/>
              </w:rPr>
              <w:t>wtgt_a</w:t>
            </w:r>
          </w:p>
        </w:tc>
        <w:tc>
          <w:tcPr>
            <w:tcW w:w="1683" w:type="dxa"/>
            <w:shd w:val="clear" w:color="auto" w:fill="auto"/>
            <w:vAlign w:val="center"/>
          </w:tcPr>
          <w:p w:rsidR="00911580" w:rsidRPr="0072600F" w14:paraId="7A48DED9" w14:textId="77777777">
            <w:pPr>
              <w:jc w:val="center"/>
              <w:rPr>
                <w:rFonts w:ascii="Times New Roman" w:hAnsi="Times New Roman" w:cs="Times New Roman"/>
                <w:sz w:val="26"/>
                <w:szCs w:val="26"/>
              </w:rPr>
            </w:pPr>
            <w:r w:rsidRPr="0072600F">
              <w:rPr>
                <w:rFonts w:ascii="Times New Roman" w:hAnsi="Times New Roman" w:cs="Times New Roman"/>
                <w:sz w:val="26"/>
                <w:szCs w:val="26"/>
              </w:rPr>
              <w:t>WTDTAU1, WTDTA1</w:t>
            </w:r>
          </w:p>
        </w:tc>
        <w:tc>
          <w:tcPr>
            <w:tcW w:w="1723" w:type="dxa"/>
            <w:shd w:val="clear" w:color="auto" w:fill="auto"/>
            <w:vAlign w:val="center"/>
          </w:tcPr>
          <w:p w:rsidR="00911580" w:rsidRPr="0072600F" w14:paraId="589A141B" w14:textId="77777777">
            <w:pPr>
              <w:jc w:val="center"/>
              <w:rPr>
                <w:rFonts w:ascii="Times New Roman" w:hAnsi="Times New Roman" w:cs="Times New Roman"/>
                <w:sz w:val="26"/>
                <w:szCs w:val="26"/>
              </w:rPr>
            </w:pPr>
            <w:r w:rsidRPr="0072600F">
              <w:rPr>
                <w:rFonts w:ascii="Times New Roman" w:hAnsi="Times New Roman" w:cs="Times New Roman"/>
                <w:sz w:val="26"/>
                <w:szCs w:val="26"/>
              </w:rPr>
              <w:t>WTGT_A</w:t>
            </w:r>
          </w:p>
        </w:tc>
        <w:tc>
          <w:tcPr>
            <w:tcW w:w="5260" w:type="dxa"/>
            <w:shd w:val="clear" w:color="auto" w:fill="auto"/>
            <w:vAlign w:val="center"/>
          </w:tcPr>
          <w:p w:rsidR="00911580" w:rsidRPr="0072600F" w14:paraId="2A023197"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drive train model</w:t>
            </w:r>
          </w:p>
        </w:tc>
      </w:tr>
      <w:tr w14:paraId="69B589D4" w14:textId="77777777">
        <w:tblPrEx>
          <w:tblW w:w="9895" w:type="dxa"/>
          <w:tblLook w:val="04A0"/>
        </w:tblPrEx>
        <w:trPr>
          <w:cantSplit/>
        </w:trPr>
        <w:tc>
          <w:tcPr>
            <w:tcW w:w="1229" w:type="dxa"/>
            <w:shd w:val="clear" w:color="auto" w:fill="auto"/>
            <w:vAlign w:val="center"/>
          </w:tcPr>
          <w:p w:rsidR="00911580" w:rsidRPr="0072600F" w14:paraId="6448A69E" w14:textId="77777777">
            <w:pPr>
              <w:jc w:val="center"/>
              <w:rPr>
                <w:rFonts w:ascii="Times New Roman" w:hAnsi="Times New Roman" w:cs="Times New Roman"/>
                <w:sz w:val="26"/>
                <w:szCs w:val="26"/>
              </w:rPr>
            </w:pPr>
            <w:r w:rsidRPr="0072600F">
              <w:rPr>
                <w:rFonts w:ascii="Times New Roman" w:hAnsi="Times New Roman" w:cs="Times New Roman"/>
                <w:sz w:val="26"/>
                <w:szCs w:val="26"/>
              </w:rPr>
              <w:t>wtga_a</w:t>
            </w:r>
          </w:p>
        </w:tc>
        <w:tc>
          <w:tcPr>
            <w:tcW w:w="1683" w:type="dxa"/>
            <w:shd w:val="clear" w:color="auto" w:fill="auto"/>
            <w:vAlign w:val="center"/>
          </w:tcPr>
          <w:p w:rsidR="00911580" w:rsidRPr="0072600F" w14:paraId="522CF156" w14:textId="77777777">
            <w:pPr>
              <w:jc w:val="center"/>
              <w:rPr>
                <w:rFonts w:ascii="Times New Roman" w:hAnsi="Times New Roman" w:cs="Times New Roman"/>
                <w:sz w:val="26"/>
                <w:szCs w:val="26"/>
              </w:rPr>
            </w:pPr>
            <w:r w:rsidRPr="0072600F">
              <w:rPr>
                <w:rFonts w:ascii="Times New Roman" w:hAnsi="Times New Roman" w:cs="Times New Roman"/>
                <w:sz w:val="26"/>
                <w:szCs w:val="26"/>
              </w:rPr>
              <w:t>WTARAU1, WTARA1</w:t>
            </w:r>
          </w:p>
        </w:tc>
        <w:tc>
          <w:tcPr>
            <w:tcW w:w="1723" w:type="dxa"/>
            <w:shd w:val="clear" w:color="auto" w:fill="auto"/>
            <w:vAlign w:val="center"/>
          </w:tcPr>
          <w:p w:rsidR="00911580" w:rsidRPr="0072600F" w14:paraId="21334656" w14:textId="77777777">
            <w:pPr>
              <w:jc w:val="center"/>
              <w:rPr>
                <w:rFonts w:ascii="Times New Roman" w:hAnsi="Times New Roman" w:cs="Times New Roman"/>
                <w:sz w:val="26"/>
                <w:szCs w:val="26"/>
              </w:rPr>
            </w:pPr>
            <w:r w:rsidRPr="0072600F">
              <w:rPr>
                <w:rFonts w:ascii="Times New Roman" w:hAnsi="Times New Roman" w:cs="Times New Roman"/>
                <w:sz w:val="26"/>
                <w:szCs w:val="26"/>
              </w:rPr>
              <w:t>WTGA_A</w:t>
            </w:r>
          </w:p>
        </w:tc>
        <w:tc>
          <w:tcPr>
            <w:tcW w:w="5260" w:type="dxa"/>
            <w:shd w:val="clear" w:color="auto" w:fill="auto"/>
            <w:vAlign w:val="center"/>
          </w:tcPr>
          <w:p w:rsidR="00911580" w:rsidRPr="0072600F" w14:paraId="471E1FC4" w14:textId="77777777">
            <w:pPr>
              <w:jc w:val="center"/>
              <w:rPr>
                <w:rFonts w:ascii="Times New Roman" w:hAnsi="Times New Roman" w:cs="Times New Roman"/>
                <w:sz w:val="26"/>
                <w:szCs w:val="26"/>
              </w:rPr>
            </w:pPr>
            <w:r w:rsidRPr="0072600F">
              <w:rPr>
                <w:rFonts w:ascii="Times New Roman" w:hAnsi="Times New Roman" w:cs="Times New Roman"/>
                <w:sz w:val="26"/>
                <w:szCs w:val="26"/>
              </w:rPr>
              <w:t>Simple aerodynamic model</w:t>
            </w:r>
          </w:p>
        </w:tc>
      </w:tr>
      <w:tr w14:paraId="13B85FDE" w14:textId="77777777">
        <w:tblPrEx>
          <w:tblW w:w="9895" w:type="dxa"/>
          <w:tblLook w:val="04A0"/>
        </w:tblPrEx>
        <w:trPr>
          <w:cantSplit/>
        </w:trPr>
        <w:tc>
          <w:tcPr>
            <w:tcW w:w="1229" w:type="dxa"/>
            <w:shd w:val="clear" w:color="auto" w:fill="auto"/>
            <w:vAlign w:val="center"/>
          </w:tcPr>
          <w:p w:rsidR="00911580" w:rsidRPr="0072600F" w14:paraId="74756BDE" w14:textId="77777777">
            <w:pPr>
              <w:jc w:val="center"/>
              <w:rPr>
                <w:rFonts w:ascii="Times New Roman" w:hAnsi="Times New Roman" w:cs="Times New Roman"/>
                <w:sz w:val="26"/>
                <w:szCs w:val="26"/>
              </w:rPr>
            </w:pPr>
            <w:r w:rsidRPr="0072600F">
              <w:rPr>
                <w:rFonts w:ascii="Times New Roman" w:hAnsi="Times New Roman" w:cs="Times New Roman"/>
                <w:sz w:val="26"/>
                <w:szCs w:val="26"/>
              </w:rPr>
              <w:t>wtgp_a</w:t>
            </w:r>
          </w:p>
        </w:tc>
        <w:tc>
          <w:tcPr>
            <w:tcW w:w="1683" w:type="dxa"/>
            <w:shd w:val="clear" w:color="auto" w:fill="auto"/>
            <w:vAlign w:val="center"/>
          </w:tcPr>
          <w:p w:rsidR="00911580" w:rsidRPr="0072600F" w14:paraId="57B82C64" w14:textId="77777777">
            <w:pPr>
              <w:jc w:val="center"/>
              <w:rPr>
                <w:rFonts w:ascii="Times New Roman" w:hAnsi="Times New Roman" w:cs="Times New Roman"/>
                <w:sz w:val="26"/>
                <w:szCs w:val="26"/>
              </w:rPr>
            </w:pPr>
            <w:r w:rsidRPr="0072600F">
              <w:rPr>
                <w:rFonts w:ascii="Times New Roman" w:hAnsi="Times New Roman" w:cs="Times New Roman"/>
                <w:sz w:val="26"/>
                <w:szCs w:val="26"/>
              </w:rPr>
              <w:t>WTPTAU1, WTPTA1</w:t>
            </w:r>
          </w:p>
        </w:tc>
        <w:tc>
          <w:tcPr>
            <w:tcW w:w="1723" w:type="dxa"/>
            <w:shd w:val="clear" w:color="auto" w:fill="auto"/>
            <w:vAlign w:val="center"/>
          </w:tcPr>
          <w:p w:rsidR="00911580" w:rsidRPr="0072600F" w14:paraId="4F8BE533" w14:textId="77777777">
            <w:pPr>
              <w:jc w:val="center"/>
              <w:rPr>
                <w:rFonts w:ascii="Times New Roman" w:hAnsi="Times New Roman" w:cs="Times New Roman"/>
                <w:sz w:val="26"/>
                <w:szCs w:val="26"/>
              </w:rPr>
            </w:pPr>
            <w:r w:rsidRPr="0072600F">
              <w:rPr>
                <w:rFonts w:ascii="Times New Roman" w:hAnsi="Times New Roman" w:cs="Times New Roman"/>
                <w:sz w:val="26"/>
                <w:szCs w:val="26"/>
              </w:rPr>
              <w:t>WTGPT_A</w:t>
            </w:r>
          </w:p>
        </w:tc>
        <w:tc>
          <w:tcPr>
            <w:tcW w:w="5260" w:type="dxa"/>
            <w:shd w:val="clear" w:color="auto" w:fill="auto"/>
            <w:vAlign w:val="center"/>
          </w:tcPr>
          <w:p w:rsidR="00911580" w:rsidRPr="0072600F" w14:paraId="44E4AC72"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Generator Pitch controller</w:t>
            </w:r>
          </w:p>
        </w:tc>
      </w:tr>
      <w:tr w14:paraId="78514266" w14:textId="77777777">
        <w:tblPrEx>
          <w:tblW w:w="9895" w:type="dxa"/>
          <w:tblLook w:val="04A0"/>
        </w:tblPrEx>
        <w:trPr>
          <w:cantSplit/>
        </w:trPr>
        <w:tc>
          <w:tcPr>
            <w:tcW w:w="1229" w:type="dxa"/>
            <w:shd w:val="clear" w:color="auto" w:fill="auto"/>
            <w:vAlign w:val="center"/>
          </w:tcPr>
          <w:p w:rsidR="00911580" w:rsidRPr="0072600F" w14:paraId="234281F2" w14:textId="77777777">
            <w:pPr>
              <w:jc w:val="center"/>
              <w:rPr>
                <w:rFonts w:ascii="Times New Roman" w:hAnsi="Times New Roman" w:cs="Times New Roman"/>
                <w:sz w:val="26"/>
                <w:szCs w:val="26"/>
              </w:rPr>
            </w:pPr>
            <w:r w:rsidRPr="0072600F">
              <w:rPr>
                <w:rFonts w:ascii="Times New Roman" w:hAnsi="Times New Roman" w:cs="Times New Roman"/>
                <w:sz w:val="26"/>
                <w:szCs w:val="26"/>
              </w:rPr>
              <w:t>wtgq_a</w:t>
            </w:r>
          </w:p>
        </w:tc>
        <w:tc>
          <w:tcPr>
            <w:tcW w:w="1683" w:type="dxa"/>
            <w:shd w:val="clear" w:color="auto" w:fill="auto"/>
            <w:vAlign w:val="center"/>
          </w:tcPr>
          <w:p w:rsidR="00911580" w:rsidRPr="0072600F" w14:paraId="497FE087" w14:textId="77777777">
            <w:pPr>
              <w:jc w:val="center"/>
              <w:rPr>
                <w:rFonts w:ascii="Times New Roman" w:hAnsi="Times New Roman" w:cs="Times New Roman"/>
                <w:sz w:val="26"/>
                <w:szCs w:val="26"/>
              </w:rPr>
            </w:pPr>
            <w:r w:rsidRPr="0072600F">
              <w:rPr>
                <w:rFonts w:ascii="Times New Roman" w:hAnsi="Times New Roman" w:cs="Times New Roman"/>
                <w:sz w:val="26"/>
                <w:szCs w:val="26"/>
              </w:rPr>
              <w:t>WTTQAU1, WTTQA1</w:t>
            </w:r>
          </w:p>
        </w:tc>
        <w:tc>
          <w:tcPr>
            <w:tcW w:w="1723" w:type="dxa"/>
            <w:shd w:val="clear" w:color="auto" w:fill="auto"/>
            <w:vAlign w:val="center"/>
          </w:tcPr>
          <w:p w:rsidR="00911580" w:rsidRPr="0072600F" w14:paraId="49D57D0D" w14:textId="77777777">
            <w:pPr>
              <w:jc w:val="center"/>
              <w:rPr>
                <w:rFonts w:ascii="Times New Roman" w:hAnsi="Times New Roman" w:cs="Times New Roman"/>
                <w:sz w:val="26"/>
                <w:szCs w:val="26"/>
              </w:rPr>
            </w:pPr>
            <w:r w:rsidRPr="0072600F">
              <w:rPr>
                <w:rFonts w:ascii="Times New Roman" w:hAnsi="Times New Roman" w:cs="Times New Roman"/>
                <w:sz w:val="26"/>
                <w:szCs w:val="26"/>
              </w:rPr>
              <w:t>WTGTRQ_A</w:t>
            </w:r>
          </w:p>
        </w:tc>
        <w:tc>
          <w:tcPr>
            <w:tcW w:w="5260" w:type="dxa"/>
            <w:shd w:val="clear" w:color="auto" w:fill="auto"/>
            <w:vAlign w:val="center"/>
          </w:tcPr>
          <w:p w:rsidR="00911580" w:rsidRPr="0072600F" w14:paraId="1E2B25AE"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Generator Torque controller</w:t>
            </w:r>
          </w:p>
        </w:tc>
      </w:tr>
      <w:tr w14:paraId="637D72C4" w14:textId="77777777">
        <w:tblPrEx>
          <w:tblW w:w="9895" w:type="dxa"/>
          <w:tblLook w:val="04A0"/>
        </w:tblPrEx>
        <w:trPr>
          <w:cantSplit/>
        </w:trPr>
        <w:tc>
          <w:tcPr>
            <w:tcW w:w="1229" w:type="dxa"/>
            <w:shd w:val="clear" w:color="auto" w:fill="auto"/>
            <w:vAlign w:val="center"/>
          </w:tcPr>
          <w:p w:rsidR="00911580" w:rsidRPr="0072600F" w14:paraId="606D3A1D" w14:textId="77777777">
            <w:pPr>
              <w:jc w:val="center"/>
              <w:rPr>
                <w:rFonts w:ascii="Times New Roman" w:hAnsi="Times New Roman" w:cs="Times New Roman"/>
                <w:sz w:val="26"/>
                <w:szCs w:val="26"/>
              </w:rPr>
            </w:pPr>
            <w:r w:rsidRPr="0072600F">
              <w:rPr>
                <w:rFonts w:ascii="Times New Roman" w:hAnsi="Times New Roman" w:cs="Times New Roman"/>
                <w:sz w:val="26"/>
                <w:szCs w:val="26"/>
              </w:rPr>
              <w:t>wtgwgo_a</w:t>
            </w:r>
          </w:p>
        </w:tc>
        <w:tc>
          <w:tcPr>
            <w:tcW w:w="1683" w:type="dxa"/>
            <w:shd w:val="clear" w:color="auto" w:fill="auto"/>
            <w:vAlign w:val="center"/>
          </w:tcPr>
          <w:p w:rsidR="00911580" w:rsidRPr="0072600F" w14:paraId="595B5C80" w14:textId="77777777">
            <w:pPr>
              <w:jc w:val="center"/>
              <w:rPr>
                <w:rFonts w:ascii="Times New Roman" w:hAnsi="Times New Roman" w:cs="Times New Roman"/>
                <w:sz w:val="26"/>
                <w:szCs w:val="26"/>
              </w:rPr>
            </w:pPr>
            <w:r w:rsidRPr="0072600F">
              <w:rPr>
                <w:rFonts w:ascii="Times New Roman" w:hAnsi="Times New Roman" w:cs="Times New Roman"/>
                <w:sz w:val="26"/>
                <w:szCs w:val="26"/>
              </w:rPr>
              <w:t>WTGWGOAU</w:t>
            </w:r>
          </w:p>
        </w:tc>
        <w:tc>
          <w:tcPr>
            <w:tcW w:w="1723" w:type="dxa"/>
            <w:shd w:val="clear" w:color="auto" w:fill="auto"/>
            <w:vAlign w:val="center"/>
          </w:tcPr>
          <w:p w:rsidR="00911580" w:rsidRPr="0072600F" w14:paraId="20F87EE8" w14:textId="77777777">
            <w:pPr>
              <w:jc w:val="center"/>
              <w:rPr>
                <w:rFonts w:ascii="Times New Roman" w:hAnsi="Times New Roman" w:cs="Times New Roman"/>
                <w:sz w:val="26"/>
                <w:szCs w:val="26"/>
              </w:rPr>
            </w:pPr>
            <w:r w:rsidRPr="0072600F">
              <w:rPr>
                <w:rFonts w:ascii="Times New Roman" w:hAnsi="Times New Roman" w:cs="Times New Roman"/>
                <w:sz w:val="26"/>
                <w:szCs w:val="26"/>
              </w:rPr>
              <w:t>WTGWGO_A</w:t>
            </w:r>
          </w:p>
        </w:tc>
        <w:tc>
          <w:tcPr>
            <w:tcW w:w="5260" w:type="dxa"/>
            <w:shd w:val="clear" w:color="auto" w:fill="auto"/>
            <w:vAlign w:val="center"/>
          </w:tcPr>
          <w:p w:rsidR="00911580" w:rsidRPr="0072600F" w14:paraId="78294D0A" w14:textId="77777777">
            <w:pPr>
              <w:jc w:val="center"/>
              <w:rPr>
                <w:rFonts w:ascii="Times New Roman" w:hAnsi="Times New Roman" w:cs="Times New Roman"/>
                <w:sz w:val="26"/>
                <w:szCs w:val="26"/>
              </w:rPr>
            </w:pPr>
            <w:r w:rsidRPr="0072600F">
              <w:rPr>
                <w:rFonts w:ascii="Times New Roman" w:hAnsi="Times New Roman" w:cs="Times New Roman"/>
                <w:sz w:val="26"/>
                <w:szCs w:val="26"/>
              </w:rPr>
              <w:t>Supplementary control model for Weak Grids</w:t>
            </w:r>
          </w:p>
        </w:tc>
      </w:tr>
      <w:tr w14:paraId="399C7E70" w14:textId="77777777">
        <w:tblPrEx>
          <w:tblW w:w="9895" w:type="dxa"/>
          <w:tblLook w:val="04A0"/>
        </w:tblPrEx>
        <w:trPr>
          <w:cantSplit/>
        </w:trPr>
        <w:tc>
          <w:tcPr>
            <w:tcW w:w="1229" w:type="dxa"/>
            <w:shd w:val="clear" w:color="auto" w:fill="auto"/>
            <w:vAlign w:val="center"/>
          </w:tcPr>
          <w:p w:rsidR="00911580" w:rsidRPr="0072600F" w14:paraId="5EA8A60A" w14:textId="77777777">
            <w:pPr>
              <w:jc w:val="center"/>
              <w:rPr>
                <w:rFonts w:ascii="Times New Roman" w:hAnsi="Times New Roman" w:cs="Times New Roman"/>
                <w:sz w:val="26"/>
                <w:szCs w:val="26"/>
              </w:rPr>
            </w:pPr>
            <w:r w:rsidRPr="0072600F">
              <w:rPr>
                <w:rFonts w:ascii="Times New Roman" w:hAnsi="Times New Roman" w:cs="Times New Roman"/>
                <w:sz w:val="26"/>
                <w:szCs w:val="26"/>
              </w:rPr>
              <w:t>wtgibffr_a</w:t>
            </w:r>
          </w:p>
        </w:tc>
        <w:tc>
          <w:tcPr>
            <w:tcW w:w="1683" w:type="dxa"/>
            <w:shd w:val="clear" w:color="auto" w:fill="auto"/>
            <w:vAlign w:val="center"/>
          </w:tcPr>
          <w:p w:rsidR="00911580" w:rsidRPr="0072600F" w14:paraId="06F6A980" w14:textId="77777777">
            <w:pPr>
              <w:jc w:val="center"/>
              <w:rPr>
                <w:rFonts w:ascii="Times New Roman" w:hAnsi="Times New Roman" w:cs="Times New Roman"/>
                <w:sz w:val="26"/>
                <w:szCs w:val="26"/>
              </w:rPr>
            </w:pPr>
            <w:r w:rsidRPr="0072600F">
              <w:rPr>
                <w:rFonts w:ascii="Times New Roman" w:hAnsi="Times New Roman" w:cs="Times New Roman"/>
                <w:sz w:val="26"/>
                <w:szCs w:val="26"/>
              </w:rPr>
              <w:t>WTGIBFFRA</w:t>
            </w:r>
          </w:p>
        </w:tc>
        <w:tc>
          <w:tcPr>
            <w:tcW w:w="1723" w:type="dxa"/>
            <w:shd w:val="clear" w:color="auto" w:fill="auto"/>
            <w:vAlign w:val="center"/>
          </w:tcPr>
          <w:p w:rsidR="00911580" w:rsidRPr="0072600F" w14:paraId="3FD13B23" w14:textId="77777777">
            <w:pPr>
              <w:jc w:val="center"/>
              <w:rPr>
                <w:rFonts w:ascii="Times New Roman" w:hAnsi="Times New Roman" w:cs="Times New Roman"/>
                <w:sz w:val="26"/>
                <w:szCs w:val="26"/>
              </w:rPr>
            </w:pPr>
            <w:r w:rsidRPr="0072600F">
              <w:rPr>
                <w:rFonts w:ascii="Times New Roman" w:hAnsi="Times New Roman" w:cs="Times New Roman"/>
                <w:sz w:val="26"/>
                <w:szCs w:val="26"/>
              </w:rPr>
              <w:t>WTGIBFFR_A</w:t>
            </w:r>
          </w:p>
        </w:tc>
        <w:tc>
          <w:tcPr>
            <w:tcW w:w="5260" w:type="dxa"/>
            <w:shd w:val="clear" w:color="auto" w:fill="auto"/>
            <w:vAlign w:val="center"/>
          </w:tcPr>
          <w:p w:rsidR="00911580" w:rsidRPr="0072600F" w14:paraId="58D68AED" w14:textId="77777777">
            <w:pPr>
              <w:jc w:val="center"/>
              <w:rPr>
                <w:rFonts w:ascii="Times New Roman" w:hAnsi="Times New Roman" w:cs="Times New Roman"/>
                <w:sz w:val="26"/>
                <w:szCs w:val="26"/>
              </w:rPr>
            </w:pPr>
            <w:r w:rsidRPr="0072600F">
              <w:rPr>
                <w:rFonts w:ascii="Times New Roman" w:hAnsi="Times New Roman" w:cs="Times New Roman"/>
                <w:sz w:val="26"/>
                <w:szCs w:val="26"/>
              </w:rPr>
              <w:t>Inertial-base fast frequency response control</w:t>
            </w:r>
          </w:p>
        </w:tc>
      </w:tr>
      <w:tr w14:paraId="5E556C10" w14:textId="77777777">
        <w:tblPrEx>
          <w:tblW w:w="9895" w:type="dxa"/>
          <w:tblLook w:val="04A0"/>
        </w:tblPrEx>
        <w:trPr>
          <w:cantSplit/>
        </w:trPr>
        <w:tc>
          <w:tcPr>
            <w:tcW w:w="1229" w:type="dxa"/>
            <w:shd w:val="clear" w:color="auto" w:fill="auto"/>
            <w:vAlign w:val="center"/>
          </w:tcPr>
          <w:p w:rsidR="00911580" w:rsidRPr="0072600F" w14:paraId="43AB6E72" w14:textId="77777777">
            <w:pPr>
              <w:jc w:val="center"/>
              <w:rPr>
                <w:rFonts w:ascii="Times New Roman" w:hAnsi="Times New Roman" w:cs="Times New Roman"/>
                <w:sz w:val="26"/>
                <w:szCs w:val="26"/>
              </w:rPr>
            </w:pPr>
            <w:r w:rsidRPr="0072600F">
              <w:rPr>
                <w:rFonts w:ascii="Times New Roman" w:hAnsi="Times New Roman" w:cs="Times New Roman"/>
                <w:sz w:val="26"/>
                <w:szCs w:val="26"/>
              </w:rPr>
              <w:t>wtgp_b</w:t>
            </w:r>
          </w:p>
        </w:tc>
        <w:tc>
          <w:tcPr>
            <w:tcW w:w="1683" w:type="dxa"/>
            <w:shd w:val="clear" w:color="auto" w:fill="auto"/>
            <w:vAlign w:val="center"/>
          </w:tcPr>
          <w:p w:rsidR="00911580" w:rsidRPr="0072600F" w14:paraId="22B8EA80" w14:textId="77777777">
            <w:pPr>
              <w:jc w:val="center"/>
              <w:rPr>
                <w:rFonts w:ascii="Times New Roman" w:hAnsi="Times New Roman" w:cs="Times New Roman"/>
                <w:sz w:val="26"/>
                <w:szCs w:val="26"/>
              </w:rPr>
            </w:pPr>
            <w:r w:rsidRPr="0072600F">
              <w:rPr>
                <w:rFonts w:ascii="Times New Roman" w:hAnsi="Times New Roman" w:cs="Times New Roman"/>
                <w:sz w:val="26"/>
                <w:szCs w:val="26"/>
              </w:rPr>
              <w:t>WTPTBU1</w:t>
            </w:r>
          </w:p>
        </w:tc>
        <w:tc>
          <w:tcPr>
            <w:tcW w:w="1723" w:type="dxa"/>
            <w:shd w:val="clear" w:color="auto" w:fill="auto"/>
            <w:vAlign w:val="center"/>
          </w:tcPr>
          <w:p w:rsidR="00911580" w:rsidRPr="0072600F" w14:paraId="2B08F73C" w14:textId="77777777">
            <w:pPr>
              <w:jc w:val="center"/>
              <w:rPr>
                <w:rFonts w:ascii="Times New Roman" w:hAnsi="Times New Roman" w:cs="Times New Roman"/>
                <w:sz w:val="26"/>
                <w:szCs w:val="26"/>
              </w:rPr>
            </w:pPr>
            <w:r w:rsidRPr="0072600F">
              <w:rPr>
                <w:rFonts w:ascii="Times New Roman" w:hAnsi="Times New Roman" w:cs="Times New Roman"/>
                <w:sz w:val="26"/>
                <w:szCs w:val="26"/>
              </w:rPr>
              <w:t>WTGPT_B</w:t>
            </w:r>
          </w:p>
        </w:tc>
        <w:tc>
          <w:tcPr>
            <w:tcW w:w="5260" w:type="dxa"/>
            <w:shd w:val="clear" w:color="auto" w:fill="auto"/>
            <w:vAlign w:val="center"/>
          </w:tcPr>
          <w:p w:rsidR="00911580" w:rsidRPr="0072600F" w14:paraId="12017E42" w14:textId="77777777">
            <w:pPr>
              <w:jc w:val="center"/>
              <w:rPr>
                <w:rFonts w:ascii="Times New Roman" w:hAnsi="Times New Roman" w:cs="Times New Roman"/>
                <w:sz w:val="26"/>
                <w:szCs w:val="26"/>
              </w:rPr>
            </w:pPr>
            <w:r w:rsidRPr="0072600F">
              <w:rPr>
                <w:rFonts w:ascii="Times New Roman" w:hAnsi="Times New Roman" w:cs="Times New Roman"/>
                <w:sz w:val="26"/>
                <w:szCs w:val="26"/>
              </w:rPr>
              <w:t>Wind Turbine Generator Pitch controller</w:t>
            </w:r>
          </w:p>
        </w:tc>
      </w:tr>
      <w:tr w14:paraId="01C1A028" w14:textId="77777777">
        <w:tblPrEx>
          <w:tblW w:w="9895" w:type="dxa"/>
          <w:tblLook w:val="04A0"/>
        </w:tblPrEx>
        <w:trPr>
          <w:cantSplit/>
        </w:trPr>
        <w:tc>
          <w:tcPr>
            <w:tcW w:w="1229" w:type="dxa"/>
            <w:shd w:val="clear" w:color="auto" w:fill="auto"/>
            <w:vAlign w:val="center"/>
          </w:tcPr>
          <w:p w:rsidR="00911580" w:rsidRPr="0072600F" w14:paraId="0E1F8399" w14:textId="77777777">
            <w:pPr>
              <w:jc w:val="center"/>
              <w:rPr>
                <w:rFonts w:ascii="Times New Roman" w:hAnsi="Times New Roman" w:cs="Times New Roman"/>
                <w:sz w:val="26"/>
                <w:szCs w:val="26"/>
              </w:rPr>
            </w:pPr>
            <w:r w:rsidRPr="0072600F">
              <w:rPr>
                <w:rFonts w:ascii="Times New Roman" w:hAnsi="Times New Roman" w:cs="Times New Roman"/>
                <w:sz w:val="26"/>
                <w:szCs w:val="26"/>
              </w:rPr>
              <w:t>wtgt_b</w:t>
            </w:r>
          </w:p>
        </w:tc>
        <w:tc>
          <w:tcPr>
            <w:tcW w:w="1683" w:type="dxa"/>
            <w:shd w:val="clear" w:color="auto" w:fill="auto"/>
            <w:vAlign w:val="center"/>
          </w:tcPr>
          <w:p w:rsidR="00911580" w:rsidRPr="0072600F" w14:paraId="6A0839A1" w14:textId="77777777">
            <w:pPr>
              <w:jc w:val="center"/>
              <w:rPr>
                <w:rFonts w:ascii="Times New Roman" w:hAnsi="Times New Roman" w:cs="Times New Roman"/>
                <w:sz w:val="26"/>
                <w:szCs w:val="26"/>
              </w:rPr>
            </w:pPr>
            <w:r w:rsidRPr="0072600F">
              <w:rPr>
                <w:rFonts w:ascii="Times New Roman" w:hAnsi="Times New Roman" w:cs="Times New Roman"/>
                <w:sz w:val="26"/>
                <w:szCs w:val="26"/>
              </w:rPr>
              <w:t>WTDTBU1</w:t>
            </w:r>
          </w:p>
        </w:tc>
        <w:tc>
          <w:tcPr>
            <w:tcW w:w="1723" w:type="dxa"/>
            <w:shd w:val="clear" w:color="auto" w:fill="auto"/>
            <w:vAlign w:val="center"/>
          </w:tcPr>
          <w:p w:rsidR="00911580" w:rsidRPr="0072600F" w14:paraId="5897C667" w14:textId="77777777">
            <w:pPr>
              <w:jc w:val="center"/>
              <w:rPr>
                <w:rFonts w:ascii="Times New Roman" w:hAnsi="Times New Roman" w:cs="Times New Roman"/>
                <w:sz w:val="26"/>
                <w:szCs w:val="26"/>
              </w:rPr>
            </w:pPr>
            <w:r w:rsidRPr="0072600F">
              <w:rPr>
                <w:rFonts w:ascii="Times New Roman" w:hAnsi="Times New Roman" w:cs="Times New Roman"/>
                <w:sz w:val="26"/>
                <w:szCs w:val="26"/>
              </w:rPr>
              <w:t>WTGT_B</w:t>
            </w:r>
          </w:p>
        </w:tc>
        <w:tc>
          <w:tcPr>
            <w:tcW w:w="5260" w:type="dxa"/>
            <w:shd w:val="clear" w:color="auto" w:fill="auto"/>
            <w:vAlign w:val="center"/>
          </w:tcPr>
          <w:p w:rsidR="00911580" w:rsidRPr="0072600F" w14:paraId="51A3535B" w14:textId="77777777">
            <w:pPr>
              <w:jc w:val="center"/>
              <w:rPr>
                <w:rFonts w:ascii="Times New Roman" w:hAnsi="Times New Roman" w:cs="Times New Roman"/>
                <w:sz w:val="26"/>
                <w:szCs w:val="26"/>
              </w:rPr>
            </w:pPr>
            <w:r w:rsidRPr="0072600F">
              <w:rPr>
                <w:rFonts w:ascii="Times New Roman" w:hAnsi="Times New Roman" w:cs="Times New Roman"/>
                <w:sz w:val="26"/>
                <w:szCs w:val="26"/>
              </w:rPr>
              <w:t>Drive train model</w:t>
            </w:r>
          </w:p>
        </w:tc>
      </w:tr>
      <w:tr w14:paraId="49526BA1" w14:textId="77777777">
        <w:tblPrEx>
          <w:tblW w:w="9895" w:type="dxa"/>
          <w:tblLook w:val="04A0"/>
        </w:tblPrEx>
        <w:trPr>
          <w:cantSplit/>
        </w:trPr>
        <w:tc>
          <w:tcPr>
            <w:tcW w:w="1229" w:type="dxa"/>
            <w:shd w:val="clear" w:color="auto" w:fill="auto"/>
            <w:vAlign w:val="center"/>
          </w:tcPr>
          <w:p w:rsidR="00911580" w:rsidRPr="0072600F" w14:paraId="7C29C6B1"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repc_a</w:t>
            </w:r>
          </w:p>
        </w:tc>
        <w:tc>
          <w:tcPr>
            <w:tcW w:w="1683" w:type="dxa"/>
            <w:shd w:val="clear" w:color="auto" w:fill="auto"/>
            <w:vAlign w:val="center"/>
          </w:tcPr>
          <w:p w:rsidR="00911580" w:rsidRPr="0072600F" w14:paraId="69B85BED" w14:textId="77777777">
            <w:pPr>
              <w:jc w:val="center"/>
              <w:rPr>
                <w:rFonts w:ascii="Times New Roman" w:hAnsi="Times New Roman" w:cs="Times New Roman"/>
                <w:sz w:val="26"/>
                <w:szCs w:val="26"/>
              </w:rPr>
            </w:pPr>
            <w:r w:rsidRPr="0072600F">
              <w:rPr>
                <w:rFonts w:ascii="Times New Roman" w:hAnsi="Times New Roman" w:cs="Times New Roman"/>
                <w:sz w:val="26"/>
                <w:szCs w:val="26"/>
              </w:rPr>
              <w:t>Type 4: REPCAU1 (v33),</w:t>
            </w:r>
          </w:p>
          <w:p w:rsidR="00911580" w:rsidRPr="0072600F" w14:paraId="60AB8BF5"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REPCA1 (v34)</w:t>
            </w:r>
          </w:p>
          <w:p w:rsidR="00911580" w:rsidRPr="0072600F" w14:paraId="30250F52" w14:textId="77777777">
            <w:pPr>
              <w:jc w:val="center"/>
              <w:rPr>
                <w:rFonts w:ascii="Times New Roman" w:hAnsi="Times New Roman" w:cs="Times New Roman"/>
                <w:sz w:val="26"/>
                <w:szCs w:val="26"/>
              </w:rPr>
            </w:pPr>
          </w:p>
          <w:p w:rsidR="00911580" w:rsidRPr="0072600F" w14:paraId="18C9840C" w14:textId="77777777">
            <w:pPr>
              <w:jc w:val="center"/>
              <w:rPr>
                <w:rFonts w:ascii="Times New Roman" w:hAnsi="Times New Roman" w:cs="Times New Roman"/>
                <w:sz w:val="26"/>
                <w:szCs w:val="26"/>
              </w:rPr>
            </w:pPr>
            <w:r w:rsidRPr="0072600F">
              <w:rPr>
                <w:rFonts w:ascii="Times New Roman" w:hAnsi="Times New Roman" w:cs="Times New Roman"/>
                <w:sz w:val="26"/>
                <w:szCs w:val="26"/>
              </w:rPr>
              <w:t>Type 3: REPCTAU1 (v33),</w:t>
            </w:r>
          </w:p>
          <w:p w:rsidR="00911580" w:rsidRPr="0072600F" w14:paraId="05DB903D"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REPCTA1 (v34)</w:t>
            </w:r>
          </w:p>
        </w:tc>
        <w:tc>
          <w:tcPr>
            <w:tcW w:w="1723" w:type="dxa"/>
            <w:shd w:val="clear" w:color="auto" w:fill="auto"/>
            <w:vAlign w:val="center"/>
          </w:tcPr>
          <w:p w:rsidR="00911580" w:rsidRPr="0072600F" w14:paraId="53391966"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REPC_A</w:t>
            </w:r>
          </w:p>
        </w:tc>
        <w:tc>
          <w:tcPr>
            <w:tcW w:w="5260" w:type="dxa"/>
            <w:shd w:val="clear" w:color="auto" w:fill="auto"/>
            <w:vAlign w:val="center"/>
          </w:tcPr>
          <w:p w:rsidR="00911580" w:rsidRPr="0072600F" w14:paraId="50904275" w14:textId="77777777">
            <w:pPr>
              <w:jc w:val="center"/>
              <w:rPr>
                <w:rFonts w:ascii="Times New Roman" w:hAnsi="Times New Roman" w:cs="Times New Roman"/>
                <w:sz w:val="26"/>
                <w:szCs w:val="26"/>
              </w:rPr>
            </w:pPr>
            <w:r w:rsidRPr="0072600F">
              <w:rPr>
                <w:rFonts w:ascii="Times New Roman" w:hAnsi="Times New Roman" w:cs="Times New Roman"/>
                <w:sz w:val="26"/>
                <w:szCs w:val="26"/>
              </w:rPr>
              <w:t>Power Plant Controller</w:t>
            </w:r>
          </w:p>
        </w:tc>
      </w:tr>
      <w:tr w14:paraId="54792751" w14:textId="77777777">
        <w:tblPrEx>
          <w:tblW w:w="9895" w:type="dxa"/>
          <w:tblLook w:val="04A0"/>
        </w:tblPrEx>
        <w:trPr>
          <w:cantSplit/>
        </w:trPr>
        <w:tc>
          <w:tcPr>
            <w:tcW w:w="1229" w:type="dxa"/>
            <w:shd w:val="clear" w:color="auto" w:fill="auto"/>
            <w:vAlign w:val="center"/>
          </w:tcPr>
          <w:p w:rsidR="00911580" w:rsidRPr="0072600F" w14:paraId="79F7D341"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repc_b</w:t>
            </w:r>
          </w:p>
        </w:tc>
        <w:tc>
          <w:tcPr>
            <w:tcW w:w="1683" w:type="dxa"/>
            <w:shd w:val="clear" w:color="auto" w:fill="auto"/>
            <w:vAlign w:val="center"/>
          </w:tcPr>
          <w:p w:rsidR="00911580" w:rsidRPr="0072600F" w14:paraId="337067AA" w14:textId="77777777">
            <w:pPr>
              <w:jc w:val="center"/>
              <w:rPr>
                <w:rFonts w:ascii="Times New Roman" w:hAnsi="Times New Roman" w:cs="Times New Roman"/>
                <w:sz w:val="26"/>
                <w:szCs w:val="26"/>
              </w:rPr>
            </w:pPr>
            <w:r w:rsidRPr="0072600F">
              <w:rPr>
                <w:rFonts w:ascii="Times New Roman" w:hAnsi="Times New Roman" w:cs="Times New Roman"/>
                <w:sz w:val="26"/>
                <w:szCs w:val="26"/>
              </w:rPr>
              <w:t>PLNTBU1</w:t>
            </w:r>
          </w:p>
          <w:p w:rsidR="00911580" w:rsidRPr="0072600F" w14:paraId="7A45B2C1" w14:textId="77777777">
            <w:pPr>
              <w:jc w:val="center"/>
              <w:rPr>
                <w:rFonts w:ascii="Times New Roman" w:hAnsi="Times New Roman" w:cs="Times New Roman"/>
                <w:sz w:val="26"/>
                <w:szCs w:val="26"/>
              </w:rPr>
            </w:pPr>
          </w:p>
        </w:tc>
        <w:tc>
          <w:tcPr>
            <w:tcW w:w="1723" w:type="dxa"/>
            <w:shd w:val="clear" w:color="auto" w:fill="auto"/>
            <w:vAlign w:val="center"/>
          </w:tcPr>
          <w:p w:rsidR="00911580" w:rsidRPr="0072600F" w14:paraId="5EE799B0"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REPC_B</w:t>
            </w:r>
          </w:p>
        </w:tc>
        <w:tc>
          <w:tcPr>
            <w:tcW w:w="5260" w:type="dxa"/>
            <w:shd w:val="clear" w:color="auto" w:fill="auto"/>
            <w:vAlign w:val="center"/>
          </w:tcPr>
          <w:p w:rsidR="00911580" w:rsidRPr="0072600F" w14:paraId="75FFCD46" w14:textId="77777777">
            <w:pPr>
              <w:jc w:val="center"/>
              <w:rPr>
                <w:rFonts w:ascii="Times New Roman" w:hAnsi="Times New Roman" w:cs="Times New Roman"/>
                <w:sz w:val="26"/>
                <w:szCs w:val="26"/>
              </w:rPr>
            </w:pPr>
            <w:r w:rsidRPr="0072600F">
              <w:rPr>
                <w:rFonts w:ascii="Times New Roman" w:hAnsi="Times New Roman" w:cs="Times New Roman"/>
                <w:sz w:val="26"/>
                <w:szCs w:val="26"/>
              </w:rPr>
              <w:t>Power Plant Level Controller for controlling several plants/devices</w:t>
            </w:r>
          </w:p>
          <w:p w:rsidR="00911580" w:rsidRPr="0072600F" w14:paraId="7172FC8C" w14:textId="77777777">
            <w:pPr>
              <w:jc w:val="center"/>
              <w:rPr>
                <w:rFonts w:ascii="Times New Roman" w:hAnsi="Times New Roman" w:cs="Times New Roman"/>
                <w:sz w:val="26"/>
                <w:szCs w:val="26"/>
              </w:rPr>
            </w:pPr>
          </w:p>
          <w:p w:rsidR="00911580" w:rsidRPr="0072600F" w14:paraId="634F8C74" w14:textId="77777777">
            <w:pPr>
              <w:jc w:val="center"/>
              <w:rPr>
                <w:rFonts w:ascii="Times New Roman" w:hAnsi="Times New Roman" w:cs="Times New Roman"/>
                <w:sz w:val="26"/>
                <w:szCs w:val="26"/>
              </w:rPr>
            </w:pPr>
            <w:r w:rsidRPr="0072600F">
              <w:rPr>
                <w:rFonts w:ascii="Times New Roman" w:hAnsi="Times New Roman" w:cs="Times New Roman"/>
                <w:sz w:val="26"/>
                <w:szCs w:val="26"/>
              </w:rPr>
              <w:t>In regard to Siemens PSS/E*:</w:t>
            </w:r>
          </w:p>
          <w:p w:rsidR="00911580" w:rsidRPr="0072600F" w14:paraId="7DCC393F" w14:textId="77777777">
            <w:pPr>
              <w:jc w:val="center"/>
              <w:rPr>
                <w:rFonts w:ascii="Times New Roman" w:hAnsi="Times New Roman" w:cs="Times New Roman"/>
                <w:sz w:val="26"/>
                <w:szCs w:val="26"/>
              </w:rPr>
            </w:pPr>
            <w:r w:rsidRPr="0072600F">
              <w:rPr>
                <w:rFonts w:ascii="Times New Roman" w:hAnsi="Times New Roman" w:cs="Times New Roman"/>
                <w:sz w:val="26"/>
                <w:szCs w:val="26"/>
              </w:rPr>
              <w:t>Names of other models for interface with other devices:</w:t>
            </w:r>
          </w:p>
          <w:p w:rsidR="00911580" w:rsidRPr="0072600F" w14:paraId="1EBD1070" w14:textId="77777777">
            <w:pPr>
              <w:jc w:val="center"/>
              <w:rPr>
                <w:rFonts w:ascii="Times New Roman" w:hAnsi="Times New Roman" w:cs="Times New Roman"/>
                <w:sz w:val="26"/>
                <w:szCs w:val="26"/>
              </w:rPr>
            </w:pPr>
            <w:r w:rsidRPr="0072600F">
              <w:rPr>
                <w:rFonts w:ascii="Times New Roman" w:hAnsi="Times New Roman" w:cs="Times New Roman"/>
                <w:sz w:val="26"/>
                <w:szCs w:val="26"/>
              </w:rPr>
              <w:t>REA3XBU1, REAX4BU1- for interface with Type 3 and 4 renewable machines</w:t>
            </w:r>
          </w:p>
          <w:p w:rsidR="00911580" w:rsidRPr="0072600F" w14:paraId="562C578D" w14:textId="77777777">
            <w:pPr>
              <w:jc w:val="center"/>
              <w:rPr>
                <w:rFonts w:ascii="Times New Roman" w:hAnsi="Times New Roman" w:cs="Times New Roman"/>
                <w:sz w:val="26"/>
                <w:szCs w:val="26"/>
              </w:rPr>
            </w:pPr>
            <w:r w:rsidRPr="0072600F">
              <w:rPr>
                <w:rFonts w:ascii="Times New Roman" w:hAnsi="Times New Roman" w:cs="Times New Roman"/>
                <w:sz w:val="26"/>
                <w:szCs w:val="26"/>
              </w:rPr>
              <w:t xml:space="preserve">SWSAXBU1- for interface with SVC (modeled as switched shunt in </w:t>
            </w:r>
            <w:r w:rsidRPr="0072600F">
              <w:rPr>
                <w:rFonts w:ascii="Times New Roman" w:hAnsi="Times New Roman" w:cs="Times New Roman"/>
                <w:sz w:val="26"/>
                <w:szCs w:val="26"/>
              </w:rPr>
              <w:t>powerflow</w:t>
            </w:r>
            <w:r w:rsidRPr="0072600F">
              <w:rPr>
                <w:rFonts w:ascii="Times New Roman" w:hAnsi="Times New Roman" w:cs="Times New Roman"/>
                <w:sz w:val="26"/>
                <w:szCs w:val="26"/>
              </w:rPr>
              <w:t>)</w:t>
            </w:r>
          </w:p>
          <w:p w:rsidR="00911580" w:rsidRPr="0072600F" w14:paraId="7E27A545" w14:textId="77777777">
            <w:pPr>
              <w:jc w:val="center"/>
              <w:rPr>
                <w:rFonts w:ascii="Times New Roman" w:hAnsi="Times New Roman" w:cs="Times New Roman"/>
                <w:sz w:val="26"/>
                <w:szCs w:val="26"/>
              </w:rPr>
            </w:pPr>
            <w:r w:rsidRPr="0072600F">
              <w:rPr>
                <w:rFonts w:ascii="Times New Roman" w:hAnsi="Times New Roman" w:cs="Times New Roman"/>
                <w:sz w:val="26"/>
                <w:szCs w:val="26"/>
              </w:rPr>
              <w:t>SYNAXBU1- for interface with synchronous condenser</w:t>
            </w:r>
          </w:p>
          <w:p w:rsidR="00911580" w:rsidRPr="0072600F" w14:paraId="51FC3B3B" w14:textId="77777777">
            <w:pPr>
              <w:jc w:val="center"/>
              <w:rPr>
                <w:rFonts w:ascii="Times New Roman" w:hAnsi="Times New Roman" w:cs="Times New Roman"/>
                <w:sz w:val="26"/>
                <w:szCs w:val="26"/>
              </w:rPr>
            </w:pPr>
            <w:r w:rsidRPr="0072600F">
              <w:rPr>
                <w:rFonts w:ascii="Times New Roman" w:hAnsi="Times New Roman" w:cs="Times New Roman"/>
                <w:sz w:val="26"/>
                <w:szCs w:val="26"/>
              </w:rPr>
              <w:t>FCTAXBU1- for interface with FACTS device</w:t>
            </w:r>
          </w:p>
        </w:tc>
      </w:tr>
      <w:tr w14:paraId="5052CF04" w14:textId="77777777">
        <w:tblPrEx>
          <w:tblW w:w="9895" w:type="dxa"/>
          <w:tblLook w:val="04A0"/>
        </w:tblPrEx>
        <w:trPr>
          <w:cantSplit/>
        </w:trPr>
        <w:tc>
          <w:tcPr>
            <w:tcW w:w="1229" w:type="dxa"/>
            <w:shd w:val="clear" w:color="auto" w:fill="auto"/>
            <w:vAlign w:val="center"/>
          </w:tcPr>
          <w:p w:rsidR="00911580" w:rsidRPr="0072600F" w14:paraId="46E622F2"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repc_c</w:t>
            </w:r>
          </w:p>
        </w:tc>
        <w:tc>
          <w:tcPr>
            <w:tcW w:w="1683" w:type="dxa"/>
            <w:shd w:val="clear" w:color="auto" w:fill="auto"/>
            <w:vAlign w:val="center"/>
          </w:tcPr>
          <w:p w:rsidR="00911580" w:rsidRPr="0072600F" w14:paraId="05D77390"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REPCCU</w:t>
            </w:r>
          </w:p>
        </w:tc>
        <w:tc>
          <w:tcPr>
            <w:tcW w:w="1723" w:type="dxa"/>
            <w:shd w:val="clear" w:color="auto" w:fill="auto"/>
            <w:vAlign w:val="center"/>
          </w:tcPr>
          <w:p w:rsidR="00911580" w:rsidRPr="0072600F" w14:paraId="35790007" w14:textId="77777777">
            <w:pPr>
              <w:jc w:val="center"/>
              <w:rPr>
                <w:rFonts w:ascii="Times New Roman" w:hAnsi="Times New Roman" w:cs="Times New Roman"/>
                <w:sz w:val="26"/>
                <w:szCs w:val="26"/>
              </w:rPr>
            </w:pPr>
            <w:r w:rsidRPr="0072600F">
              <w:rPr>
                <w:rFonts w:ascii="Times New Roman" w:hAnsi="Times New Roman" w:cs="Times New Roman"/>
                <w:sz w:val="26"/>
                <w:szCs w:val="26"/>
              </w:rPr>
              <w:t>REPC_C</w:t>
            </w:r>
          </w:p>
        </w:tc>
        <w:tc>
          <w:tcPr>
            <w:tcW w:w="5260" w:type="dxa"/>
            <w:shd w:val="clear" w:color="auto" w:fill="auto"/>
            <w:vAlign w:val="center"/>
          </w:tcPr>
          <w:p w:rsidR="00911580" w:rsidRPr="0072600F" w14:paraId="7E02E687" w14:textId="77777777">
            <w:pPr>
              <w:jc w:val="center"/>
              <w:rPr>
                <w:rFonts w:ascii="Times New Roman" w:hAnsi="Times New Roman" w:cs="Times New Roman"/>
                <w:sz w:val="26"/>
                <w:szCs w:val="26"/>
              </w:rPr>
            </w:pPr>
            <w:r w:rsidRPr="0072600F">
              <w:rPr>
                <w:rFonts w:ascii="Times New Roman" w:hAnsi="Times New Roman" w:cs="Times New Roman"/>
                <w:sz w:val="26"/>
                <w:szCs w:val="26"/>
              </w:rPr>
              <w:t>Power plant controller</w:t>
            </w:r>
          </w:p>
        </w:tc>
      </w:tr>
    </w:tbl>
    <w:p w:rsidR="00911580" w:rsidRPr="0072600F" w14:paraId="13DC9D9A" w14:textId="77777777">
      <w:pPr>
        <w:rPr>
          <w:rFonts w:ascii="Times New Roman" w:hAnsi="Times New Roman" w:cs="Times New Roman"/>
          <w:sz w:val="26"/>
          <w:szCs w:val="26"/>
        </w:rPr>
      </w:pPr>
    </w:p>
    <w:p w:rsidR="00911580" w:rsidRPr="0072600F" w14:paraId="1196EBEC" w14:textId="77777777">
      <w:pPr>
        <w:rPr>
          <w:rFonts w:ascii="Times New Roman" w:hAnsi="Times New Roman" w:cs="Times New Roman"/>
          <w:sz w:val="26"/>
          <w:szCs w:val="26"/>
        </w:rPr>
        <w:sectPr>
          <w:pgSz w:w="12240" w:h="15840"/>
          <w:pgMar w:top="1440" w:right="1440" w:bottom="1440" w:left="1440" w:header="1440" w:footer="1440" w:gutter="0"/>
          <w:pgNumType w:fmt="numberInDash" w:start="1"/>
          <w:cols w:space="720"/>
          <w:noEndnote/>
        </w:sectPr>
      </w:pPr>
    </w:p>
    <w:p w:rsidR="00911580" w:rsidRPr="0072600F" w14:paraId="65E58171" w14:textId="77777777">
      <w:pPr>
        <w:rPr>
          <w:rFonts w:ascii="Times New Roman" w:hAnsi="Times New Roman" w:cs="Times New Roman"/>
          <w:sz w:val="26"/>
          <w:szCs w:val="26"/>
        </w:rPr>
        <w:sectPr>
          <w:footerReference w:type="default" r:id="rId28"/>
          <w:type w:val="continuous"/>
          <w:pgSz w:w="12240" w:h="15840"/>
          <w:pgMar w:top="1440" w:right="1440" w:bottom="1440" w:left="1440" w:header="1440" w:footer="1440" w:gutter="0"/>
          <w:cols w:space="720"/>
          <w:noEndnote/>
        </w:sectPr>
      </w:pPr>
    </w:p>
    <w:p w:rsidR="00911580" w:rsidRPr="0072600F" w14:paraId="30A3BB8C"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APPENDIX 2 to LGIP</w:t>
      </w:r>
    </w:p>
    <w:p w:rsidR="00911580" w:rsidRPr="0072600F" w14:paraId="145EA821"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CLUSTER STUDY AGREEMENT</w:t>
      </w:r>
    </w:p>
    <w:p w:rsidR="00911580" w:rsidRPr="0072600F" w14:paraId="0E64AB4B" w14:textId="77777777">
      <w:pPr>
        <w:rPr>
          <w:rFonts w:ascii="Times New Roman" w:hAnsi="Times New Roman" w:cs="Times New Roman"/>
          <w:sz w:val="26"/>
          <w:szCs w:val="26"/>
        </w:rPr>
      </w:pPr>
    </w:p>
    <w:p w:rsidR="00911580" w:rsidRPr="0072600F" w14:paraId="470C23A7" w14:textId="77777777">
      <w:pPr>
        <w:rPr>
          <w:rFonts w:ascii="Times New Roman" w:hAnsi="Times New Roman" w:cs="Times New Roman"/>
          <w:sz w:val="26"/>
          <w:szCs w:val="26"/>
        </w:rPr>
      </w:pPr>
    </w:p>
    <w:p w:rsidR="00911580" w:rsidRPr="0072600F" w14:paraId="37C09B7B"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THIS AGREEMENT</w:t>
      </w:r>
      <w:r w:rsidRPr="0072600F">
        <w:rPr>
          <w:rFonts w:ascii="Times New Roman" w:hAnsi="Times New Roman" w:cs="Times New Roman"/>
          <w:sz w:val="26"/>
          <w:szCs w:val="26"/>
        </w:rPr>
        <w:t xml:space="preserve"> is made and entered into this</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day of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20___ by and between</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a</w:t>
      </w:r>
    </w:p>
    <w:p w:rsidR="00911580" w:rsidRPr="0072600F" w14:paraId="7319810B"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organized and existing under the laws of the State of</w:t>
      </w:r>
    </w:p>
    <w:p w:rsidR="00911580" w:rsidRPr="0072600F" w14:paraId="34786826"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and ________________________</w:t>
      </w:r>
    </w:p>
    <w:p w:rsidR="00911580" w:rsidRPr="0072600F" w14:paraId="0A405C0A" w14:textId="77777777">
      <w:pPr>
        <w:rPr>
          <w:rFonts w:ascii="Times New Roman" w:hAnsi="Times New Roman" w:cs="Times New Roman"/>
          <w:sz w:val="26"/>
          <w:szCs w:val="26"/>
        </w:rPr>
      </w:pP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organized and existing under the laws of the State of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Transmission Provider</w:t>
      </w:r>
      <w:r w:rsidRPr="0072600F" w:rsidR="001661A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and Transmission Provider each may be referred to as a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Party,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or collectively as the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Parties.</w:t>
      </w:r>
      <w:r w:rsidRPr="0072600F" w:rsidR="00C6044A">
        <w:rPr>
          <w:rFonts w:ascii="Times New Roman" w:hAnsi="Times New Roman" w:cs="Times New Roman"/>
          <w:sz w:val="26"/>
          <w:szCs w:val="26"/>
        </w:rPr>
        <w:t>”</w:t>
      </w:r>
    </w:p>
    <w:p w:rsidR="00911580" w:rsidRPr="0072600F" w14:paraId="6217A421" w14:textId="77777777">
      <w:pPr>
        <w:rPr>
          <w:rFonts w:ascii="Times New Roman" w:hAnsi="Times New Roman" w:cs="Times New Roman"/>
          <w:sz w:val="26"/>
          <w:szCs w:val="26"/>
        </w:rPr>
      </w:pPr>
    </w:p>
    <w:p w:rsidR="00911580" w:rsidRPr="0072600F" w14:paraId="40005E2E"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RECITALS</w:t>
      </w:r>
    </w:p>
    <w:p w:rsidR="00911580" w:rsidRPr="0072600F" w14:paraId="6929DC88" w14:textId="77777777">
      <w:pPr>
        <w:rPr>
          <w:rFonts w:ascii="Times New Roman" w:hAnsi="Times New Roman" w:cs="Times New Roman"/>
          <w:sz w:val="26"/>
          <w:szCs w:val="26"/>
        </w:rPr>
      </w:pPr>
    </w:p>
    <w:p w:rsidR="00911580" w:rsidRPr="0072600F" w14:paraId="05FE34BC"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is proposing to develop a Large Generating Facility or generating capacity addition to an existing Generating Facility consistent with the Interconnection Request submitted by Interconnection Customer dated _________________; and</w:t>
      </w:r>
    </w:p>
    <w:p w:rsidR="00911580" w:rsidRPr="0072600F" w14:paraId="0439D649" w14:textId="77777777">
      <w:pPr>
        <w:rPr>
          <w:rFonts w:ascii="Times New Roman" w:hAnsi="Times New Roman" w:cs="Times New Roman"/>
          <w:sz w:val="26"/>
          <w:szCs w:val="26"/>
        </w:rPr>
      </w:pPr>
    </w:p>
    <w:p w:rsidR="00911580" w:rsidRPr="0072600F" w14:paraId="39DE54A9" w14:textId="77777777">
      <w:pPr>
        <w:rPr>
          <w:rFonts w:ascii="Times New Roman" w:hAnsi="Times New Roman" w:cs="Times New Roman"/>
          <w:i/>
          <w:iCs/>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desires to interconnect the Large Generating Facility with the Transmission System; </w:t>
      </w:r>
      <w:r w:rsidRPr="0072600F" w:rsidR="0095559C">
        <w:rPr>
          <w:rFonts w:ascii="Times New Roman" w:hAnsi="Times New Roman" w:cs="Times New Roman"/>
          <w:i/>
          <w:iCs/>
          <w:sz w:val="26"/>
          <w:szCs w:val="26"/>
        </w:rPr>
        <w:t>and</w:t>
      </w:r>
    </w:p>
    <w:p w:rsidR="00911580" w:rsidRPr="0072600F" w14:paraId="21629C55" w14:textId="77777777">
      <w:pPr>
        <w:rPr>
          <w:rFonts w:ascii="Times New Roman" w:hAnsi="Times New Roman" w:cs="Times New Roman"/>
          <w:sz w:val="26"/>
          <w:szCs w:val="26"/>
        </w:rPr>
      </w:pPr>
    </w:p>
    <w:p w:rsidR="00911580" w:rsidRPr="0072600F" w14:paraId="5F14208D" w14:textId="77777777">
      <w:pPr>
        <w:rPr>
          <w:rFonts w:ascii="Times New Roman" w:hAnsi="Times New Roman" w:cs="Times New Roman"/>
          <w:i/>
          <w:iCs/>
          <w:sz w:val="26"/>
          <w:szCs w:val="26"/>
        </w:rPr>
      </w:pPr>
      <w:r w:rsidRPr="0072600F">
        <w:rPr>
          <w:rFonts w:ascii="Times New Roman" w:hAnsi="Times New Roman" w:cs="Times New Roman"/>
          <w:b/>
          <w:bCs/>
          <w:sz w:val="26"/>
          <w:szCs w:val="26"/>
        </w:rPr>
        <w:tab/>
        <w:t>WHEREAS,</w:t>
      </w:r>
      <w:r w:rsidRPr="0072600F">
        <w:rPr>
          <w:rFonts w:ascii="Times New Roman" w:hAnsi="Times New Roman" w:cs="Times New Roman"/>
          <w:sz w:val="26"/>
          <w:szCs w:val="26"/>
        </w:rPr>
        <w:t xml:space="preserve"> Interconnection Customer has requested Transmission Provider to perform a Cluster Study to assess the impact of interconnecting the Large Generating Facility to the Transmission System, and of any Affected Systems; </w:t>
      </w:r>
      <w:r w:rsidRPr="0072600F" w:rsidR="0095559C">
        <w:rPr>
          <w:rFonts w:ascii="Times New Roman" w:hAnsi="Times New Roman" w:cs="Times New Roman"/>
          <w:i/>
          <w:iCs/>
          <w:sz w:val="26"/>
          <w:szCs w:val="26"/>
        </w:rPr>
        <w:t>and</w:t>
      </w:r>
    </w:p>
    <w:p w:rsidR="00911580" w:rsidRPr="0072600F" w14:paraId="2231997E" w14:textId="77777777">
      <w:pPr>
        <w:rPr>
          <w:rFonts w:ascii="Times New Roman" w:hAnsi="Times New Roman" w:cs="Times New Roman"/>
          <w:sz w:val="26"/>
          <w:szCs w:val="26"/>
        </w:rPr>
      </w:pPr>
    </w:p>
    <w:p w:rsidR="00911580" w:rsidRPr="0072600F" w14:paraId="63DA2933"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 xml:space="preserve">NOW, THEREFORE, </w:t>
      </w:r>
      <w:r w:rsidRPr="0072600F">
        <w:rPr>
          <w:rFonts w:ascii="Times New Roman" w:hAnsi="Times New Roman" w:cs="Times New Roman"/>
          <w:sz w:val="26"/>
          <w:szCs w:val="26"/>
        </w:rPr>
        <w:t>in consideration of and subject to the mutual covenants contained herein the Parties agreed as follows:</w:t>
      </w:r>
    </w:p>
    <w:p w:rsidR="00911580" w:rsidRPr="0072600F" w14:paraId="436B6CBC" w14:textId="77777777">
      <w:pPr>
        <w:rPr>
          <w:rFonts w:ascii="Times New Roman" w:hAnsi="Times New Roman" w:cs="Times New Roman"/>
          <w:sz w:val="26"/>
          <w:szCs w:val="26"/>
        </w:rPr>
      </w:pPr>
    </w:p>
    <w:p w:rsidR="00911580" w:rsidRPr="0072600F" w:rsidP="00D64A28" w14:paraId="0B372EA8"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1.0</w:t>
      </w:r>
      <w:r w:rsidRPr="0072600F">
        <w:rPr>
          <w:rFonts w:ascii="Times New Roman" w:hAnsi="Times New Roman" w:cs="Times New Roman"/>
          <w:sz w:val="26"/>
          <w:szCs w:val="26"/>
        </w:rPr>
        <w:tab/>
        <w:t>When used in this Agreement, with initial capitalization, the terms specified shall have the meanings indicated in this LGIP.</w:t>
      </w:r>
    </w:p>
    <w:p w:rsidR="00911580" w:rsidRPr="0072600F" w14:paraId="5F05AC03" w14:textId="77777777">
      <w:pPr>
        <w:rPr>
          <w:rFonts w:ascii="Times New Roman" w:hAnsi="Times New Roman" w:cs="Times New Roman"/>
          <w:sz w:val="26"/>
          <w:szCs w:val="26"/>
        </w:rPr>
      </w:pPr>
    </w:p>
    <w:p w:rsidR="00911580" w:rsidRPr="0072600F" w14:paraId="77A4C5C7"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2.0</w:t>
      </w:r>
      <w:r w:rsidRPr="0072600F">
        <w:rPr>
          <w:rFonts w:ascii="Times New Roman" w:hAnsi="Times New Roman" w:cs="Times New Roman"/>
          <w:sz w:val="26"/>
          <w:szCs w:val="26"/>
        </w:rPr>
        <w:tab/>
        <w:t>Interconnection Customer elects and Transmission Provider shall cause to be performed a Cluster Study consistent with Section 7.0 of this LGIP in accordance with the Tariff.</w:t>
      </w:r>
    </w:p>
    <w:p w:rsidR="00911580" w:rsidRPr="0072600F" w14:paraId="07446991" w14:textId="77777777">
      <w:pPr>
        <w:rPr>
          <w:rFonts w:ascii="Times New Roman" w:hAnsi="Times New Roman" w:cs="Times New Roman"/>
          <w:sz w:val="26"/>
          <w:szCs w:val="26"/>
        </w:rPr>
      </w:pPr>
    </w:p>
    <w:p w:rsidR="00911580" w:rsidRPr="0072600F" w14:paraId="6692A655"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3.0</w:t>
      </w:r>
      <w:r w:rsidRPr="0072600F">
        <w:rPr>
          <w:rFonts w:ascii="Times New Roman" w:hAnsi="Times New Roman" w:cs="Times New Roman"/>
          <w:sz w:val="26"/>
          <w:szCs w:val="26"/>
        </w:rPr>
        <w:tab/>
        <w:t>The scope of the Cluster Study shall be subject to the assumptions set forth in Attachment A to this Agreement.</w:t>
      </w:r>
    </w:p>
    <w:p w:rsidR="00911580" w:rsidRPr="0072600F" w14:paraId="2303EFBC" w14:textId="77777777">
      <w:pPr>
        <w:tabs>
          <w:tab w:val="left" w:pos="720"/>
          <w:tab w:val="left" w:pos="1440"/>
        </w:tabs>
        <w:ind w:left="1440" w:hanging="1440"/>
        <w:rPr>
          <w:rFonts w:ascii="Times New Roman" w:hAnsi="Times New Roman" w:cs="Times New Roman"/>
          <w:sz w:val="26"/>
          <w:szCs w:val="26"/>
        </w:rPr>
      </w:pPr>
    </w:p>
    <w:p w:rsidR="00911580" w:rsidRPr="0072600F" w14:paraId="6910C581"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4.0</w:t>
      </w:r>
      <w:r w:rsidRPr="0072600F">
        <w:rPr>
          <w:rFonts w:ascii="Times New Roman" w:hAnsi="Times New Roman" w:cs="Times New Roman"/>
          <w:sz w:val="26"/>
          <w:szCs w:val="26"/>
        </w:rPr>
        <w:tab/>
        <w:t xml:space="preserve">The Cluster Study will be based upon the technical information provided by Interconnection Customer in the Interconnection Request, subject to any modifications in accordance with Section 4.4 of this LGIP.  Transmission Provider reserves the right to request additional technical information from Interconnection Customer as may reasonably become necessary consistent with Good Utility Practice during the course of the Cluster Study.  </w:t>
      </w:r>
    </w:p>
    <w:p w:rsidR="00911580" w:rsidRPr="0072600F" w14:paraId="4375C745" w14:textId="77777777">
      <w:pPr>
        <w:rPr>
          <w:rFonts w:ascii="Times New Roman" w:hAnsi="Times New Roman" w:cs="Times New Roman"/>
          <w:sz w:val="26"/>
          <w:szCs w:val="26"/>
        </w:rPr>
      </w:pPr>
    </w:p>
    <w:p w:rsidR="00911580" w:rsidRPr="0072600F" w14:paraId="186A8101"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5.0</w:t>
      </w:r>
      <w:r w:rsidRPr="0072600F">
        <w:rPr>
          <w:rFonts w:ascii="Times New Roman" w:hAnsi="Times New Roman" w:cs="Times New Roman"/>
          <w:sz w:val="26"/>
          <w:szCs w:val="26"/>
        </w:rPr>
        <w:tab/>
        <w:t>The Cluster Study Report shall provide the following information:</w:t>
      </w:r>
    </w:p>
    <w:p w:rsidR="00911580" w:rsidRPr="0072600F" w14:paraId="48E3BC29" w14:textId="77777777">
      <w:pPr>
        <w:rPr>
          <w:rFonts w:ascii="Times New Roman" w:hAnsi="Times New Roman" w:cs="Times New Roman"/>
          <w:sz w:val="26"/>
          <w:szCs w:val="26"/>
        </w:rPr>
      </w:pPr>
    </w:p>
    <w:p w:rsidR="00911580" w:rsidRPr="0072600F" w14:paraId="63B63E98"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w:t>
      </w:r>
      <w:r w:rsidRPr="0072600F">
        <w:rPr>
          <w:rFonts w:ascii="Times New Roman" w:hAnsi="Times New Roman" w:cs="Times New Roman"/>
          <w:sz w:val="26"/>
          <w:szCs w:val="26"/>
        </w:rPr>
        <w:tab/>
        <w:t>identification of any circuit breaker short circuit capability limits exceeded as a result of the interconnection;</w:t>
      </w:r>
    </w:p>
    <w:p w:rsidR="00911580" w:rsidRPr="0072600F" w14:paraId="618C34EB" w14:textId="77777777">
      <w:pPr>
        <w:rPr>
          <w:rFonts w:ascii="Times New Roman" w:hAnsi="Times New Roman" w:cs="Times New Roman"/>
          <w:sz w:val="26"/>
          <w:szCs w:val="26"/>
        </w:rPr>
      </w:pPr>
    </w:p>
    <w:p w:rsidR="00911580" w:rsidRPr="0072600F" w14:paraId="5AD70432"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w:t>
      </w:r>
      <w:r w:rsidRPr="0072600F">
        <w:rPr>
          <w:rFonts w:ascii="Times New Roman" w:hAnsi="Times New Roman" w:cs="Times New Roman"/>
          <w:sz w:val="26"/>
          <w:szCs w:val="26"/>
        </w:rPr>
        <w:tab/>
        <w:t xml:space="preserve">identification of any thermal overload or voltage limit violations resulting from the interconnection; </w:t>
      </w:r>
    </w:p>
    <w:p w:rsidR="00911580" w:rsidRPr="0072600F" w14:paraId="05C8D06D"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p>
    <w:p w:rsidR="00911580" w:rsidRPr="0072600F" w14:paraId="03F0AC69"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w:t>
      </w:r>
      <w:r w:rsidRPr="0072600F">
        <w:rPr>
          <w:rFonts w:ascii="Times New Roman" w:hAnsi="Times New Roman" w:cs="Times New Roman"/>
          <w:sz w:val="26"/>
          <w:szCs w:val="26"/>
        </w:rPr>
        <w:tab/>
        <w:t>identification of any instability or inadequately damped response to system disturbances resulting from the interconnection and</w:t>
      </w:r>
    </w:p>
    <w:p w:rsidR="00911580" w:rsidRPr="0072600F" w14:paraId="4312DE35" w14:textId="77777777">
      <w:pPr>
        <w:rPr>
          <w:rFonts w:ascii="Times New Roman" w:hAnsi="Times New Roman" w:cs="Times New Roman"/>
          <w:sz w:val="26"/>
          <w:szCs w:val="26"/>
        </w:rPr>
      </w:pPr>
    </w:p>
    <w:p w:rsidR="00911580" w:rsidRPr="0072600F" w14:paraId="45E37B95"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w:t>
      </w:r>
      <w:r w:rsidRPr="0072600F">
        <w:rPr>
          <w:rFonts w:ascii="Times New Roman" w:hAnsi="Times New Roman" w:cs="Times New Roman"/>
          <w:sz w:val="26"/>
          <w:szCs w:val="26"/>
        </w:rPr>
        <w:tab/>
        <w:t>description and non-binding, good faith estimated cost of facilities required to interconnect the Large Generating Facility to the Transmission System and to address the identified short circuit, instability, and power flow issues.</w:t>
      </w:r>
    </w:p>
    <w:p w:rsidR="00911580" w:rsidRPr="0072600F" w14:paraId="4308E549" w14:textId="77777777">
      <w:pPr>
        <w:rPr>
          <w:rFonts w:ascii="Times New Roman" w:hAnsi="Times New Roman" w:cs="Times New Roman"/>
          <w:sz w:val="26"/>
          <w:szCs w:val="26"/>
        </w:rPr>
      </w:pPr>
    </w:p>
    <w:p w:rsidR="00911580" w:rsidRPr="0072600F" w:rsidP="00D64A28" w14:paraId="4750F969"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6.0</w:t>
      </w:r>
      <w:r w:rsidRPr="0072600F">
        <w:rPr>
          <w:rFonts w:ascii="Times New Roman" w:hAnsi="Times New Roman" w:cs="Times New Roman"/>
          <w:sz w:val="26"/>
          <w:szCs w:val="26"/>
        </w:rPr>
        <w:tab/>
        <w:t xml:space="preserve">Transmission Provider’s good faith estimate for the time of completion of the Cluster Study is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insert date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911580" w:rsidRPr="0072600F" w14:paraId="087D0D76" w14:textId="77777777">
      <w:pPr>
        <w:rPr>
          <w:rFonts w:ascii="Times New Roman" w:hAnsi="Times New Roman" w:cs="Times New Roman"/>
          <w:sz w:val="26"/>
          <w:szCs w:val="26"/>
        </w:rPr>
      </w:pPr>
    </w:p>
    <w:p w:rsidR="00911580" w:rsidRPr="0072600F" w14:paraId="407A12F4" w14:textId="77777777">
      <w:pPr>
        <w:ind w:left="1440"/>
        <w:rPr>
          <w:rFonts w:ascii="Times New Roman" w:hAnsi="Times New Roman" w:cs="Times New Roman"/>
          <w:sz w:val="26"/>
          <w:szCs w:val="26"/>
        </w:rPr>
      </w:pPr>
      <w:r w:rsidRPr="0072600F">
        <w:rPr>
          <w:rFonts w:ascii="Times New Roman" w:hAnsi="Times New Roman" w:cs="Times New Roman"/>
          <w:sz w:val="26"/>
          <w:szCs w:val="26"/>
        </w:rPr>
        <w:t>Upon receipt of the Cluster Study Report, Transmission Provider shall charge and Interconnection Customer shall pay its share of the actual costs of the Cluster Study, consistent with Section 13.3 of this LGIP.</w:t>
      </w:r>
    </w:p>
    <w:p w:rsidR="00911580" w:rsidRPr="0072600F" w14:paraId="2635DF21" w14:textId="77777777">
      <w:pPr>
        <w:rPr>
          <w:rFonts w:ascii="Times New Roman" w:hAnsi="Times New Roman" w:cs="Times New Roman"/>
          <w:sz w:val="26"/>
          <w:szCs w:val="26"/>
        </w:rPr>
      </w:pPr>
    </w:p>
    <w:p w:rsidR="00911580" w:rsidRPr="0072600F" w14:paraId="7BBDA936" w14:textId="77777777">
      <w:pPr>
        <w:ind w:left="1440"/>
        <w:rPr>
          <w:rFonts w:ascii="Times New Roman" w:hAnsi="Times New Roman" w:cs="Times New Roman"/>
          <w:sz w:val="26"/>
          <w:szCs w:val="26"/>
        </w:rPr>
      </w:pPr>
      <w:r w:rsidRPr="0072600F">
        <w:rPr>
          <w:rFonts w:ascii="Times New Roman" w:hAnsi="Times New Roman" w:cs="Times New Roman"/>
          <w:sz w:val="26"/>
          <w:szCs w:val="26"/>
        </w:rPr>
        <w:t>Any difference between the deposit and the actual cost of the study shall be paid by or refunded to Interconnection Customer, as appropriate.</w:t>
      </w:r>
    </w:p>
    <w:p w:rsidR="00911580" w:rsidRPr="0072600F" w14:paraId="36116D9C" w14:textId="77777777">
      <w:pPr>
        <w:rPr>
          <w:rFonts w:ascii="Times New Roman" w:hAnsi="Times New Roman" w:cs="Times New Roman"/>
          <w:sz w:val="26"/>
          <w:szCs w:val="26"/>
        </w:rPr>
      </w:pPr>
    </w:p>
    <w:p w:rsidR="00911580" w:rsidRPr="0072600F" w14:paraId="55A6D037"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7.0</w:t>
      </w:r>
      <w:r w:rsidRPr="0072600F">
        <w:rPr>
          <w:rFonts w:ascii="Times New Roman" w:hAnsi="Times New Roman" w:cs="Times New Roman"/>
          <w:sz w:val="26"/>
          <w:szCs w:val="26"/>
        </w:rPr>
        <w:tab/>
        <w:t>Miscellaneous.  The Cluster Study Agreement shall include standard miscellaneous terms including, but not limited to, indemnities, representations, disclaimers, warranties, governing law, amendment, execution, waiver, enforceability and assignment, that reflect best practices in the electric industry, that are consistent with regional practices, Applicable Laws and Regulations and the organizational nature of each Party.  All of these provisions,</w:t>
      </w:r>
      <w:r w:rsidRPr="0072600F" w:rsidR="00C6044A">
        <w:rPr>
          <w:rFonts w:ascii="Times New Roman" w:hAnsi="Times New Roman" w:cs="Times New Roman"/>
          <w:sz w:val="26"/>
          <w:szCs w:val="26"/>
        </w:rPr>
        <w:t xml:space="preserve"> </w:t>
      </w:r>
      <w:r w:rsidRPr="0072600F">
        <w:rPr>
          <w:rFonts w:ascii="Times New Roman" w:hAnsi="Times New Roman" w:cs="Times New Roman"/>
          <w:sz w:val="26"/>
          <w:szCs w:val="26"/>
        </w:rPr>
        <w:t>to the extent practicable, shall be consistent with the provisions of this LGIP and</w:t>
      </w:r>
      <w:r w:rsidRPr="0072600F" w:rsidR="004A39C2">
        <w:rPr>
          <w:rFonts w:ascii="Times New Roman" w:hAnsi="Times New Roman" w:cs="Times New Roman"/>
          <w:sz w:val="26"/>
          <w:szCs w:val="26"/>
        </w:rPr>
        <w:t xml:space="preserve"> </w:t>
      </w:r>
      <w:r w:rsidRPr="0072600F" w:rsidR="004A39C2">
        <w:rPr>
          <w:rFonts w:ascii="Times New Roman" w:hAnsi="Times New Roman" w:cs="Times New Roman"/>
          <w:i/>
          <w:iCs/>
          <w:sz w:val="26"/>
          <w:szCs w:val="26"/>
        </w:rPr>
        <w:t>the</w:t>
      </w:r>
      <w:r w:rsidRPr="0072600F">
        <w:rPr>
          <w:rFonts w:ascii="Times New Roman" w:hAnsi="Times New Roman" w:cs="Times New Roman"/>
          <w:sz w:val="26"/>
          <w:szCs w:val="26"/>
        </w:rPr>
        <w:t xml:space="preserve"> LGIA.</w:t>
      </w:r>
    </w:p>
    <w:p w:rsidR="00911580" w:rsidRPr="0072600F" w14:paraId="7B8E9FF3" w14:textId="77777777">
      <w:pPr>
        <w:rPr>
          <w:rFonts w:ascii="Times New Roman" w:hAnsi="Times New Roman" w:cs="Times New Roman"/>
          <w:sz w:val="26"/>
          <w:szCs w:val="26"/>
        </w:rPr>
      </w:pPr>
    </w:p>
    <w:p w:rsidR="00911580" w:rsidRPr="0072600F" w14:paraId="299B228B"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IN WITNESS THEREOF,</w:t>
      </w:r>
      <w:r w:rsidRPr="0072600F">
        <w:rPr>
          <w:rFonts w:ascii="Times New Roman" w:hAnsi="Times New Roman" w:cs="Times New Roman"/>
          <w:sz w:val="26"/>
          <w:szCs w:val="26"/>
        </w:rPr>
        <w:t xml:space="preserve"> the Parties have caused this Agreement to be duly executed by their duly authorized officers or agents on the day and year first above written.</w:t>
      </w:r>
    </w:p>
    <w:p w:rsidR="00911580" w:rsidRPr="0072600F" w14:paraId="3F88EC50" w14:textId="77777777">
      <w:pPr>
        <w:rPr>
          <w:rFonts w:ascii="Times New Roman" w:hAnsi="Times New Roman" w:cs="Times New Roman"/>
          <w:sz w:val="26"/>
          <w:szCs w:val="26"/>
        </w:rPr>
      </w:pPr>
    </w:p>
    <w:p w:rsidR="00911580" w:rsidRPr="0072600F" w14:paraId="02DE8D49" w14:textId="77777777">
      <w:pPr>
        <w:rPr>
          <w:rFonts w:ascii="Times New Roman" w:hAnsi="Times New Roman" w:cs="Times New Roman"/>
          <w:sz w:val="26"/>
          <w:szCs w:val="26"/>
        </w:rPr>
      </w:pPr>
    </w:p>
    <w:p w:rsidR="00911580" w:rsidRPr="0072600F" w14:paraId="2EDEE34A"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Transmission Provider or Transmission Owner, if applicable</w:t>
      </w:r>
      <w:r w:rsidRPr="0072600F">
        <w:rPr>
          <w:rFonts w:ascii="Times New Roman" w:hAnsi="Times New Roman" w:cs="Times New Roman"/>
          <w:b/>
          <w:bCs/>
          <w:sz w:val="26"/>
          <w:szCs w:val="26"/>
        </w:rPr>
        <w:t>}</w:t>
      </w:r>
    </w:p>
    <w:p w:rsidR="00911580" w:rsidRPr="0072600F" w14:paraId="37C26973" w14:textId="77777777">
      <w:pPr>
        <w:rPr>
          <w:rFonts w:ascii="Times New Roman" w:hAnsi="Times New Roman" w:cs="Times New Roman"/>
          <w:sz w:val="26"/>
          <w:szCs w:val="26"/>
        </w:rPr>
      </w:pPr>
    </w:p>
    <w:p w:rsidR="00911580" w:rsidRPr="0072600F" w14:paraId="385429E8"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By:</w:t>
      </w:r>
      <w:r w:rsidRPr="0072600F">
        <w:rPr>
          <w:rFonts w:ascii="Times New Roman" w:hAnsi="Times New Roman" w:cs="Times New Roman"/>
          <w:sz w:val="26"/>
          <w:szCs w:val="26"/>
        </w:rPr>
        <w:tab/>
        <w:t>______________________________</w:t>
      </w:r>
    </w:p>
    <w:p w:rsidR="00911580" w:rsidRPr="0072600F" w14:paraId="0FD88DEA" w14:textId="77777777">
      <w:pPr>
        <w:rPr>
          <w:rFonts w:ascii="Times New Roman" w:hAnsi="Times New Roman" w:cs="Times New Roman"/>
          <w:sz w:val="26"/>
          <w:szCs w:val="26"/>
        </w:rPr>
      </w:pPr>
    </w:p>
    <w:p w:rsidR="00911580" w:rsidRPr="0072600F" w14:paraId="01C8FB51"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Title:</w:t>
      </w:r>
      <w:r w:rsidRPr="0072600F">
        <w:rPr>
          <w:rFonts w:ascii="Times New Roman" w:hAnsi="Times New Roman" w:cs="Times New Roman"/>
          <w:sz w:val="26"/>
          <w:szCs w:val="26"/>
        </w:rPr>
        <w:tab/>
        <w:t xml:space="preserve"> _____________________________</w:t>
      </w:r>
    </w:p>
    <w:p w:rsidR="00911580" w:rsidRPr="0072600F" w14:paraId="165DF379"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14:paraId="2D522068"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Date:</w:t>
      </w:r>
      <w:r w:rsidRPr="0072600F">
        <w:rPr>
          <w:rFonts w:ascii="Times New Roman" w:hAnsi="Times New Roman" w:cs="Times New Roman"/>
          <w:sz w:val="26"/>
          <w:szCs w:val="26"/>
        </w:rPr>
        <w:tab/>
        <w:t xml:space="preserve"> _____________________________</w:t>
      </w:r>
    </w:p>
    <w:p w:rsidR="00911580" w:rsidRPr="0072600F" w14:paraId="42B21025" w14:textId="77777777">
      <w:pPr>
        <w:rPr>
          <w:rFonts w:ascii="Times New Roman" w:hAnsi="Times New Roman" w:cs="Times New Roman"/>
          <w:sz w:val="26"/>
          <w:szCs w:val="26"/>
        </w:rPr>
      </w:pPr>
    </w:p>
    <w:p w:rsidR="00911580" w:rsidRPr="0072600F" w14:paraId="44223787" w14:textId="77777777">
      <w:pPr>
        <w:rPr>
          <w:rFonts w:ascii="Times New Roman" w:hAnsi="Times New Roman" w:cs="Times New Roman"/>
          <w:sz w:val="26"/>
          <w:szCs w:val="26"/>
        </w:rPr>
      </w:pPr>
    </w:p>
    <w:p w:rsidR="00911580" w:rsidRPr="0072600F" w14:paraId="6FB918F2" w14:textId="77777777">
      <w:pPr>
        <w:rPr>
          <w:rFonts w:ascii="Times New Roman" w:hAnsi="Times New Roman" w:cs="Times New Roman"/>
          <w:sz w:val="26"/>
          <w:szCs w:val="26"/>
        </w:rPr>
      </w:pPr>
    </w:p>
    <w:p w:rsidR="00911580" w:rsidRPr="0072600F" w14:paraId="2AFEF320"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Interconnection Customer</w:t>
      </w:r>
      <w:r w:rsidRPr="0072600F">
        <w:rPr>
          <w:rFonts w:ascii="Times New Roman" w:hAnsi="Times New Roman" w:cs="Times New Roman"/>
          <w:b/>
          <w:bCs/>
          <w:sz w:val="26"/>
          <w:szCs w:val="26"/>
        </w:rPr>
        <w:t>}</w:t>
      </w:r>
    </w:p>
    <w:p w:rsidR="00911580" w:rsidRPr="0072600F" w14:paraId="11C1EC2B" w14:textId="77777777">
      <w:pPr>
        <w:rPr>
          <w:rFonts w:ascii="Times New Roman" w:hAnsi="Times New Roman" w:cs="Times New Roman"/>
          <w:sz w:val="26"/>
          <w:szCs w:val="26"/>
        </w:rPr>
      </w:pPr>
    </w:p>
    <w:p w:rsidR="00911580" w:rsidRPr="0072600F" w14:paraId="578DE36B" w14:textId="77777777">
      <w:pPr>
        <w:rPr>
          <w:rFonts w:ascii="Times New Roman" w:hAnsi="Times New Roman" w:cs="Times New Roman"/>
          <w:sz w:val="26"/>
          <w:szCs w:val="26"/>
        </w:rPr>
      </w:pPr>
    </w:p>
    <w:p w:rsidR="00911580" w:rsidRPr="0072600F" w14:paraId="795A69BE"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1C97911E" w14:textId="77777777">
      <w:pPr>
        <w:rPr>
          <w:rFonts w:ascii="Times New Roman" w:hAnsi="Times New Roman" w:cs="Times New Roman"/>
          <w:sz w:val="26"/>
          <w:szCs w:val="26"/>
        </w:rPr>
      </w:pPr>
    </w:p>
    <w:p w:rsidR="00911580" w:rsidRPr="0072600F" w14:paraId="7DA6DF5F"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05D4378D" w14:textId="77777777">
      <w:pPr>
        <w:rPr>
          <w:rFonts w:ascii="Times New Roman" w:hAnsi="Times New Roman" w:cs="Times New Roman"/>
          <w:sz w:val="26"/>
          <w:szCs w:val="26"/>
        </w:rPr>
      </w:pPr>
    </w:p>
    <w:p w:rsidR="00911580" w:rsidRPr="0072600F" w14:paraId="3963CF66"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br w:type="page"/>
      </w:r>
    </w:p>
    <w:p w:rsidR="00911580" w:rsidRPr="0072600F" w14:paraId="45185837" w14:textId="77777777">
      <w:pPr>
        <w:rPr>
          <w:rFonts w:ascii="Times New Roman" w:hAnsi="Times New Roman" w:cs="Times New Roman"/>
          <w:sz w:val="26"/>
          <w:szCs w:val="26"/>
        </w:rPr>
        <w:sectPr>
          <w:footerReference w:type="default" r:id="rId29"/>
          <w:pgSz w:w="12240" w:h="15840"/>
          <w:pgMar w:top="1440" w:right="1440" w:bottom="1440" w:left="1440" w:header="1440" w:footer="1440" w:gutter="0"/>
          <w:pgNumType w:fmt="numberInDash" w:start="1"/>
          <w:cols w:space="720"/>
          <w:noEndnote/>
        </w:sectPr>
      </w:pPr>
    </w:p>
    <w:p w:rsidR="00911580" w:rsidRPr="0072600F" w14:paraId="51FD1FDA"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Attachment A To Appendix 2</w:t>
      </w:r>
    </w:p>
    <w:p w:rsidR="00911580" w:rsidRPr="0072600F" w14:paraId="76BBE148"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Cluster Study Agreement</w:t>
      </w:r>
    </w:p>
    <w:p w:rsidR="00911580" w:rsidRPr="0072600F" w14:paraId="20BE875C" w14:textId="77777777">
      <w:pPr>
        <w:rPr>
          <w:rFonts w:ascii="Times New Roman" w:hAnsi="Times New Roman" w:cs="Times New Roman"/>
          <w:sz w:val="26"/>
          <w:szCs w:val="26"/>
        </w:rPr>
      </w:pPr>
    </w:p>
    <w:p w:rsidR="00911580" w:rsidRPr="0072600F" w14:paraId="485BA62B" w14:textId="77777777">
      <w:pPr>
        <w:rPr>
          <w:rFonts w:ascii="Times New Roman" w:hAnsi="Times New Roman" w:cs="Times New Roman"/>
          <w:sz w:val="26"/>
          <w:szCs w:val="26"/>
        </w:rPr>
      </w:pPr>
    </w:p>
    <w:p w:rsidR="00911580" w:rsidRPr="0072600F" w14:paraId="7F029FFA"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xml:space="preserve">ASSUMPTIONS USED IN CONDUCTING THE </w:t>
      </w:r>
    </w:p>
    <w:p w:rsidR="00911580" w:rsidRPr="0072600F" w14:paraId="22C02A4A"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CLUSTER STUDY</w:t>
      </w:r>
    </w:p>
    <w:p w:rsidR="00911580" w:rsidRPr="0072600F" w14:paraId="41232516" w14:textId="77777777">
      <w:pPr>
        <w:rPr>
          <w:rFonts w:ascii="Times New Roman" w:hAnsi="Times New Roman" w:cs="Times New Roman"/>
          <w:sz w:val="26"/>
          <w:szCs w:val="26"/>
        </w:rPr>
      </w:pPr>
    </w:p>
    <w:p w:rsidR="00911580" w:rsidRPr="0072600F" w14:paraId="7C528C6A" w14:textId="77777777">
      <w:pPr>
        <w:rPr>
          <w:rFonts w:ascii="Times New Roman" w:hAnsi="Times New Roman" w:cs="Times New Roman"/>
          <w:sz w:val="26"/>
          <w:szCs w:val="26"/>
        </w:rPr>
      </w:pPr>
    </w:p>
    <w:p w:rsidR="00911580" w:rsidRPr="0072600F" w14:paraId="05E1AD08" w14:textId="77777777">
      <w:pPr>
        <w:rPr>
          <w:rFonts w:ascii="Times New Roman" w:hAnsi="Times New Roman" w:cs="Times New Roman"/>
          <w:sz w:val="26"/>
          <w:szCs w:val="26"/>
        </w:rPr>
      </w:pPr>
      <w:r w:rsidRPr="0072600F">
        <w:rPr>
          <w:rFonts w:ascii="Times New Roman" w:hAnsi="Times New Roman" w:cs="Times New Roman"/>
          <w:sz w:val="26"/>
          <w:szCs w:val="26"/>
        </w:rPr>
        <w:tab/>
        <w:t xml:space="preserve">The Cluster Study will be based upon the technical information provided by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in the Interconnection Request, subject to any modifications in accordance with Section 4.4 of this LGIP, and the following assumptions:</w:t>
      </w:r>
    </w:p>
    <w:p w:rsidR="00911580" w:rsidRPr="0072600F" w14:paraId="3DB7BC63" w14:textId="77777777">
      <w:pPr>
        <w:rPr>
          <w:rFonts w:ascii="Times New Roman" w:hAnsi="Times New Roman" w:cs="Times New Roman"/>
          <w:sz w:val="26"/>
          <w:szCs w:val="26"/>
        </w:rPr>
      </w:pPr>
    </w:p>
    <w:p w:rsidR="00911580" w:rsidRPr="0072600F" w14:paraId="4CC2E972" w14:textId="77777777">
      <w:pPr>
        <w:ind w:left="720"/>
        <w:rPr>
          <w:rFonts w:ascii="Times New Roman" w:hAnsi="Times New Roman" w:cs="Times New Roman"/>
          <w:sz w:val="26"/>
          <w:szCs w:val="26"/>
        </w:rPr>
      </w:pPr>
      <w:r w:rsidRPr="0072600F">
        <w:rPr>
          <w:rFonts w:ascii="Times New Roman" w:hAnsi="Times New Roman" w:cs="Times New Roman"/>
          <w:sz w:val="26"/>
          <w:szCs w:val="26"/>
        </w:rPr>
        <w:t>Designation of Point of Interconnection and configuration to be studied.</w:t>
      </w:r>
    </w:p>
    <w:p w:rsidR="00911580" w:rsidRPr="0072600F" w14:paraId="6C829F31" w14:textId="77777777">
      <w:pPr>
        <w:ind w:left="720"/>
        <w:rPr>
          <w:rFonts w:ascii="Times New Roman" w:hAnsi="Times New Roman" w:cs="Times New Roman"/>
          <w:sz w:val="26"/>
          <w:szCs w:val="26"/>
        </w:rPr>
      </w:pPr>
      <w:r w:rsidRPr="0072600F">
        <w:rPr>
          <w:rFonts w:ascii="Times New Roman" w:hAnsi="Times New Roman" w:cs="Times New Roman"/>
          <w:sz w:val="26"/>
          <w:szCs w:val="26"/>
        </w:rPr>
        <w:t>Designation of alternative Point(s) of Interconnection and configuration.</w:t>
      </w:r>
    </w:p>
    <w:p w:rsidR="00911580" w:rsidRPr="0072600F" w14:paraId="6A220067" w14:textId="77777777">
      <w:pPr>
        <w:rPr>
          <w:rFonts w:ascii="Times New Roman" w:hAnsi="Times New Roman" w:cs="Times New Roman"/>
          <w:sz w:val="26"/>
          <w:szCs w:val="26"/>
        </w:rPr>
      </w:pPr>
    </w:p>
    <w:p w:rsidR="00911580" w:rsidRPr="0072600F" w14:paraId="357654F2" w14:textId="77777777">
      <w:pPr>
        <w:rPr>
          <w:rFonts w:ascii="Times New Roman" w:hAnsi="Times New Roman" w:cs="Times New Roman"/>
          <w:sz w:val="26"/>
          <w:szCs w:val="26"/>
        </w:rPr>
      </w:pPr>
    </w:p>
    <w:p w:rsidR="00911580" w:rsidRPr="0072600F" w14:paraId="17A5A67A"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Above assumptions to be completed by Interconnection Customer and other assumptions to be provided by Interconnection Customer and Transmission Provider</w:t>
      </w:r>
      <w:r w:rsidRPr="0072600F" w:rsidR="0042166D">
        <w:rPr>
          <w:rFonts w:ascii="Times New Roman" w:hAnsi="Times New Roman" w:cs="Times New Roman"/>
          <w:sz w:val="26"/>
          <w:szCs w:val="26"/>
        </w:rPr>
        <w:t>}</w:t>
      </w:r>
    </w:p>
    <w:p w:rsidR="00911580" w:rsidRPr="0072600F" w14:paraId="48F052A3" w14:textId="77777777">
      <w:pPr>
        <w:rPr>
          <w:rFonts w:ascii="Times New Roman" w:hAnsi="Times New Roman" w:cs="Times New Roman"/>
          <w:sz w:val="26"/>
          <w:szCs w:val="26"/>
        </w:rPr>
        <w:sectPr>
          <w:footerReference w:type="default" r:id="rId30"/>
          <w:type w:val="continuous"/>
          <w:pgSz w:w="12240" w:h="15840"/>
          <w:pgMar w:top="1440" w:right="1440" w:bottom="1440" w:left="1440" w:header="1440" w:footer="1440" w:gutter="0"/>
          <w:cols w:space="720"/>
          <w:noEndnote/>
        </w:sectPr>
      </w:pPr>
    </w:p>
    <w:p w:rsidR="00911580" w:rsidRPr="0072600F" w14:paraId="469F1985"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APPENDIX 3 to LGIP</w:t>
      </w:r>
    </w:p>
    <w:p w:rsidR="00911580" w:rsidRPr="0072600F" w14:paraId="60A2E924"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INTERCONNECTION FACILITIES STUDY AGREEMENT</w:t>
      </w:r>
    </w:p>
    <w:p w:rsidR="00911580" w:rsidRPr="0072600F" w14:paraId="64D70482" w14:textId="77777777">
      <w:pPr>
        <w:rPr>
          <w:rFonts w:ascii="Times New Roman" w:hAnsi="Times New Roman" w:cs="Times New Roman"/>
          <w:sz w:val="26"/>
          <w:szCs w:val="26"/>
        </w:rPr>
      </w:pPr>
    </w:p>
    <w:p w:rsidR="00911580" w:rsidRPr="0072600F" w14:paraId="27D4E7CA" w14:textId="77777777">
      <w:pPr>
        <w:rPr>
          <w:rFonts w:ascii="Times New Roman" w:hAnsi="Times New Roman" w:cs="Times New Roman"/>
          <w:sz w:val="26"/>
          <w:szCs w:val="26"/>
        </w:rPr>
      </w:pPr>
    </w:p>
    <w:p w:rsidR="00911580" w:rsidRPr="0072600F" w14:paraId="2DCCEDD3"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THIS AGREEMENT</w:t>
      </w:r>
      <w:r w:rsidRPr="0072600F">
        <w:rPr>
          <w:rFonts w:ascii="Times New Roman" w:hAnsi="Times New Roman" w:cs="Times New Roman"/>
          <w:sz w:val="26"/>
          <w:szCs w:val="26"/>
        </w:rPr>
        <w:t xml:space="preserve"> is made and entered into this</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day of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20___ by and between</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a</w:t>
      </w:r>
    </w:p>
    <w:p w:rsidR="00911580" w:rsidRPr="0072600F" w14:paraId="29CC8F65"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organized and existing under the laws of the State of</w:t>
      </w:r>
    </w:p>
    <w:p w:rsidR="00911580" w:rsidRPr="0072600F" w14:paraId="27A5E411"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and ________________________</w:t>
      </w:r>
    </w:p>
    <w:p w:rsidR="00911580" w:rsidRPr="0072600F" w14:paraId="222B39DE" w14:textId="77777777">
      <w:pPr>
        <w:rPr>
          <w:rFonts w:ascii="Times New Roman" w:hAnsi="Times New Roman" w:cs="Times New Roman"/>
          <w:sz w:val="26"/>
          <w:szCs w:val="26"/>
        </w:rPr>
      </w:pP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w:t>
      </w:r>
      <w:r w:rsidRPr="0072600F">
        <w:rPr>
          <w:rFonts w:ascii="Times New Roman" w:hAnsi="Times New Roman" w:cs="Times New Roman"/>
          <w:sz w:val="26"/>
          <w:szCs w:val="26"/>
          <w:u w:val="single"/>
        </w:rPr>
        <w:t xml:space="preserve">                                  </w:t>
      </w:r>
      <w:r w:rsidRPr="0072600F" w:rsidR="004A39C2">
        <w:rPr>
          <w:rFonts w:ascii="Times New Roman" w:hAnsi="Times New Roman" w:cs="Times New Roman"/>
          <w:i/>
          <w:iCs/>
          <w:sz w:val="26"/>
          <w:szCs w:val="26"/>
          <w:u w:val="single"/>
        </w:rPr>
        <w:t xml:space="preserve">organized and </w:t>
      </w:r>
      <w:r w:rsidRPr="0072600F">
        <w:rPr>
          <w:rFonts w:ascii="Times New Roman" w:hAnsi="Times New Roman" w:cs="Times New Roman"/>
          <w:sz w:val="26"/>
          <w:szCs w:val="26"/>
        </w:rPr>
        <w:t>existing under the laws of the State of ____________________,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Transmission Provider</w:t>
      </w:r>
      <w:r w:rsidRPr="0072600F" w:rsidR="001661A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and Transmission Provider each may be referred to as a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Party,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or collectively as the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Parties.</w:t>
      </w:r>
      <w:r w:rsidRPr="0072600F" w:rsidR="00C6044A">
        <w:rPr>
          <w:rFonts w:ascii="Times New Roman" w:hAnsi="Times New Roman" w:cs="Times New Roman"/>
          <w:sz w:val="26"/>
          <w:szCs w:val="26"/>
        </w:rPr>
        <w:t>”</w:t>
      </w:r>
    </w:p>
    <w:p w:rsidR="00911580" w:rsidRPr="0072600F" w14:paraId="6F57BD62" w14:textId="77777777">
      <w:pPr>
        <w:rPr>
          <w:rFonts w:ascii="Times New Roman" w:hAnsi="Times New Roman" w:cs="Times New Roman"/>
          <w:sz w:val="26"/>
          <w:szCs w:val="26"/>
        </w:rPr>
      </w:pPr>
    </w:p>
    <w:p w:rsidR="00911580" w:rsidRPr="0072600F" w14:paraId="14093A3C"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RECITALS</w:t>
      </w:r>
    </w:p>
    <w:p w:rsidR="00911580" w:rsidRPr="0072600F" w14:paraId="410BDD59" w14:textId="77777777">
      <w:pPr>
        <w:rPr>
          <w:rFonts w:ascii="Times New Roman" w:hAnsi="Times New Roman" w:cs="Times New Roman"/>
          <w:sz w:val="26"/>
          <w:szCs w:val="26"/>
        </w:rPr>
      </w:pPr>
    </w:p>
    <w:p w:rsidR="00911580" w:rsidRPr="0072600F" w14:paraId="7F377918"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is proposing to develop a Large Generating Facility or generating capacity addition to an existing Generating Facility consistent with the Interconnection Request submitted by Interconnection Customer dated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and</w:t>
      </w:r>
    </w:p>
    <w:p w:rsidR="00911580" w:rsidRPr="0072600F" w14:paraId="0E2D7ECA" w14:textId="77777777">
      <w:pPr>
        <w:rPr>
          <w:rFonts w:ascii="Times New Roman" w:hAnsi="Times New Roman" w:cs="Times New Roman"/>
          <w:sz w:val="26"/>
          <w:szCs w:val="26"/>
        </w:rPr>
      </w:pPr>
    </w:p>
    <w:p w:rsidR="00911580" w:rsidRPr="0072600F" w14:paraId="0265C29C"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Interconnection Customer desires to interconnect the Large Generating Facility with the Transmission System;</w:t>
      </w:r>
      <w:r w:rsidRPr="0072600F" w:rsidR="004A39C2">
        <w:rPr>
          <w:rFonts w:ascii="Times New Roman" w:hAnsi="Times New Roman" w:cs="Times New Roman"/>
          <w:sz w:val="26"/>
          <w:szCs w:val="26"/>
        </w:rPr>
        <w:t xml:space="preserve"> </w:t>
      </w:r>
      <w:r w:rsidRPr="0072600F" w:rsidR="004A39C2">
        <w:rPr>
          <w:rFonts w:ascii="Times New Roman" w:hAnsi="Times New Roman" w:cs="Times New Roman"/>
          <w:i/>
          <w:iCs/>
          <w:sz w:val="26"/>
          <w:szCs w:val="26"/>
        </w:rPr>
        <w:t>and</w:t>
      </w:r>
    </w:p>
    <w:p w:rsidR="00911580" w:rsidRPr="0072600F" w14:paraId="14E78921" w14:textId="77777777">
      <w:pPr>
        <w:rPr>
          <w:rFonts w:ascii="Times New Roman" w:hAnsi="Times New Roman" w:cs="Times New Roman"/>
          <w:sz w:val="26"/>
          <w:szCs w:val="26"/>
        </w:rPr>
      </w:pPr>
    </w:p>
    <w:p w:rsidR="00911580" w:rsidRPr="0072600F" w14:paraId="11848226" w14:textId="77777777">
      <w:pPr>
        <w:rPr>
          <w:rFonts w:ascii="Times New Roman" w:hAnsi="Times New Roman" w:cs="Times New Roman"/>
          <w:sz w:val="26"/>
          <w:szCs w:val="26"/>
        </w:rPr>
      </w:pPr>
      <w:r w:rsidRPr="0072600F">
        <w:rPr>
          <w:rFonts w:ascii="Times New Roman" w:hAnsi="Times New Roman" w:cs="Times New Roman"/>
          <w:b/>
          <w:bCs/>
          <w:sz w:val="26"/>
          <w:szCs w:val="26"/>
        </w:rPr>
        <w:tab/>
        <w:t>WHEREAS,</w:t>
      </w:r>
      <w:r w:rsidRPr="0072600F">
        <w:rPr>
          <w:rFonts w:ascii="Times New Roman" w:hAnsi="Times New Roman" w:cs="Times New Roman"/>
          <w:sz w:val="26"/>
          <w:szCs w:val="26"/>
        </w:rPr>
        <w:t xml:space="preserve"> Transmission Provider has completed a</w:t>
      </w:r>
      <w:r w:rsidRPr="0072600F" w:rsidR="004A39C2">
        <w:rPr>
          <w:rFonts w:ascii="Times New Roman" w:hAnsi="Times New Roman" w:cs="Times New Roman"/>
          <w:sz w:val="26"/>
          <w:szCs w:val="26"/>
        </w:rPr>
        <w:t>[</w:t>
      </w:r>
      <w:r w:rsidRPr="0072600F">
        <w:rPr>
          <w:rFonts w:ascii="Times New Roman" w:hAnsi="Times New Roman" w:cs="Times New Roman"/>
          <w:sz w:val="26"/>
          <w:szCs w:val="26"/>
        </w:rPr>
        <w:t>n Interconnection</w:t>
      </w:r>
      <w:r w:rsidRPr="0072600F" w:rsidR="004A39C2">
        <w:rPr>
          <w:rFonts w:ascii="Times New Roman" w:hAnsi="Times New Roman" w:cs="Times New Roman"/>
          <w:sz w:val="26"/>
          <w:szCs w:val="26"/>
        </w:rPr>
        <w:t>]</w:t>
      </w:r>
      <w:r w:rsidRPr="0072600F">
        <w:rPr>
          <w:rFonts w:ascii="Times New Roman" w:hAnsi="Times New Roman" w:cs="Times New Roman"/>
          <w:sz w:val="26"/>
          <w:szCs w:val="26"/>
        </w:rPr>
        <w:t xml:space="preserve"> Cluster Study (the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Cluster Study</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and provided the results of said study to Interconnection Customer; and</w:t>
      </w:r>
    </w:p>
    <w:p w:rsidR="00911580" w:rsidRPr="0072600F" w14:paraId="2381970A" w14:textId="77777777">
      <w:pPr>
        <w:rPr>
          <w:rFonts w:ascii="Times New Roman" w:hAnsi="Times New Roman" w:cs="Times New Roman"/>
          <w:sz w:val="26"/>
          <w:szCs w:val="26"/>
        </w:rPr>
      </w:pPr>
    </w:p>
    <w:p w:rsidR="00911580" w:rsidRPr="0072600F" w14:paraId="3D8C2D0E"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Interconnection Customer has requested Transmission Provider to perform an Interconnection Facilities Study to specify and estimate the cost of the equipment, engineering, procurement and construction work needed to implement the conclusions of the Cluster Study in accordance with Good Utility Practice to physically and electrically connect the Large Generating Facility to the Transmission System.</w:t>
      </w:r>
    </w:p>
    <w:p w:rsidR="00911580" w:rsidRPr="0072600F" w14:paraId="45A9446F" w14:textId="77777777">
      <w:pPr>
        <w:rPr>
          <w:rFonts w:ascii="Times New Roman" w:hAnsi="Times New Roman" w:cs="Times New Roman"/>
          <w:sz w:val="26"/>
          <w:szCs w:val="26"/>
        </w:rPr>
      </w:pPr>
    </w:p>
    <w:p w:rsidR="00911580" w:rsidRPr="0072600F" w14:paraId="09B321B5"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NOW, THEREFORE,</w:t>
      </w:r>
      <w:r w:rsidRPr="0072600F">
        <w:rPr>
          <w:rFonts w:ascii="Times New Roman" w:hAnsi="Times New Roman" w:cs="Times New Roman"/>
          <w:sz w:val="26"/>
          <w:szCs w:val="26"/>
        </w:rPr>
        <w:t xml:space="preserve"> in consideration of and subject to the mutual covenants contained herein the Parties agreed as follows:</w:t>
      </w:r>
    </w:p>
    <w:p w:rsidR="00911580" w:rsidRPr="0072600F" w14:paraId="3820C5E4" w14:textId="77777777">
      <w:pPr>
        <w:rPr>
          <w:rFonts w:ascii="Times New Roman" w:hAnsi="Times New Roman" w:cs="Times New Roman"/>
          <w:sz w:val="26"/>
          <w:szCs w:val="26"/>
        </w:rPr>
      </w:pPr>
    </w:p>
    <w:p w:rsidR="00911580" w:rsidRPr="0072600F" w:rsidP="00D64A28" w14:paraId="5C548AF3"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1.0</w:t>
      </w:r>
      <w:r w:rsidRPr="0072600F">
        <w:rPr>
          <w:rFonts w:ascii="Times New Roman" w:hAnsi="Times New Roman" w:cs="Times New Roman"/>
          <w:sz w:val="26"/>
          <w:szCs w:val="26"/>
        </w:rPr>
        <w:tab/>
        <w:t xml:space="preserve">When used in this Agreement, with initial capitalization, the terms specified shall have the meanings indicated in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FERC-approved LGIP.</w:t>
      </w:r>
    </w:p>
    <w:p w:rsidR="00911580" w:rsidRPr="0072600F" w14:paraId="3263854A" w14:textId="77777777">
      <w:pPr>
        <w:rPr>
          <w:rFonts w:ascii="Times New Roman" w:hAnsi="Times New Roman" w:cs="Times New Roman"/>
          <w:sz w:val="26"/>
          <w:szCs w:val="26"/>
        </w:rPr>
      </w:pPr>
    </w:p>
    <w:p w:rsidR="00911580" w:rsidRPr="0072600F" w14:paraId="2EFD28C6"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2.0</w:t>
      </w:r>
      <w:r w:rsidRPr="0072600F">
        <w:rPr>
          <w:rFonts w:ascii="Times New Roman" w:hAnsi="Times New Roman" w:cs="Times New Roman"/>
          <w:sz w:val="26"/>
          <w:szCs w:val="26"/>
        </w:rPr>
        <w:tab/>
        <w:t>Interconnection Customer elects and Transmission Provider shall cause an Interconnection Facilities Study consistent with Section 8.0 of this LGIP to be performed in accordance with the Tariff.</w:t>
      </w:r>
    </w:p>
    <w:p w:rsidR="00911580" w:rsidRPr="0072600F" w14:paraId="4111F2F2" w14:textId="77777777">
      <w:pPr>
        <w:rPr>
          <w:rFonts w:ascii="Times New Roman" w:hAnsi="Times New Roman" w:cs="Times New Roman"/>
          <w:sz w:val="26"/>
          <w:szCs w:val="26"/>
        </w:rPr>
      </w:pPr>
    </w:p>
    <w:p w:rsidR="00911580" w:rsidRPr="0072600F" w14:paraId="68A1FE89"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3.0</w:t>
      </w:r>
      <w:r w:rsidRPr="0072600F">
        <w:rPr>
          <w:rFonts w:ascii="Times New Roman" w:hAnsi="Times New Roman" w:cs="Times New Roman"/>
          <w:sz w:val="26"/>
          <w:szCs w:val="26"/>
        </w:rPr>
        <w:tab/>
        <w:t>The scope of the Interconnection Facilities Study shall be subject to the assumptions set forth in Attachment A and the data provided in Attachment B to this Agreement.</w:t>
      </w:r>
    </w:p>
    <w:p w:rsidR="00911580" w:rsidRPr="0072600F" w14:paraId="29AEB8B2" w14:textId="77777777">
      <w:pPr>
        <w:rPr>
          <w:rFonts w:ascii="Times New Roman" w:hAnsi="Times New Roman" w:cs="Times New Roman"/>
          <w:sz w:val="26"/>
          <w:szCs w:val="26"/>
        </w:rPr>
      </w:pPr>
    </w:p>
    <w:p w:rsidR="00911580" w:rsidRPr="0072600F" w14:paraId="2EF03FDC"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4.0</w:t>
      </w:r>
      <w:r w:rsidRPr="0072600F">
        <w:rPr>
          <w:rFonts w:ascii="Times New Roman" w:hAnsi="Times New Roman" w:cs="Times New Roman"/>
          <w:sz w:val="26"/>
          <w:szCs w:val="26"/>
        </w:rPr>
        <w:tab/>
        <w:t>The Interconnection Facilities Study Report (</w:t>
      </w:r>
      <w:r w:rsidRPr="0072600F">
        <w:rPr>
          <w:rFonts w:ascii="Times New Roman" w:hAnsi="Times New Roman" w:cs="Times New Roman"/>
          <w:sz w:val="26"/>
          <w:szCs w:val="26"/>
        </w:rPr>
        <w:t>i</w:t>
      </w:r>
      <w:r w:rsidRPr="0072600F">
        <w:rPr>
          <w:rFonts w:ascii="Times New Roman" w:hAnsi="Times New Roman" w:cs="Times New Roman"/>
          <w:sz w:val="26"/>
          <w:szCs w:val="26"/>
        </w:rPr>
        <w:t>) shall provide a description, estimated cost of (consistent with Attachment A), schedule for required facilities to interconnect the Large Generating Facility to the Transmission System and (ii) shall address the short circuit, instability, and power flow issues identified in the Cluster Study.</w:t>
      </w:r>
    </w:p>
    <w:p w:rsidR="00911580" w:rsidRPr="0072600F" w14:paraId="51CEA16E" w14:textId="77777777">
      <w:pPr>
        <w:rPr>
          <w:rFonts w:ascii="Times New Roman" w:hAnsi="Times New Roman" w:cs="Times New Roman"/>
          <w:sz w:val="26"/>
          <w:szCs w:val="26"/>
        </w:rPr>
      </w:pPr>
    </w:p>
    <w:p w:rsidR="00911580" w:rsidRPr="0072600F" w14:paraId="7F13CFE0"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5.0</w:t>
      </w:r>
      <w:r w:rsidRPr="0072600F">
        <w:rPr>
          <w:rFonts w:ascii="Times New Roman" w:hAnsi="Times New Roman" w:cs="Times New Roman"/>
          <w:sz w:val="26"/>
          <w:szCs w:val="26"/>
        </w:rPr>
        <w:tab/>
        <w:t>Interconnection Customer shall provide a Commercial Readiness Deposit per Section 8.1 of this LGIP to enter the Interconnection Facilities Study.  The time for completion of the Interconnection Facilities Study is specified in Attachment A.</w:t>
      </w:r>
    </w:p>
    <w:p w:rsidR="00911580" w:rsidRPr="0072600F" w14:paraId="361AB930" w14:textId="77777777">
      <w:pPr>
        <w:rPr>
          <w:rFonts w:ascii="Times New Roman" w:hAnsi="Times New Roman" w:cs="Times New Roman"/>
          <w:sz w:val="26"/>
          <w:szCs w:val="26"/>
        </w:rPr>
      </w:pPr>
    </w:p>
    <w:p w:rsidR="00911580" w:rsidRPr="0072600F" w:rsidP="00D64A28" w14:paraId="3A3F472C"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6.0</w:t>
      </w:r>
      <w:r w:rsidRPr="0072600F">
        <w:rPr>
          <w:rFonts w:ascii="Times New Roman" w:hAnsi="Times New Roman" w:cs="Times New Roman"/>
          <w:sz w:val="26"/>
          <w:szCs w:val="26"/>
        </w:rPr>
        <w:tab/>
        <w:t>Miscellaneous.  The Interconnection Facilities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rsidR="00911580" w:rsidRPr="0072600F" w14:paraId="289A2992" w14:textId="77777777">
      <w:pPr>
        <w:rPr>
          <w:rFonts w:ascii="Times New Roman" w:hAnsi="Times New Roman" w:cs="Times New Roman"/>
          <w:sz w:val="26"/>
          <w:szCs w:val="26"/>
        </w:rPr>
      </w:pPr>
    </w:p>
    <w:p w:rsidR="00911580" w:rsidRPr="0072600F" w14:paraId="3D397D90" w14:textId="77777777">
      <w:pPr>
        <w:rPr>
          <w:rFonts w:ascii="Times New Roman" w:hAnsi="Times New Roman" w:cs="Times New Roman"/>
          <w:sz w:val="26"/>
          <w:szCs w:val="26"/>
        </w:rPr>
      </w:pPr>
      <w:r w:rsidRPr="0072600F">
        <w:rPr>
          <w:rFonts w:ascii="Times New Roman" w:hAnsi="Times New Roman" w:cs="Times New Roman"/>
          <w:b/>
          <w:bCs/>
          <w:sz w:val="26"/>
          <w:szCs w:val="26"/>
        </w:rPr>
        <w:t>IN WITNESS WHEREOF,</w:t>
      </w:r>
      <w:r w:rsidRPr="0072600F">
        <w:rPr>
          <w:rFonts w:ascii="Times New Roman" w:hAnsi="Times New Roman" w:cs="Times New Roman"/>
          <w:sz w:val="26"/>
          <w:szCs w:val="26"/>
        </w:rPr>
        <w:t xml:space="preserve"> the Parties have caused this Agreement to be duly executed by their duly authorized officers or agents on the day and year first above written.</w:t>
      </w:r>
    </w:p>
    <w:p w:rsidR="00911580" w:rsidRPr="0072600F" w14:paraId="6192C7A4" w14:textId="77777777">
      <w:pPr>
        <w:rPr>
          <w:rFonts w:ascii="Times New Roman" w:hAnsi="Times New Roman" w:cs="Times New Roman"/>
          <w:sz w:val="26"/>
          <w:szCs w:val="26"/>
        </w:rPr>
      </w:pPr>
    </w:p>
    <w:p w:rsidR="00911580" w:rsidRPr="0072600F" w14:paraId="5701BF9C"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Transmission Provider or Transmission Owner, if applicable</w:t>
      </w:r>
      <w:r w:rsidRPr="0072600F">
        <w:rPr>
          <w:rFonts w:ascii="Times New Roman" w:hAnsi="Times New Roman" w:cs="Times New Roman"/>
          <w:b/>
          <w:bCs/>
          <w:sz w:val="26"/>
          <w:szCs w:val="26"/>
        </w:rPr>
        <w:t>}</w:t>
      </w:r>
    </w:p>
    <w:p w:rsidR="00911580" w:rsidRPr="0072600F" w14:paraId="7920A620" w14:textId="77777777">
      <w:pPr>
        <w:rPr>
          <w:rFonts w:ascii="Times New Roman" w:hAnsi="Times New Roman" w:cs="Times New Roman"/>
          <w:sz w:val="26"/>
          <w:szCs w:val="26"/>
        </w:rPr>
      </w:pPr>
    </w:p>
    <w:p w:rsidR="00911580" w:rsidRPr="0072600F" w14:paraId="74920D63"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By:</w:t>
      </w:r>
      <w:r w:rsidRPr="0072600F">
        <w:rPr>
          <w:rFonts w:ascii="Times New Roman" w:hAnsi="Times New Roman" w:cs="Times New Roman"/>
          <w:sz w:val="26"/>
          <w:szCs w:val="26"/>
        </w:rPr>
        <w:tab/>
        <w:t>______________________________</w:t>
      </w:r>
    </w:p>
    <w:p w:rsidR="00911580" w:rsidRPr="0072600F" w14:paraId="2218813C" w14:textId="77777777">
      <w:pPr>
        <w:rPr>
          <w:rFonts w:ascii="Times New Roman" w:hAnsi="Times New Roman" w:cs="Times New Roman"/>
          <w:sz w:val="26"/>
          <w:szCs w:val="26"/>
        </w:rPr>
      </w:pPr>
    </w:p>
    <w:p w:rsidR="00911580" w:rsidRPr="0072600F" w14:paraId="21228E6D"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Title:</w:t>
      </w:r>
      <w:r w:rsidRPr="0072600F">
        <w:rPr>
          <w:rFonts w:ascii="Times New Roman" w:hAnsi="Times New Roman" w:cs="Times New Roman"/>
          <w:sz w:val="26"/>
          <w:szCs w:val="26"/>
        </w:rPr>
        <w:tab/>
        <w:t xml:space="preserve"> _____________________________</w:t>
      </w:r>
    </w:p>
    <w:p w:rsidR="00911580" w:rsidRPr="0072600F" w14:paraId="45BEA4D8"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14:paraId="3DC6C39E"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Date:</w:t>
      </w:r>
      <w:r w:rsidRPr="0072600F">
        <w:rPr>
          <w:rFonts w:ascii="Times New Roman" w:hAnsi="Times New Roman" w:cs="Times New Roman"/>
          <w:sz w:val="26"/>
          <w:szCs w:val="26"/>
        </w:rPr>
        <w:tab/>
        <w:t xml:space="preserve"> _____________________________</w:t>
      </w:r>
    </w:p>
    <w:p w:rsidR="00911580" w:rsidRPr="0072600F" w14:paraId="0D4B5360" w14:textId="77777777">
      <w:pPr>
        <w:rPr>
          <w:rFonts w:ascii="Times New Roman" w:hAnsi="Times New Roman" w:cs="Times New Roman"/>
          <w:sz w:val="26"/>
          <w:szCs w:val="26"/>
        </w:rPr>
      </w:pPr>
    </w:p>
    <w:p w:rsidR="00911580" w:rsidRPr="0072600F" w14:paraId="1DCA4E96" w14:textId="77777777">
      <w:pPr>
        <w:rPr>
          <w:rFonts w:ascii="Times New Roman" w:hAnsi="Times New Roman" w:cs="Times New Roman"/>
          <w:sz w:val="26"/>
          <w:szCs w:val="26"/>
        </w:rPr>
      </w:pPr>
    </w:p>
    <w:p w:rsidR="00911580" w:rsidRPr="0072600F" w14:paraId="7535999F"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Interconnection Customer</w:t>
      </w:r>
      <w:r w:rsidRPr="0072600F">
        <w:rPr>
          <w:rFonts w:ascii="Times New Roman" w:hAnsi="Times New Roman" w:cs="Times New Roman"/>
          <w:b/>
          <w:bCs/>
          <w:sz w:val="26"/>
          <w:szCs w:val="26"/>
        </w:rPr>
        <w:t>}</w:t>
      </w:r>
    </w:p>
    <w:p w:rsidR="00911580" w:rsidRPr="0072600F" w14:paraId="24534D64" w14:textId="77777777">
      <w:pPr>
        <w:rPr>
          <w:rFonts w:ascii="Times New Roman" w:hAnsi="Times New Roman" w:cs="Times New Roman"/>
          <w:sz w:val="26"/>
          <w:szCs w:val="26"/>
        </w:rPr>
      </w:pPr>
    </w:p>
    <w:p w:rsidR="00911580" w:rsidRPr="0072600F" w14:paraId="2ACCCD12" w14:textId="77777777">
      <w:pPr>
        <w:rPr>
          <w:rFonts w:ascii="Times New Roman" w:hAnsi="Times New Roman" w:cs="Times New Roman"/>
          <w:sz w:val="26"/>
          <w:szCs w:val="26"/>
        </w:rPr>
      </w:pPr>
    </w:p>
    <w:p w:rsidR="00911580" w:rsidRPr="0072600F" w14:paraId="0DE3F9EB"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7DF75FB2" w14:textId="77777777">
      <w:pPr>
        <w:rPr>
          <w:rFonts w:ascii="Times New Roman" w:hAnsi="Times New Roman" w:cs="Times New Roman"/>
          <w:sz w:val="26"/>
          <w:szCs w:val="26"/>
        </w:rPr>
      </w:pPr>
    </w:p>
    <w:p w:rsidR="00911580" w:rsidRPr="0072600F" w14:paraId="161F19C4"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422C2F79" w14:textId="77777777">
      <w:pPr>
        <w:rPr>
          <w:rFonts w:ascii="Times New Roman" w:hAnsi="Times New Roman" w:cs="Times New Roman"/>
          <w:sz w:val="26"/>
          <w:szCs w:val="26"/>
        </w:rPr>
      </w:pPr>
    </w:p>
    <w:p w:rsidR="00911580" w:rsidRPr="0072600F" w14:paraId="3426026F"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31382F1F" w14:textId="77777777">
      <w:pPr>
        <w:rPr>
          <w:rFonts w:ascii="Times New Roman" w:hAnsi="Times New Roman" w:cs="Times New Roman"/>
          <w:sz w:val="26"/>
          <w:szCs w:val="26"/>
        </w:rPr>
        <w:sectPr>
          <w:footerReference w:type="default" r:id="rId31"/>
          <w:pgSz w:w="12240" w:h="15840"/>
          <w:pgMar w:top="1440" w:right="1440" w:bottom="1440" w:left="1440" w:header="1440" w:footer="1440" w:gutter="0"/>
          <w:pgNumType w:fmt="numberInDash" w:start="1"/>
          <w:cols w:space="720"/>
          <w:noEndnote/>
        </w:sectPr>
      </w:pPr>
    </w:p>
    <w:p w:rsidR="00911580" w:rsidRPr="0072600F" w14:paraId="53748716" w14:textId="77777777">
      <w:pPr>
        <w:rPr>
          <w:rFonts w:ascii="Times New Roman" w:hAnsi="Times New Roman" w:cs="Times New Roman"/>
          <w:sz w:val="26"/>
          <w:szCs w:val="26"/>
        </w:rPr>
        <w:sectPr>
          <w:pgSz w:w="12240" w:h="15840"/>
          <w:pgMar w:top="1440" w:right="1440" w:bottom="1440" w:left="1440" w:header="1440" w:footer="1440" w:gutter="0"/>
          <w:pgNumType w:fmt="numberInDash" w:start="1"/>
          <w:cols w:space="720"/>
          <w:noEndnote/>
        </w:sectPr>
      </w:pPr>
    </w:p>
    <w:p w:rsidR="00911580" w:rsidRPr="0072600F" w14:paraId="386F3421"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Attachment A To Appendix 3</w:t>
      </w:r>
    </w:p>
    <w:p w:rsidR="00911580" w:rsidRPr="0072600F" w14:paraId="1D2FA75D"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Interconnection Facilities</w:t>
      </w:r>
    </w:p>
    <w:p w:rsidR="00911580" w:rsidRPr="0072600F" w14:paraId="4834584D" w14:textId="77777777">
      <w:pPr>
        <w:jc w:val="right"/>
        <w:rPr>
          <w:rFonts w:ascii="Times New Roman" w:hAnsi="Times New Roman" w:cs="Times New Roman"/>
          <w:sz w:val="26"/>
          <w:szCs w:val="26"/>
        </w:rPr>
      </w:pPr>
      <w:r w:rsidRPr="0072600F">
        <w:rPr>
          <w:rFonts w:ascii="Times New Roman" w:hAnsi="Times New Roman" w:cs="Times New Roman"/>
          <w:b/>
          <w:bCs/>
          <w:sz w:val="26"/>
          <w:szCs w:val="26"/>
        </w:rPr>
        <w:t>Study Agreement</w:t>
      </w:r>
    </w:p>
    <w:p w:rsidR="00911580" w:rsidRPr="0072600F" w14:paraId="1B2C60AF" w14:textId="77777777">
      <w:pPr>
        <w:rPr>
          <w:rFonts w:ascii="Times New Roman" w:hAnsi="Times New Roman" w:cs="Times New Roman"/>
          <w:sz w:val="26"/>
          <w:szCs w:val="26"/>
        </w:rPr>
      </w:pPr>
    </w:p>
    <w:p w:rsidR="00911580" w:rsidRPr="0072600F" w14:paraId="1085E3D5" w14:textId="77777777">
      <w:pPr>
        <w:jc w:val="center"/>
        <w:rPr>
          <w:rFonts w:ascii="Times New Roman" w:hAnsi="Times New Roman" w:cs="Times New Roman"/>
          <w:sz w:val="26"/>
          <w:szCs w:val="26"/>
        </w:rPr>
      </w:pPr>
      <w:r w:rsidRPr="0072600F">
        <w:rPr>
          <w:rFonts w:ascii="Times New Roman" w:hAnsi="Times New Roman" w:cs="Times New Roman"/>
          <w:b/>
          <w:sz w:val="26"/>
          <w:szCs w:val="26"/>
        </w:rPr>
        <w:t>INTERCONNECTION CUSTOMER SCHEDULE ELECTION FOR CONDUCTING THE INTERCONNECTION FACILITIES STUDY</w:t>
      </w:r>
    </w:p>
    <w:p w:rsidR="00911580" w:rsidRPr="0072600F" w14:paraId="7B821613" w14:textId="77777777">
      <w:pPr>
        <w:rPr>
          <w:rFonts w:ascii="Times New Roman" w:hAnsi="Times New Roman" w:cs="Times New Roman"/>
          <w:sz w:val="26"/>
          <w:szCs w:val="26"/>
        </w:rPr>
      </w:pPr>
    </w:p>
    <w:p w:rsidR="00911580" w:rsidRPr="0072600F" w14:paraId="4895E3D8" w14:textId="77777777">
      <w:pPr>
        <w:rPr>
          <w:rFonts w:ascii="Times New Roman" w:hAnsi="Times New Roman" w:cs="Times New Roman"/>
          <w:sz w:val="26"/>
          <w:szCs w:val="26"/>
        </w:rPr>
      </w:pPr>
    </w:p>
    <w:p w:rsidR="00911580" w:rsidRPr="0072600F" w14:paraId="3952A292" w14:textId="77777777">
      <w:pPr>
        <w:rPr>
          <w:rFonts w:ascii="Times New Roman" w:hAnsi="Times New Roman" w:cs="Times New Roman"/>
          <w:sz w:val="26"/>
          <w:szCs w:val="26"/>
        </w:rPr>
      </w:pPr>
      <w:r w:rsidRPr="0072600F">
        <w:rPr>
          <w:rFonts w:ascii="Times New Roman" w:hAnsi="Times New Roman" w:cs="Times New Roman"/>
          <w:sz w:val="26"/>
          <w:szCs w:val="26"/>
        </w:rPr>
        <w:tab/>
        <w:t>Transmission Provider shall complete the study and issue a draft Interconnection Facilities Study Report to Interconnection Customer within the following number of days after receipt of an executed copy of this Interconnection Facilities Study Agreement:</w:t>
      </w:r>
    </w:p>
    <w:p w:rsidR="00911580" w:rsidRPr="0072600F" w14:paraId="3233915C" w14:textId="77777777">
      <w:pPr>
        <w:rPr>
          <w:rFonts w:ascii="Times New Roman" w:hAnsi="Times New Roman" w:cs="Times New Roman"/>
          <w:sz w:val="26"/>
          <w:szCs w:val="26"/>
        </w:rPr>
      </w:pPr>
    </w:p>
    <w:p w:rsidR="00911580" w:rsidRPr="0072600F" w14:paraId="7F5C337C" w14:textId="77777777">
      <w:pPr>
        <w:rPr>
          <w:rFonts w:ascii="Times New Roman" w:hAnsi="Times New Roman" w:cs="Times New Roman"/>
          <w:sz w:val="26"/>
          <w:szCs w:val="26"/>
        </w:rPr>
      </w:pPr>
    </w:p>
    <w:p w:rsidR="00911580" w:rsidRPr="0072600F" w14:paraId="0F301DAD"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w:t>
      </w:r>
      <w:r w:rsidRPr="0072600F">
        <w:rPr>
          <w:rFonts w:ascii="Times New Roman" w:hAnsi="Times New Roman" w:cs="Times New Roman"/>
          <w:sz w:val="26"/>
          <w:szCs w:val="26"/>
        </w:rPr>
        <w:tab/>
        <w:t>ninety (90) Calendar Days with no more than a +/- 20 percent cost estimate contained in the report, or</w:t>
      </w:r>
    </w:p>
    <w:p w:rsidR="00911580" w:rsidRPr="0072600F" w14:paraId="43EF329D" w14:textId="77777777">
      <w:pPr>
        <w:rPr>
          <w:rFonts w:ascii="Times New Roman" w:hAnsi="Times New Roman" w:cs="Times New Roman"/>
          <w:sz w:val="26"/>
          <w:szCs w:val="26"/>
        </w:rPr>
      </w:pPr>
    </w:p>
    <w:p w:rsidR="00911580" w:rsidRPr="0072600F" w14:paraId="4A7596CA"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w:t>
      </w:r>
      <w:r w:rsidRPr="0072600F">
        <w:rPr>
          <w:rFonts w:ascii="Times New Roman" w:hAnsi="Times New Roman" w:cs="Times New Roman"/>
          <w:sz w:val="26"/>
          <w:szCs w:val="26"/>
        </w:rPr>
        <w:tab/>
        <w:t>one hundred eighty (180) Calendar Days with no more than a +/- 10 percent cost estimate contained in the report.</w:t>
      </w:r>
    </w:p>
    <w:p w:rsidR="00911580" w:rsidRPr="0072600F" w14:paraId="1C26907D" w14:textId="77777777">
      <w:pPr>
        <w:tabs>
          <w:tab w:val="left" w:pos="720"/>
          <w:tab w:val="left" w:pos="1440"/>
        </w:tabs>
        <w:ind w:left="1440" w:hanging="1440"/>
        <w:rPr>
          <w:rFonts w:ascii="Times New Roman" w:hAnsi="Times New Roman" w:cs="Times New Roman"/>
          <w:sz w:val="26"/>
          <w:szCs w:val="26"/>
        </w:rPr>
      </w:pPr>
    </w:p>
    <w:p w:rsidR="00911580" w:rsidRPr="0072600F" w14:paraId="0E81BB5E" w14:textId="77777777">
      <w:pPr>
        <w:tabs>
          <w:tab w:val="left" w:pos="720"/>
          <w:tab w:val="left" w:pos="1440"/>
        </w:tabs>
        <w:ind w:left="1440" w:hanging="1440"/>
        <w:rPr>
          <w:rFonts w:ascii="Times New Roman" w:hAnsi="Times New Roman" w:cs="Times New Roman"/>
          <w:sz w:val="26"/>
          <w:szCs w:val="26"/>
        </w:rPr>
        <w:sectPr>
          <w:footerReference w:type="default" r:id="rId32"/>
          <w:type w:val="continuous"/>
          <w:pgSz w:w="12240" w:h="15840"/>
          <w:pgMar w:top="1440" w:right="1440" w:bottom="1440" w:left="1440" w:header="1440" w:footer="1440" w:gutter="0"/>
          <w:pgNumType w:fmt="numberInDash"/>
          <w:cols w:space="720"/>
          <w:noEndnote/>
        </w:sectPr>
      </w:pPr>
    </w:p>
    <w:p w:rsidR="00911580" w:rsidRPr="0072600F" w14:paraId="21FDC238" w14:textId="77777777">
      <w:pPr>
        <w:rPr>
          <w:rFonts w:ascii="Times New Roman" w:hAnsi="Times New Roman" w:cs="Times New Roman"/>
          <w:sz w:val="26"/>
          <w:szCs w:val="26"/>
        </w:rPr>
        <w:sectPr>
          <w:pgSz w:w="12240" w:h="15840"/>
          <w:pgMar w:top="1440" w:right="1440" w:bottom="1440" w:left="1440" w:header="1440" w:footer="1440" w:gutter="0"/>
          <w:pgNumType w:fmt="numberInDash" w:start="1"/>
          <w:cols w:space="720"/>
          <w:noEndnote/>
        </w:sectPr>
      </w:pPr>
    </w:p>
    <w:p w:rsidR="00911580" w:rsidRPr="0072600F" w14:paraId="1F10933F"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Attachment B to Appendix 3</w:t>
      </w:r>
    </w:p>
    <w:p w:rsidR="00911580" w:rsidRPr="0072600F" w14:paraId="59ED9481"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Interconnection Facilities</w:t>
      </w:r>
    </w:p>
    <w:p w:rsidR="00911580" w:rsidRPr="0072600F" w14:paraId="0A66F0AF" w14:textId="77777777">
      <w:pPr>
        <w:jc w:val="right"/>
        <w:rPr>
          <w:rFonts w:ascii="Times New Roman" w:hAnsi="Times New Roman" w:cs="Times New Roman"/>
          <w:sz w:val="26"/>
          <w:szCs w:val="26"/>
        </w:rPr>
      </w:pPr>
      <w:r w:rsidRPr="0072600F">
        <w:rPr>
          <w:rFonts w:ascii="Times New Roman" w:hAnsi="Times New Roman" w:cs="Times New Roman"/>
          <w:b/>
          <w:bCs/>
          <w:sz w:val="26"/>
          <w:szCs w:val="26"/>
        </w:rPr>
        <w:t>Study Agreement</w:t>
      </w:r>
    </w:p>
    <w:p w:rsidR="00911580" w:rsidRPr="0072600F" w14:paraId="2A2C188E" w14:textId="77777777">
      <w:pPr>
        <w:rPr>
          <w:rFonts w:ascii="Times New Roman" w:hAnsi="Times New Roman" w:cs="Times New Roman"/>
          <w:sz w:val="26"/>
          <w:szCs w:val="26"/>
        </w:rPr>
      </w:pPr>
    </w:p>
    <w:p w:rsidR="00911580" w:rsidRPr="0072600F" w14:paraId="78B6D527" w14:textId="77777777">
      <w:pPr>
        <w:rPr>
          <w:rFonts w:ascii="Times New Roman" w:hAnsi="Times New Roman" w:cs="Times New Roman"/>
          <w:sz w:val="26"/>
          <w:szCs w:val="26"/>
        </w:rPr>
      </w:pPr>
    </w:p>
    <w:p w:rsidR="00911580" w:rsidRPr="0072600F" w14:paraId="191C23A5"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xml:space="preserve">DATA FORM TO BE PROVIDED BY INTERCONNECTION CUSTOMER WITH THE </w:t>
      </w:r>
    </w:p>
    <w:p w:rsidR="00911580" w:rsidRPr="0072600F" w14:paraId="679028C3"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INTERCONNECTION FACILITIES STUDY AGREEMENT</w:t>
      </w:r>
      <w:r w:rsidRPr="0072600F">
        <w:rPr>
          <w:rFonts w:ascii="Times New Roman" w:hAnsi="Times New Roman" w:cs="Times New Roman"/>
          <w:sz w:val="26"/>
          <w:szCs w:val="26"/>
        </w:rPr>
        <w:t xml:space="preserve"> </w:t>
      </w:r>
    </w:p>
    <w:p w:rsidR="00911580" w:rsidRPr="0072600F" w14:paraId="2078A70B" w14:textId="77777777">
      <w:pPr>
        <w:rPr>
          <w:rFonts w:ascii="Times New Roman" w:hAnsi="Times New Roman" w:cs="Times New Roman"/>
          <w:sz w:val="26"/>
          <w:szCs w:val="26"/>
        </w:rPr>
      </w:pPr>
    </w:p>
    <w:p w:rsidR="00911580" w:rsidRPr="0072600F" w14:paraId="4FAD218B" w14:textId="77777777">
      <w:pPr>
        <w:rPr>
          <w:rFonts w:ascii="Times New Roman" w:hAnsi="Times New Roman" w:cs="Times New Roman"/>
          <w:sz w:val="26"/>
          <w:szCs w:val="26"/>
        </w:rPr>
      </w:pPr>
      <w:r w:rsidRPr="0072600F">
        <w:rPr>
          <w:rFonts w:ascii="Times New Roman" w:hAnsi="Times New Roman" w:cs="Times New Roman"/>
          <w:sz w:val="26"/>
          <w:szCs w:val="26"/>
        </w:rPr>
        <w:t>Provide location plan and simplified one-line diagram of the plant and station facilities.  For staged projects, please indicate future generation, transmission circuits, etc.</w:t>
      </w:r>
    </w:p>
    <w:p w:rsidR="00911580" w:rsidRPr="0072600F" w14:paraId="3FECB573"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14:paraId="76F9E274" w14:textId="77777777">
      <w:pPr>
        <w:rPr>
          <w:rFonts w:ascii="Times New Roman" w:hAnsi="Times New Roman" w:cs="Times New Roman"/>
          <w:sz w:val="26"/>
          <w:szCs w:val="26"/>
        </w:rPr>
      </w:pPr>
      <w:r w:rsidRPr="0072600F">
        <w:rPr>
          <w:rFonts w:ascii="Times New Roman" w:hAnsi="Times New Roman" w:cs="Times New Roman"/>
          <w:sz w:val="26"/>
          <w:szCs w:val="26"/>
        </w:rPr>
        <w:t xml:space="preserve">One set of metering is required for each generation connection to the new ring bus or existing Transmission Provider station.  Number of generation connections: </w:t>
      </w:r>
    </w:p>
    <w:p w:rsidR="00911580" w:rsidRPr="0072600F" w14:paraId="6B7168A2" w14:textId="77777777">
      <w:pPr>
        <w:rPr>
          <w:rFonts w:ascii="Times New Roman" w:hAnsi="Times New Roman" w:cs="Times New Roman"/>
          <w:sz w:val="26"/>
          <w:szCs w:val="26"/>
        </w:rPr>
      </w:pPr>
    </w:p>
    <w:p w:rsidR="00911580" w:rsidRPr="0072600F" w14:paraId="78C80FA6" w14:textId="77777777">
      <w:pPr>
        <w:rPr>
          <w:rFonts w:ascii="Times New Roman" w:hAnsi="Times New Roman" w:cs="Times New Roman"/>
          <w:sz w:val="26"/>
          <w:szCs w:val="26"/>
        </w:rPr>
      </w:pPr>
      <w:r w:rsidRPr="0072600F">
        <w:rPr>
          <w:rFonts w:ascii="Times New Roman" w:hAnsi="Times New Roman" w:cs="Times New Roman"/>
          <w:sz w:val="26"/>
          <w:szCs w:val="26"/>
        </w:rPr>
        <w:t>On the one</w:t>
      </w:r>
      <w:r w:rsidRPr="0072600F" w:rsidR="00811463">
        <w:rPr>
          <w:rFonts w:ascii="Times New Roman" w:hAnsi="Times New Roman" w:cs="Times New Roman"/>
          <w:sz w:val="26"/>
          <w:szCs w:val="26"/>
        </w:rPr>
        <w:t>-</w:t>
      </w:r>
      <w:r w:rsidRPr="0072600F">
        <w:rPr>
          <w:rFonts w:ascii="Times New Roman" w:hAnsi="Times New Roman" w:cs="Times New Roman"/>
          <w:sz w:val="26"/>
          <w:szCs w:val="26"/>
        </w:rPr>
        <w:t>line diagram indicate the generation capacity attached at each metering location. (Maximum load on CT/PT)</w:t>
      </w:r>
    </w:p>
    <w:p w:rsidR="00911580" w:rsidRPr="0072600F" w14:paraId="2E0D5CCD" w14:textId="77777777">
      <w:pPr>
        <w:rPr>
          <w:rFonts w:ascii="Times New Roman" w:hAnsi="Times New Roman" w:cs="Times New Roman"/>
          <w:sz w:val="26"/>
          <w:szCs w:val="26"/>
        </w:rPr>
      </w:pPr>
    </w:p>
    <w:p w:rsidR="00911580" w:rsidRPr="0072600F" w14:paraId="51ADE3F0" w14:textId="77777777">
      <w:pPr>
        <w:rPr>
          <w:rFonts w:ascii="Times New Roman" w:hAnsi="Times New Roman" w:cs="Times New Roman"/>
          <w:sz w:val="26"/>
          <w:szCs w:val="26"/>
        </w:rPr>
      </w:pPr>
      <w:r w:rsidRPr="0072600F">
        <w:rPr>
          <w:rFonts w:ascii="Times New Roman" w:hAnsi="Times New Roman" w:cs="Times New Roman"/>
          <w:sz w:val="26"/>
          <w:szCs w:val="26"/>
        </w:rPr>
        <w:t>On the one</w:t>
      </w:r>
      <w:r w:rsidRPr="0072600F" w:rsidR="00811463">
        <w:rPr>
          <w:rFonts w:ascii="Times New Roman" w:hAnsi="Times New Roman" w:cs="Times New Roman"/>
          <w:sz w:val="26"/>
          <w:szCs w:val="26"/>
        </w:rPr>
        <w:t>-</w:t>
      </w:r>
      <w:r w:rsidRPr="0072600F">
        <w:rPr>
          <w:rFonts w:ascii="Times New Roman" w:hAnsi="Times New Roman" w:cs="Times New Roman"/>
          <w:sz w:val="26"/>
          <w:szCs w:val="26"/>
        </w:rPr>
        <w:t>line diagram indicate the location of auxiliary power. (Minimum load on CT/PT)  Amps</w:t>
      </w:r>
    </w:p>
    <w:p w:rsidR="00911580" w:rsidRPr="0072600F" w14:paraId="170E4243" w14:textId="77777777">
      <w:pPr>
        <w:rPr>
          <w:rFonts w:ascii="Times New Roman" w:hAnsi="Times New Roman" w:cs="Times New Roman"/>
          <w:sz w:val="26"/>
          <w:szCs w:val="26"/>
        </w:rPr>
      </w:pPr>
    </w:p>
    <w:p w:rsidR="00911580" w:rsidRPr="0072600F" w14:paraId="1910B02D" w14:textId="77777777">
      <w:pPr>
        <w:rPr>
          <w:rFonts w:ascii="Times New Roman" w:hAnsi="Times New Roman" w:cs="Times New Roman"/>
          <w:sz w:val="26"/>
          <w:szCs w:val="26"/>
        </w:rPr>
      </w:pPr>
      <w:r w:rsidRPr="0072600F">
        <w:rPr>
          <w:rFonts w:ascii="Times New Roman" w:hAnsi="Times New Roman" w:cs="Times New Roman"/>
          <w:sz w:val="26"/>
          <w:szCs w:val="26"/>
        </w:rPr>
        <w:t>Will an alternate source of auxiliary power be available during CT/PT maintenance?</w:t>
      </w:r>
    </w:p>
    <w:p w:rsidR="00911580" w:rsidRPr="0072600F" w14:paraId="30436BCA"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Yes</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No</w:t>
      </w:r>
    </w:p>
    <w:p w:rsidR="00911580" w:rsidRPr="0072600F" w14:paraId="258AFC20" w14:textId="77777777">
      <w:pPr>
        <w:rPr>
          <w:rFonts w:ascii="Times New Roman" w:hAnsi="Times New Roman" w:cs="Times New Roman"/>
          <w:sz w:val="26"/>
          <w:szCs w:val="26"/>
        </w:rPr>
      </w:pPr>
    </w:p>
    <w:p w:rsidR="00911580" w:rsidRPr="0072600F" w14:paraId="5FF72600" w14:textId="77777777">
      <w:pPr>
        <w:rPr>
          <w:rFonts w:ascii="Times New Roman" w:hAnsi="Times New Roman" w:cs="Times New Roman"/>
          <w:sz w:val="26"/>
          <w:szCs w:val="26"/>
        </w:rPr>
      </w:pPr>
      <w:r w:rsidRPr="0072600F">
        <w:rPr>
          <w:rFonts w:ascii="Times New Roman" w:hAnsi="Times New Roman" w:cs="Times New Roman"/>
          <w:sz w:val="26"/>
          <w:szCs w:val="26"/>
        </w:rPr>
        <w:t xml:space="preserve">Will a transfer bus on the generation side of the metering require that each meter set be designed for the total plant generation?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Yes</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No    (Please indicate on one line diagram).</w:t>
      </w:r>
    </w:p>
    <w:p w:rsidR="00911580" w:rsidRPr="0072600F" w14:paraId="2779A7B1"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14:paraId="0122F50A" w14:textId="77777777">
      <w:pPr>
        <w:rPr>
          <w:rFonts w:ascii="Times New Roman" w:hAnsi="Times New Roman" w:cs="Times New Roman"/>
          <w:sz w:val="26"/>
          <w:szCs w:val="26"/>
        </w:rPr>
      </w:pPr>
      <w:r w:rsidRPr="0072600F">
        <w:rPr>
          <w:rFonts w:ascii="Times New Roman" w:hAnsi="Times New Roman" w:cs="Times New Roman"/>
          <w:sz w:val="26"/>
          <w:szCs w:val="26"/>
        </w:rPr>
        <w:t>What type of control system or PLC will be located at Interconnection Customer</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s Large Generating Facility?</w:t>
      </w:r>
    </w:p>
    <w:p w:rsidR="00911580" w:rsidRPr="0072600F" w14:paraId="351F3BE7" w14:textId="77777777">
      <w:pPr>
        <w:pBdr>
          <w:top w:val="single" w:sz="12" w:space="1" w:color="auto"/>
          <w:bottom w:val="single" w:sz="12" w:space="1" w:color="auto"/>
        </w:pBdr>
        <w:rPr>
          <w:rFonts w:ascii="Times New Roman" w:hAnsi="Times New Roman" w:cs="Times New Roman"/>
          <w:sz w:val="26"/>
          <w:szCs w:val="26"/>
        </w:rPr>
      </w:pPr>
    </w:p>
    <w:p w:rsidR="00911580" w:rsidRPr="0072600F" w14:paraId="0A49DA66" w14:textId="77777777">
      <w:pPr>
        <w:rPr>
          <w:rFonts w:ascii="Times New Roman" w:hAnsi="Times New Roman" w:cs="Times New Roman"/>
          <w:sz w:val="26"/>
          <w:szCs w:val="26"/>
        </w:rPr>
      </w:pPr>
    </w:p>
    <w:p w:rsidR="00911580" w:rsidRPr="0072600F" w14:paraId="4E4C32FD" w14:textId="77777777">
      <w:pPr>
        <w:rPr>
          <w:rFonts w:ascii="Times New Roman" w:hAnsi="Times New Roman" w:cs="Times New Roman"/>
          <w:sz w:val="26"/>
          <w:szCs w:val="26"/>
        </w:rPr>
      </w:pPr>
      <w:r w:rsidRPr="0072600F">
        <w:rPr>
          <w:rFonts w:ascii="Times New Roman" w:hAnsi="Times New Roman" w:cs="Times New Roman"/>
          <w:sz w:val="26"/>
          <w:szCs w:val="26"/>
        </w:rPr>
        <w:t>What protocol does the control system or PLC use?</w:t>
      </w:r>
    </w:p>
    <w:p w:rsidR="00911580" w:rsidRPr="0072600F" w14:paraId="5C4CF162" w14:textId="77777777">
      <w:pPr>
        <w:pBdr>
          <w:top w:val="single" w:sz="12" w:space="1" w:color="auto"/>
          <w:bottom w:val="single" w:sz="12" w:space="1" w:color="auto"/>
        </w:pBdr>
        <w:rPr>
          <w:rFonts w:ascii="Times New Roman" w:hAnsi="Times New Roman" w:cs="Times New Roman"/>
          <w:sz w:val="26"/>
          <w:szCs w:val="26"/>
        </w:rPr>
      </w:pPr>
    </w:p>
    <w:p w:rsidR="00911580" w:rsidRPr="0072600F" w14:paraId="0ED51A1E" w14:textId="77777777">
      <w:pPr>
        <w:rPr>
          <w:rFonts w:ascii="Times New Roman" w:hAnsi="Times New Roman" w:cs="Times New Roman"/>
          <w:sz w:val="26"/>
          <w:szCs w:val="26"/>
        </w:rPr>
      </w:pPr>
    </w:p>
    <w:p w:rsidR="00911580" w:rsidRPr="0072600F" w14:paraId="20579863" w14:textId="77777777">
      <w:pPr>
        <w:rPr>
          <w:rFonts w:ascii="Times New Roman" w:hAnsi="Times New Roman" w:cs="Times New Roman"/>
          <w:sz w:val="26"/>
          <w:szCs w:val="26"/>
        </w:rPr>
      </w:pPr>
      <w:r w:rsidRPr="0072600F">
        <w:rPr>
          <w:rFonts w:ascii="Times New Roman" w:hAnsi="Times New Roman" w:cs="Times New Roman"/>
          <w:sz w:val="26"/>
          <w:szCs w:val="26"/>
        </w:rPr>
        <w:t>Please provide a 7.5-minute quadrangle of the site.  Sketch the plant, station, transmission line, and property line.</w:t>
      </w:r>
    </w:p>
    <w:p w:rsidR="00911580" w:rsidRPr="0072600F" w14:paraId="5B7DDD3D" w14:textId="77777777">
      <w:pPr>
        <w:rPr>
          <w:rFonts w:ascii="Times New Roman" w:hAnsi="Times New Roman" w:cs="Times New Roman"/>
          <w:sz w:val="26"/>
          <w:szCs w:val="26"/>
        </w:rPr>
      </w:pPr>
    </w:p>
    <w:p w:rsidR="00911580" w:rsidRPr="0072600F" w14:paraId="069D4DBF" w14:textId="77777777">
      <w:pPr>
        <w:rPr>
          <w:rFonts w:ascii="Times New Roman" w:hAnsi="Times New Roman" w:cs="Times New Roman"/>
          <w:sz w:val="26"/>
          <w:szCs w:val="26"/>
        </w:rPr>
      </w:pPr>
      <w:r w:rsidRPr="0072600F">
        <w:rPr>
          <w:rFonts w:ascii="Times New Roman" w:hAnsi="Times New Roman" w:cs="Times New Roman"/>
          <w:sz w:val="26"/>
          <w:szCs w:val="26"/>
        </w:rPr>
        <w:t>Physical dimensions of the proposed interconnection station:</w:t>
      </w:r>
    </w:p>
    <w:p w:rsidR="00911580" w:rsidRPr="0072600F" w14:paraId="5BBC5108" w14:textId="77777777">
      <w:pPr>
        <w:pBdr>
          <w:top w:val="single" w:sz="12" w:space="1" w:color="auto"/>
          <w:bottom w:val="single" w:sz="12" w:space="1" w:color="auto"/>
        </w:pBdr>
        <w:rPr>
          <w:rFonts w:ascii="Times New Roman" w:hAnsi="Times New Roman" w:cs="Times New Roman"/>
          <w:sz w:val="26"/>
          <w:szCs w:val="26"/>
          <w:u w:val="single"/>
        </w:rPr>
      </w:pPr>
    </w:p>
    <w:p w:rsidR="00911580" w:rsidRPr="0072600F" w14:paraId="627D8608" w14:textId="77777777">
      <w:pPr>
        <w:rPr>
          <w:rFonts w:ascii="Times New Roman" w:hAnsi="Times New Roman" w:cs="Times New Roman"/>
          <w:sz w:val="26"/>
          <w:szCs w:val="26"/>
          <w:u w:val="single"/>
        </w:rPr>
      </w:pPr>
    </w:p>
    <w:p w:rsidR="00911580" w:rsidRPr="0072600F" w14:paraId="048BD0DA" w14:textId="77777777">
      <w:pPr>
        <w:rPr>
          <w:rFonts w:ascii="Times New Roman" w:hAnsi="Times New Roman" w:cs="Times New Roman"/>
          <w:sz w:val="26"/>
          <w:szCs w:val="26"/>
        </w:rPr>
      </w:pPr>
      <w:r w:rsidRPr="0072600F">
        <w:rPr>
          <w:rFonts w:ascii="Times New Roman" w:hAnsi="Times New Roman" w:cs="Times New Roman"/>
          <w:sz w:val="26"/>
          <w:szCs w:val="26"/>
        </w:rPr>
        <w:t>Bus length from generation to interconnection station:</w:t>
      </w:r>
    </w:p>
    <w:p w:rsidR="00911580" w:rsidRPr="0072600F" w14:paraId="02D7FCE9" w14:textId="77777777">
      <w:pPr>
        <w:pBdr>
          <w:top w:val="single" w:sz="12" w:space="1" w:color="auto"/>
          <w:bottom w:val="single" w:sz="12" w:space="1" w:color="auto"/>
        </w:pBdr>
        <w:rPr>
          <w:rFonts w:ascii="Times New Roman" w:hAnsi="Times New Roman" w:cs="Times New Roman"/>
          <w:sz w:val="26"/>
          <w:szCs w:val="26"/>
          <w:u w:val="single"/>
        </w:rPr>
      </w:pPr>
    </w:p>
    <w:p w:rsidR="00911580" w:rsidRPr="0072600F" w14:paraId="330E3596" w14:textId="77777777">
      <w:pPr>
        <w:rPr>
          <w:rFonts w:ascii="Times New Roman" w:hAnsi="Times New Roman" w:cs="Times New Roman"/>
          <w:sz w:val="26"/>
          <w:szCs w:val="26"/>
        </w:rPr>
      </w:pPr>
    </w:p>
    <w:p w:rsidR="00911580" w:rsidRPr="0072600F" w14:paraId="432A8526" w14:textId="77777777">
      <w:pPr>
        <w:rPr>
          <w:rFonts w:ascii="Times New Roman" w:hAnsi="Times New Roman" w:cs="Times New Roman"/>
          <w:sz w:val="26"/>
          <w:szCs w:val="26"/>
        </w:rPr>
      </w:pPr>
      <w:r w:rsidRPr="0072600F">
        <w:rPr>
          <w:rFonts w:ascii="Times New Roman" w:hAnsi="Times New Roman" w:cs="Times New Roman"/>
          <w:sz w:val="26"/>
          <w:szCs w:val="26"/>
        </w:rPr>
        <w:t xml:space="preserve">Line length from interconnection station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line.</w:t>
      </w:r>
    </w:p>
    <w:p w:rsidR="00911580" w:rsidRPr="0072600F" w14:paraId="5142E27D" w14:textId="77777777">
      <w:pPr>
        <w:pBdr>
          <w:top w:val="single" w:sz="12" w:space="1" w:color="auto"/>
          <w:bottom w:val="single" w:sz="12" w:space="1" w:color="auto"/>
        </w:pBdr>
        <w:rPr>
          <w:rFonts w:ascii="Times New Roman" w:hAnsi="Times New Roman" w:cs="Times New Roman"/>
          <w:sz w:val="26"/>
          <w:szCs w:val="26"/>
        </w:rPr>
      </w:pPr>
    </w:p>
    <w:p w:rsidR="00911580" w:rsidRPr="0072600F" w14:paraId="0DF7AD87" w14:textId="77777777">
      <w:pPr>
        <w:rPr>
          <w:rFonts w:ascii="Times New Roman" w:hAnsi="Times New Roman" w:cs="Times New Roman"/>
          <w:sz w:val="26"/>
          <w:szCs w:val="26"/>
        </w:rPr>
      </w:pPr>
    </w:p>
    <w:p w:rsidR="00911580" w:rsidRPr="0072600F" w14:paraId="71C8DEE5" w14:textId="77777777">
      <w:pPr>
        <w:rPr>
          <w:rFonts w:ascii="Times New Roman" w:hAnsi="Times New Roman" w:cs="Times New Roman"/>
          <w:sz w:val="26"/>
          <w:szCs w:val="26"/>
        </w:rPr>
      </w:pPr>
      <w:r w:rsidRPr="0072600F">
        <w:rPr>
          <w:rFonts w:ascii="Times New Roman" w:hAnsi="Times New Roman" w:cs="Times New Roman"/>
          <w:sz w:val="26"/>
          <w:szCs w:val="26"/>
        </w:rPr>
        <w:t>Tower number observed in the field. (Painted on tower leg)* ______________________</w:t>
      </w:r>
    </w:p>
    <w:p w:rsidR="00911580" w:rsidRPr="0072600F" w14:paraId="421BE2A4" w14:textId="77777777">
      <w:pPr>
        <w:rPr>
          <w:rFonts w:ascii="Times New Roman" w:hAnsi="Times New Roman" w:cs="Times New Roman"/>
          <w:sz w:val="26"/>
          <w:szCs w:val="26"/>
        </w:rPr>
      </w:pPr>
    </w:p>
    <w:p w:rsidR="00911580" w:rsidRPr="0072600F" w14:paraId="42D27356" w14:textId="77777777">
      <w:pPr>
        <w:rPr>
          <w:rFonts w:ascii="Times New Roman" w:hAnsi="Times New Roman" w:cs="Times New Roman"/>
          <w:sz w:val="26"/>
          <w:szCs w:val="26"/>
        </w:rPr>
      </w:pPr>
      <w:r w:rsidRPr="0072600F">
        <w:rPr>
          <w:rFonts w:ascii="Times New Roman" w:hAnsi="Times New Roman" w:cs="Times New Roman"/>
          <w:sz w:val="26"/>
          <w:szCs w:val="26"/>
        </w:rPr>
        <w:t>Number of third party easements required for transmission lines*:</w:t>
      </w:r>
    </w:p>
    <w:p w:rsidR="00911580" w:rsidRPr="0072600F" w14:paraId="1E9F8834" w14:textId="77777777">
      <w:pPr>
        <w:pBdr>
          <w:top w:val="single" w:sz="12" w:space="1" w:color="auto"/>
          <w:bottom w:val="single" w:sz="12" w:space="1" w:color="auto"/>
        </w:pBdr>
        <w:rPr>
          <w:rFonts w:ascii="Times New Roman" w:hAnsi="Times New Roman" w:cs="Times New Roman"/>
          <w:sz w:val="26"/>
          <w:szCs w:val="26"/>
          <w:u w:val="single"/>
        </w:rPr>
      </w:pPr>
    </w:p>
    <w:p w:rsidR="00911580" w:rsidRPr="0072600F" w14:paraId="69390430" w14:textId="77777777">
      <w:pPr>
        <w:rPr>
          <w:rFonts w:ascii="Times New Roman" w:hAnsi="Times New Roman" w:cs="Times New Roman"/>
          <w:sz w:val="26"/>
          <w:szCs w:val="26"/>
        </w:rPr>
      </w:pPr>
    </w:p>
    <w:p w:rsidR="00911580" w:rsidRPr="0072600F" w14:paraId="4B628259"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 To be completed in coordination with Transmission Provider.</w:t>
      </w:r>
    </w:p>
    <w:p w:rsidR="00911580" w:rsidRPr="0072600F" w14:paraId="1D2F732A"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14:paraId="4061DC23" w14:textId="77777777">
      <w:pPr>
        <w:rPr>
          <w:rFonts w:ascii="Times New Roman" w:hAnsi="Times New Roman" w:cs="Times New Roman"/>
          <w:sz w:val="26"/>
          <w:szCs w:val="26"/>
        </w:rPr>
      </w:pPr>
      <w:r w:rsidRPr="0072600F">
        <w:rPr>
          <w:rFonts w:ascii="Times New Roman" w:hAnsi="Times New Roman" w:cs="Times New Roman"/>
          <w:sz w:val="26"/>
          <w:szCs w:val="26"/>
        </w:rPr>
        <w:t xml:space="preserve">Is the Large Generating Facility in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service area?</w:t>
      </w:r>
    </w:p>
    <w:p w:rsidR="00911580" w:rsidRPr="0072600F" w14:paraId="0547084E" w14:textId="77777777">
      <w:pPr>
        <w:rPr>
          <w:rFonts w:ascii="Times New Roman" w:hAnsi="Times New Roman" w:cs="Times New Roman"/>
          <w:sz w:val="26"/>
          <w:szCs w:val="26"/>
        </w:rPr>
      </w:pPr>
    </w:p>
    <w:p w:rsidR="00911580" w:rsidRPr="0072600F" w14:paraId="111646CB"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Yes</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No</w:t>
      </w:r>
      <w:r w:rsidRPr="0072600F">
        <w:rPr>
          <w:rFonts w:ascii="Times New Roman" w:hAnsi="Times New Roman" w:cs="Times New Roman"/>
          <w:sz w:val="26"/>
          <w:szCs w:val="26"/>
        </w:rPr>
        <w:tab/>
        <w:t>Local provider: ___________________________________</w:t>
      </w:r>
    </w:p>
    <w:p w:rsidR="00911580" w:rsidRPr="0072600F" w14:paraId="1EA6A4E7" w14:textId="77777777">
      <w:pPr>
        <w:rPr>
          <w:rFonts w:ascii="Times New Roman" w:hAnsi="Times New Roman" w:cs="Times New Roman"/>
          <w:sz w:val="26"/>
          <w:szCs w:val="26"/>
        </w:rPr>
      </w:pPr>
    </w:p>
    <w:p w:rsidR="00911580" w:rsidRPr="0072600F" w14:paraId="7A10EC82" w14:textId="77777777">
      <w:pPr>
        <w:rPr>
          <w:rFonts w:ascii="Times New Roman" w:hAnsi="Times New Roman" w:cs="Times New Roman"/>
          <w:sz w:val="26"/>
          <w:szCs w:val="26"/>
        </w:rPr>
      </w:pPr>
      <w:r w:rsidRPr="0072600F">
        <w:rPr>
          <w:rFonts w:ascii="Times New Roman" w:hAnsi="Times New Roman" w:cs="Times New Roman"/>
          <w:sz w:val="26"/>
          <w:szCs w:val="26"/>
        </w:rPr>
        <w:t xml:space="preserve">Please provide proposed schedule dates: </w:t>
      </w:r>
    </w:p>
    <w:p w:rsidR="00911580" w:rsidRPr="0072600F" w14:paraId="764E3913" w14:textId="77777777">
      <w:pPr>
        <w:rPr>
          <w:rFonts w:ascii="Times New Roman" w:hAnsi="Times New Roman" w:cs="Times New Roman"/>
          <w:sz w:val="26"/>
          <w:szCs w:val="26"/>
        </w:rPr>
      </w:pPr>
    </w:p>
    <w:p w:rsidR="00911580" w:rsidRPr="0072600F" w14:paraId="31F085DD" w14:textId="77777777">
      <w:pPr>
        <w:tabs>
          <w:tab w:val="left" w:pos="720"/>
          <w:tab w:val="left" w:pos="1440"/>
          <w:tab w:val="left" w:pos="2160"/>
          <w:tab w:val="left" w:pos="2880"/>
          <w:tab w:val="left" w:pos="3600"/>
          <w:tab w:val="left" w:pos="4320"/>
          <w:tab w:val="left" w:pos="5040"/>
          <w:tab w:val="left" w:pos="5760"/>
        </w:tabs>
        <w:ind w:left="5760" w:hanging="5760"/>
        <w:rPr>
          <w:rFonts w:ascii="Times New Roman" w:hAnsi="Times New Roman" w:cs="Times New Roman"/>
          <w:sz w:val="26"/>
          <w:szCs w:val="26"/>
        </w:rPr>
      </w:pPr>
      <w:r w:rsidRPr="0072600F">
        <w:rPr>
          <w:rFonts w:ascii="Times New Roman" w:hAnsi="Times New Roman" w:cs="Times New Roman"/>
          <w:sz w:val="26"/>
          <w:szCs w:val="26"/>
        </w:rPr>
        <w:tab/>
        <w:t>Begin Construction</w:t>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ab/>
        <w:t>Date: ____________________</w:t>
      </w:r>
    </w:p>
    <w:p w:rsidR="00911580" w:rsidRPr="0072600F" w14:paraId="734C41C7" w14:textId="77777777">
      <w:pPr>
        <w:rPr>
          <w:rFonts w:ascii="Times New Roman" w:hAnsi="Times New Roman" w:cs="Times New Roman"/>
          <w:sz w:val="26"/>
          <w:szCs w:val="26"/>
        </w:rPr>
      </w:pPr>
    </w:p>
    <w:p w:rsidR="00911580" w:rsidRPr="0072600F" w14:paraId="4F846EF8" w14:textId="77777777">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6"/>
          <w:szCs w:val="26"/>
        </w:rPr>
      </w:pPr>
      <w:r w:rsidRPr="0072600F">
        <w:rPr>
          <w:rFonts w:ascii="Times New Roman" w:hAnsi="Times New Roman" w:cs="Times New Roman"/>
          <w:sz w:val="26"/>
          <w:szCs w:val="26"/>
        </w:rPr>
        <w:tab/>
        <w:t xml:space="preserve">Generator step-up transformer </w:t>
      </w:r>
      <w:r w:rsidRPr="0072600F">
        <w:rPr>
          <w:rFonts w:ascii="Times New Roman" w:hAnsi="Times New Roman" w:cs="Times New Roman"/>
          <w:sz w:val="26"/>
          <w:szCs w:val="26"/>
        </w:rPr>
        <w:tab/>
      </w:r>
      <w:r w:rsidRPr="0072600F">
        <w:rPr>
          <w:rFonts w:ascii="Times New Roman" w:hAnsi="Times New Roman" w:cs="Times New Roman"/>
          <w:sz w:val="26"/>
          <w:szCs w:val="26"/>
        </w:rPr>
        <w:tab/>
        <w:t>Date: ____________________</w:t>
      </w:r>
    </w:p>
    <w:p w:rsidR="00911580" w:rsidRPr="0072600F" w14:paraId="26A20DB7" w14:textId="77777777">
      <w:pPr>
        <w:rPr>
          <w:rFonts w:ascii="Times New Roman" w:hAnsi="Times New Roman" w:cs="Times New Roman"/>
          <w:sz w:val="26"/>
          <w:szCs w:val="26"/>
        </w:rPr>
      </w:pPr>
      <w:r w:rsidRPr="0072600F">
        <w:rPr>
          <w:rFonts w:ascii="Times New Roman" w:hAnsi="Times New Roman" w:cs="Times New Roman"/>
          <w:sz w:val="26"/>
          <w:szCs w:val="26"/>
        </w:rPr>
        <w:tab/>
        <w:t>receives back feed power</w:t>
      </w:r>
    </w:p>
    <w:p w:rsidR="00911580" w:rsidRPr="0072600F" w14:paraId="31F4F55B" w14:textId="77777777">
      <w:pPr>
        <w:rPr>
          <w:rFonts w:ascii="Times New Roman" w:hAnsi="Times New Roman" w:cs="Times New Roman"/>
          <w:sz w:val="26"/>
          <w:szCs w:val="26"/>
        </w:rPr>
      </w:pPr>
    </w:p>
    <w:p w:rsidR="00911580" w:rsidRPr="0072600F" w14:paraId="1D756FAA" w14:textId="77777777">
      <w:pPr>
        <w:rPr>
          <w:rFonts w:ascii="Times New Roman" w:hAnsi="Times New Roman" w:cs="Times New Roman"/>
          <w:sz w:val="26"/>
          <w:szCs w:val="26"/>
        </w:rPr>
      </w:pPr>
      <w:r w:rsidRPr="0072600F">
        <w:rPr>
          <w:rFonts w:ascii="Times New Roman" w:hAnsi="Times New Roman" w:cs="Times New Roman"/>
          <w:sz w:val="26"/>
          <w:szCs w:val="26"/>
        </w:rPr>
        <w:tab/>
        <w:t>Generation Testing</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Date: ____________________</w:t>
      </w:r>
    </w:p>
    <w:p w:rsidR="00911580" w:rsidRPr="0072600F" w14:paraId="3D498ACD" w14:textId="77777777">
      <w:pPr>
        <w:rPr>
          <w:rFonts w:ascii="Times New Roman" w:hAnsi="Times New Roman" w:cs="Times New Roman"/>
          <w:sz w:val="26"/>
          <w:szCs w:val="26"/>
        </w:rPr>
      </w:pPr>
    </w:p>
    <w:p w:rsidR="00911580" w:rsidRPr="0072600F" w14:paraId="495E9D3C" w14:textId="77777777">
      <w:pPr>
        <w:rPr>
          <w:rFonts w:ascii="Times New Roman" w:hAnsi="Times New Roman" w:cs="Times New Roman"/>
          <w:sz w:val="26"/>
          <w:szCs w:val="26"/>
        </w:rPr>
      </w:pPr>
      <w:r w:rsidRPr="0072600F">
        <w:rPr>
          <w:rFonts w:ascii="Times New Roman" w:hAnsi="Times New Roman" w:cs="Times New Roman"/>
          <w:sz w:val="26"/>
          <w:szCs w:val="26"/>
        </w:rPr>
        <w:tab/>
        <w:t>Commercial Operation</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t>Date: ____________________</w:t>
      </w:r>
    </w:p>
    <w:p w:rsidR="00911580" w:rsidRPr="0072600F" w14:paraId="4DC2DA91" w14:textId="77777777">
      <w:pPr>
        <w:rPr>
          <w:rFonts w:ascii="Times New Roman" w:hAnsi="Times New Roman" w:cs="Times New Roman"/>
          <w:sz w:val="26"/>
          <w:szCs w:val="26"/>
        </w:rPr>
      </w:pPr>
    </w:p>
    <w:p w:rsidR="00911580" w:rsidRPr="0072600F" w14:paraId="4747C95D" w14:textId="77777777">
      <w:pPr>
        <w:rPr>
          <w:rFonts w:ascii="Times New Roman" w:hAnsi="Times New Roman" w:cs="Times New Roman"/>
          <w:sz w:val="26"/>
          <w:szCs w:val="26"/>
        </w:rPr>
      </w:pPr>
    </w:p>
    <w:p w:rsidR="00911580" w:rsidRPr="0072600F" w14:paraId="2804C2B6" w14:textId="77777777">
      <w:pPr>
        <w:rPr>
          <w:rFonts w:ascii="Times New Roman" w:hAnsi="Times New Roman" w:cs="Times New Roman"/>
          <w:sz w:val="26"/>
          <w:szCs w:val="26"/>
        </w:rPr>
      </w:pPr>
    </w:p>
    <w:p w:rsidR="00911580" w:rsidRPr="0072600F" w14:paraId="59AE965C" w14:textId="77777777">
      <w:pPr>
        <w:rPr>
          <w:rFonts w:ascii="Times New Roman" w:hAnsi="Times New Roman" w:cs="Times New Roman"/>
          <w:sz w:val="26"/>
          <w:szCs w:val="26"/>
        </w:rPr>
        <w:sectPr>
          <w:footerReference w:type="default" r:id="rId33"/>
          <w:type w:val="continuous"/>
          <w:pgSz w:w="12240" w:h="15840"/>
          <w:pgMar w:top="1440" w:right="1440" w:bottom="1440" w:left="1440" w:header="1440" w:footer="1440" w:gutter="0"/>
          <w:pgNumType w:fmt="numberInDash" w:start="1"/>
          <w:cols w:space="720"/>
          <w:noEndnote/>
        </w:sectPr>
      </w:pPr>
    </w:p>
    <w:p w:rsidR="00911580" w:rsidRPr="0072600F" w14:paraId="19CB23E3"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APPENDIX 4 to LGIP</w:t>
      </w:r>
    </w:p>
    <w:p w:rsidR="00911580" w:rsidRPr="0072600F" w14:paraId="212C747D"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OPTIONAL INTERCONNECTION STUDY AGREEMENT</w:t>
      </w:r>
    </w:p>
    <w:p w:rsidR="00911580" w:rsidRPr="0072600F" w14:paraId="417D9BA7" w14:textId="77777777">
      <w:pPr>
        <w:rPr>
          <w:rFonts w:ascii="Times New Roman" w:hAnsi="Times New Roman" w:cs="Times New Roman"/>
          <w:sz w:val="26"/>
          <w:szCs w:val="26"/>
        </w:rPr>
      </w:pPr>
    </w:p>
    <w:p w:rsidR="00911580" w:rsidRPr="0072600F" w14:paraId="0AC93102" w14:textId="77777777">
      <w:pPr>
        <w:rPr>
          <w:rFonts w:ascii="Times New Roman" w:hAnsi="Times New Roman" w:cs="Times New Roman"/>
          <w:sz w:val="26"/>
          <w:szCs w:val="26"/>
        </w:rPr>
      </w:pPr>
    </w:p>
    <w:p w:rsidR="00911580" w:rsidRPr="0072600F" w14:paraId="6369DD4F"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THIS AGREEMENT</w:t>
      </w:r>
      <w:r w:rsidRPr="0072600F">
        <w:rPr>
          <w:rFonts w:ascii="Times New Roman" w:hAnsi="Times New Roman" w:cs="Times New Roman"/>
          <w:sz w:val="26"/>
          <w:szCs w:val="26"/>
        </w:rPr>
        <w:t xml:space="preserve"> is made and entered into this</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day of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20___ by and between</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a</w:t>
      </w:r>
    </w:p>
    <w:p w:rsidR="00911580" w:rsidRPr="0072600F" w14:paraId="6F5C19C1"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organized and existing under the laws of the State of</w:t>
      </w:r>
    </w:p>
    <w:p w:rsidR="00911580" w:rsidRPr="0072600F" w14:paraId="3B54FD32" w14:textId="77777777">
      <w:pPr>
        <w:rPr>
          <w:rFonts w:ascii="Times New Roman" w:hAnsi="Times New Roman" w:cs="Times New Roman"/>
          <w:sz w:val="26"/>
          <w:szCs w:val="26"/>
        </w:rPr>
      </w:pP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Interconnection Customer,</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and ________________________</w:t>
      </w:r>
    </w:p>
    <w:p w:rsidR="00911580" w:rsidRPr="0072600F" w14:paraId="46823936" w14:textId="77777777">
      <w:pPr>
        <w:rPr>
          <w:rFonts w:ascii="Times New Roman" w:hAnsi="Times New Roman" w:cs="Times New Roman"/>
          <w:sz w:val="26"/>
          <w:szCs w:val="26"/>
        </w:rPr>
      </w:pP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w:t>
      </w:r>
      <w:r w:rsidRPr="0072600F">
        <w:rPr>
          <w:rFonts w:ascii="Times New Roman" w:hAnsi="Times New Roman" w:cs="Times New Roman"/>
          <w:sz w:val="26"/>
          <w:szCs w:val="26"/>
          <w:u w:val="single"/>
        </w:rPr>
        <w:t xml:space="preserve">                                  </w:t>
      </w:r>
      <w:r w:rsidRPr="0072600F" w:rsidR="004B3570">
        <w:rPr>
          <w:rFonts w:ascii="Times New Roman" w:hAnsi="Times New Roman" w:cs="Times New Roman"/>
          <w:i/>
          <w:iCs/>
          <w:sz w:val="26"/>
          <w:szCs w:val="26"/>
        </w:rPr>
        <w:t>organized and</w:t>
      </w:r>
      <w:r w:rsidRPr="0072600F" w:rsidR="004B3570">
        <w:rPr>
          <w:rFonts w:ascii="Times New Roman" w:hAnsi="Times New Roman" w:cs="Times New Roman"/>
          <w:i/>
          <w:iCs/>
          <w:sz w:val="26"/>
          <w:szCs w:val="26"/>
          <w:u w:val="single"/>
        </w:rPr>
        <w:t xml:space="preserve"> </w:t>
      </w:r>
      <w:r w:rsidRPr="0072600F">
        <w:rPr>
          <w:rFonts w:ascii="Times New Roman" w:hAnsi="Times New Roman" w:cs="Times New Roman"/>
          <w:sz w:val="26"/>
          <w:szCs w:val="26"/>
        </w:rPr>
        <w:t xml:space="preserve">existing under the laws of the State of </w:t>
      </w:r>
      <w:r w:rsidRPr="0072600F">
        <w:rPr>
          <w:rFonts w:ascii="Times New Roman" w:hAnsi="Times New Roman" w:cs="Times New Roman"/>
          <w:sz w:val="26"/>
          <w:szCs w:val="26"/>
          <w:u w:val="single"/>
        </w:rPr>
        <w:t xml:space="preserve">  </w:t>
      </w:r>
      <w:r w:rsidRPr="0072600F" w:rsidR="004B3570">
        <w:rPr>
          <w:rFonts w:ascii="Times New Roman" w:hAnsi="Times New Roman" w:cs="Times New Roman"/>
          <w:sz w:val="26"/>
          <w:szCs w:val="26"/>
        </w:rPr>
        <w:t>_______</w:t>
      </w:r>
      <w:r w:rsidRPr="0072600F" w:rsidR="004B3570">
        <w:rPr>
          <w:rFonts w:ascii="Times New Roman" w:hAnsi="Times New Roman" w:cs="Times New Roman"/>
          <w:sz w:val="26"/>
          <w:szCs w:val="26"/>
        </w:rPr>
        <w:softHyphen/>
      </w:r>
      <w:r w:rsidRPr="0072600F" w:rsidR="004B3570">
        <w:rPr>
          <w:rFonts w:ascii="Times New Roman" w:hAnsi="Times New Roman" w:cs="Times New Roman"/>
          <w:sz w:val="26"/>
          <w:szCs w:val="26"/>
        </w:rPr>
        <w:softHyphen/>
      </w:r>
      <w:r w:rsidRPr="0072600F" w:rsidR="004B3570">
        <w:rPr>
          <w:rFonts w:ascii="Times New Roman" w:hAnsi="Times New Roman" w:cs="Times New Roman"/>
          <w:sz w:val="26"/>
          <w:szCs w:val="26"/>
        </w:rPr>
        <w:softHyphen/>
      </w:r>
      <w:r w:rsidRPr="0072600F" w:rsidR="004B3570">
        <w:rPr>
          <w:rFonts w:ascii="Times New Roman" w:hAnsi="Times New Roman" w:cs="Times New Roman"/>
          <w:sz w:val="26"/>
          <w:szCs w:val="26"/>
        </w:rPr>
        <w:softHyphen/>
      </w:r>
      <w:r w:rsidRPr="0072600F" w:rsidR="004B3570">
        <w:rPr>
          <w:rFonts w:ascii="Times New Roman" w:hAnsi="Times New Roman" w:cs="Times New Roman"/>
          <w:sz w:val="26"/>
          <w:szCs w:val="26"/>
        </w:rPr>
        <w:softHyphen/>
        <w:t>_____</w:t>
      </w:r>
      <w:r w:rsidRPr="0072600F">
        <w:rPr>
          <w:rFonts w:ascii="Times New Roman" w:hAnsi="Times New Roman" w:cs="Times New Roman"/>
          <w:sz w:val="26"/>
          <w:szCs w:val="26"/>
        </w:rPr>
        <w:t xml:space="preserve"> ,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Transmission Provider</w:t>
      </w:r>
      <w:r w:rsidRPr="0072600F" w:rsidR="007A3E7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and Transmission Provider each may be referred to as a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Party,</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or collectively as the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Parties.</w:t>
      </w:r>
      <w:r w:rsidRPr="0072600F" w:rsidR="00244217">
        <w:rPr>
          <w:rFonts w:ascii="Times New Roman" w:hAnsi="Times New Roman" w:cs="Times New Roman"/>
          <w:sz w:val="26"/>
          <w:szCs w:val="26"/>
        </w:rPr>
        <w:t>”</w:t>
      </w:r>
    </w:p>
    <w:p w:rsidR="00911580" w:rsidRPr="0072600F" w14:paraId="0CD9A27D" w14:textId="77777777">
      <w:pPr>
        <w:ind w:left="720"/>
        <w:rPr>
          <w:rFonts w:ascii="Times New Roman" w:hAnsi="Times New Roman" w:cs="Times New Roman"/>
          <w:sz w:val="26"/>
          <w:szCs w:val="26"/>
        </w:rPr>
      </w:pPr>
    </w:p>
    <w:p w:rsidR="00911580" w:rsidRPr="0072600F" w14:paraId="143B4F08"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RECITALS</w:t>
      </w:r>
    </w:p>
    <w:p w:rsidR="00911580" w:rsidRPr="0072600F" w14:paraId="4253B388" w14:textId="77777777">
      <w:pPr>
        <w:rPr>
          <w:rFonts w:ascii="Times New Roman" w:hAnsi="Times New Roman" w:cs="Times New Roman"/>
          <w:sz w:val="26"/>
          <w:szCs w:val="26"/>
        </w:rPr>
      </w:pPr>
    </w:p>
    <w:p w:rsidR="00911580" w:rsidRPr="0072600F" w14:paraId="201B4924"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is proposing to develop a Large Generating Facility or generating capacity addition to an existing Generating Facility consistent with the Interconnection Request submitted by Interconnection Customer dated </w:t>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w:t>
      </w:r>
      <w:r w:rsidRPr="0072600F" w:rsidR="004A39C2">
        <w:rPr>
          <w:rFonts w:ascii="Times New Roman" w:hAnsi="Times New Roman" w:cs="Times New Roman"/>
          <w:sz w:val="26"/>
          <w:szCs w:val="26"/>
        </w:rPr>
        <w:t xml:space="preserve"> </w:t>
      </w:r>
      <w:r w:rsidRPr="0072600F" w:rsidR="004A39C2">
        <w:rPr>
          <w:rFonts w:ascii="Times New Roman" w:hAnsi="Times New Roman" w:cs="Times New Roman"/>
          <w:i/>
          <w:iCs/>
          <w:sz w:val="26"/>
          <w:szCs w:val="26"/>
        </w:rPr>
        <w:t>and</w:t>
      </w:r>
    </w:p>
    <w:p w:rsidR="00911580" w:rsidRPr="0072600F" w14:paraId="51D1B0A9" w14:textId="77777777">
      <w:pPr>
        <w:rPr>
          <w:rFonts w:ascii="Times New Roman" w:hAnsi="Times New Roman" w:cs="Times New Roman"/>
          <w:sz w:val="26"/>
          <w:szCs w:val="26"/>
        </w:rPr>
      </w:pPr>
    </w:p>
    <w:p w:rsidR="00911580" w:rsidRPr="0072600F" w14:paraId="74732147"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is proposing to establish an interconnection with the Transmission System; and</w:t>
      </w:r>
    </w:p>
    <w:p w:rsidR="00911580" w:rsidRPr="0072600F" w14:paraId="7FD0917B" w14:textId="77777777">
      <w:pPr>
        <w:rPr>
          <w:rFonts w:ascii="Times New Roman" w:hAnsi="Times New Roman" w:cs="Times New Roman"/>
          <w:sz w:val="26"/>
          <w:szCs w:val="26"/>
        </w:rPr>
      </w:pPr>
    </w:p>
    <w:p w:rsidR="00911580" w:rsidRPr="0072600F" w14:paraId="7F6A2313"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has submitted to Transmission Provider an Interconnection Request; and </w:t>
      </w:r>
    </w:p>
    <w:p w:rsidR="00911580" w:rsidRPr="0072600F" w14:paraId="25D098CC" w14:textId="77777777">
      <w:pPr>
        <w:rPr>
          <w:rFonts w:ascii="Times New Roman" w:hAnsi="Times New Roman" w:cs="Times New Roman"/>
          <w:sz w:val="26"/>
          <w:szCs w:val="26"/>
        </w:rPr>
      </w:pPr>
    </w:p>
    <w:p w:rsidR="00911580" w:rsidRPr="0072600F" w14:paraId="4E829E8E"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on or after the date when Interconnection Customer receives the Cluster Study results, Interconnection Customer has further requested that Transmission Provider prepare an Optional Interconnection Study;</w:t>
      </w:r>
    </w:p>
    <w:p w:rsidR="00911580" w:rsidRPr="0072600F" w14:paraId="04097C44" w14:textId="77777777">
      <w:pPr>
        <w:rPr>
          <w:rFonts w:ascii="Times New Roman" w:hAnsi="Times New Roman" w:cs="Times New Roman"/>
          <w:sz w:val="26"/>
          <w:szCs w:val="26"/>
        </w:rPr>
      </w:pPr>
    </w:p>
    <w:p w:rsidR="00911580" w:rsidRPr="0072600F" w14:paraId="7AF0E589"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NOW, THEREFORE,</w:t>
      </w:r>
      <w:r w:rsidRPr="0072600F">
        <w:rPr>
          <w:rFonts w:ascii="Times New Roman" w:hAnsi="Times New Roman" w:cs="Times New Roman"/>
          <w:sz w:val="26"/>
          <w:szCs w:val="26"/>
        </w:rPr>
        <w:t xml:space="preserve"> in consideration of and subject to the mutual covenants contained herein the Parties agree as follows:</w:t>
      </w:r>
    </w:p>
    <w:p w:rsidR="00911580" w:rsidRPr="0072600F" w14:paraId="06A2B8C0" w14:textId="77777777">
      <w:pPr>
        <w:rPr>
          <w:rFonts w:ascii="Times New Roman" w:hAnsi="Times New Roman" w:cs="Times New Roman"/>
          <w:sz w:val="26"/>
          <w:szCs w:val="26"/>
        </w:rPr>
      </w:pPr>
    </w:p>
    <w:p w:rsidR="00911580" w:rsidRPr="0072600F" w:rsidP="00000111" w14:paraId="2B965A85"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1.0</w:t>
      </w:r>
      <w:r w:rsidRPr="0072600F">
        <w:rPr>
          <w:rFonts w:ascii="Times New Roman" w:hAnsi="Times New Roman" w:cs="Times New Roman"/>
          <w:sz w:val="26"/>
          <w:szCs w:val="26"/>
        </w:rPr>
        <w:tab/>
        <w:t xml:space="preserve">When used in this Agreement, with initial capitalization, the terms specified shall have the meanings indicated in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FERC-approved LGIP.</w:t>
      </w:r>
    </w:p>
    <w:p w:rsidR="00911580" w:rsidRPr="0072600F" w14:paraId="421B5FB5" w14:textId="77777777">
      <w:pPr>
        <w:rPr>
          <w:rFonts w:ascii="Times New Roman" w:hAnsi="Times New Roman" w:cs="Times New Roman"/>
          <w:sz w:val="26"/>
          <w:szCs w:val="26"/>
        </w:rPr>
      </w:pPr>
    </w:p>
    <w:p w:rsidR="00911580" w:rsidRPr="0072600F" w14:paraId="2F336FDB"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2.0</w:t>
      </w:r>
      <w:r w:rsidRPr="0072600F">
        <w:rPr>
          <w:rFonts w:ascii="Times New Roman" w:hAnsi="Times New Roman" w:cs="Times New Roman"/>
          <w:sz w:val="26"/>
          <w:szCs w:val="26"/>
        </w:rPr>
        <w:tab/>
        <w:t>Interconnection Customer elects and Transmission Provider shall cause an Optional Interconnection Study consistent with Section 10.0 of this LGIP to be performed in accordance with the Tariff.</w:t>
      </w:r>
    </w:p>
    <w:p w:rsidR="00911580" w:rsidRPr="0072600F" w14:paraId="6356FAE0" w14:textId="77777777">
      <w:pPr>
        <w:rPr>
          <w:rFonts w:ascii="Times New Roman" w:hAnsi="Times New Roman" w:cs="Times New Roman"/>
          <w:sz w:val="26"/>
          <w:szCs w:val="26"/>
        </w:rPr>
      </w:pPr>
    </w:p>
    <w:p w:rsidR="00911580" w:rsidRPr="0072600F" w14:paraId="1AE346CF"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3.0</w:t>
      </w:r>
      <w:r w:rsidRPr="0072600F">
        <w:rPr>
          <w:rFonts w:ascii="Times New Roman" w:hAnsi="Times New Roman" w:cs="Times New Roman"/>
          <w:sz w:val="26"/>
          <w:szCs w:val="26"/>
        </w:rPr>
        <w:tab/>
        <w:t>The scope of the Optional Interconnection Study shall be subject to the assumptions set forth in Attachment A to this Agreement.</w:t>
      </w:r>
    </w:p>
    <w:p w:rsidR="00911580" w:rsidRPr="0072600F" w14:paraId="1C20281A" w14:textId="77777777">
      <w:pPr>
        <w:rPr>
          <w:rFonts w:ascii="Times New Roman" w:hAnsi="Times New Roman" w:cs="Times New Roman"/>
          <w:sz w:val="26"/>
          <w:szCs w:val="26"/>
        </w:rPr>
      </w:pPr>
    </w:p>
    <w:p w:rsidR="00911580" w:rsidRPr="0072600F" w14:paraId="18AF2A11"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4.0</w:t>
      </w:r>
      <w:r w:rsidRPr="0072600F">
        <w:rPr>
          <w:rFonts w:ascii="Times New Roman" w:hAnsi="Times New Roman" w:cs="Times New Roman"/>
          <w:sz w:val="26"/>
          <w:szCs w:val="26"/>
        </w:rPr>
        <w:tab/>
        <w:t>The Optional Interconnection Study shall be performed solely for informational purposes.</w:t>
      </w:r>
    </w:p>
    <w:p w:rsidR="00911580" w:rsidRPr="0072600F" w14:paraId="12ED7FA2" w14:textId="77777777">
      <w:pPr>
        <w:rPr>
          <w:rFonts w:ascii="Times New Roman" w:hAnsi="Times New Roman" w:cs="Times New Roman"/>
          <w:sz w:val="26"/>
          <w:szCs w:val="26"/>
        </w:rPr>
      </w:pPr>
    </w:p>
    <w:p w:rsidR="00911580" w:rsidRPr="0072600F" w14:paraId="3C4618D5"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5.0</w:t>
      </w:r>
      <w:r w:rsidRPr="0072600F">
        <w:rPr>
          <w:rFonts w:ascii="Times New Roman" w:hAnsi="Times New Roman" w:cs="Times New Roman"/>
          <w:sz w:val="26"/>
          <w:szCs w:val="26"/>
        </w:rPr>
        <w:tab/>
        <w:t xml:space="preserve">The Optional Interconnection Study report shall provide a sensitivity analysis based on the assumptions specified by Interconnection Customer in Attachment A to this Agreement.  The Optional Interconnection Study will identify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the Network Upgrades, and the estimated cost thereof, that may be required to provide transmission service or interconnection service based upon the assumptions specified by Interconnection Customer in Attachment A.</w:t>
      </w:r>
    </w:p>
    <w:p w:rsidR="00911580" w:rsidRPr="0072600F" w14:paraId="683378F2" w14:textId="77777777">
      <w:pPr>
        <w:rPr>
          <w:rFonts w:ascii="Times New Roman" w:hAnsi="Times New Roman" w:cs="Times New Roman"/>
          <w:sz w:val="26"/>
          <w:szCs w:val="26"/>
        </w:rPr>
      </w:pPr>
    </w:p>
    <w:p w:rsidR="00911580" w:rsidRPr="0072600F" w:rsidP="00000111" w14:paraId="19B3C664"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6.0</w:t>
      </w:r>
      <w:r w:rsidRPr="0072600F">
        <w:rPr>
          <w:rFonts w:ascii="Times New Roman" w:hAnsi="Times New Roman" w:cs="Times New Roman"/>
          <w:sz w:val="26"/>
          <w:szCs w:val="26"/>
        </w:rPr>
        <w:tab/>
        <w:t xml:space="preserve">Interconnection Customer shall provide a deposit of $10,000 for the performance of the Optional Interconnection Study.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good faith estimate for the time of completion of the Optional Interconnection Study is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insert date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911580" w:rsidRPr="0072600F" w14:paraId="20CEA214" w14:textId="77777777">
      <w:pPr>
        <w:rPr>
          <w:rFonts w:ascii="Times New Roman" w:hAnsi="Times New Roman" w:cs="Times New Roman"/>
          <w:sz w:val="26"/>
          <w:szCs w:val="26"/>
        </w:rPr>
      </w:pPr>
    </w:p>
    <w:p w:rsidR="00911580" w:rsidRPr="0072600F" w14:paraId="322C9223" w14:textId="77777777">
      <w:pPr>
        <w:ind w:left="1440"/>
        <w:rPr>
          <w:rFonts w:ascii="Times New Roman" w:hAnsi="Times New Roman" w:cs="Times New Roman"/>
          <w:sz w:val="26"/>
          <w:szCs w:val="26"/>
        </w:rPr>
      </w:pPr>
      <w:r w:rsidRPr="0072600F">
        <w:rPr>
          <w:rFonts w:ascii="Times New Roman" w:hAnsi="Times New Roman" w:cs="Times New Roman"/>
          <w:sz w:val="26"/>
          <w:szCs w:val="26"/>
        </w:rPr>
        <w:t>Upon receipt of the Optional Interconnection Study, Transmission Provider shall charge and Interconnection Customer shall pay the actual costs of the Optional Study.</w:t>
      </w:r>
    </w:p>
    <w:p w:rsidR="00911580" w:rsidRPr="0072600F" w14:paraId="72EF1D62" w14:textId="77777777">
      <w:pPr>
        <w:ind w:left="1440"/>
        <w:rPr>
          <w:rFonts w:ascii="Times New Roman" w:hAnsi="Times New Roman" w:cs="Times New Roman"/>
          <w:sz w:val="26"/>
          <w:szCs w:val="26"/>
        </w:rPr>
      </w:pPr>
    </w:p>
    <w:p w:rsidR="00911580" w:rsidRPr="0072600F" w14:paraId="5A471C2E" w14:textId="77777777">
      <w:pPr>
        <w:ind w:left="1440"/>
        <w:rPr>
          <w:rFonts w:ascii="Times New Roman" w:hAnsi="Times New Roman" w:cs="Times New Roman"/>
          <w:sz w:val="26"/>
          <w:szCs w:val="26"/>
        </w:rPr>
      </w:pPr>
      <w:r w:rsidRPr="0072600F">
        <w:rPr>
          <w:rFonts w:ascii="Times New Roman" w:hAnsi="Times New Roman" w:cs="Times New Roman"/>
          <w:sz w:val="26"/>
          <w:szCs w:val="26"/>
        </w:rPr>
        <w:t>Any difference between the initial payment and the actual cost of the study shall be paid by or refunded to Interconnection Customer, as appropriate.</w:t>
      </w:r>
    </w:p>
    <w:p w:rsidR="00911580" w:rsidRPr="0072600F" w14:paraId="7510F9FB" w14:textId="77777777">
      <w:pPr>
        <w:rPr>
          <w:rFonts w:ascii="Times New Roman" w:hAnsi="Times New Roman" w:cs="Times New Roman"/>
          <w:sz w:val="26"/>
          <w:szCs w:val="26"/>
        </w:rPr>
      </w:pPr>
    </w:p>
    <w:p w:rsidR="00911580" w:rsidRPr="0072600F" w:rsidP="00000111" w14:paraId="27531A41"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t>7.0</w:t>
      </w:r>
      <w:r w:rsidRPr="0072600F">
        <w:rPr>
          <w:rFonts w:ascii="Times New Roman" w:hAnsi="Times New Roman" w:cs="Times New Roman"/>
          <w:sz w:val="26"/>
          <w:szCs w:val="26"/>
        </w:rPr>
        <w:tab/>
        <w:t>Miscellaneous.  The Optional Interconnection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 to the extent practicable, shall be consistent with the provisions of the LGIP and the LGIA.</w:t>
      </w:r>
    </w:p>
    <w:p w:rsidR="00911580" w:rsidRPr="0072600F" w14:paraId="3A23040F" w14:textId="77777777">
      <w:pPr>
        <w:rPr>
          <w:rFonts w:ascii="Times New Roman" w:hAnsi="Times New Roman" w:cs="Times New Roman"/>
          <w:sz w:val="26"/>
          <w:szCs w:val="26"/>
        </w:rPr>
      </w:pPr>
    </w:p>
    <w:p w:rsidR="00911580" w:rsidRPr="0072600F" w14:paraId="6C5F821F"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IN WITNESS WHEREOF,</w:t>
      </w:r>
      <w:r w:rsidRPr="0072600F">
        <w:rPr>
          <w:rFonts w:ascii="Times New Roman" w:hAnsi="Times New Roman" w:cs="Times New Roman"/>
          <w:sz w:val="26"/>
          <w:szCs w:val="26"/>
        </w:rPr>
        <w:t xml:space="preserve"> the Parties have caused this Agreement to be duly executed by their duly authorized officers or agents on the day and year first above written.</w:t>
      </w:r>
    </w:p>
    <w:p w:rsidR="00911580" w:rsidRPr="0072600F" w14:paraId="270FD4D3" w14:textId="77777777">
      <w:pPr>
        <w:rPr>
          <w:rFonts w:ascii="Times New Roman" w:hAnsi="Times New Roman" w:cs="Times New Roman"/>
          <w:sz w:val="26"/>
          <w:szCs w:val="26"/>
        </w:rPr>
      </w:pPr>
    </w:p>
    <w:p w:rsidR="00911580" w:rsidRPr="0072600F" w14:paraId="25647C58"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Transmission Provider or Transmission Owner, if applicable</w:t>
      </w:r>
      <w:r w:rsidRPr="0072600F">
        <w:rPr>
          <w:rFonts w:ascii="Times New Roman" w:hAnsi="Times New Roman" w:cs="Times New Roman"/>
          <w:b/>
          <w:bCs/>
          <w:sz w:val="26"/>
          <w:szCs w:val="26"/>
        </w:rPr>
        <w:t>}</w:t>
      </w:r>
    </w:p>
    <w:p w:rsidR="00911580" w:rsidRPr="0072600F" w14:paraId="1B02FFB5" w14:textId="77777777">
      <w:pPr>
        <w:rPr>
          <w:rFonts w:ascii="Times New Roman" w:hAnsi="Times New Roman" w:cs="Times New Roman"/>
          <w:sz w:val="26"/>
          <w:szCs w:val="26"/>
        </w:rPr>
      </w:pPr>
    </w:p>
    <w:p w:rsidR="00911580" w:rsidRPr="0072600F" w14:paraId="5D187E05"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By:</w:t>
      </w:r>
      <w:r w:rsidRPr="0072600F">
        <w:rPr>
          <w:rFonts w:ascii="Times New Roman" w:hAnsi="Times New Roman" w:cs="Times New Roman"/>
          <w:sz w:val="26"/>
          <w:szCs w:val="26"/>
        </w:rPr>
        <w:tab/>
        <w:t>______________________________</w:t>
      </w:r>
    </w:p>
    <w:p w:rsidR="00911580" w:rsidRPr="0072600F" w14:paraId="0FA779A9" w14:textId="77777777">
      <w:pPr>
        <w:rPr>
          <w:rFonts w:ascii="Times New Roman" w:hAnsi="Times New Roman" w:cs="Times New Roman"/>
          <w:sz w:val="26"/>
          <w:szCs w:val="26"/>
        </w:rPr>
      </w:pPr>
    </w:p>
    <w:p w:rsidR="00911580" w:rsidRPr="0072600F" w14:paraId="26F2F4D4"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Title:</w:t>
      </w:r>
      <w:r w:rsidRPr="0072600F">
        <w:rPr>
          <w:rFonts w:ascii="Times New Roman" w:hAnsi="Times New Roman" w:cs="Times New Roman"/>
          <w:sz w:val="26"/>
          <w:szCs w:val="26"/>
        </w:rPr>
        <w:tab/>
        <w:t xml:space="preserve"> _____________________________</w:t>
      </w:r>
    </w:p>
    <w:p w:rsidR="00911580" w:rsidRPr="0072600F" w14:paraId="51A737D7"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911580" w:rsidRPr="0072600F" w14:paraId="1716103F"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Date:</w:t>
      </w:r>
      <w:r w:rsidRPr="0072600F">
        <w:rPr>
          <w:rFonts w:ascii="Times New Roman" w:hAnsi="Times New Roman" w:cs="Times New Roman"/>
          <w:sz w:val="26"/>
          <w:szCs w:val="26"/>
        </w:rPr>
        <w:tab/>
        <w:t xml:space="preserve"> _____________________________</w:t>
      </w:r>
    </w:p>
    <w:p w:rsidR="00911580" w:rsidRPr="0072600F" w14:paraId="4479EBE5" w14:textId="77777777">
      <w:pPr>
        <w:rPr>
          <w:rFonts w:ascii="Times New Roman" w:hAnsi="Times New Roman" w:cs="Times New Roman"/>
          <w:sz w:val="26"/>
          <w:szCs w:val="26"/>
        </w:rPr>
      </w:pPr>
    </w:p>
    <w:p w:rsidR="00911580" w:rsidRPr="0072600F" w14:paraId="145B9413" w14:textId="77777777">
      <w:pPr>
        <w:rPr>
          <w:rFonts w:ascii="Times New Roman" w:hAnsi="Times New Roman" w:cs="Times New Roman"/>
          <w:sz w:val="26"/>
          <w:szCs w:val="26"/>
        </w:rPr>
      </w:pPr>
    </w:p>
    <w:p w:rsidR="00911580" w:rsidRPr="0072600F" w14:paraId="184C5540"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Interconnection Customer</w:t>
      </w:r>
      <w:r w:rsidRPr="0072600F">
        <w:rPr>
          <w:rFonts w:ascii="Times New Roman" w:hAnsi="Times New Roman" w:cs="Times New Roman"/>
          <w:b/>
          <w:bCs/>
          <w:sz w:val="26"/>
          <w:szCs w:val="26"/>
        </w:rPr>
        <w:t>}</w:t>
      </w:r>
    </w:p>
    <w:p w:rsidR="00911580" w:rsidRPr="0072600F" w14:paraId="436F4281" w14:textId="77777777">
      <w:pPr>
        <w:rPr>
          <w:rFonts w:ascii="Times New Roman" w:hAnsi="Times New Roman" w:cs="Times New Roman"/>
          <w:sz w:val="26"/>
          <w:szCs w:val="26"/>
        </w:rPr>
      </w:pPr>
    </w:p>
    <w:p w:rsidR="00911580" w:rsidRPr="0072600F" w14:paraId="1E5728EE"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10C9F2AD" w14:textId="77777777">
      <w:pPr>
        <w:rPr>
          <w:rFonts w:ascii="Times New Roman" w:hAnsi="Times New Roman" w:cs="Times New Roman"/>
          <w:sz w:val="26"/>
          <w:szCs w:val="26"/>
        </w:rPr>
      </w:pPr>
    </w:p>
    <w:p w:rsidR="00911580" w:rsidRPr="0072600F" w14:paraId="2E6FA3E0"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0BEE97BA" w14:textId="77777777">
      <w:pPr>
        <w:rPr>
          <w:rFonts w:ascii="Times New Roman" w:hAnsi="Times New Roman" w:cs="Times New Roman"/>
          <w:sz w:val="26"/>
          <w:szCs w:val="26"/>
        </w:rPr>
      </w:pPr>
    </w:p>
    <w:p w:rsidR="00911580" w:rsidRPr="0072600F" w14:paraId="5B3F7BC2"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2D7B9C5E" w14:textId="77777777">
      <w:pPr>
        <w:rPr>
          <w:rFonts w:ascii="Times New Roman" w:hAnsi="Times New Roman" w:cs="Times New Roman"/>
          <w:sz w:val="26"/>
          <w:szCs w:val="26"/>
        </w:rPr>
      </w:pPr>
    </w:p>
    <w:p w:rsidR="00911580" w:rsidRPr="0072600F" w14:paraId="7A2A8249" w14:textId="77777777">
      <w:pPr>
        <w:rPr>
          <w:rFonts w:ascii="Times New Roman" w:hAnsi="Times New Roman" w:cs="Times New Roman"/>
          <w:sz w:val="26"/>
          <w:szCs w:val="26"/>
        </w:rPr>
      </w:pPr>
    </w:p>
    <w:p w:rsidR="00911580" w:rsidRPr="0072600F" w14:paraId="4BD516F1" w14:textId="77777777">
      <w:pPr>
        <w:rPr>
          <w:rFonts w:ascii="Times New Roman" w:hAnsi="Times New Roman" w:cs="Times New Roman"/>
          <w:sz w:val="26"/>
          <w:szCs w:val="26"/>
        </w:rPr>
      </w:pPr>
    </w:p>
    <w:p w:rsidR="00911580" w:rsidRPr="0072600F" w14:paraId="48DDEF18" w14:textId="77777777">
      <w:pPr>
        <w:rPr>
          <w:rFonts w:ascii="Times New Roman" w:hAnsi="Times New Roman" w:cs="Times New Roman"/>
          <w:sz w:val="26"/>
          <w:szCs w:val="26"/>
        </w:rPr>
      </w:pPr>
    </w:p>
    <w:p w:rsidR="00911580" w:rsidRPr="0072600F" w14:paraId="052A59DE" w14:textId="77777777">
      <w:pPr>
        <w:rPr>
          <w:rFonts w:ascii="Times New Roman" w:hAnsi="Times New Roman" w:cs="Times New Roman"/>
          <w:sz w:val="26"/>
          <w:szCs w:val="26"/>
        </w:rPr>
      </w:pPr>
    </w:p>
    <w:p w:rsidR="00911580" w:rsidRPr="0072600F" w14:paraId="44C64D93" w14:textId="77777777">
      <w:pPr>
        <w:rPr>
          <w:rFonts w:ascii="Times New Roman" w:hAnsi="Times New Roman" w:cs="Times New Roman"/>
          <w:sz w:val="26"/>
          <w:szCs w:val="26"/>
        </w:rPr>
      </w:pPr>
    </w:p>
    <w:p w:rsidR="00911580" w:rsidRPr="0072600F" w14:paraId="069AD586" w14:textId="77777777">
      <w:pPr>
        <w:rPr>
          <w:rFonts w:ascii="Times New Roman" w:hAnsi="Times New Roman" w:cs="Times New Roman"/>
          <w:sz w:val="26"/>
          <w:szCs w:val="26"/>
        </w:rPr>
      </w:pPr>
    </w:p>
    <w:p w:rsidR="00911580" w:rsidRPr="0072600F" w14:paraId="7CFE3657" w14:textId="77777777">
      <w:pPr>
        <w:rPr>
          <w:rFonts w:ascii="Times New Roman" w:hAnsi="Times New Roman" w:cs="Times New Roman"/>
          <w:sz w:val="26"/>
          <w:szCs w:val="26"/>
        </w:rPr>
      </w:pPr>
    </w:p>
    <w:p w:rsidR="00911580" w:rsidRPr="0072600F" w14:paraId="3F779E71" w14:textId="77777777">
      <w:pPr>
        <w:rPr>
          <w:rFonts w:ascii="Times New Roman" w:hAnsi="Times New Roman" w:cs="Times New Roman"/>
          <w:sz w:val="26"/>
          <w:szCs w:val="26"/>
        </w:rPr>
      </w:pPr>
    </w:p>
    <w:p w:rsidR="00911580" w:rsidRPr="0072600F" w14:paraId="6B06322F" w14:textId="77777777">
      <w:pPr>
        <w:rPr>
          <w:rFonts w:ascii="Times New Roman" w:hAnsi="Times New Roman" w:cs="Times New Roman"/>
          <w:sz w:val="26"/>
          <w:szCs w:val="26"/>
        </w:rPr>
      </w:pPr>
    </w:p>
    <w:p w:rsidR="00911580" w:rsidRPr="0072600F" w14:paraId="67C02CCF" w14:textId="77777777">
      <w:pPr>
        <w:rPr>
          <w:rFonts w:ascii="Times New Roman" w:hAnsi="Times New Roman" w:cs="Times New Roman"/>
          <w:sz w:val="26"/>
          <w:szCs w:val="26"/>
        </w:rPr>
      </w:pPr>
    </w:p>
    <w:p w:rsidR="00911580" w:rsidRPr="0072600F" w14:paraId="5283E53A" w14:textId="77777777">
      <w:pPr>
        <w:rPr>
          <w:rFonts w:ascii="Times New Roman" w:hAnsi="Times New Roman" w:cs="Times New Roman"/>
          <w:sz w:val="26"/>
          <w:szCs w:val="26"/>
        </w:rPr>
      </w:pPr>
    </w:p>
    <w:p w:rsidR="00911580" w:rsidRPr="0072600F" w14:paraId="28FDCEB8" w14:textId="77777777">
      <w:pPr>
        <w:rPr>
          <w:rFonts w:ascii="Times New Roman" w:hAnsi="Times New Roman" w:cs="Times New Roman"/>
          <w:sz w:val="26"/>
          <w:szCs w:val="26"/>
        </w:rPr>
      </w:pPr>
    </w:p>
    <w:p w:rsidR="00911580" w:rsidRPr="0072600F" w14:paraId="2BF02ADB" w14:textId="77777777">
      <w:pPr>
        <w:rPr>
          <w:rFonts w:ascii="Times New Roman" w:hAnsi="Times New Roman" w:cs="Times New Roman"/>
          <w:sz w:val="26"/>
          <w:szCs w:val="26"/>
        </w:rPr>
      </w:pPr>
    </w:p>
    <w:p w:rsidR="00911580" w:rsidRPr="0072600F" w14:paraId="37A8EE5F" w14:textId="77777777">
      <w:pPr>
        <w:rPr>
          <w:rFonts w:ascii="Times New Roman" w:hAnsi="Times New Roman" w:cs="Times New Roman"/>
          <w:sz w:val="26"/>
          <w:szCs w:val="26"/>
        </w:rPr>
      </w:pPr>
    </w:p>
    <w:p w:rsidR="00911580" w:rsidRPr="0072600F" w14:paraId="66CD920B" w14:textId="77777777">
      <w:pPr>
        <w:rPr>
          <w:rFonts w:ascii="Times New Roman" w:hAnsi="Times New Roman" w:cs="Times New Roman"/>
          <w:sz w:val="26"/>
          <w:szCs w:val="26"/>
        </w:rPr>
      </w:pPr>
    </w:p>
    <w:p w:rsidR="00911580" w:rsidRPr="0072600F" w14:paraId="7768A089"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xml:space="preserve">APPENDIX 5 to LGIP </w:t>
      </w:r>
    </w:p>
    <w:p w:rsidR="00911580" w:rsidRPr="0072600F" w14:paraId="03E3A13B"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xml:space="preserve">LARGE GENERATOR INTERCONNECTION AGREEMENT </w:t>
      </w:r>
    </w:p>
    <w:p w:rsidR="00911580" w:rsidRPr="0072600F" w14:paraId="4EAD18D8"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(SEE LGIA)</w:t>
      </w:r>
    </w:p>
    <w:p w:rsidR="00911580" w:rsidRPr="0072600F" w14:paraId="619EEA16" w14:textId="77777777">
      <w:pPr>
        <w:jc w:val="center"/>
        <w:rPr>
          <w:rFonts w:ascii="Times New Roman" w:hAnsi="Times New Roman" w:cs="Times New Roman"/>
          <w:sz w:val="26"/>
          <w:szCs w:val="26"/>
        </w:rPr>
      </w:pPr>
    </w:p>
    <w:p w:rsidR="00911580" w:rsidRPr="0072600F" w14:paraId="2887431B" w14:textId="77777777">
      <w:pPr>
        <w:rPr>
          <w:rFonts w:ascii="Times New Roman" w:hAnsi="Times New Roman" w:cs="Times New Roman"/>
          <w:sz w:val="26"/>
          <w:szCs w:val="26"/>
        </w:rPr>
      </w:pPr>
    </w:p>
    <w:p w:rsidR="00911580" w:rsidRPr="0072600F" w14:paraId="682638F9" w14:textId="77777777">
      <w:pPr>
        <w:rPr>
          <w:rFonts w:ascii="Times New Roman" w:hAnsi="Times New Roman" w:cs="Times New Roman"/>
          <w:sz w:val="26"/>
          <w:szCs w:val="26"/>
        </w:rPr>
      </w:pPr>
    </w:p>
    <w:p w:rsidR="00911580" w:rsidRPr="0072600F" w14:paraId="1D64A451" w14:textId="77777777">
      <w:pPr>
        <w:rPr>
          <w:rFonts w:ascii="Times New Roman" w:hAnsi="Times New Roman" w:cs="Times New Roman"/>
          <w:sz w:val="26"/>
          <w:szCs w:val="26"/>
        </w:rPr>
      </w:pPr>
    </w:p>
    <w:p w:rsidR="00911580" w:rsidRPr="0072600F" w14:paraId="39007491" w14:textId="77777777">
      <w:pPr>
        <w:rPr>
          <w:rFonts w:ascii="Times New Roman" w:hAnsi="Times New Roman" w:cs="Times New Roman"/>
          <w:sz w:val="26"/>
          <w:szCs w:val="26"/>
        </w:rPr>
      </w:pPr>
    </w:p>
    <w:p w:rsidR="00911580" w:rsidRPr="0072600F" w14:paraId="6184C0E8" w14:textId="77777777">
      <w:pPr>
        <w:rPr>
          <w:rFonts w:ascii="Times New Roman" w:hAnsi="Times New Roman" w:cs="Times New Roman"/>
          <w:sz w:val="26"/>
          <w:szCs w:val="26"/>
        </w:rPr>
      </w:pPr>
    </w:p>
    <w:p w:rsidR="00911580" w:rsidRPr="0072600F" w14:paraId="3CE96324" w14:textId="77777777">
      <w:pPr>
        <w:rPr>
          <w:rFonts w:ascii="Times New Roman" w:hAnsi="Times New Roman" w:cs="Times New Roman"/>
          <w:sz w:val="26"/>
          <w:szCs w:val="26"/>
        </w:rPr>
      </w:pPr>
    </w:p>
    <w:p w:rsidR="00911580" w:rsidRPr="0072600F" w14:paraId="608D3444" w14:textId="77777777">
      <w:pPr>
        <w:rPr>
          <w:rFonts w:ascii="Times New Roman" w:hAnsi="Times New Roman" w:cs="Times New Roman"/>
          <w:sz w:val="26"/>
          <w:szCs w:val="26"/>
        </w:rPr>
      </w:pPr>
    </w:p>
    <w:p w:rsidR="00911580" w:rsidRPr="0072600F" w14:paraId="241B0CE4" w14:textId="77777777">
      <w:pPr>
        <w:widowControl w:val="0"/>
        <w:jc w:val="center"/>
        <w:rPr>
          <w:rFonts w:ascii="Times New Roman" w:hAnsi="Times New Roman" w:cs="Times New Roman"/>
          <w:b/>
          <w:sz w:val="26"/>
          <w:szCs w:val="26"/>
        </w:rPr>
      </w:pPr>
      <w:r w:rsidRPr="0072600F">
        <w:rPr>
          <w:rFonts w:ascii="Times New Roman" w:hAnsi="Times New Roman" w:cs="Times New Roman"/>
          <w:b/>
          <w:sz w:val="26"/>
          <w:szCs w:val="26"/>
        </w:rPr>
        <w:t>APPENDIX 6</w:t>
      </w:r>
      <w:r w:rsidRPr="0072600F" w:rsidR="004A39C2">
        <w:rPr>
          <w:rFonts w:ascii="Times New Roman" w:hAnsi="Times New Roman" w:cs="Times New Roman"/>
          <w:b/>
          <w:sz w:val="26"/>
          <w:szCs w:val="26"/>
        </w:rPr>
        <w:t xml:space="preserve"> </w:t>
      </w:r>
      <w:r w:rsidRPr="0072600F" w:rsidR="004A39C2">
        <w:rPr>
          <w:rFonts w:ascii="Times New Roman" w:hAnsi="Times New Roman" w:cs="Times New Roman"/>
          <w:b/>
          <w:i/>
          <w:iCs/>
          <w:sz w:val="26"/>
          <w:szCs w:val="26"/>
        </w:rPr>
        <w:t>to LGIP</w:t>
      </w:r>
    </w:p>
    <w:p w:rsidR="00911580" w:rsidRPr="0072600F" w14:paraId="3CCA47CB" w14:textId="77777777">
      <w:pPr>
        <w:widowControl w:val="0"/>
        <w:jc w:val="center"/>
        <w:rPr>
          <w:rFonts w:ascii="Times New Roman" w:hAnsi="Times New Roman" w:cs="Times New Roman"/>
          <w:b/>
          <w:sz w:val="26"/>
          <w:szCs w:val="26"/>
        </w:rPr>
      </w:pPr>
      <w:r w:rsidRPr="0072600F">
        <w:rPr>
          <w:rFonts w:ascii="Times New Roman" w:hAnsi="Times New Roman" w:cs="Times New Roman"/>
          <w:b/>
          <w:sz w:val="26"/>
          <w:szCs w:val="26"/>
        </w:rPr>
        <w:t>INTERCONNECTION PROCEDURES FOR A WIND GENERATING PLANT</w:t>
      </w:r>
    </w:p>
    <w:p w:rsidR="00911580" w:rsidRPr="0072600F" w14:paraId="3730FCBB" w14:textId="77777777">
      <w:pPr>
        <w:widowControl w:val="0"/>
        <w:rPr>
          <w:rFonts w:ascii="Times New Roman" w:hAnsi="Times New Roman" w:cs="Times New Roman"/>
          <w:b/>
          <w:sz w:val="26"/>
          <w:szCs w:val="26"/>
        </w:rPr>
      </w:pPr>
    </w:p>
    <w:p w:rsidR="00911580" w:rsidRPr="0072600F" w14:paraId="6D5C5E6F" w14:textId="77777777">
      <w:pPr>
        <w:widowControl w:val="0"/>
        <w:rPr>
          <w:rFonts w:ascii="Times New Roman" w:hAnsi="Times New Roman" w:cs="Times New Roman"/>
          <w:sz w:val="26"/>
          <w:szCs w:val="26"/>
        </w:rPr>
      </w:pPr>
      <w:r w:rsidRPr="0072600F">
        <w:rPr>
          <w:rFonts w:ascii="Times New Roman" w:hAnsi="Times New Roman" w:cs="Times New Roman"/>
          <w:b/>
          <w:sz w:val="26"/>
          <w:szCs w:val="26"/>
        </w:rPr>
        <w:tab/>
      </w:r>
      <w:r w:rsidRPr="0072600F">
        <w:rPr>
          <w:rFonts w:ascii="Times New Roman" w:hAnsi="Times New Roman" w:cs="Times New Roman"/>
          <w:sz w:val="26"/>
          <w:szCs w:val="26"/>
        </w:rPr>
        <w:t>Appendix 6 sets forth procedures specific to a wind generating plant.  All other requirements of this LGIP continue to apply to wind generating plant interconnections.</w:t>
      </w:r>
    </w:p>
    <w:p w:rsidR="00911580" w:rsidRPr="0072600F" w14:paraId="0B9FB3A0" w14:textId="77777777">
      <w:pPr>
        <w:widowControl w:val="0"/>
        <w:rPr>
          <w:rFonts w:ascii="Times New Roman" w:hAnsi="Times New Roman" w:cs="Times New Roman"/>
          <w:sz w:val="26"/>
          <w:szCs w:val="26"/>
        </w:rPr>
      </w:pPr>
    </w:p>
    <w:p w:rsidR="00911580" w:rsidRPr="0072600F" w:rsidP="00000111" w14:paraId="08BAB8CD" w14:textId="77777777">
      <w:pPr>
        <w:widowControl w:val="0"/>
        <w:rPr>
          <w:rFonts w:ascii="Times New Roman" w:hAnsi="Times New Roman" w:cs="Times New Roman"/>
          <w:b/>
          <w:sz w:val="26"/>
          <w:szCs w:val="26"/>
        </w:rPr>
      </w:pPr>
      <w:r w:rsidRPr="0072600F">
        <w:rPr>
          <w:rFonts w:ascii="Times New Roman" w:hAnsi="Times New Roman" w:cs="Times New Roman"/>
          <w:b/>
          <w:sz w:val="26"/>
          <w:szCs w:val="26"/>
        </w:rPr>
        <w:t>A.</w:t>
      </w:r>
      <w:r w:rsidRPr="0072600F">
        <w:rPr>
          <w:rFonts w:ascii="Times New Roman" w:hAnsi="Times New Roman" w:cs="Times New Roman"/>
          <w:b/>
          <w:sz w:val="26"/>
          <w:szCs w:val="26"/>
        </w:rPr>
        <w:tab/>
      </w:r>
      <w:r w:rsidRPr="0072600F">
        <w:rPr>
          <w:rFonts w:ascii="Times New Roman" w:hAnsi="Times New Roman" w:cs="Times New Roman"/>
          <w:b/>
          <w:sz w:val="26"/>
          <w:szCs w:val="26"/>
          <w:u w:val="single"/>
        </w:rPr>
        <w:t>Special Procedures Applicable to Wind Generators</w:t>
      </w:r>
      <w:r w:rsidRPr="0072600F">
        <w:rPr>
          <w:rFonts w:ascii="Times New Roman" w:hAnsi="Times New Roman" w:cs="Times New Roman"/>
          <w:b/>
          <w:sz w:val="26"/>
          <w:szCs w:val="26"/>
        </w:rPr>
        <w:t xml:space="preserve"> </w:t>
      </w:r>
    </w:p>
    <w:p w:rsidR="00911580" w:rsidRPr="0072600F" w14:paraId="7E50425F" w14:textId="77777777">
      <w:pPr>
        <w:widowControl w:val="0"/>
        <w:rPr>
          <w:rFonts w:ascii="Times New Roman" w:hAnsi="Times New Roman" w:cs="Times New Roman"/>
          <w:sz w:val="26"/>
          <w:szCs w:val="26"/>
        </w:rPr>
      </w:pPr>
    </w:p>
    <w:p w:rsidR="00911580" w:rsidRPr="0072600F" w14:paraId="680F35AA" w14:textId="77777777">
      <w:pPr>
        <w:widowControl w:val="0"/>
        <w:rPr>
          <w:rFonts w:ascii="Times New Roman" w:hAnsi="Times New Roman" w:cs="Times New Roman"/>
          <w:sz w:val="26"/>
          <w:szCs w:val="26"/>
        </w:rPr>
      </w:pPr>
      <w:r w:rsidRPr="0072600F">
        <w:rPr>
          <w:rFonts w:ascii="Times New Roman" w:hAnsi="Times New Roman" w:cs="Times New Roman"/>
          <w:sz w:val="26"/>
          <w:szCs w:val="26"/>
        </w:rPr>
        <w:tab/>
        <w:t xml:space="preserve">The wind plant Interconnection Customer, in completing the Interconnection Request required by Section 3.3 of this LGIP, may provide to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 set of preliminary electrical design specifications depicting the wind plant as a single equivalent generator.  Upon satisfying these and other applicable Interconnection Request conditions, the wind plant may enter the queue and receive the base case data as provided for in this LGIP.</w:t>
      </w:r>
    </w:p>
    <w:p w:rsidR="00911580" w:rsidRPr="0072600F" w14:paraId="2A8A9E0A" w14:textId="77777777">
      <w:pPr>
        <w:widowControl w:val="0"/>
        <w:rPr>
          <w:rFonts w:ascii="Times New Roman" w:hAnsi="Times New Roman" w:cs="Times New Roman"/>
          <w:sz w:val="26"/>
          <w:szCs w:val="26"/>
        </w:rPr>
      </w:pPr>
    </w:p>
    <w:p w:rsidR="00911580" w:rsidRPr="0072600F" w14:paraId="22DDB2F6" w14:textId="77777777">
      <w:pPr>
        <w:widowControl w:val="0"/>
        <w:rPr>
          <w:rFonts w:ascii="Times New Roman" w:hAnsi="Times New Roman" w:cs="Times New Roman"/>
          <w:sz w:val="26"/>
          <w:szCs w:val="26"/>
        </w:rPr>
      </w:pPr>
      <w:r w:rsidRPr="0072600F">
        <w:rPr>
          <w:rFonts w:ascii="Times New Roman" w:hAnsi="Times New Roman" w:cs="Times New Roman"/>
          <w:sz w:val="26"/>
          <w:szCs w:val="26"/>
        </w:rPr>
        <w:tab/>
        <w:t xml:space="preserve">No later than six months after submitting an Interconnection Request completed in this manner, the wind plant Interconnection Customer must submit completed detailed electrical design specifications and other data (including collector system layout data) needed to allow </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the</w:t>
      </w:r>
      <w:r w:rsidRPr="0072600F" w:rsidR="00C6044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complete the Cluster Study.</w:t>
      </w:r>
    </w:p>
    <w:p w:rsidR="00911580" w:rsidRPr="0072600F" w14:paraId="2E274C3A"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rsidP="00FF0F67" w14:paraId="34A42423" w14:textId="77777777">
      <w:pPr>
        <w:numPr>
          <w:ilvl w:val="0"/>
          <w:numId w:val="5"/>
        </w:numPr>
        <w:spacing w:after="0" w:line="240" w:lineRule="auto"/>
        <w:jc w:val="center"/>
        <w:rPr>
          <w:rFonts w:ascii="Times New Roman" w:hAnsi="Times New Roman" w:cs="Times New Roman"/>
          <w:b/>
          <w:sz w:val="26"/>
          <w:szCs w:val="26"/>
        </w:rPr>
      </w:pPr>
      <w:r w:rsidRPr="0072600F">
        <w:rPr>
          <w:rFonts w:ascii="Times New Roman" w:hAnsi="Times New Roman" w:cs="Times New Roman"/>
          <w:b/>
          <w:sz w:val="26"/>
          <w:szCs w:val="26"/>
        </w:rPr>
        <w:t>APPENDIX 7 to LGIP</w:t>
      </w:r>
    </w:p>
    <w:p w:rsidR="00911580" w:rsidRPr="0072600F" w:rsidP="00FF0F67" w14:paraId="180B2F1B" w14:textId="77777777">
      <w:pPr>
        <w:numPr>
          <w:ilvl w:val="0"/>
          <w:numId w:val="5"/>
        </w:numPr>
        <w:spacing w:after="0" w:line="240" w:lineRule="auto"/>
        <w:jc w:val="center"/>
        <w:rPr>
          <w:rFonts w:ascii="Times New Roman" w:hAnsi="Times New Roman" w:cs="Times New Roman"/>
          <w:b/>
          <w:sz w:val="26"/>
          <w:szCs w:val="26"/>
        </w:rPr>
      </w:pPr>
      <w:r w:rsidRPr="0072600F">
        <w:rPr>
          <w:rFonts w:ascii="Times New Roman" w:hAnsi="Times New Roman" w:cs="Times New Roman"/>
          <w:b/>
          <w:sz w:val="26"/>
          <w:szCs w:val="26"/>
        </w:rPr>
        <w:t>TRANSITIONAL CLUSTER STUDY AGREEMENT</w:t>
      </w:r>
    </w:p>
    <w:p w:rsidR="00911580" w:rsidRPr="0072600F" w14:paraId="001AD0DD" w14:textId="77777777">
      <w:pPr>
        <w:rPr>
          <w:rFonts w:ascii="Times New Roman" w:hAnsi="Times New Roman" w:cs="Times New Roman"/>
          <w:b/>
          <w:sz w:val="26"/>
          <w:szCs w:val="26"/>
        </w:rPr>
      </w:pPr>
    </w:p>
    <w:p w:rsidR="00911580" w:rsidRPr="0072600F" w14:paraId="1FCB6EA7"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THIS AGREEMENT </w:t>
      </w:r>
      <w:r w:rsidRPr="0072600F">
        <w:rPr>
          <w:rFonts w:ascii="Times New Roman" w:hAnsi="Times New Roman" w:cs="Times New Roman"/>
          <w:sz w:val="26"/>
          <w:szCs w:val="26"/>
        </w:rPr>
        <w:t xml:space="preserve">is made and entered into this ____ day of ______________, 20__ by and between ____________________,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 organized and existing under the laws of the State of ___________________ (“Interconnection Customer”), and ____________________,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___________________________________ organized and existing under the laws of the State of __________ (“Transmission Provider”).  Interconnection Customer and Transmission Provider each may be referred to as a “Party,” or collectively as the “Parties.”</w:t>
      </w:r>
    </w:p>
    <w:p w:rsidR="00911580" w:rsidRPr="0072600F" w14:paraId="5A60B145" w14:textId="77777777">
      <w:pPr>
        <w:rPr>
          <w:rFonts w:ascii="Times New Roman" w:hAnsi="Times New Roman" w:cs="Times New Roman"/>
          <w:sz w:val="26"/>
          <w:szCs w:val="26"/>
        </w:rPr>
      </w:pPr>
    </w:p>
    <w:p w:rsidR="00911580" w:rsidRPr="0072600F" w14:paraId="4A7D798F"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RECITALS</w:t>
      </w:r>
    </w:p>
    <w:p w:rsidR="00911580" w:rsidRPr="0072600F" w14:paraId="4AAD4674" w14:textId="77777777">
      <w:pPr>
        <w:rPr>
          <w:rFonts w:ascii="Times New Roman" w:hAnsi="Times New Roman" w:cs="Times New Roman"/>
          <w:b/>
          <w:sz w:val="26"/>
          <w:szCs w:val="26"/>
        </w:rPr>
      </w:pPr>
    </w:p>
    <w:p w:rsidR="00911580" w:rsidRPr="0072600F" w14:paraId="7474B25E"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WHEREAS, </w:t>
      </w:r>
      <w:r w:rsidRPr="0072600F">
        <w:rPr>
          <w:rFonts w:ascii="Times New Roman" w:hAnsi="Times New Roman" w:cs="Times New Roman"/>
          <w:sz w:val="26"/>
          <w:szCs w:val="26"/>
        </w:rPr>
        <w:t>Interconnection Customer is proposing to develop a Large Generating Facility or generating capacity addition to an existing Generating Facility consistent with the Interconnection Request submitted by Interconnection Customer dated ______________;</w:t>
      </w:r>
    </w:p>
    <w:p w:rsidR="00911580" w:rsidRPr="0072600F" w14:paraId="3BEBC55F" w14:textId="77777777">
      <w:pPr>
        <w:rPr>
          <w:rFonts w:ascii="Times New Roman" w:hAnsi="Times New Roman" w:cs="Times New Roman"/>
          <w:sz w:val="26"/>
          <w:szCs w:val="26"/>
        </w:rPr>
      </w:pPr>
    </w:p>
    <w:p w:rsidR="00911580" w:rsidRPr="0072600F" w14:paraId="5EFFA5DA"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WHEREAS, </w:t>
      </w:r>
      <w:r w:rsidRPr="0072600F">
        <w:rPr>
          <w:rFonts w:ascii="Times New Roman" w:hAnsi="Times New Roman" w:cs="Times New Roman"/>
          <w:sz w:val="26"/>
          <w:szCs w:val="26"/>
        </w:rPr>
        <w:t>Interconnection Customer desires to interconnect the Large Generating Facility with the Transmission System; and</w:t>
      </w:r>
    </w:p>
    <w:p w:rsidR="00911580" w:rsidRPr="0072600F" w14:paraId="108A7BF5" w14:textId="77777777">
      <w:pPr>
        <w:rPr>
          <w:rFonts w:ascii="Times New Roman" w:hAnsi="Times New Roman" w:cs="Times New Roman"/>
          <w:b/>
          <w:sz w:val="26"/>
          <w:szCs w:val="26"/>
        </w:rPr>
      </w:pPr>
    </w:p>
    <w:p w:rsidR="00911580" w:rsidRPr="0072600F" w14:paraId="2BC21EBA"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WHEREAS</w:t>
      </w:r>
      <w:r w:rsidRPr="0072600F">
        <w:rPr>
          <w:rFonts w:ascii="Times New Roman" w:hAnsi="Times New Roman" w:cs="Times New Roman"/>
          <w:sz w:val="26"/>
          <w:szCs w:val="26"/>
        </w:rPr>
        <w:t>, Interconnection Customer has requested Transmission Provider to perform a “Transitional Cluster Study,” which combines the Cluster Study and Interconnection Facilities Study, in a single cluster study, followed by any needed restudies, to specify and estimate the cost of the equipment, engineering, procurement, and construction work needed to physically and electrically connect the Large Generating Facility to Transmission Provider’s Transmission System; and</w:t>
      </w:r>
    </w:p>
    <w:p w:rsidR="00911580" w:rsidRPr="0072600F" w14:paraId="51218C4D" w14:textId="77777777">
      <w:pPr>
        <w:rPr>
          <w:rFonts w:ascii="Times New Roman" w:hAnsi="Times New Roman" w:cs="Times New Roman"/>
          <w:sz w:val="26"/>
          <w:szCs w:val="26"/>
        </w:rPr>
      </w:pPr>
    </w:p>
    <w:p w:rsidR="00911580" w:rsidRPr="0072600F" w14:paraId="0F1051CC"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has a valid Queue Position as of the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Transmission Provider to insert </w:t>
      </w:r>
      <w:r w:rsidRPr="0072600F" w:rsidR="00361DEC">
        <w:rPr>
          <w:rFonts w:ascii="Times New Roman" w:hAnsi="Times New Roman" w:cs="Times New Roman"/>
          <w:i/>
          <w:iCs/>
          <w:sz w:val="26"/>
          <w:szCs w:val="26"/>
        </w:rPr>
        <w:t xml:space="preserve">Commission-approved </w:t>
      </w:r>
      <w:r w:rsidRPr="0072600F">
        <w:rPr>
          <w:rFonts w:ascii="Times New Roman" w:hAnsi="Times New Roman" w:cs="Times New Roman"/>
          <w:sz w:val="26"/>
          <w:szCs w:val="26"/>
        </w:rPr>
        <w:t>effective date of compliance filing</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911580" w:rsidRPr="0072600F" w14:paraId="001EC133" w14:textId="77777777">
      <w:pPr>
        <w:rPr>
          <w:rFonts w:ascii="Times New Roman" w:hAnsi="Times New Roman" w:cs="Times New Roman"/>
          <w:sz w:val="26"/>
          <w:szCs w:val="26"/>
        </w:rPr>
      </w:pPr>
    </w:p>
    <w:p w:rsidR="00911580" w:rsidRPr="0072600F" w14:paraId="36E67CF2"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NOW, THEREFORE, </w:t>
      </w:r>
      <w:r w:rsidRPr="0072600F">
        <w:rPr>
          <w:rFonts w:ascii="Times New Roman" w:hAnsi="Times New Roman" w:cs="Times New Roman"/>
          <w:sz w:val="26"/>
          <w:szCs w:val="26"/>
        </w:rPr>
        <w:t>in consideration of and subject to the mutual covenants contained herein, the Parties agree as follows:</w:t>
      </w:r>
    </w:p>
    <w:p w:rsidR="00911580" w:rsidRPr="0072600F" w14:paraId="43542B54" w14:textId="77777777">
      <w:pPr>
        <w:rPr>
          <w:rFonts w:ascii="Times New Roman" w:hAnsi="Times New Roman" w:cs="Times New Roman"/>
          <w:b/>
          <w:sz w:val="26"/>
          <w:szCs w:val="26"/>
        </w:rPr>
      </w:pPr>
    </w:p>
    <w:p w:rsidR="00911580" w:rsidRPr="0072600F" w:rsidP="00FF0F67" w14:paraId="0F0F0E75"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When used in this Agreement, with initial capitalization, the terms specified shall have the meanings indicated in this LGIP.</w:t>
      </w:r>
    </w:p>
    <w:p w:rsidR="00911580" w:rsidRPr="0072600F" w14:paraId="4FAA6948" w14:textId="77777777">
      <w:pPr>
        <w:ind w:left="1440" w:hanging="720"/>
        <w:rPr>
          <w:rFonts w:ascii="Times New Roman" w:hAnsi="Times New Roman" w:cs="Times New Roman"/>
          <w:sz w:val="26"/>
          <w:szCs w:val="26"/>
        </w:rPr>
      </w:pPr>
    </w:p>
    <w:p w:rsidR="00911580" w:rsidRPr="0072600F" w:rsidP="00FF0F67" w14:paraId="5795D3A2"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Interconnection Customer elects, and Transmission Provider shall cause to be performed, a Transitional Cluster Study.</w:t>
      </w:r>
    </w:p>
    <w:p w:rsidR="00244217" w:rsidRPr="0072600F" w:rsidP="00244217" w14:paraId="29E4DDF2" w14:textId="77777777">
      <w:pPr>
        <w:pStyle w:val="ListParagraph"/>
        <w:rPr>
          <w:szCs w:val="26"/>
        </w:rPr>
      </w:pPr>
    </w:p>
    <w:p w:rsidR="00C6044A" w:rsidRPr="0072600F" w:rsidP="00A67733" w14:paraId="4C235C90" w14:textId="77777777">
      <w:pPr>
        <w:pStyle w:val="ListParagraph"/>
        <w:rPr>
          <w:szCs w:val="26"/>
        </w:rPr>
      </w:pPr>
    </w:p>
    <w:p w:rsidR="00911580" w:rsidRPr="0072600F" w:rsidP="00FF0F67" w14:paraId="03A2DD61"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The Transitional Cluster Study shall be based upon the technical information provided by Interconnection Customer in the Interconnection Request.  Transmission Provider reserves the right to request additional technical information from Interconnection Customer as may reasonably become necessary consistent with Good Utility Practice during the course of the Transitional Cluster Study and Interconnection Customer shall provide such data as quickly as reasonable.</w:t>
      </w:r>
    </w:p>
    <w:p w:rsidR="00C6044A" w:rsidRPr="0072600F" w:rsidP="00A67733" w14:paraId="1A137648" w14:textId="77777777">
      <w:pPr>
        <w:pStyle w:val="ListParagraph"/>
        <w:rPr>
          <w:szCs w:val="26"/>
        </w:rPr>
      </w:pPr>
    </w:p>
    <w:p w:rsidR="00911580" w:rsidRPr="0072600F" w14:paraId="77AD69CA" w14:textId="77777777">
      <w:pPr>
        <w:ind w:left="1440" w:hanging="720"/>
        <w:rPr>
          <w:rFonts w:ascii="Times New Roman" w:hAnsi="Times New Roman" w:cs="Times New Roman"/>
          <w:sz w:val="26"/>
          <w:szCs w:val="26"/>
        </w:rPr>
      </w:pPr>
    </w:p>
    <w:p w:rsidR="00911580" w:rsidRPr="0072600F" w:rsidP="00FF0F67" w14:paraId="52C06F14"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Pursuant to Section 5.1.1.2 of this LGIP, the interim Transitional Cluster Study Report shall provide the information below:</w:t>
      </w:r>
    </w:p>
    <w:p w:rsidR="00C6044A" w:rsidRPr="0072600F" w:rsidP="00A67733" w14:paraId="3B72467B" w14:textId="77777777">
      <w:pPr>
        <w:pStyle w:val="ListParagraph"/>
        <w:rPr>
          <w:szCs w:val="26"/>
        </w:rPr>
      </w:pPr>
    </w:p>
    <w:p w:rsidR="00911580" w:rsidRPr="0072600F" w14:paraId="2A06ABF6" w14:textId="77777777">
      <w:pPr>
        <w:rPr>
          <w:rFonts w:ascii="Times New Roman" w:hAnsi="Times New Roman" w:cs="Times New Roman"/>
          <w:sz w:val="26"/>
          <w:szCs w:val="26"/>
        </w:rPr>
      </w:pPr>
    </w:p>
    <w:p w:rsidR="00911580" w:rsidRPr="0072600F" w:rsidP="00FF0F67" w14:paraId="5CFFB696" w14:textId="77777777">
      <w:pPr>
        <w:numPr>
          <w:ilvl w:val="0"/>
          <w:numId w:val="6"/>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identification of any circuit breaker short circuit capability limits exceeded as a result of the interconnection;</w:t>
      </w:r>
    </w:p>
    <w:p w:rsidR="00911580" w:rsidRPr="0072600F" w14:paraId="590C7780" w14:textId="77777777">
      <w:pPr>
        <w:rPr>
          <w:rFonts w:ascii="Times New Roman" w:hAnsi="Times New Roman" w:cs="Times New Roman"/>
          <w:sz w:val="26"/>
          <w:szCs w:val="26"/>
        </w:rPr>
      </w:pPr>
    </w:p>
    <w:p w:rsidR="00911580" w:rsidRPr="0072600F" w:rsidP="00FF0F67" w14:paraId="4E514FA0" w14:textId="77777777">
      <w:pPr>
        <w:numPr>
          <w:ilvl w:val="0"/>
          <w:numId w:val="6"/>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identification of any thermal overload or voltage limit violations resulting from the interconnection;</w:t>
      </w:r>
    </w:p>
    <w:p w:rsidR="00C6044A" w:rsidRPr="0072600F" w:rsidP="007A3E78" w14:paraId="20689D12" w14:textId="77777777">
      <w:pPr>
        <w:pStyle w:val="ListParagraph"/>
        <w:rPr>
          <w:szCs w:val="26"/>
        </w:rPr>
      </w:pPr>
    </w:p>
    <w:p w:rsidR="00911580" w:rsidRPr="0072600F" w14:paraId="685E7D40" w14:textId="77777777">
      <w:pPr>
        <w:rPr>
          <w:rFonts w:ascii="Times New Roman" w:hAnsi="Times New Roman" w:cs="Times New Roman"/>
          <w:sz w:val="26"/>
          <w:szCs w:val="26"/>
        </w:rPr>
      </w:pPr>
    </w:p>
    <w:p w:rsidR="00911580" w:rsidRPr="0072600F" w:rsidP="00FF0F67" w14:paraId="0BF7E58E" w14:textId="77777777">
      <w:pPr>
        <w:numPr>
          <w:ilvl w:val="0"/>
          <w:numId w:val="6"/>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identification of any instability or inadequately damped response to system disturbances resulting from the interconnection; and</w:t>
      </w:r>
    </w:p>
    <w:p w:rsidR="00C6044A" w:rsidRPr="0072600F" w:rsidP="007A3E78" w14:paraId="402E423E" w14:textId="77777777">
      <w:pPr>
        <w:pStyle w:val="ListParagraph"/>
        <w:rPr>
          <w:szCs w:val="26"/>
        </w:rPr>
      </w:pPr>
    </w:p>
    <w:p w:rsidR="00911580" w:rsidRPr="0072600F" w14:paraId="49B00D34" w14:textId="77777777">
      <w:pPr>
        <w:rPr>
          <w:rFonts w:ascii="Times New Roman" w:hAnsi="Times New Roman" w:cs="Times New Roman"/>
          <w:sz w:val="26"/>
          <w:szCs w:val="26"/>
        </w:rPr>
      </w:pPr>
    </w:p>
    <w:p w:rsidR="00911580" w:rsidRPr="0072600F" w:rsidP="00FF0F67" w14:paraId="01F76514" w14:textId="77777777">
      <w:pPr>
        <w:numPr>
          <w:ilvl w:val="0"/>
          <w:numId w:val="6"/>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Transmission Provider’s Interconnection Facilities and Network Upgrades that are expected to be required as a result of the Interconnection Request(s) and a non-binding, good faith estimate of cost responsibility and a non-binding, good faith estimated time to construct.</w:t>
      </w:r>
    </w:p>
    <w:p w:rsidR="00C6044A" w:rsidRPr="0072600F" w:rsidP="007A3E78" w14:paraId="0AED53EF" w14:textId="77777777">
      <w:pPr>
        <w:pStyle w:val="ListParagraph"/>
        <w:rPr>
          <w:szCs w:val="26"/>
        </w:rPr>
      </w:pPr>
    </w:p>
    <w:p w:rsidR="00911580" w:rsidRPr="0072600F" w14:paraId="4DB9BCFC" w14:textId="77777777">
      <w:pPr>
        <w:rPr>
          <w:rFonts w:ascii="Times New Roman" w:hAnsi="Times New Roman" w:cs="Times New Roman"/>
          <w:sz w:val="26"/>
          <w:szCs w:val="26"/>
        </w:rPr>
      </w:pPr>
    </w:p>
    <w:p w:rsidR="00911580" w:rsidRPr="0072600F" w:rsidP="00FF0F67" w14:paraId="6993F31D"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 xml:space="preserve">Pursuant to Section 5.1.1.2 of this LGIP, the final Transitional Cluster Study Report shall: </w:t>
      </w:r>
      <w:r w:rsidRPr="0072600F" w:rsidR="005B0F27">
        <w:rPr>
          <w:rFonts w:ascii="Times New Roman" w:hAnsi="Times New Roman" w:cs="Times New Roman"/>
          <w:sz w:val="26"/>
          <w:szCs w:val="26"/>
        </w:rPr>
        <w:t xml:space="preserve"> </w:t>
      </w:r>
      <w:r w:rsidRPr="0072600F">
        <w:rPr>
          <w:rFonts w:ascii="Times New Roman" w:hAnsi="Times New Roman" w:cs="Times New Roman"/>
          <w:sz w:val="26"/>
          <w:szCs w:val="26"/>
        </w:rPr>
        <w:t>(1) provide all the information included in the interim Transitional Cluster Study Report; (2) provide a description of, estimated cost of, and schedule for required facilities to interconnect the Generating Facility to the Transmission System; and (3) address the short circuit, instability, and power flow issues identified in the interim Transitional Cluster Study Report.</w:t>
      </w:r>
    </w:p>
    <w:p w:rsidR="00911580" w:rsidRPr="0072600F" w14:paraId="6BE29FCF" w14:textId="77777777">
      <w:pPr>
        <w:ind w:left="1440" w:hanging="720"/>
        <w:rPr>
          <w:rFonts w:ascii="Times New Roman" w:hAnsi="Times New Roman" w:cs="Times New Roman"/>
          <w:sz w:val="26"/>
          <w:szCs w:val="26"/>
        </w:rPr>
      </w:pPr>
    </w:p>
    <w:p w:rsidR="00911580" w:rsidRPr="0072600F" w:rsidP="00FF0F67" w14:paraId="7019C733"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Interconnection Customer has met the requirements described in Section 5.1.1.2 of this LGIP.</w:t>
      </w:r>
    </w:p>
    <w:p w:rsidR="00244217" w:rsidRPr="0072600F" w:rsidP="00244217" w14:paraId="27FBEB3C" w14:textId="77777777">
      <w:pPr>
        <w:pStyle w:val="ListParagraph"/>
        <w:rPr>
          <w:szCs w:val="26"/>
        </w:rPr>
      </w:pPr>
    </w:p>
    <w:p w:rsidR="00C6044A" w:rsidRPr="0072600F" w:rsidP="007A3E78" w14:paraId="067C3272" w14:textId="77777777">
      <w:pPr>
        <w:pStyle w:val="ListParagraph"/>
        <w:rPr>
          <w:szCs w:val="26"/>
        </w:rPr>
      </w:pPr>
    </w:p>
    <w:p w:rsidR="00911580" w:rsidRPr="0072600F" w14:paraId="65A7E421" w14:textId="77777777">
      <w:pPr>
        <w:ind w:left="1440" w:hanging="720"/>
        <w:rPr>
          <w:rFonts w:ascii="Times New Roman" w:hAnsi="Times New Roman" w:cs="Times New Roman"/>
          <w:sz w:val="26"/>
          <w:szCs w:val="26"/>
        </w:rPr>
      </w:pPr>
    </w:p>
    <w:p w:rsidR="00911580" w:rsidRPr="0072600F" w:rsidP="00FF0F67" w14:paraId="74E79FF9"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Interconnection Customer previously provided a deposit for the performance of Interconnection Studies.  Upon receipt of the final Transitional Cluster Study Report, Transmission Provider shall charge and Interconnection Customer shall pay the actual costs of the Transitional Cluster Study.  Any difference between the study deposit and the actual cost of the study shall be paid by or refunded to Interconnection Customer, in accordance with the provisions of Section 13.3 of this LGIP.</w:t>
      </w:r>
    </w:p>
    <w:p w:rsidR="00C6044A" w:rsidRPr="0072600F" w:rsidP="007A3E78" w14:paraId="74F1196D" w14:textId="77777777">
      <w:pPr>
        <w:pStyle w:val="ListParagraph"/>
        <w:rPr>
          <w:szCs w:val="26"/>
        </w:rPr>
      </w:pPr>
    </w:p>
    <w:p w:rsidR="00911580" w:rsidRPr="0072600F" w14:paraId="6069621B" w14:textId="77777777">
      <w:pPr>
        <w:ind w:left="1440" w:hanging="720"/>
        <w:rPr>
          <w:rFonts w:ascii="Times New Roman" w:hAnsi="Times New Roman" w:cs="Times New Roman"/>
          <w:sz w:val="26"/>
          <w:szCs w:val="26"/>
        </w:rPr>
      </w:pPr>
    </w:p>
    <w:p w:rsidR="00911580" w:rsidRPr="0072600F" w:rsidP="00FF0F67" w14:paraId="45E59B39" w14:textId="77777777">
      <w:pPr>
        <w:numPr>
          <w:ilvl w:val="4"/>
          <w:numId w:val="5"/>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Miscellaneous.  The Transitional Cluster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w:t>
      </w:r>
      <w:r w:rsidRPr="0072600F">
        <w:rPr>
          <w:rFonts w:ascii="Times New Roman" w:hAnsi="Times New Roman" w:cs="Times New Roman"/>
          <w:sz w:val="26"/>
          <w:szCs w:val="26"/>
        </w:rPr>
        <w:t>, to the extent practicable,</w:t>
      </w:r>
      <w:r w:rsidRPr="0072600F">
        <w:rPr>
          <w:rFonts w:ascii="Times New Roman" w:hAnsi="Times New Roman" w:cs="Times New Roman"/>
          <w:sz w:val="26"/>
          <w:szCs w:val="26"/>
        </w:rPr>
        <w:t xml:space="preserve"> shall be consistent with the provisions of this LGIP and the LGIA.</w:t>
      </w:r>
    </w:p>
    <w:p w:rsidR="00C6044A" w:rsidRPr="0072600F" w:rsidP="007A3E78" w14:paraId="1480A563" w14:textId="77777777">
      <w:pPr>
        <w:pStyle w:val="ListParagraph"/>
        <w:rPr>
          <w:szCs w:val="26"/>
        </w:rPr>
      </w:pPr>
    </w:p>
    <w:p w:rsidR="00911580" w:rsidRPr="0072600F" w14:paraId="26558BFA" w14:textId="77777777">
      <w:pPr>
        <w:rPr>
          <w:rFonts w:ascii="Times New Roman" w:hAnsi="Times New Roman" w:cs="Times New Roman"/>
          <w:sz w:val="26"/>
          <w:szCs w:val="26"/>
        </w:rPr>
      </w:pPr>
    </w:p>
    <w:p w:rsidR="00911580" w:rsidRPr="0072600F" w14:paraId="3AE7B476" w14:textId="77777777">
      <w:pPr>
        <w:ind w:firstLine="720"/>
        <w:rPr>
          <w:rFonts w:ascii="Times New Roman" w:hAnsi="Times New Roman" w:cs="Times New Roman"/>
          <w:b/>
          <w:sz w:val="26"/>
          <w:szCs w:val="26"/>
        </w:rPr>
      </w:pPr>
      <w:r w:rsidRPr="0072600F">
        <w:rPr>
          <w:rFonts w:ascii="Times New Roman" w:hAnsi="Times New Roman" w:cs="Times New Roman"/>
          <w:b/>
          <w:sz w:val="26"/>
          <w:szCs w:val="26"/>
        </w:rPr>
        <w:t xml:space="preserve">IN WITNESS WHEREOF, </w:t>
      </w:r>
      <w:r w:rsidRPr="0072600F">
        <w:rPr>
          <w:rFonts w:ascii="Times New Roman" w:hAnsi="Times New Roman" w:cs="Times New Roman"/>
          <w:sz w:val="26"/>
          <w:szCs w:val="26"/>
        </w:rPr>
        <w:t>the Parties have caused this Agreement to be duly executed by their duly authorized officers or agents on the day and year first above written.</w:t>
      </w:r>
    </w:p>
    <w:p w:rsidR="00911580" w:rsidRPr="0072600F" w14:paraId="6602E702" w14:textId="77777777">
      <w:pPr>
        <w:rPr>
          <w:rFonts w:ascii="Times New Roman" w:hAnsi="Times New Roman" w:cs="Times New Roman"/>
          <w:b/>
          <w:sz w:val="26"/>
          <w:szCs w:val="26"/>
        </w:rPr>
      </w:pPr>
    </w:p>
    <w:p w:rsidR="00911580" w:rsidRPr="0072600F" w14:paraId="18653742" w14:textId="77777777">
      <w:pPr>
        <w:rPr>
          <w:rFonts w:ascii="Times New Roman" w:hAnsi="Times New Roman" w:cs="Times New Roman"/>
          <w:sz w:val="26"/>
          <w:szCs w:val="26"/>
        </w:rPr>
      </w:pPr>
      <w:r w:rsidRPr="0072600F">
        <w:rPr>
          <w:rFonts w:ascii="Times New Roman" w:hAnsi="Times New Roman" w:cs="Times New Roman"/>
          <w:b/>
          <w:sz w:val="26"/>
          <w:szCs w:val="26"/>
        </w:rPr>
        <w:t>{</w:t>
      </w:r>
      <w:r w:rsidRPr="0072600F">
        <w:rPr>
          <w:rFonts w:ascii="Times New Roman" w:hAnsi="Times New Roman" w:cs="Times New Roman"/>
          <w:b/>
          <w:sz w:val="26"/>
          <w:szCs w:val="26"/>
        </w:rPr>
        <w:t>Insert name of Transmission Provider or Transmission Owner, if applicable</w:t>
      </w:r>
      <w:r w:rsidRPr="0072600F">
        <w:rPr>
          <w:rFonts w:ascii="Times New Roman" w:hAnsi="Times New Roman" w:cs="Times New Roman"/>
          <w:b/>
          <w:sz w:val="26"/>
          <w:szCs w:val="26"/>
        </w:rPr>
        <w:t>}</w:t>
      </w:r>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 </w:t>
      </w:r>
    </w:p>
    <w:p w:rsidR="00911580" w:rsidRPr="0072600F" w14:paraId="7E05984B" w14:textId="77777777">
      <w:pPr>
        <w:rPr>
          <w:rFonts w:ascii="Times New Roman" w:hAnsi="Times New Roman" w:cs="Times New Roman"/>
          <w:sz w:val="26"/>
          <w:szCs w:val="26"/>
        </w:rPr>
      </w:pPr>
      <w:r w:rsidRPr="0072600F">
        <w:rPr>
          <w:rFonts w:ascii="Times New Roman" w:hAnsi="Times New Roman" w:cs="Times New Roman"/>
          <w:sz w:val="26"/>
          <w:szCs w:val="26"/>
        </w:rPr>
        <w:t xml:space="preserve">By: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ab/>
      </w:r>
    </w:p>
    <w:p w:rsidR="00911580" w:rsidRPr="0072600F" w14:paraId="37B073BA" w14:textId="77777777">
      <w:pPr>
        <w:rPr>
          <w:rFonts w:ascii="Times New Roman" w:hAnsi="Times New Roman" w:cs="Times New Roman"/>
          <w:sz w:val="26"/>
          <w:szCs w:val="26"/>
        </w:rPr>
      </w:pPr>
      <w:r w:rsidRPr="0072600F">
        <w:rPr>
          <w:rFonts w:ascii="Times New Roman" w:hAnsi="Times New Roman" w:cs="Times New Roman"/>
          <w:sz w:val="26"/>
          <w:szCs w:val="26"/>
        </w:rPr>
        <w:t xml:space="preserve">Title: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ab/>
      </w:r>
    </w:p>
    <w:p w:rsidR="00911580" w:rsidRPr="0072600F" w14:paraId="0754716D"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r w:rsidRPr="0072600F">
        <w:rPr>
          <w:rFonts w:ascii="Times New Roman" w:hAnsi="Times New Roman" w:cs="Times New Roman"/>
          <w:sz w:val="26"/>
          <w:szCs w:val="26"/>
        </w:rPr>
        <w:tab/>
      </w:r>
    </w:p>
    <w:p w:rsidR="00911580" w:rsidRPr="0072600F" w14:paraId="4D9027AE" w14:textId="77777777">
      <w:pPr>
        <w:rPr>
          <w:rFonts w:ascii="Times New Roman" w:hAnsi="Times New Roman" w:cs="Times New Roman"/>
          <w:b/>
          <w:sz w:val="26"/>
          <w:szCs w:val="26"/>
        </w:rPr>
      </w:pPr>
    </w:p>
    <w:p w:rsidR="00911580" w:rsidRPr="0072600F" w14:paraId="2E4F2A2F" w14:textId="77777777">
      <w:pPr>
        <w:rPr>
          <w:rFonts w:ascii="Times New Roman" w:hAnsi="Times New Roman" w:cs="Times New Roman"/>
          <w:sz w:val="26"/>
          <w:szCs w:val="26"/>
        </w:rPr>
      </w:pPr>
      <w:r w:rsidRPr="0072600F">
        <w:rPr>
          <w:rFonts w:ascii="Times New Roman" w:hAnsi="Times New Roman" w:cs="Times New Roman"/>
          <w:b/>
          <w:sz w:val="26"/>
          <w:szCs w:val="26"/>
        </w:rPr>
        <w:t>{</w:t>
      </w:r>
      <w:r w:rsidRPr="0072600F">
        <w:rPr>
          <w:rFonts w:ascii="Times New Roman" w:hAnsi="Times New Roman" w:cs="Times New Roman"/>
          <w:b/>
          <w:sz w:val="26"/>
          <w:szCs w:val="26"/>
        </w:rPr>
        <w:t>Insert name of Interconnection Customer</w:t>
      </w:r>
      <w:r w:rsidRPr="0072600F">
        <w:rPr>
          <w:rFonts w:ascii="Times New Roman" w:hAnsi="Times New Roman" w:cs="Times New Roman"/>
          <w:b/>
          <w:sz w:val="26"/>
          <w:szCs w:val="26"/>
        </w:rPr>
        <w:t>}</w:t>
      </w:r>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 </w:t>
      </w:r>
    </w:p>
    <w:p w:rsidR="00911580" w:rsidRPr="0072600F" w14:paraId="2E121D19" w14:textId="77777777">
      <w:pPr>
        <w:rPr>
          <w:rFonts w:ascii="Times New Roman" w:hAnsi="Times New Roman" w:cs="Times New Roman"/>
          <w:sz w:val="26"/>
          <w:szCs w:val="26"/>
        </w:rPr>
      </w:pPr>
      <w:r w:rsidRPr="0072600F">
        <w:rPr>
          <w:rFonts w:ascii="Times New Roman" w:hAnsi="Times New Roman" w:cs="Times New Roman"/>
          <w:sz w:val="26"/>
          <w:szCs w:val="26"/>
        </w:rPr>
        <w:t xml:space="preserve">By: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 xml:space="preserve">  </w:t>
      </w:r>
    </w:p>
    <w:p w:rsidR="00911580" w:rsidRPr="0072600F" w14:paraId="07F321A0" w14:textId="77777777">
      <w:pPr>
        <w:rPr>
          <w:rFonts w:ascii="Times New Roman" w:hAnsi="Times New Roman" w:cs="Times New Roman"/>
          <w:sz w:val="26"/>
          <w:szCs w:val="26"/>
        </w:rPr>
      </w:pPr>
      <w:r w:rsidRPr="0072600F">
        <w:rPr>
          <w:rFonts w:ascii="Times New Roman" w:hAnsi="Times New Roman" w:cs="Times New Roman"/>
          <w:sz w:val="26"/>
          <w:szCs w:val="26"/>
        </w:rPr>
        <w:t xml:space="preserve">Title: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 xml:space="preserve">  </w:t>
      </w:r>
    </w:p>
    <w:p w:rsidR="00911580" w:rsidRPr="0072600F" w14:paraId="155DACED"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45BFC39C"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14:paraId="68C00465"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APPENDIX 8 to LGIP</w:t>
      </w:r>
    </w:p>
    <w:p w:rsidR="00911580" w:rsidRPr="0072600F" w14:paraId="297596E5"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TRANSITIONAL SERIAL INTERCONNECTION FACILITIES STUDY AGREEMENT</w:t>
      </w:r>
    </w:p>
    <w:p w:rsidR="00911580" w:rsidRPr="0072600F" w14:paraId="1F2AA0DE" w14:textId="77777777">
      <w:pPr>
        <w:rPr>
          <w:rFonts w:ascii="Times New Roman" w:hAnsi="Times New Roman" w:cs="Times New Roman"/>
          <w:b/>
          <w:sz w:val="26"/>
          <w:szCs w:val="26"/>
        </w:rPr>
      </w:pPr>
    </w:p>
    <w:p w:rsidR="00911580" w:rsidRPr="0072600F" w14:paraId="416A17AD"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THIS AGREEMENT </w:t>
      </w:r>
      <w:r w:rsidRPr="0072600F">
        <w:rPr>
          <w:rFonts w:ascii="Times New Roman" w:hAnsi="Times New Roman" w:cs="Times New Roman"/>
          <w:sz w:val="26"/>
          <w:szCs w:val="26"/>
        </w:rPr>
        <w:t xml:space="preserve">is made and entered into this ____ day of ___, 20__, by and between ____________________,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 organized and existing under the laws of the State of ___________________ (“Interconnection Customer”) and 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_____________________________________ organized and existing under the laws of the State of __________ (“Transmission Provider”).  Interconnection Customer and Transmission Provider each may be referred to as a “Party,” or collectively as the “Parties.”</w:t>
      </w:r>
    </w:p>
    <w:p w:rsidR="00911580" w:rsidRPr="0072600F" w14:paraId="1E1B1613" w14:textId="77777777">
      <w:pPr>
        <w:rPr>
          <w:rFonts w:ascii="Times New Roman" w:hAnsi="Times New Roman" w:cs="Times New Roman"/>
          <w:sz w:val="26"/>
          <w:szCs w:val="26"/>
        </w:rPr>
      </w:pPr>
    </w:p>
    <w:p w:rsidR="00911580" w:rsidRPr="0072600F" w14:paraId="102AA2A8"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RECITALS</w:t>
      </w:r>
    </w:p>
    <w:p w:rsidR="00911580" w:rsidRPr="0072600F" w14:paraId="4EAED302" w14:textId="77777777">
      <w:pPr>
        <w:rPr>
          <w:rFonts w:ascii="Times New Roman" w:hAnsi="Times New Roman" w:cs="Times New Roman"/>
          <w:b/>
          <w:sz w:val="26"/>
          <w:szCs w:val="26"/>
        </w:rPr>
      </w:pPr>
    </w:p>
    <w:p w:rsidR="00911580" w:rsidRPr="0072600F" w14:paraId="23E1D49C"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WHEREAS, </w:t>
      </w:r>
      <w:r w:rsidRPr="0072600F">
        <w:rPr>
          <w:rFonts w:ascii="Times New Roman" w:hAnsi="Times New Roman" w:cs="Times New Roman"/>
          <w:sz w:val="26"/>
          <w:szCs w:val="26"/>
        </w:rPr>
        <w:t>Interconnection Customer is proposing to develop a Large Generating Facility or generating capacity addition to an existing Large Generating Facility consistent with the Interconnection Request submitted by Interconnection Customer dated ______; and</w:t>
      </w:r>
    </w:p>
    <w:p w:rsidR="00911580" w:rsidRPr="0072600F" w14:paraId="29A63931" w14:textId="77777777">
      <w:pPr>
        <w:rPr>
          <w:rFonts w:ascii="Times New Roman" w:hAnsi="Times New Roman" w:cs="Times New Roman"/>
          <w:sz w:val="26"/>
          <w:szCs w:val="26"/>
        </w:rPr>
      </w:pPr>
    </w:p>
    <w:p w:rsidR="00911580" w:rsidRPr="0072600F" w14:paraId="68ECE271"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WHEREAS, </w:t>
      </w:r>
      <w:r w:rsidRPr="0072600F">
        <w:rPr>
          <w:rFonts w:ascii="Times New Roman" w:hAnsi="Times New Roman" w:cs="Times New Roman"/>
          <w:sz w:val="26"/>
          <w:szCs w:val="26"/>
        </w:rPr>
        <w:t>Interconnection Customer desires to interconnect the Large Generating Facility with the Transmission System; and</w:t>
      </w:r>
    </w:p>
    <w:p w:rsidR="00911580" w:rsidRPr="0072600F" w14:paraId="62B7FA7E" w14:textId="77777777">
      <w:pPr>
        <w:rPr>
          <w:rFonts w:ascii="Times New Roman" w:hAnsi="Times New Roman" w:cs="Times New Roman"/>
          <w:b/>
          <w:sz w:val="26"/>
          <w:szCs w:val="26"/>
        </w:rPr>
      </w:pPr>
    </w:p>
    <w:p w:rsidR="00911580" w:rsidRPr="0072600F" w14:paraId="47118DC3"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WHEREAS, </w:t>
      </w:r>
      <w:r w:rsidRPr="0072600F">
        <w:rPr>
          <w:rFonts w:ascii="Times New Roman" w:hAnsi="Times New Roman" w:cs="Times New Roman"/>
          <w:sz w:val="26"/>
          <w:szCs w:val="26"/>
        </w:rPr>
        <w:t>Interconnection Customer has requested Transmission Provider to continue processing its Interconnection Facilities Study to specify and estimate the cost of the equipment, engineering, procurement, and construction work needed to implement the conclusions of the final interconnection system impact study (from the previously effective serial study process) in accordance with Good Utility Practice to physically and electrically connect the Large Generating Facility to the Transmission System; and</w:t>
      </w:r>
    </w:p>
    <w:p w:rsidR="00911580" w:rsidRPr="0072600F" w14:paraId="07785174" w14:textId="77777777">
      <w:pPr>
        <w:rPr>
          <w:rFonts w:ascii="Times New Roman" w:hAnsi="Times New Roman" w:cs="Times New Roman"/>
          <w:sz w:val="26"/>
          <w:szCs w:val="26"/>
        </w:rPr>
      </w:pPr>
    </w:p>
    <w:p w:rsidR="00911580" w:rsidRPr="0072600F" w14:paraId="2DD979ED"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Transmission Provider has provided an Interconnection Facilities Study Agreement to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on or before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Transmission Provider to insert </w:t>
      </w:r>
      <w:r w:rsidRPr="0072600F" w:rsidR="00361DEC">
        <w:rPr>
          <w:rFonts w:ascii="Times New Roman" w:hAnsi="Times New Roman" w:cs="Times New Roman"/>
          <w:i/>
          <w:iCs/>
          <w:sz w:val="26"/>
          <w:szCs w:val="26"/>
        </w:rPr>
        <w:t xml:space="preserve">Commission-approved </w:t>
      </w:r>
      <w:r w:rsidRPr="0072600F">
        <w:rPr>
          <w:rFonts w:ascii="Times New Roman" w:hAnsi="Times New Roman" w:cs="Times New Roman"/>
          <w:sz w:val="26"/>
          <w:szCs w:val="26"/>
        </w:rPr>
        <w:t>effective date of compliance filing</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911580" w:rsidRPr="0072600F" w14:paraId="0B274813" w14:textId="77777777">
      <w:pPr>
        <w:rPr>
          <w:rFonts w:ascii="Times New Roman" w:hAnsi="Times New Roman" w:cs="Times New Roman"/>
          <w:sz w:val="26"/>
          <w:szCs w:val="26"/>
        </w:rPr>
      </w:pPr>
    </w:p>
    <w:p w:rsidR="00911580" w:rsidRPr="0072600F" w14:paraId="7D04C59C" w14:textId="77777777">
      <w:pPr>
        <w:ind w:firstLine="720"/>
        <w:rPr>
          <w:rFonts w:ascii="Times New Roman" w:hAnsi="Times New Roman" w:cs="Times New Roman"/>
          <w:sz w:val="26"/>
          <w:szCs w:val="26"/>
        </w:rPr>
      </w:pPr>
      <w:r w:rsidRPr="0072600F">
        <w:rPr>
          <w:rFonts w:ascii="Times New Roman" w:hAnsi="Times New Roman" w:cs="Times New Roman"/>
          <w:b/>
          <w:sz w:val="26"/>
          <w:szCs w:val="26"/>
        </w:rPr>
        <w:t xml:space="preserve">NOW, THEREFORE, </w:t>
      </w:r>
      <w:r w:rsidRPr="0072600F">
        <w:rPr>
          <w:rFonts w:ascii="Times New Roman" w:hAnsi="Times New Roman" w:cs="Times New Roman"/>
          <w:sz w:val="26"/>
          <w:szCs w:val="26"/>
        </w:rPr>
        <w:t>in consideration of and subject to the mutual covenants contained herein, the Parties agree as follows:</w:t>
      </w:r>
    </w:p>
    <w:p w:rsidR="00911580" w:rsidRPr="0072600F" w14:paraId="3B1DE12A" w14:textId="77777777">
      <w:pPr>
        <w:rPr>
          <w:rFonts w:ascii="Times New Roman" w:hAnsi="Times New Roman" w:cs="Times New Roman"/>
          <w:b/>
          <w:sz w:val="26"/>
          <w:szCs w:val="26"/>
        </w:rPr>
      </w:pPr>
    </w:p>
    <w:p w:rsidR="00911580" w:rsidRPr="0072600F" w:rsidP="00FF0F67" w14:paraId="0453ECE4"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When used in this Agreement, with initial capitalization, the terms specified shall have the meanings indicated in this LGIP.</w:t>
      </w:r>
    </w:p>
    <w:p w:rsidR="00911580" w:rsidRPr="0072600F" w14:paraId="22B39822" w14:textId="77777777">
      <w:pPr>
        <w:rPr>
          <w:rFonts w:ascii="Times New Roman" w:hAnsi="Times New Roman" w:cs="Times New Roman"/>
          <w:sz w:val="26"/>
          <w:szCs w:val="26"/>
        </w:rPr>
      </w:pPr>
    </w:p>
    <w:p w:rsidR="00911580" w:rsidRPr="0072600F" w:rsidP="00FF0F67" w14:paraId="5EE017C2"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Interconnection Customer elects and Transmission Provider shall cause to be performed an Interconnection Facilities Study consistent with Section 8 of this LGIP.</w:t>
      </w:r>
    </w:p>
    <w:p w:rsidR="00C6044A" w:rsidRPr="0072600F" w:rsidP="007A3E78" w14:paraId="55FC4B49" w14:textId="77777777">
      <w:pPr>
        <w:pStyle w:val="ListParagraph"/>
        <w:rPr>
          <w:szCs w:val="26"/>
        </w:rPr>
      </w:pPr>
    </w:p>
    <w:p w:rsidR="00911580" w:rsidRPr="0072600F" w14:paraId="4AE1193E" w14:textId="77777777">
      <w:pPr>
        <w:ind w:left="1440" w:hanging="720"/>
        <w:rPr>
          <w:rFonts w:ascii="Times New Roman" w:hAnsi="Times New Roman" w:cs="Times New Roman"/>
          <w:sz w:val="26"/>
          <w:szCs w:val="26"/>
        </w:rPr>
      </w:pPr>
    </w:p>
    <w:p w:rsidR="00911580" w:rsidRPr="0072600F" w:rsidP="00FF0F67" w14:paraId="389244AD"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 xml:space="preserve">The scope of the Interconnection Facilities Study shall be subject to the assumptions set forth in Attachment A to this Agreement, which shall be the same assumptions as the previous Interconnection Facilities Study Agreement executed by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C6044A" w:rsidRPr="0072600F" w:rsidP="007A3E78" w14:paraId="5E6182ED" w14:textId="77777777">
      <w:pPr>
        <w:pStyle w:val="ListParagraph"/>
        <w:rPr>
          <w:szCs w:val="26"/>
        </w:rPr>
      </w:pPr>
    </w:p>
    <w:p w:rsidR="00911580" w:rsidRPr="0072600F" w14:paraId="5DE8B562" w14:textId="77777777">
      <w:pPr>
        <w:ind w:left="1440" w:hanging="720"/>
        <w:rPr>
          <w:rFonts w:ascii="Times New Roman" w:hAnsi="Times New Roman" w:cs="Times New Roman"/>
          <w:sz w:val="26"/>
          <w:szCs w:val="26"/>
        </w:rPr>
      </w:pPr>
    </w:p>
    <w:p w:rsidR="00911580" w:rsidRPr="0072600F" w:rsidP="00FF0F67" w14:paraId="43835109"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 xml:space="preserve">The Interconnection Facilities Study Report shall: </w:t>
      </w:r>
      <w:r w:rsidRPr="0072600F" w:rsidR="005B0F27">
        <w:rPr>
          <w:rFonts w:ascii="Times New Roman" w:hAnsi="Times New Roman" w:cs="Times New Roman"/>
          <w:sz w:val="26"/>
          <w:szCs w:val="26"/>
        </w:rPr>
        <w:t xml:space="preserve"> </w:t>
      </w:r>
      <w:r w:rsidRPr="0072600F">
        <w:rPr>
          <w:rFonts w:ascii="Times New Roman" w:hAnsi="Times New Roman" w:cs="Times New Roman"/>
          <w:sz w:val="26"/>
          <w:szCs w:val="26"/>
        </w:rPr>
        <w:t>(1) provide a description, estimated cost of (consistent with Attachment A), and schedule for required facilities to interconnect the Large Generating Facility to the Transmission System; and (2) address the short circuit, instability, and power flow issues identified in the most recently published Cluster Study Report.</w:t>
      </w:r>
    </w:p>
    <w:p w:rsidR="00C6044A" w:rsidRPr="0072600F" w:rsidP="007A3E78" w14:paraId="1FC89758" w14:textId="77777777">
      <w:pPr>
        <w:pStyle w:val="ListParagraph"/>
        <w:rPr>
          <w:szCs w:val="26"/>
        </w:rPr>
      </w:pPr>
    </w:p>
    <w:p w:rsidR="00911580" w:rsidRPr="0072600F" w14:paraId="6D62D2F9" w14:textId="77777777">
      <w:pPr>
        <w:ind w:left="1440" w:hanging="720"/>
        <w:rPr>
          <w:rFonts w:ascii="Times New Roman" w:hAnsi="Times New Roman" w:cs="Times New Roman"/>
          <w:sz w:val="26"/>
          <w:szCs w:val="26"/>
        </w:rPr>
      </w:pPr>
    </w:p>
    <w:p w:rsidR="00911580" w:rsidRPr="0072600F" w:rsidP="00FF0F67" w14:paraId="034489A8"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 xml:space="preserve">Interconnection Customer has met the requirements described in Section 5.1.1.1 of this LGIP.  The time for completion of the Interconnection Facilities Study is specified in Attachment A, and shall be no later than </w:t>
      </w:r>
      <w:r w:rsidRPr="0072600F" w:rsidR="004C249F">
        <w:rPr>
          <w:rFonts w:ascii="Times New Roman" w:hAnsi="Times New Roman" w:cs="Times New Roman"/>
          <w:i/>
          <w:iCs/>
          <w:sz w:val="26"/>
          <w:szCs w:val="26"/>
        </w:rPr>
        <w:t>one hundred fifty (</w:t>
      </w:r>
      <w:r w:rsidRPr="0072600F">
        <w:rPr>
          <w:rFonts w:ascii="Times New Roman" w:hAnsi="Times New Roman" w:cs="Times New Roman"/>
          <w:sz w:val="26"/>
          <w:szCs w:val="26"/>
        </w:rPr>
        <w:t>150</w:t>
      </w:r>
      <w:r w:rsidRPr="0072600F" w:rsidR="004C249F">
        <w:rPr>
          <w:rFonts w:ascii="Times New Roman" w:hAnsi="Times New Roman" w:cs="Times New Roman"/>
          <w:i/>
          <w:iCs/>
          <w:sz w:val="26"/>
          <w:szCs w:val="26"/>
        </w:rPr>
        <w:t>)</w:t>
      </w:r>
      <w:r w:rsidRPr="0072600F">
        <w:rPr>
          <w:rFonts w:ascii="Times New Roman" w:hAnsi="Times New Roman" w:cs="Times New Roman"/>
          <w:sz w:val="26"/>
          <w:szCs w:val="26"/>
        </w:rPr>
        <w:t xml:space="preserve"> Calendar Days after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Transmission Provider to insert </w:t>
      </w:r>
      <w:r w:rsidRPr="0072600F" w:rsidR="00361DEC">
        <w:rPr>
          <w:rFonts w:ascii="Times New Roman" w:hAnsi="Times New Roman" w:cs="Times New Roman"/>
          <w:i/>
          <w:iCs/>
          <w:sz w:val="26"/>
          <w:szCs w:val="26"/>
        </w:rPr>
        <w:t xml:space="preserve">Commission-approved </w:t>
      </w:r>
      <w:r w:rsidRPr="0072600F">
        <w:rPr>
          <w:rFonts w:ascii="Times New Roman" w:hAnsi="Times New Roman" w:cs="Times New Roman"/>
          <w:sz w:val="26"/>
          <w:szCs w:val="26"/>
        </w:rPr>
        <w:t xml:space="preserve">effective date </w:t>
      </w:r>
      <w:r w:rsidRPr="0072600F" w:rsidR="00C97405">
        <w:rPr>
          <w:rFonts w:ascii="Times New Roman" w:hAnsi="Times New Roman" w:cs="Times New Roman"/>
          <w:sz w:val="26"/>
          <w:szCs w:val="26"/>
        </w:rPr>
        <w:t>[</w:t>
      </w:r>
      <w:r w:rsidRPr="0072600F">
        <w:rPr>
          <w:rFonts w:ascii="Times New Roman" w:hAnsi="Times New Roman" w:cs="Times New Roman"/>
          <w:sz w:val="26"/>
          <w:szCs w:val="26"/>
        </w:rPr>
        <w:t>accepted on</w:t>
      </w:r>
      <w:r w:rsidRPr="0072600F" w:rsidR="00C97405">
        <w:rPr>
          <w:rFonts w:ascii="Times New Roman" w:hAnsi="Times New Roman" w:cs="Times New Roman"/>
          <w:sz w:val="26"/>
          <w:szCs w:val="26"/>
        </w:rPr>
        <w:t>]</w:t>
      </w:r>
      <w:r w:rsidRPr="0072600F" w:rsidR="00C97405">
        <w:rPr>
          <w:rFonts w:ascii="Times New Roman" w:hAnsi="Times New Roman" w:cs="Times New Roman"/>
          <w:i/>
          <w:iCs/>
          <w:sz w:val="26"/>
          <w:szCs w:val="26"/>
        </w:rPr>
        <w:t>of</w:t>
      </w:r>
      <w:r w:rsidRPr="0072600F">
        <w:rPr>
          <w:rFonts w:ascii="Times New Roman" w:hAnsi="Times New Roman" w:cs="Times New Roman"/>
          <w:sz w:val="26"/>
          <w:szCs w:val="26"/>
        </w:rPr>
        <w:t xml:space="preserve"> compliance</w:t>
      </w:r>
      <w:r w:rsidRPr="0072600F" w:rsidR="00C97405">
        <w:rPr>
          <w:rFonts w:ascii="Times New Roman" w:hAnsi="Times New Roman" w:cs="Times New Roman"/>
          <w:sz w:val="26"/>
          <w:szCs w:val="26"/>
        </w:rPr>
        <w:t xml:space="preserve"> </w:t>
      </w:r>
      <w:r w:rsidRPr="0072600F" w:rsidR="00C97405">
        <w:rPr>
          <w:rFonts w:ascii="Times New Roman" w:hAnsi="Times New Roman" w:cs="Times New Roman"/>
          <w:i/>
          <w:iCs/>
          <w:sz w:val="26"/>
          <w:szCs w:val="26"/>
        </w:rPr>
        <w:t>filing</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C6044A" w:rsidRPr="0072600F" w:rsidP="008B6C7F" w14:paraId="7761946C" w14:textId="77777777">
      <w:pPr>
        <w:pStyle w:val="ListParagraph"/>
        <w:rPr>
          <w:szCs w:val="26"/>
        </w:rPr>
      </w:pPr>
    </w:p>
    <w:p w:rsidR="00911580" w:rsidRPr="0072600F" w14:paraId="7587DB62" w14:textId="77777777">
      <w:pPr>
        <w:ind w:left="1440" w:hanging="720"/>
        <w:rPr>
          <w:rFonts w:ascii="Times New Roman" w:hAnsi="Times New Roman" w:cs="Times New Roman"/>
          <w:sz w:val="26"/>
          <w:szCs w:val="26"/>
        </w:rPr>
      </w:pPr>
    </w:p>
    <w:p w:rsidR="00911580" w:rsidRPr="0072600F" w:rsidP="00FF0F67" w14:paraId="77F841F3"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Interconnection Customer previously provided a deposit of ________________ dollars ($___) for the performance of the Interconnection Facilities Study.</w:t>
      </w:r>
    </w:p>
    <w:p w:rsidR="00C6044A" w:rsidRPr="0072600F" w:rsidP="007A3E78" w14:paraId="0A06F128" w14:textId="77777777">
      <w:pPr>
        <w:pStyle w:val="ListParagraph"/>
        <w:rPr>
          <w:szCs w:val="26"/>
        </w:rPr>
      </w:pPr>
    </w:p>
    <w:p w:rsidR="00911580" w:rsidRPr="0072600F" w14:paraId="475E31F8" w14:textId="77777777">
      <w:pPr>
        <w:ind w:left="1440" w:hanging="720"/>
        <w:rPr>
          <w:rFonts w:ascii="Times New Roman" w:hAnsi="Times New Roman" w:cs="Times New Roman"/>
          <w:sz w:val="26"/>
          <w:szCs w:val="26"/>
        </w:rPr>
      </w:pPr>
    </w:p>
    <w:p w:rsidR="00911580" w:rsidRPr="0072600F" w:rsidP="00FF0F67" w14:paraId="03AFD7E8"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Upon receipt of the Interconnection Facilities Study results, Transmission Provider shall charge and Interconnection Customer shall pay the actual costs of the Interconnection Facilities Study.</w:t>
      </w:r>
    </w:p>
    <w:p w:rsidR="00C6044A" w:rsidRPr="0072600F" w:rsidP="007A3E78" w14:paraId="0BFA8679" w14:textId="77777777">
      <w:pPr>
        <w:pStyle w:val="ListParagraph"/>
        <w:rPr>
          <w:szCs w:val="26"/>
        </w:rPr>
      </w:pPr>
    </w:p>
    <w:p w:rsidR="00911580" w:rsidRPr="0072600F" w14:paraId="2505835C" w14:textId="77777777">
      <w:pPr>
        <w:ind w:left="1440" w:hanging="720"/>
        <w:rPr>
          <w:rFonts w:ascii="Times New Roman" w:hAnsi="Times New Roman" w:cs="Times New Roman"/>
          <w:sz w:val="26"/>
          <w:szCs w:val="26"/>
        </w:rPr>
      </w:pPr>
    </w:p>
    <w:p w:rsidR="00911580" w:rsidRPr="0072600F" w:rsidP="00FF0F67" w14:paraId="5F8D2B20"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Any difference between the study deposit and the actual cost of the study shall be paid by or refunded to Interconnection Customer, as appropriate.</w:t>
      </w:r>
    </w:p>
    <w:p w:rsidR="00C6044A" w:rsidRPr="0072600F" w:rsidP="007A3E78" w14:paraId="45BC4823" w14:textId="77777777">
      <w:pPr>
        <w:pStyle w:val="ListParagraph"/>
        <w:rPr>
          <w:szCs w:val="26"/>
        </w:rPr>
      </w:pPr>
    </w:p>
    <w:p w:rsidR="00911580" w:rsidRPr="0072600F" w14:paraId="63283490" w14:textId="77777777">
      <w:pPr>
        <w:ind w:left="1440" w:hanging="720"/>
        <w:rPr>
          <w:rFonts w:ascii="Times New Roman" w:hAnsi="Times New Roman" w:cs="Times New Roman"/>
          <w:sz w:val="26"/>
          <w:szCs w:val="26"/>
        </w:rPr>
      </w:pPr>
    </w:p>
    <w:p w:rsidR="00911580" w:rsidRPr="0072600F" w:rsidP="00FF0F67" w14:paraId="18756DF4" w14:textId="77777777">
      <w:pPr>
        <w:numPr>
          <w:ilvl w:val="4"/>
          <w:numId w:val="7"/>
        </w:numPr>
        <w:spacing w:after="0" w:line="240" w:lineRule="auto"/>
        <w:ind w:left="1440" w:hanging="720"/>
        <w:rPr>
          <w:rFonts w:ascii="Times New Roman" w:hAnsi="Times New Roman" w:cs="Times New Roman"/>
          <w:sz w:val="26"/>
          <w:szCs w:val="26"/>
        </w:rPr>
      </w:pPr>
      <w:r w:rsidRPr="0072600F">
        <w:rPr>
          <w:rFonts w:ascii="Times New Roman" w:hAnsi="Times New Roman" w:cs="Times New Roman"/>
          <w:sz w:val="26"/>
          <w:szCs w:val="26"/>
        </w:rPr>
        <w:t>Miscellaneous.  The Interconnection Facilities Study Agreement shall include standard miscellaneous terms including, but not limited to, indemnities, representations, disclaimers, warranties, governing law, amendment, execution, waiver, enforceability and assignment, that reflect best practices in the electric industry, and that are consistent with regional practices, Applicable Laws and Regulations, and the organizational nature of each Party.  All of these provisions</w:t>
      </w:r>
      <w:r w:rsidRPr="0072600F">
        <w:rPr>
          <w:rFonts w:ascii="Times New Roman" w:hAnsi="Times New Roman" w:cs="Times New Roman"/>
          <w:sz w:val="26"/>
          <w:szCs w:val="26"/>
        </w:rPr>
        <w:t>, to the extent practicable,</w:t>
      </w:r>
      <w:r w:rsidRPr="0072600F">
        <w:rPr>
          <w:rFonts w:ascii="Times New Roman" w:hAnsi="Times New Roman" w:cs="Times New Roman"/>
          <w:sz w:val="26"/>
          <w:szCs w:val="26"/>
        </w:rPr>
        <w:t xml:space="preserve"> shall be consistent with the provisions of this LGIP and this LGIA.</w:t>
      </w:r>
    </w:p>
    <w:p w:rsidR="00C6044A" w:rsidRPr="0072600F" w:rsidP="007A3E78" w14:paraId="6C07E3DC" w14:textId="77777777">
      <w:pPr>
        <w:pStyle w:val="ListParagraph"/>
        <w:rPr>
          <w:szCs w:val="26"/>
        </w:rPr>
      </w:pPr>
    </w:p>
    <w:p w:rsidR="00911580" w:rsidRPr="0072600F" w14:paraId="05BD4DEF" w14:textId="77777777">
      <w:pPr>
        <w:rPr>
          <w:rFonts w:ascii="Times New Roman" w:hAnsi="Times New Roman" w:cs="Times New Roman"/>
          <w:sz w:val="26"/>
          <w:szCs w:val="26"/>
        </w:rPr>
      </w:pPr>
    </w:p>
    <w:p w:rsidR="00911580" w:rsidRPr="0072600F" w14:paraId="4A638996" w14:textId="77777777">
      <w:pPr>
        <w:ind w:firstLine="720"/>
        <w:rPr>
          <w:rFonts w:ascii="Times New Roman" w:hAnsi="Times New Roman" w:cs="Times New Roman"/>
          <w:b/>
          <w:sz w:val="26"/>
          <w:szCs w:val="26"/>
        </w:rPr>
      </w:pPr>
      <w:r w:rsidRPr="0072600F">
        <w:rPr>
          <w:rFonts w:ascii="Times New Roman" w:hAnsi="Times New Roman" w:cs="Times New Roman"/>
          <w:b/>
          <w:sz w:val="26"/>
          <w:szCs w:val="26"/>
        </w:rPr>
        <w:t xml:space="preserve">IN WITNESS WHEREOF, </w:t>
      </w:r>
      <w:r w:rsidRPr="0072600F">
        <w:rPr>
          <w:rFonts w:ascii="Times New Roman" w:hAnsi="Times New Roman" w:cs="Times New Roman"/>
          <w:sz w:val="26"/>
          <w:szCs w:val="26"/>
        </w:rPr>
        <w:t>the Parties have caused this Agreement to be duly executed by their duly authorized officers or agents on the day and year first above written.</w:t>
      </w:r>
    </w:p>
    <w:p w:rsidR="00911580" w:rsidRPr="0072600F" w14:paraId="67A22F6F" w14:textId="77777777">
      <w:pPr>
        <w:rPr>
          <w:rFonts w:ascii="Times New Roman" w:hAnsi="Times New Roman" w:cs="Times New Roman"/>
          <w:b/>
          <w:sz w:val="26"/>
          <w:szCs w:val="26"/>
        </w:rPr>
      </w:pPr>
    </w:p>
    <w:p w:rsidR="00911580" w:rsidRPr="0072600F" w14:paraId="54029D66" w14:textId="77777777">
      <w:pPr>
        <w:rPr>
          <w:rFonts w:ascii="Times New Roman" w:hAnsi="Times New Roman" w:cs="Times New Roman"/>
          <w:sz w:val="26"/>
          <w:szCs w:val="26"/>
        </w:rPr>
      </w:pPr>
      <w:r w:rsidRPr="0072600F">
        <w:rPr>
          <w:rFonts w:ascii="Times New Roman" w:hAnsi="Times New Roman" w:cs="Times New Roman"/>
          <w:b/>
          <w:sz w:val="26"/>
          <w:szCs w:val="26"/>
        </w:rPr>
        <w:t>{</w:t>
      </w:r>
      <w:r w:rsidRPr="0072600F">
        <w:rPr>
          <w:rFonts w:ascii="Times New Roman" w:hAnsi="Times New Roman" w:cs="Times New Roman"/>
          <w:b/>
          <w:sz w:val="26"/>
          <w:szCs w:val="26"/>
        </w:rPr>
        <w:t>Insert name of Transmission Provider or Transmission Owner, if applicable</w:t>
      </w:r>
      <w:r w:rsidRPr="0072600F">
        <w:rPr>
          <w:rFonts w:ascii="Times New Roman" w:hAnsi="Times New Roman" w:cs="Times New Roman"/>
          <w:b/>
          <w:sz w:val="26"/>
          <w:szCs w:val="26"/>
        </w:rPr>
        <w:t>}</w:t>
      </w:r>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 </w:t>
      </w:r>
    </w:p>
    <w:p w:rsidR="00911580" w:rsidRPr="0072600F" w14:paraId="035D375D" w14:textId="77777777">
      <w:pPr>
        <w:rPr>
          <w:rFonts w:ascii="Times New Roman" w:hAnsi="Times New Roman" w:cs="Times New Roman"/>
          <w:sz w:val="26"/>
          <w:szCs w:val="26"/>
        </w:rPr>
      </w:pPr>
      <w:r w:rsidRPr="0072600F">
        <w:rPr>
          <w:rFonts w:ascii="Times New Roman" w:hAnsi="Times New Roman" w:cs="Times New Roman"/>
          <w:sz w:val="26"/>
          <w:szCs w:val="26"/>
        </w:rPr>
        <w:t xml:space="preserve">By: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2A218E14" w14:textId="77777777">
      <w:pPr>
        <w:rPr>
          <w:rFonts w:ascii="Times New Roman" w:hAnsi="Times New Roman" w:cs="Times New Roman"/>
          <w:sz w:val="26"/>
          <w:szCs w:val="26"/>
        </w:rPr>
      </w:pPr>
      <w:r w:rsidRPr="0072600F">
        <w:rPr>
          <w:rFonts w:ascii="Times New Roman" w:hAnsi="Times New Roman" w:cs="Times New Roman"/>
          <w:sz w:val="26"/>
          <w:szCs w:val="26"/>
        </w:rPr>
        <w:t xml:space="preserve">Title: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p>
    <w:p w:rsidR="00911580" w:rsidRPr="0072600F" w14:paraId="64545DF2"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911580" w:rsidRPr="0072600F" w14:paraId="13A4EE19" w14:textId="77777777">
      <w:pPr>
        <w:rPr>
          <w:rFonts w:ascii="Times New Roman" w:hAnsi="Times New Roman" w:cs="Times New Roman"/>
          <w:b/>
          <w:sz w:val="26"/>
          <w:szCs w:val="26"/>
        </w:rPr>
      </w:pPr>
    </w:p>
    <w:p w:rsidR="00911580" w:rsidRPr="0072600F" w14:paraId="394EFF1D" w14:textId="77777777">
      <w:pPr>
        <w:rPr>
          <w:rFonts w:ascii="Times New Roman" w:hAnsi="Times New Roman" w:cs="Times New Roman"/>
          <w:sz w:val="26"/>
          <w:szCs w:val="26"/>
        </w:rPr>
      </w:pPr>
      <w:r w:rsidRPr="0072600F">
        <w:rPr>
          <w:rFonts w:ascii="Times New Roman" w:hAnsi="Times New Roman" w:cs="Times New Roman"/>
          <w:b/>
          <w:sz w:val="26"/>
          <w:szCs w:val="26"/>
        </w:rPr>
        <w:t>{</w:t>
      </w:r>
      <w:r w:rsidRPr="0072600F">
        <w:rPr>
          <w:rFonts w:ascii="Times New Roman" w:hAnsi="Times New Roman" w:cs="Times New Roman"/>
          <w:b/>
          <w:sz w:val="26"/>
          <w:szCs w:val="26"/>
        </w:rPr>
        <w:t>Insert name of Interconnection Customer</w:t>
      </w:r>
      <w:r w:rsidRPr="0072600F">
        <w:rPr>
          <w:rFonts w:ascii="Times New Roman" w:hAnsi="Times New Roman" w:cs="Times New Roman"/>
          <w:b/>
          <w:sz w:val="26"/>
          <w:szCs w:val="26"/>
        </w:rPr>
        <w:t>}</w:t>
      </w:r>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 </w:t>
      </w:r>
    </w:p>
    <w:p w:rsidR="00911580" w:rsidRPr="0072600F" w14:paraId="269DC0B2" w14:textId="77777777">
      <w:pPr>
        <w:rPr>
          <w:rFonts w:ascii="Times New Roman" w:hAnsi="Times New Roman" w:cs="Times New Roman"/>
          <w:sz w:val="26"/>
          <w:szCs w:val="26"/>
        </w:rPr>
      </w:pPr>
      <w:r w:rsidRPr="0072600F">
        <w:rPr>
          <w:rFonts w:ascii="Times New Roman" w:hAnsi="Times New Roman" w:cs="Times New Roman"/>
          <w:sz w:val="26"/>
          <w:szCs w:val="26"/>
        </w:rPr>
        <w:t xml:space="preserve">By: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p>
    <w:p w:rsidR="00911580" w:rsidRPr="0072600F" w14:paraId="0CF6393F" w14:textId="77777777">
      <w:pPr>
        <w:rPr>
          <w:rFonts w:ascii="Times New Roman" w:hAnsi="Times New Roman" w:cs="Times New Roman"/>
          <w:sz w:val="26"/>
          <w:szCs w:val="26"/>
        </w:rPr>
      </w:pPr>
      <w:r w:rsidRPr="0072600F">
        <w:rPr>
          <w:rFonts w:ascii="Times New Roman" w:hAnsi="Times New Roman" w:cs="Times New Roman"/>
          <w:sz w:val="26"/>
          <w:szCs w:val="26"/>
        </w:rPr>
        <w:t xml:space="preserve">Title: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p>
    <w:p w:rsidR="00911580" w:rsidRPr="0072600F" w14:paraId="5CFECB6D" w14:textId="77777777">
      <w:pPr>
        <w:rPr>
          <w:rFonts w:ascii="Times New Roman" w:hAnsi="Times New Roman" w:cs="Times New Roman"/>
          <w:sz w:val="26"/>
          <w:szCs w:val="26"/>
          <w:u w:val="single"/>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p>
    <w:p w:rsidR="00911580" w:rsidRPr="0072600F" w14:paraId="35CEEE83" w14:textId="77777777">
      <w:pPr>
        <w:rPr>
          <w:rFonts w:ascii="Times New Roman" w:hAnsi="Times New Roman" w:cs="Times New Roman"/>
          <w:b/>
          <w:sz w:val="26"/>
          <w:szCs w:val="26"/>
        </w:rPr>
      </w:pPr>
      <w:r w:rsidRPr="0072600F">
        <w:rPr>
          <w:rFonts w:ascii="Times New Roman" w:hAnsi="Times New Roman" w:cs="Times New Roman"/>
          <w:b/>
          <w:sz w:val="26"/>
          <w:szCs w:val="26"/>
        </w:rPr>
        <w:br w:type="page"/>
      </w:r>
    </w:p>
    <w:p w:rsidR="00911580" w:rsidRPr="0072600F" w14:paraId="5EA0F03A" w14:textId="77777777">
      <w:pPr>
        <w:jc w:val="right"/>
        <w:rPr>
          <w:rFonts w:ascii="Times New Roman" w:hAnsi="Times New Roman" w:cs="Times New Roman"/>
          <w:b/>
          <w:sz w:val="26"/>
          <w:szCs w:val="26"/>
        </w:rPr>
      </w:pPr>
      <w:r w:rsidRPr="0072600F">
        <w:rPr>
          <w:rFonts w:ascii="Times New Roman" w:hAnsi="Times New Roman" w:cs="Times New Roman"/>
          <w:b/>
          <w:sz w:val="26"/>
          <w:szCs w:val="26"/>
        </w:rPr>
        <w:t xml:space="preserve">Attachment A to Appendix 8 </w:t>
      </w:r>
    </w:p>
    <w:p w:rsidR="00911580" w:rsidRPr="0072600F" w14:paraId="5F2CDCB3" w14:textId="77777777">
      <w:pPr>
        <w:jc w:val="right"/>
        <w:rPr>
          <w:rFonts w:ascii="Times New Roman" w:hAnsi="Times New Roman" w:cs="Times New Roman"/>
          <w:b/>
          <w:sz w:val="26"/>
          <w:szCs w:val="26"/>
        </w:rPr>
      </w:pPr>
      <w:r w:rsidRPr="0072600F">
        <w:rPr>
          <w:rFonts w:ascii="Times New Roman" w:hAnsi="Times New Roman" w:cs="Times New Roman"/>
          <w:b/>
          <w:sz w:val="26"/>
          <w:szCs w:val="26"/>
        </w:rPr>
        <w:t>Transitional Serial Interconnection Facilities Study Agreement</w:t>
      </w:r>
    </w:p>
    <w:p w:rsidR="00911580" w:rsidRPr="0072600F" w14:paraId="571BB3FD" w14:textId="77777777">
      <w:pPr>
        <w:rPr>
          <w:rFonts w:ascii="Times New Roman" w:hAnsi="Times New Roman" w:cs="Times New Roman"/>
          <w:b/>
          <w:bCs/>
          <w:sz w:val="26"/>
          <w:szCs w:val="26"/>
        </w:rPr>
      </w:pPr>
    </w:p>
    <w:p w:rsidR="00911580" w:rsidRPr="0072600F" w14:paraId="5CD4DF81"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ASSUMPTIONS USED IN CONDUCTING THE TRANSITIONAL SERIAL INTERCONNECTION FACILITIES STUDY</w:t>
      </w:r>
    </w:p>
    <w:p w:rsidR="00911580" w:rsidRPr="0072600F" w14:paraId="6D8F3599" w14:textId="77777777">
      <w:pPr>
        <w:rPr>
          <w:rFonts w:ascii="Times New Roman" w:hAnsi="Times New Roman" w:cs="Times New Roman"/>
          <w:sz w:val="26"/>
          <w:szCs w:val="26"/>
        </w:rPr>
      </w:pPr>
    </w:p>
    <w:p w:rsidR="00911580" w:rsidRPr="0072600F" w14:paraId="2A081157"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Assumptions to be completed by Interconnection Customer and Transmission Provider</w:t>
      </w:r>
      <w:r w:rsidRPr="0072600F">
        <w:rPr>
          <w:rFonts w:ascii="Times New Roman" w:hAnsi="Times New Roman" w:cs="Times New Roman"/>
          <w:sz w:val="26"/>
          <w:szCs w:val="26"/>
        </w:rPr>
        <w:t>}</w:t>
      </w:r>
    </w:p>
    <w:p w:rsidR="00911580" w:rsidRPr="0072600F" w14:paraId="128DF9AB"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14:paraId="6BAFDE66" w14:textId="77777777">
      <w:pPr>
        <w:rPr>
          <w:rFonts w:ascii="Times New Roman" w:hAnsi="Times New Roman" w:cs="Times New Roman"/>
          <w:sz w:val="26"/>
          <w:szCs w:val="26"/>
        </w:rPr>
      </w:pPr>
    </w:p>
    <w:p w:rsidR="00911580" w:rsidRPr="0072600F" w14:paraId="54F3E19E"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xml:space="preserve">APPENDIX </w:t>
      </w:r>
      <w:r w:rsidRPr="0072600F">
        <w:rPr>
          <w:rFonts w:ascii="Times New Roman" w:hAnsi="Times New Roman" w:cs="Times New Roman"/>
          <w:b/>
          <w:sz w:val="26"/>
          <w:szCs w:val="26"/>
        </w:rPr>
        <w:t>9</w:t>
      </w:r>
      <w:r w:rsidRPr="0072600F">
        <w:rPr>
          <w:rFonts w:ascii="Times New Roman" w:hAnsi="Times New Roman" w:cs="Times New Roman"/>
          <w:b/>
          <w:bCs/>
          <w:sz w:val="26"/>
          <w:szCs w:val="26"/>
        </w:rPr>
        <w:t xml:space="preserve"> to LGIP</w:t>
      </w:r>
    </w:p>
    <w:p w:rsidR="00911580" w:rsidRPr="0072600F" w14:paraId="2B236043"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TWO-PARTY AFFECTED SYSTEM STUDY AGREEMENT</w:t>
      </w:r>
    </w:p>
    <w:p w:rsidR="00911580" w:rsidRPr="0072600F" w14:paraId="0730B978" w14:textId="77777777">
      <w:pPr>
        <w:rPr>
          <w:rFonts w:ascii="Times New Roman" w:hAnsi="Times New Roman" w:cs="Times New Roman"/>
          <w:b/>
          <w:bCs/>
          <w:sz w:val="26"/>
          <w:szCs w:val="26"/>
        </w:rPr>
      </w:pPr>
    </w:p>
    <w:p w:rsidR="00911580" w:rsidRPr="0072600F" w14:paraId="7347DCE0"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THIS AGREEMENT </w:t>
      </w:r>
      <w:r w:rsidRPr="0072600F">
        <w:rPr>
          <w:rFonts w:ascii="Times New Roman" w:hAnsi="Times New Roman" w:cs="Times New Roman"/>
          <w:sz w:val="26"/>
          <w:szCs w:val="26"/>
        </w:rPr>
        <w:t xml:space="preserve">is made and entered into this ___ day of _______________, 20___, by and between _________________________,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______________________ organized and existing under the laws of the State of ______________________ (Affected System Interconnection Customer) and 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 organized and existing under the laws of the State of ______________ (Transmission Provider).  Affected System Interconnection Customer and Transmission Provider each may be referred to as a “Party,” or collectively as the “Parties.”</w:t>
      </w:r>
    </w:p>
    <w:p w:rsidR="00911580" w:rsidRPr="0072600F" w14:paraId="26F164A1" w14:textId="77777777">
      <w:pPr>
        <w:rPr>
          <w:rFonts w:ascii="Times New Roman" w:hAnsi="Times New Roman" w:cs="Times New Roman"/>
          <w:b/>
          <w:bCs/>
          <w:sz w:val="26"/>
          <w:szCs w:val="26"/>
        </w:rPr>
      </w:pPr>
    </w:p>
    <w:p w:rsidR="00911580" w:rsidRPr="0072600F" w14:paraId="15AE33A8" w14:textId="77777777">
      <w:pPr>
        <w:jc w:val="center"/>
        <w:rPr>
          <w:rFonts w:ascii="Times New Roman" w:hAnsi="Times New Roman" w:cs="Times New Roman"/>
          <w:b/>
          <w:sz w:val="26"/>
          <w:szCs w:val="26"/>
        </w:rPr>
      </w:pPr>
      <w:r w:rsidRPr="0072600F">
        <w:rPr>
          <w:rFonts w:ascii="Times New Roman" w:hAnsi="Times New Roman" w:cs="Times New Roman"/>
          <w:b/>
          <w:bCs/>
          <w:sz w:val="26"/>
          <w:szCs w:val="26"/>
        </w:rPr>
        <w:t>RECITALS</w:t>
      </w:r>
    </w:p>
    <w:p w:rsidR="00911580" w:rsidRPr="0072600F" w14:paraId="57006C3A" w14:textId="77777777">
      <w:pPr>
        <w:rPr>
          <w:rFonts w:ascii="Times New Roman" w:hAnsi="Times New Roman" w:cs="Times New Roman"/>
          <w:b/>
          <w:bCs/>
          <w:sz w:val="26"/>
          <w:szCs w:val="26"/>
        </w:rPr>
      </w:pPr>
    </w:p>
    <w:p w:rsidR="00911580" w:rsidRPr="0072600F" w14:paraId="4644CFC0"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 xml:space="preserve">Affected System Interconnection Customer is proposing to develop a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description of generating facility or generating capacity addition to an existing generating facility</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consistent with the interconnection request submitted by Affected System Interconnection Customer to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dated _________________, for which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found impacts on Transmission Provider’s Transmission System; and</w:t>
      </w:r>
    </w:p>
    <w:p w:rsidR="00911580" w:rsidRPr="0072600F" w14:paraId="58E2DB0E" w14:textId="77777777">
      <w:pPr>
        <w:rPr>
          <w:rFonts w:ascii="Times New Roman" w:hAnsi="Times New Roman" w:cs="Times New Roman"/>
          <w:sz w:val="26"/>
          <w:szCs w:val="26"/>
        </w:rPr>
      </w:pPr>
    </w:p>
    <w:p w:rsidR="00911580" w:rsidRPr="0072600F" w14:paraId="11FA8DE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 xml:space="preserve">Affected System Interconnection Customer desires to interconnect the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generating facility</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with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’s transmission system;</w:t>
      </w:r>
    </w:p>
    <w:p w:rsidR="00911580" w:rsidRPr="0072600F" w14:paraId="54231E14" w14:textId="77777777">
      <w:pPr>
        <w:rPr>
          <w:rFonts w:ascii="Times New Roman" w:hAnsi="Times New Roman" w:cs="Times New Roman"/>
          <w:sz w:val="26"/>
          <w:szCs w:val="26"/>
        </w:rPr>
      </w:pPr>
    </w:p>
    <w:p w:rsidR="00911580" w:rsidRPr="0072600F" w14:paraId="6245B776"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NOW, THEREFORE, </w:t>
      </w:r>
      <w:r w:rsidRPr="0072600F">
        <w:rPr>
          <w:rFonts w:ascii="Times New Roman" w:hAnsi="Times New Roman" w:cs="Times New Roman"/>
          <w:sz w:val="26"/>
          <w:szCs w:val="26"/>
        </w:rPr>
        <w:t>in consideration of and subject to the mutual covenants contained herein, the Parties agree as follows:</w:t>
      </w:r>
    </w:p>
    <w:p w:rsidR="00911580" w:rsidRPr="0072600F" w14:paraId="279C0DAC" w14:textId="77777777">
      <w:pPr>
        <w:rPr>
          <w:rFonts w:ascii="Times New Roman" w:hAnsi="Times New Roman" w:cs="Times New Roman"/>
          <w:sz w:val="26"/>
          <w:szCs w:val="26"/>
        </w:rPr>
      </w:pPr>
    </w:p>
    <w:p w:rsidR="00911580" w:rsidRPr="0072600F" w:rsidP="00FF0F67" w14:paraId="28C5573A" w14:textId="77777777">
      <w:pPr>
        <w:numPr>
          <w:ilvl w:val="0"/>
          <w:numId w:val="8"/>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When used in this Agreement, with initial capitalization, the terms specified shall have the meanings indicated in this LGIP.</w:t>
      </w:r>
    </w:p>
    <w:p w:rsidR="00911580" w:rsidRPr="0072600F" w14:paraId="35B01A72" w14:textId="77777777">
      <w:pPr>
        <w:ind w:hanging="720"/>
        <w:rPr>
          <w:rFonts w:ascii="Times New Roman" w:hAnsi="Times New Roman" w:cs="Times New Roman"/>
          <w:sz w:val="26"/>
          <w:szCs w:val="26"/>
        </w:rPr>
      </w:pPr>
    </w:p>
    <w:p w:rsidR="00911580" w:rsidRPr="0072600F" w:rsidP="00FF0F67" w14:paraId="3FF3611B" w14:textId="77777777">
      <w:pPr>
        <w:numPr>
          <w:ilvl w:val="0"/>
          <w:numId w:val="8"/>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Transmission Provider shall coordinate with Affected System Interconnection Customer to perform an Affected System Study consistent with Section 9 of this LGIP.</w:t>
      </w:r>
    </w:p>
    <w:p w:rsidR="00244217" w:rsidRPr="0072600F" w:rsidP="00244217" w14:paraId="76E10C8A" w14:textId="77777777">
      <w:pPr>
        <w:pStyle w:val="ListParagraph"/>
        <w:rPr>
          <w:szCs w:val="26"/>
        </w:rPr>
      </w:pPr>
    </w:p>
    <w:p w:rsidR="00C6044A" w:rsidRPr="0072600F" w:rsidP="008B6C7F" w14:paraId="32AB1221" w14:textId="77777777">
      <w:pPr>
        <w:pStyle w:val="ListParagraph"/>
        <w:rPr>
          <w:szCs w:val="26"/>
        </w:rPr>
      </w:pPr>
    </w:p>
    <w:p w:rsidR="00911580" w:rsidRPr="0072600F" w14:paraId="67E34989" w14:textId="77777777">
      <w:pPr>
        <w:ind w:hanging="720"/>
        <w:rPr>
          <w:rFonts w:ascii="Times New Roman" w:hAnsi="Times New Roman" w:cs="Times New Roman"/>
          <w:sz w:val="26"/>
          <w:szCs w:val="26"/>
        </w:rPr>
      </w:pPr>
    </w:p>
    <w:p w:rsidR="00911580" w:rsidRPr="0072600F" w:rsidP="00FF0F67" w14:paraId="15890CE6" w14:textId="77777777">
      <w:pPr>
        <w:numPr>
          <w:ilvl w:val="0"/>
          <w:numId w:val="8"/>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The scope of the Affected System Study shall be subject to the assumptions set forth in Attachment A to this Agreement.</w:t>
      </w:r>
    </w:p>
    <w:p w:rsidR="00C6044A" w:rsidRPr="0072600F" w:rsidP="008B6C7F" w14:paraId="45C09E42" w14:textId="77777777">
      <w:pPr>
        <w:pStyle w:val="ListParagraph"/>
        <w:rPr>
          <w:szCs w:val="26"/>
        </w:rPr>
      </w:pPr>
    </w:p>
    <w:p w:rsidR="00911580" w:rsidRPr="0072600F" w14:paraId="0984277E" w14:textId="77777777">
      <w:pPr>
        <w:ind w:hanging="720"/>
        <w:rPr>
          <w:rFonts w:ascii="Times New Roman" w:hAnsi="Times New Roman" w:cs="Times New Roman"/>
          <w:sz w:val="26"/>
          <w:szCs w:val="26"/>
        </w:rPr>
      </w:pPr>
    </w:p>
    <w:p w:rsidR="00911580" w:rsidRPr="0072600F" w:rsidP="00FF0F67" w14:paraId="2DEBB443" w14:textId="77777777">
      <w:pPr>
        <w:numPr>
          <w:ilvl w:val="0"/>
          <w:numId w:val="8"/>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 xml:space="preserve">The Affected System Study will be based upon the technical information provided by Affected System Interconnection Customer and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reserves the right to request additional technical information from Affected System Interconnection Customer as may reasonably become necessary consistent with Good Utility Practice during the course of the Affected System Study.  </w:t>
      </w:r>
    </w:p>
    <w:p w:rsidR="00C6044A" w:rsidRPr="0072600F" w:rsidP="008B6C7F" w14:paraId="466F3D9D" w14:textId="77777777">
      <w:pPr>
        <w:pStyle w:val="ListParagraph"/>
        <w:rPr>
          <w:szCs w:val="26"/>
        </w:rPr>
      </w:pPr>
    </w:p>
    <w:p w:rsidR="00911580" w:rsidRPr="0072600F" w14:paraId="349B909E" w14:textId="77777777">
      <w:pPr>
        <w:ind w:hanging="720"/>
        <w:rPr>
          <w:rFonts w:ascii="Times New Roman" w:hAnsi="Times New Roman" w:cs="Times New Roman"/>
          <w:sz w:val="26"/>
          <w:szCs w:val="26"/>
        </w:rPr>
      </w:pPr>
    </w:p>
    <w:p w:rsidR="00911580" w:rsidRPr="0072600F" w:rsidP="00FF0F67" w14:paraId="4F07DC68" w14:textId="77777777">
      <w:pPr>
        <w:numPr>
          <w:ilvl w:val="0"/>
          <w:numId w:val="8"/>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The Affected System Study shall provide the following information:</w:t>
      </w:r>
    </w:p>
    <w:p w:rsidR="00C6044A" w:rsidRPr="0072600F" w:rsidP="008B6C7F" w14:paraId="7B9F67E8" w14:textId="77777777">
      <w:pPr>
        <w:pStyle w:val="ListParagraph"/>
        <w:rPr>
          <w:szCs w:val="26"/>
        </w:rPr>
      </w:pPr>
    </w:p>
    <w:p w:rsidR="00911580" w:rsidRPr="0072600F" w14:paraId="2D621F3A" w14:textId="77777777">
      <w:pPr>
        <w:ind w:hanging="720"/>
        <w:rPr>
          <w:rFonts w:ascii="Times New Roman" w:hAnsi="Times New Roman" w:cs="Times New Roman"/>
          <w:sz w:val="26"/>
          <w:szCs w:val="26"/>
        </w:rPr>
      </w:pPr>
    </w:p>
    <w:p w:rsidR="00911580" w:rsidRPr="0072600F" w:rsidP="00FF0F67" w14:paraId="2854B5EF" w14:textId="77777777">
      <w:pPr>
        <w:numPr>
          <w:ilvl w:val="1"/>
          <w:numId w:val="8"/>
        </w:numPr>
        <w:spacing w:after="0" w:line="240" w:lineRule="auto"/>
        <w:rPr>
          <w:rFonts w:ascii="Times New Roman" w:hAnsi="Times New Roman" w:cs="Times New Roman"/>
          <w:sz w:val="26"/>
          <w:szCs w:val="26"/>
        </w:rPr>
      </w:pPr>
      <w:bookmarkStart w:id="344" w:name="_Hlk98362773"/>
      <w:r w:rsidRPr="0072600F">
        <w:rPr>
          <w:rFonts w:ascii="Times New Roman" w:hAnsi="Times New Roman" w:cs="Times New Roman"/>
          <w:sz w:val="26"/>
          <w:szCs w:val="26"/>
        </w:rPr>
        <w:t>identification of any circuit breaker short circuit capability limits exceeded as a result of the interconnection;</w:t>
      </w:r>
    </w:p>
    <w:p w:rsidR="00911580" w:rsidRPr="0072600F" w14:paraId="54D45EB3" w14:textId="77777777">
      <w:pPr>
        <w:rPr>
          <w:rFonts w:ascii="Times New Roman" w:hAnsi="Times New Roman" w:cs="Times New Roman"/>
          <w:sz w:val="26"/>
          <w:szCs w:val="26"/>
        </w:rPr>
      </w:pPr>
    </w:p>
    <w:p w:rsidR="00911580" w:rsidRPr="0072600F" w:rsidP="00FF0F67" w14:paraId="7241E0CD" w14:textId="77777777">
      <w:pPr>
        <w:numPr>
          <w:ilvl w:val="1"/>
          <w:numId w:val="8"/>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identification of any thermal overload or voltage limit violations resulting from the interconnection;</w:t>
      </w:r>
    </w:p>
    <w:p w:rsidR="00244217" w:rsidRPr="0072600F" w:rsidP="00244217" w14:paraId="645A0844" w14:textId="77777777">
      <w:pPr>
        <w:pStyle w:val="ListParagraph"/>
        <w:rPr>
          <w:szCs w:val="26"/>
        </w:rPr>
      </w:pPr>
    </w:p>
    <w:p w:rsidR="00C6044A" w:rsidRPr="0072600F" w:rsidP="008B6C7F" w14:paraId="6CFBF2D7" w14:textId="77777777">
      <w:pPr>
        <w:pStyle w:val="ListParagraph"/>
        <w:rPr>
          <w:szCs w:val="26"/>
        </w:rPr>
      </w:pPr>
    </w:p>
    <w:p w:rsidR="00911580" w:rsidRPr="0072600F" w14:paraId="18A00FA7" w14:textId="77777777">
      <w:pPr>
        <w:rPr>
          <w:rFonts w:ascii="Times New Roman" w:hAnsi="Times New Roman" w:cs="Times New Roman"/>
          <w:sz w:val="26"/>
          <w:szCs w:val="26"/>
        </w:rPr>
      </w:pPr>
    </w:p>
    <w:p w:rsidR="00911580" w:rsidRPr="0072600F" w:rsidP="00FF0F67" w14:paraId="4F8542B9" w14:textId="77777777">
      <w:pPr>
        <w:numPr>
          <w:ilvl w:val="1"/>
          <w:numId w:val="8"/>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 xml:space="preserve">identification of any instability or inadequately damped response to system disturbances resulting from the interconnection; </w:t>
      </w:r>
    </w:p>
    <w:p w:rsidR="00C6044A" w:rsidRPr="0072600F" w:rsidP="008B6C7F" w14:paraId="465D90DE" w14:textId="77777777">
      <w:pPr>
        <w:pStyle w:val="ListParagraph"/>
        <w:rPr>
          <w:szCs w:val="26"/>
        </w:rPr>
      </w:pPr>
    </w:p>
    <w:p w:rsidR="00911580" w:rsidRPr="0072600F" w14:paraId="0E8B7070" w14:textId="77777777">
      <w:pPr>
        <w:rPr>
          <w:rFonts w:ascii="Times New Roman" w:hAnsi="Times New Roman" w:cs="Times New Roman"/>
          <w:sz w:val="26"/>
          <w:szCs w:val="26"/>
        </w:rPr>
      </w:pPr>
    </w:p>
    <w:p w:rsidR="00911580" w:rsidRPr="0072600F" w:rsidP="00FF0F67" w14:paraId="16653FB9" w14:textId="77777777">
      <w:pPr>
        <w:numPr>
          <w:ilvl w:val="1"/>
          <w:numId w:val="8"/>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 xml:space="preserve">non-binding, good faith estimated cost and time required to construct facilities required on Transmission Provider’s Transmission System to accommodate the interconnection of the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generating facility</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to the transmission system of the host transmission provider; and</w:t>
      </w:r>
    </w:p>
    <w:p w:rsidR="00C6044A" w:rsidRPr="0072600F" w:rsidP="008B6C7F" w14:paraId="454A572D" w14:textId="77777777">
      <w:pPr>
        <w:pStyle w:val="ListParagraph"/>
        <w:rPr>
          <w:szCs w:val="26"/>
        </w:rPr>
      </w:pPr>
    </w:p>
    <w:p w:rsidR="00911580" w:rsidRPr="0072600F" w14:paraId="4FFF3150" w14:textId="77777777">
      <w:pPr>
        <w:rPr>
          <w:rFonts w:ascii="Times New Roman" w:hAnsi="Times New Roman" w:cs="Times New Roman"/>
          <w:sz w:val="26"/>
          <w:szCs w:val="26"/>
        </w:rPr>
      </w:pPr>
    </w:p>
    <w:p w:rsidR="00911580" w:rsidRPr="0072600F" w:rsidP="00FF0F67" w14:paraId="0C13AD59" w14:textId="77777777">
      <w:pPr>
        <w:numPr>
          <w:ilvl w:val="1"/>
          <w:numId w:val="8"/>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description of how such facilities will address the identified short circuit, instability, and power flow issues.</w:t>
      </w:r>
    </w:p>
    <w:p w:rsidR="00C6044A" w:rsidRPr="0072600F" w:rsidP="008B6C7F" w14:paraId="69EDD64B" w14:textId="77777777">
      <w:pPr>
        <w:pStyle w:val="ListParagraph"/>
        <w:rPr>
          <w:szCs w:val="26"/>
        </w:rPr>
      </w:pPr>
    </w:p>
    <w:p w:rsidR="00911580" w:rsidRPr="0072600F" w14:paraId="6442E677" w14:textId="77777777">
      <w:pPr>
        <w:rPr>
          <w:rFonts w:ascii="Times New Roman" w:hAnsi="Times New Roman" w:cs="Times New Roman"/>
          <w:sz w:val="26"/>
          <w:szCs w:val="26"/>
        </w:rPr>
      </w:pPr>
    </w:p>
    <w:bookmarkEnd w:id="344"/>
    <w:p w:rsidR="00911580" w:rsidRPr="0072600F" w:rsidP="00FF0F67" w14:paraId="759060A8" w14:textId="77777777">
      <w:pPr>
        <w:numPr>
          <w:ilvl w:val="0"/>
          <w:numId w:val="8"/>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Affected System Interconnection Customer shall provide a deposit of _________ for performance of the Affected System Study.  Upon receipt of the results of the Affected System Study by the Affected System Interconnection Customer, Transmission Provider shall charge, and Affected System Interconnection Customer shall pay, the actual cost of the Affected System Study.  Any difference between the deposit and the actual cost of the Affected System Study shall be paid by or refunded to Affected System Interconnection Customer, as appropriate, including interest calculated in accordance with section 35.19a(a)(2) of FERC’s regulations.</w:t>
      </w:r>
    </w:p>
    <w:p w:rsidR="00911580" w:rsidRPr="0072600F" w14:paraId="3ED90FC8" w14:textId="77777777">
      <w:pPr>
        <w:ind w:hanging="720"/>
        <w:rPr>
          <w:rFonts w:ascii="Times New Roman" w:hAnsi="Times New Roman" w:cs="Times New Roman"/>
          <w:sz w:val="26"/>
          <w:szCs w:val="26"/>
        </w:rPr>
      </w:pPr>
    </w:p>
    <w:p w:rsidR="00911580" w:rsidRPr="0072600F" w:rsidP="00FF0F67" w14:paraId="283F4426" w14:textId="77777777">
      <w:pPr>
        <w:numPr>
          <w:ilvl w:val="0"/>
          <w:numId w:val="8"/>
        </w:numPr>
        <w:spacing w:after="0" w:line="240" w:lineRule="auto"/>
        <w:ind w:hanging="720"/>
        <w:rPr>
          <w:rFonts w:ascii="Times New Roman" w:hAnsi="Times New Roman" w:cs="Times New Roman"/>
          <w:sz w:val="26"/>
          <w:szCs w:val="26"/>
        </w:rPr>
      </w:pPr>
      <w:bookmarkStart w:id="345" w:name="_Hlk100587265"/>
      <w:r w:rsidRPr="0072600F">
        <w:rPr>
          <w:rFonts w:ascii="Times New Roman" w:hAnsi="Times New Roman" w:cs="Times New Roman"/>
          <w:sz w:val="26"/>
          <w:szCs w:val="26"/>
        </w:rPr>
        <w:t>This Agreement shall include standard miscellaneous terms including, but not limited to, indemnities, representations, disclaimers, warranties, governing law, amendment, execution, waiver, enforceability, and assignment, which reflect best practices in the electric industry, that are consistent with regional practices, Applicable Laws and Regulations and the organizational nature of each Party.  All of these provisions, to the extent practicable, shall be consistent with the provisions of the LGIP</w:t>
      </w:r>
      <w:bookmarkEnd w:id="345"/>
      <w:r w:rsidRPr="0072600F">
        <w:rPr>
          <w:rFonts w:ascii="Times New Roman" w:hAnsi="Times New Roman" w:cs="Times New Roman"/>
          <w:sz w:val="26"/>
          <w:szCs w:val="26"/>
        </w:rPr>
        <w:t>.</w:t>
      </w:r>
    </w:p>
    <w:p w:rsidR="00244217" w:rsidRPr="0072600F" w:rsidP="00244217" w14:paraId="1E262D24" w14:textId="77777777">
      <w:pPr>
        <w:pStyle w:val="ListParagraph"/>
        <w:rPr>
          <w:szCs w:val="26"/>
        </w:rPr>
      </w:pPr>
    </w:p>
    <w:p w:rsidR="00C6044A" w:rsidRPr="0072600F" w:rsidP="008B6C7F" w14:paraId="399E6E8F" w14:textId="77777777">
      <w:pPr>
        <w:pStyle w:val="ListParagraph"/>
        <w:rPr>
          <w:szCs w:val="26"/>
        </w:rPr>
      </w:pPr>
    </w:p>
    <w:p w:rsidR="00911580" w:rsidRPr="0072600F" w14:paraId="0E042B6F" w14:textId="77777777">
      <w:pPr>
        <w:rPr>
          <w:rFonts w:ascii="Times New Roman" w:hAnsi="Times New Roman" w:cs="Times New Roman"/>
          <w:sz w:val="26"/>
          <w:szCs w:val="26"/>
        </w:rPr>
      </w:pPr>
    </w:p>
    <w:p w:rsidR="00911580" w:rsidRPr="0072600F" w14:paraId="5102FFBD"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IN WITNESS THEREOF, </w:t>
      </w:r>
      <w:r w:rsidRPr="0072600F">
        <w:rPr>
          <w:rFonts w:ascii="Times New Roman" w:hAnsi="Times New Roman" w:cs="Times New Roman"/>
          <w:sz w:val="26"/>
          <w:szCs w:val="26"/>
        </w:rPr>
        <w:t>the Parties have caused this Agreement to be duly executed by their duly authorized officers or agents on the day and year first above written.</w:t>
      </w:r>
    </w:p>
    <w:p w:rsidR="00911580" w:rsidRPr="0072600F" w14:paraId="7B19DB42" w14:textId="77777777">
      <w:pPr>
        <w:rPr>
          <w:rFonts w:ascii="Times New Roman" w:hAnsi="Times New Roman" w:cs="Times New Roman"/>
          <w:sz w:val="26"/>
          <w:szCs w:val="26"/>
        </w:rPr>
      </w:pPr>
    </w:p>
    <w:p w:rsidR="00911580" w:rsidRPr="0072600F" w14:paraId="29FD7EDF" w14:textId="77777777">
      <w:pPr>
        <w:rPr>
          <w:rFonts w:ascii="Times New Roman" w:hAnsi="Times New Roman" w:cs="Times New Roman"/>
          <w:b/>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 xml:space="preserve">Insert name of </w:t>
      </w:r>
      <w:r w:rsidRPr="0072600F">
        <w:rPr>
          <w:rFonts w:ascii="Times New Roman" w:hAnsi="Times New Roman" w:cs="Times New Roman"/>
          <w:b/>
          <w:sz w:val="26"/>
          <w:szCs w:val="26"/>
        </w:rPr>
        <w:t>Transmission Provider</w:t>
      </w:r>
      <w:r w:rsidRPr="0072600F">
        <w:rPr>
          <w:rFonts w:ascii="Times New Roman" w:hAnsi="Times New Roman" w:cs="Times New Roman"/>
          <w:b/>
          <w:sz w:val="26"/>
          <w:szCs w:val="26"/>
        </w:rPr>
        <w:t>}</w:t>
      </w:r>
    </w:p>
    <w:p w:rsidR="00911580" w:rsidRPr="0072600F" w14:paraId="7CF8E948" w14:textId="77777777">
      <w:pPr>
        <w:rPr>
          <w:rFonts w:ascii="Times New Roman" w:hAnsi="Times New Roman" w:cs="Times New Roman"/>
          <w:sz w:val="26"/>
          <w:szCs w:val="26"/>
        </w:rPr>
      </w:pPr>
      <w:r w:rsidRPr="0072600F">
        <w:rPr>
          <w:rFonts w:ascii="Times New Roman" w:hAnsi="Times New Roman" w:cs="Times New Roman"/>
          <w:sz w:val="26"/>
          <w:szCs w:val="26"/>
        </w:rPr>
        <w:t xml:space="preserve">By: </w:t>
      </w:r>
      <w:r w:rsidRPr="0072600F">
        <w:rPr>
          <w:rFonts w:ascii="Times New Roman" w:hAnsi="Times New Roman" w:cs="Times New Roman"/>
          <w:sz w:val="26"/>
          <w:szCs w:val="26"/>
        </w:rPr>
        <w:tab/>
        <w:t>_____________________________ By: ______________________________</w:t>
      </w:r>
    </w:p>
    <w:p w:rsidR="00911580" w:rsidRPr="0072600F" w14:paraId="741A58CD"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 Title: _____________________________</w:t>
      </w:r>
    </w:p>
    <w:p w:rsidR="00911580" w:rsidRPr="0072600F" w14:paraId="31CDB52C"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t>_____________________________ Date: _____________________________</w:t>
      </w:r>
    </w:p>
    <w:p w:rsidR="00911580" w:rsidRPr="0072600F" w14:paraId="3BAC26D6" w14:textId="77777777">
      <w:pPr>
        <w:rPr>
          <w:rFonts w:ascii="Times New Roman" w:hAnsi="Times New Roman" w:cs="Times New Roman"/>
          <w:b/>
          <w:bCs/>
          <w:sz w:val="26"/>
          <w:szCs w:val="26"/>
        </w:rPr>
      </w:pPr>
    </w:p>
    <w:p w:rsidR="00911580" w:rsidRPr="0072600F" w14:paraId="565AAF04" w14:textId="77777777">
      <w:pPr>
        <w:rPr>
          <w:rFonts w:ascii="Times New Roman" w:hAnsi="Times New Roman" w:cs="Times New Roman"/>
          <w:b/>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Affected System Interconnection Customer</w:t>
      </w:r>
      <w:r w:rsidRPr="0072600F">
        <w:rPr>
          <w:rFonts w:ascii="Times New Roman" w:hAnsi="Times New Roman" w:cs="Times New Roman"/>
          <w:b/>
          <w:bCs/>
          <w:sz w:val="26"/>
          <w:szCs w:val="26"/>
        </w:rPr>
        <w:t>}</w:t>
      </w:r>
    </w:p>
    <w:p w:rsidR="00911580" w:rsidRPr="0072600F" w14:paraId="6FF90D08"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t>_____________________________</w:t>
      </w:r>
    </w:p>
    <w:p w:rsidR="00911580" w:rsidRPr="0072600F" w14:paraId="4075F147"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w:t>
      </w:r>
    </w:p>
    <w:p w:rsidR="00911580" w:rsidRPr="0072600F" w14:paraId="07B616ED"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t>_____________________________</w:t>
      </w:r>
    </w:p>
    <w:p w:rsidR="00911580" w:rsidRPr="0072600F" w14:paraId="6F9A2550" w14:textId="77777777">
      <w:pPr>
        <w:rPr>
          <w:rFonts w:ascii="Times New Roman" w:hAnsi="Times New Roman" w:cs="Times New Roman"/>
          <w:sz w:val="26"/>
          <w:szCs w:val="26"/>
        </w:rPr>
      </w:pPr>
      <w:r w:rsidRPr="0072600F">
        <w:rPr>
          <w:rFonts w:ascii="Times New Roman" w:hAnsi="Times New Roman" w:cs="Times New Roman"/>
          <w:sz w:val="26"/>
          <w:szCs w:val="26"/>
        </w:rPr>
        <w:t>Project No. ____</w:t>
      </w:r>
    </w:p>
    <w:p w:rsidR="00911580" w:rsidRPr="0072600F" w14:paraId="07965624" w14:textId="77777777">
      <w:pPr>
        <w:rPr>
          <w:rFonts w:ascii="Times New Roman" w:hAnsi="Times New Roman" w:cs="Times New Roman"/>
          <w:b/>
          <w:bCs/>
          <w:sz w:val="26"/>
          <w:szCs w:val="26"/>
        </w:rPr>
      </w:pPr>
    </w:p>
    <w:p w:rsidR="00911580" w:rsidRPr="0072600F" w14:paraId="2D736218" w14:textId="77777777">
      <w:pPr>
        <w:rPr>
          <w:rFonts w:ascii="Times New Roman" w:hAnsi="Times New Roman" w:cs="Times New Roman"/>
          <w:b/>
          <w:bCs/>
          <w:sz w:val="26"/>
          <w:szCs w:val="26"/>
        </w:rPr>
      </w:pPr>
    </w:p>
    <w:p w:rsidR="00911580" w:rsidRPr="0072600F" w14:paraId="3E870358" w14:textId="77777777">
      <w:pPr>
        <w:rPr>
          <w:rFonts w:ascii="Times New Roman" w:hAnsi="Times New Roman" w:cs="Times New Roman"/>
          <w:b/>
          <w:bCs/>
          <w:sz w:val="26"/>
          <w:szCs w:val="26"/>
        </w:rPr>
      </w:pPr>
      <w:r w:rsidRPr="0072600F">
        <w:rPr>
          <w:rFonts w:ascii="Times New Roman" w:hAnsi="Times New Roman" w:cs="Times New Roman"/>
          <w:b/>
          <w:bCs/>
          <w:sz w:val="26"/>
          <w:szCs w:val="26"/>
        </w:rPr>
        <w:br w:type="page"/>
      </w:r>
    </w:p>
    <w:p w:rsidR="00911580" w:rsidRPr="0072600F" w14:paraId="5C980B87" w14:textId="77777777">
      <w:pPr>
        <w:jc w:val="right"/>
        <w:rPr>
          <w:rFonts w:ascii="Times New Roman" w:hAnsi="Times New Roman" w:cs="Times New Roman"/>
          <w:sz w:val="26"/>
          <w:szCs w:val="26"/>
        </w:rPr>
      </w:pPr>
      <w:r w:rsidRPr="0072600F">
        <w:rPr>
          <w:rFonts w:ascii="Times New Roman" w:hAnsi="Times New Roman" w:cs="Times New Roman"/>
          <w:b/>
          <w:bCs/>
          <w:sz w:val="26"/>
          <w:szCs w:val="26"/>
        </w:rPr>
        <w:t>Attachment A to Appendix 9</w:t>
      </w:r>
    </w:p>
    <w:p w:rsidR="00911580" w:rsidRPr="0072600F" w14:paraId="4FFF1B99"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Two-Party Affected System Study Agreement</w:t>
      </w:r>
    </w:p>
    <w:p w:rsidR="00911580" w:rsidRPr="0072600F" w14:paraId="08D2A975" w14:textId="77777777">
      <w:pPr>
        <w:rPr>
          <w:rFonts w:ascii="Times New Roman" w:hAnsi="Times New Roman" w:cs="Times New Roman"/>
          <w:b/>
          <w:bCs/>
          <w:sz w:val="26"/>
          <w:szCs w:val="26"/>
        </w:rPr>
      </w:pPr>
    </w:p>
    <w:p w:rsidR="00911580" w:rsidRPr="0072600F" w14:paraId="14BB9E0F"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ASSUMPTIONS USED IN CONDUCTING THE</w:t>
      </w:r>
    </w:p>
    <w:p w:rsidR="00911580" w:rsidRPr="0072600F" w14:paraId="7CAB73E5"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AFFECTED SYSTEM STUDY</w:t>
      </w:r>
    </w:p>
    <w:p w:rsidR="00911580" w:rsidRPr="0072600F" w14:paraId="588A1F36" w14:textId="77777777">
      <w:pPr>
        <w:rPr>
          <w:rFonts w:ascii="Times New Roman" w:hAnsi="Times New Roman" w:cs="Times New Roman"/>
          <w:b/>
          <w:bCs/>
          <w:sz w:val="26"/>
          <w:szCs w:val="26"/>
        </w:rPr>
      </w:pPr>
    </w:p>
    <w:p w:rsidR="00911580" w:rsidRPr="0072600F" w14:paraId="45DC40BF" w14:textId="77777777">
      <w:pPr>
        <w:rPr>
          <w:rFonts w:ascii="Times New Roman" w:hAnsi="Times New Roman" w:cs="Times New Roman"/>
          <w:sz w:val="26"/>
          <w:szCs w:val="26"/>
        </w:rPr>
      </w:pPr>
      <w:r w:rsidRPr="0072600F">
        <w:rPr>
          <w:rFonts w:ascii="Times New Roman" w:hAnsi="Times New Roman" w:cs="Times New Roman"/>
          <w:sz w:val="26"/>
          <w:szCs w:val="26"/>
        </w:rPr>
        <w:t xml:space="preserve">The Affected System Study will be based upon the following assumptions: </w:t>
      </w:r>
    </w:p>
    <w:p w:rsidR="00911580" w:rsidRPr="0072600F" w14:paraId="2DACA8F8" w14:textId="77777777">
      <w:pPr>
        <w:rPr>
          <w:rFonts w:ascii="Times New Roman" w:hAnsi="Times New Roman" w:cs="Times New Roman"/>
          <w:sz w:val="26"/>
          <w:szCs w:val="26"/>
        </w:rPr>
      </w:pPr>
    </w:p>
    <w:p w:rsidR="00911580" w:rsidRPr="0072600F" w14:paraId="53DAF3CE"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Assumptions to be completed by Affected System Interconnection Customer and Transmission Provider</w:t>
      </w:r>
      <w:r w:rsidRPr="0072600F">
        <w:rPr>
          <w:rFonts w:ascii="Times New Roman" w:hAnsi="Times New Roman" w:cs="Times New Roman"/>
          <w:sz w:val="26"/>
          <w:szCs w:val="26"/>
        </w:rPr>
        <w:t>}</w:t>
      </w:r>
    </w:p>
    <w:p w:rsidR="00911580" w:rsidRPr="0072600F" w14:paraId="11C80B24"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14:paraId="42602DBC"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APPENDIX 10 to LGIP</w:t>
      </w:r>
    </w:p>
    <w:p w:rsidR="00911580" w:rsidRPr="0072600F" w14:paraId="7EC74DF9"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MULTIPARTY AFFECTED SYSTEM STUDY AGREEMENT</w:t>
      </w:r>
    </w:p>
    <w:p w:rsidR="00911580" w:rsidRPr="0072600F" w14:paraId="3F075101" w14:textId="77777777">
      <w:pPr>
        <w:rPr>
          <w:rFonts w:ascii="Times New Roman" w:hAnsi="Times New Roman" w:cs="Times New Roman"/>
          <w:b/>
          <w:bCs/>
          <w:sz w:val="26"/>
          <w:szCs w:val="26"/>
        </w:rPr>
      </w:pPr>
    </w:p>
    <w:p w:rsidR="00911580" w:rsidRPr="0072600F" w14:paraId="16BB5D78"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THIS AGREEMENT </w:t>
      </w:r>
      <w:r w:rsidRPr="0072600F">
        <w:rPr>
          <w:rFonts w:ascii="Times New Roman" w:hAnsi="Times New Roman" w:cs="Times New Roman"/>
          <w:sz w:val="26"/>
          <w:szCs w:val="26"/>
        </w:rPr>
        <w:t xml:space="preserve">is made and entered into this ___ day of _______________, 20___, by and among _________________________,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______________________ organized and existing under the laws of the State of ______________________ (Affected System Interconnection Customer); ______________________,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______________________ organized and existing under the laws of the State of______________________ (Affected System Interconnection Customer); and ________________, </w:t>
      </w:r>
      <w:r w:rsidRPr="0072600F">
        <w:rPr>
          <w:rFonts w:ascii="Times New Roman" w:hAnsi="Times New Roman" w:cs="Times New Roman"/>
          <w:sz w:val="26"/>
          <w:szCs w:val="26"/>
        </w:rPr>
        <w:t>a</w:t>
      </w:r>
      <w:r w:rsidRPr="0072600F">
        <w:rPr>
          <w:rFonts w:ascii="Times New Roman" w:hAnsi="Times New Roman" w:cs="Times New Roman"/>
          <w:sz w:val="26"/>
          <w:szCs w:val="26"/>
        </w:rPr>
        <w:t xml:space="preserve"> _________________ organized and existing under the laws of the State of ______________ (Transmission Provider).  Affected System Interconnection Customers and Transmission Provider each may be referred to as a “Party,” or collectively as the “Parties.”  When it is not important to differentiate among them, Affected System Interconnection Customers each may be referred to as “Affected System Interconnection Customer” or collectively as the “Affected System Interconnection Customers.”  </w:t>
      </w:r>
    </w:p>
    <w:p w:rsidR="00911580" w:rsidRPr="0072600F" w14:paraId="2CFD90B9" w14:textId="77777777">
      <w:pPr>
        <w:rPr>
          <w:rFonts w:ascii="Times New Roman" w:hAnsi="Times New Roman" w:cs="Times New Roman"/>
          <w:b/>
          <w:bCs/>
          <w:sz w:val="26"/>
          <w:szCs w:val="26"/>
        </w:rPr>
      </w:pPr>
    </w:p>
    <w:p w:rsidR="00911580" w:rsidRPr="0072600F" w14:paraId="16A5D1AA" w14:textId="77777777">
      <w:pPr>
        <w:jc w:val="center"/>
        <w:rPr>
          <w:rFonts w:ascii="Times New Roman" w:hAnsi="Times New Roman" w:cs="Times New Roman"/>
          <w:b/>
          <w:sz w:val="26"/>
          <w:szCs w:val="26"/>
        </w:rPr>
      </w:pPr>
      <w:r w:rsidRPr="0072600F">
        <w:rPr>
          <w:rFonts w:ascii="Times New Roman" w:hAnsi="Times New Roman" w:cs="Times New Roman"/>
          <w:b/>
          <w:bCs/>
          <w:sz w:val="26"/>
          <w:szCs w:val="26"/>
        </w:rPr>
        <w:t>RECITALS</w:t>
      </w:r>
    </w:p>
    <w:p w:rsidR="00911580" w:rsidRPr="0072600F" w14:paraId="72693308" w14:textId="77777777">
      <w:pPr>
        <w:rPr>
          <w:rFonts w:ascii="Times New Roman" w:hAnsi="Times New Roman" w:cs="Times New Roman"/>
          <w:b/>
          <w:bCs/>
          <w:sz w:val="26"/>
          <w:szCs w:val="26"/>
        </w:rPr>
      </w:pPr>
    </w:p>
    <w:p w:rsidR="00911580" w:rsidRPr="0072600F" w14:paraId="48D7B6A9"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 xml:space="preserve">Affected System Interconnection Customers are proposing to develop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description of generating facilities or generating capacity additions to an existing generating facility</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consistent with the interconnection requests submitted by Affected System Interconnection Customers to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dated _________________, for which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found impacts on Transmission Provider’s Transmission System; and</w:t>
      </w:r>
    </w:p>
    <w:p w:rsidR="00911580" w:rsidRPr="0072600F" w14:paraId="16875BDF" w14:textId="77777777">
      <w:pPr>
        <w:rPr>
          <w:rFonts w:ascii="Times New Roman" w:hAnsi="Times New Roman" w:cs="Times New Roman"/>
          <w:sz w:val="26"/>
          <w:szCs w:val="26"/>
        </w:rPr>
      </w:pPr>
    </w:p>
    <w:p w:rsidR="00911580" w:rsidRPr="0072600F" w14:paraId="61DC31C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 xml:space="preserve">Affected System Interconnection Customers desire to interconnect the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generating facilities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with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’s transmission system;</w:t>
      </w:r>
    </w:p>
    <w:p w:rsidR="00911580" w:rsidRPr="0072600F" w14:paraId="576DBEB6" w14:textId="77777777">
      <w:pPr>
        <w:rPr>
          <w:rFonts w:ascii="Times New Roman" w:hAnsi="Times New Roman" w:cs="Times New Roman"/>
          <w:sz w:val="26"/>
          <w:szCs w:val="26"/>
        </w:rPr>
      </w:pPr>
    </w:p>
    <w:p w:rsidR="00911580" w:rsidRPr="0072600F" w14:paraId="283A20CA"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NOW, THEREFORE, </w:t>
      </w:r>
      <w:r w:rsidRPr="0072600F">
        <w:rPr>
          <w:rFonts w:ascii="Times New Roman" w:hAnsi="Times New Roman" w:cs="Times New Roman"/>
          <w:sz w:val="26"/>
          <w:szCs w:val="26"/>
        </w:rPr>
        <w:t>in consideration of and subject to the mutual covenants contained herein, the Parties agree as follows:</w:t>
      </w:r>
    </w:p>
    <w:p w:rsidR="00911580" w:rsidRPr="0072600F" w14:paraId="5908A299" w14:textId="77777777">
      <w:pPr>
        <w:rPr>
          <w:rFonts w:ascii="Times New Roman" w:hAnsi="Times New Roman" w:cs="Times New Roman"/>
          <w:sz w:val="26"/>
          <w:szCs w:val="26"/>
        </w:rPr>
      </w:pPr>
    </w:p>
    <w:p w:rsidR="00911580" w:rsidRPr="0072600F" w:rsidP="00FF0F67" w14:paraId="3B52B0C8"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When used in this Agreement, with initial capitalization, the terms specified shall have the meanings indicated in this LGIP.</w:t>
      </w:r>
    </w:p>
    <w:p w:rsidR="00911580" w:rsidRPr="0072600F" w14:paraId="6E54C364" w14:textId="77777777">
      <w:pPr>
        <w:ind w:hanging="720"/>
        <w:rPr>
          <w:rFonts w:ascii="Times New Roman" w:hAnsi="Times New Roman" w:cs="Times New Roman"/>
          <w:sz w:val="26"/>
          <w:szCs w:val="26"/>
        </w:rPr>
      </w:pPr>
    </w:p>
    <w:p w:rsidR="00911580" w:rsidRPr="0072600F" w:rsidP="00FF0F67" w14:paraId="44D8D242"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Transmission Provider shall coordinate with Affected System Interconnection Customers to perform an Affected System Study consistent with Section 9 of this LGIP.</w:t>
      </w:r>
    </w:p>
    <w:p w:rsidR="00911580" w:rsidRPr="0072600F" w:rsidP="008B6C7F" w14:paraId="4D06FC6D" w14:textId="77777777">
      <w:pPr>
        <w:pStyle w:val="ListParagraph"/>
        <w:rPr>
          <w:szCs w:val="26"/>
        </w:rPr>
      </w:pPr>
    </w:p>
    <w:p w:rsidR="008B6C7F" w:rsidRPr="0072600F" w:rsidP="008B6C7F" w14:paraId="200EC242" w14:textId="77777777">
      <w:pPr>
        <w:pStyle w:val="ListParagraph"/>
        <w:rPr>
          <w:szCs w:val="26"/>
        </w:rPr>
      </w:pPr>
    </w:p>
    <w:p w:rsidR="00911580" w:rsidRPr="0072600F" w:rsidP="00FF0F67" w14:paraId="713F1D97"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The scope of the Affected System Study shall be subject to the assumptions set forth in Attachment A to this Agreement.</w:t>
      </w:r>
    </w:p>
    <w:p w:rsidR="00911580" w:rsidRPr="0072600F" w:rsidP="008B6C7F" w14:paraId="1D5F0BDD" w14:textId="77777777">
      <w:pPr>
        <w:pStyle w:val="ListParagraph"/>
        <w:rPr>
          <w:szCs w:val="26"/>
        </w:rPr>
      </w:pPr>
    </w:p>
    <w:p w:rsidR="008B6C7F" w:rsidRPr="0072600F" w:rsidP="008B6C7F" w14:paraId="6256E73D" w14:textId="77777777">
      <w:pPr>
        <w:pStyle w:val="ListParagraph"/>
        <w:rPr>
          <w:szCs w:val="26"/>
        </w:rPr>
      </w:pPr>
    </w:p>
    <w:p w:rsidR="00911580" w:rsidRPr="0072600F" w:rsidP="00FF0F67" w14:paraId="3AF1F3B7"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 xml:space="preserve">The Affected System Study will be based upon the technical information provided by Affected System Interconnection Customers and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reserves the right to request additional technical information from Affected System Interconnection Customers as may reasonably become necessary consistent with Good Utility Practice during the course of the Affected System Study.  </w:t>
      </w:r>
    </w:p>
    <w:p w:rsidR="008B6C7F" w:rsidRPr="0072600F" w:rsidP="008B6C7F" w14:paraId="6F1F842D" w14:textId="77777777">
      <w:pPr>
        <w:spacing w:after="0" w:line="240" w:lineRule="auto"/>
        <w:ind w:left="1440"/>
        <w:rPr>
          <w:rFonts w:ascii="Times New Roman" w:hAnsi="Times New Roman" w:cs="Times New Roman"/>
          <w:sz w:val="26"/>
          <w:szCs w:val="26"/>
        </w:rPr>
      </w:pPr>
    </w:p>
    <w:p w:rsidR="00911580" w:rsidRPr="0072600F" w:rsidP="008B6C7F" w14:paraId="271EA43E" w14:textId="77777777">
      <w:pPr>
        <w:pStyle w:val="ListParagraph"/>
        <w:rPr>
          <w:szCs w:val="26"/>
        </w:rPr>
      </w:pPr>
    </w:p>
    <w:p w:rsidR="00911580" w:rsidRPr="0072600F" w:rsidP="00FF0F67" w14:paraId="5D8F9598"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The Affected System Study shall provide the following information:</w:t>
      </w:r>
    </w:p>
    <w:p w:rsidR="00C6044A" w:rsidRPr="0072600F" w:rsidP="008B6C7F" w14:paraId="686AD576" w14:textId="77777777">
      <w:pPr>
        <w:pStyle w:val="ListParagraph"/>
        <w:rPr>
          <w:szCs w:val="26"/>
        </w:rPr>
      </w:pPr>
    </w:p>
    <w:p w:rsidR="00911580" w:rsidRPr="0072600F" w14:paraId="658C09A0" w14:textId="77777777">
      <w:pPr>
        <w:ind w:hanging="720"/>
        <w:rPr>
          <w:rFonts w:ascii="Times New Roman" w:hAnsi="Times New Roman" w:cs="Times New Roman"/>
          <w:sz w:val="26"/>
          <w:szCs w:val="26"/>
        </w:rPr>
      </w:pPr>
    </w:p>
    <w:p w:rsidR="00911580" w:rsidRPr="0072600F" w:rsidP="00FF0F67" w14:paraId="485A1F55" w14:textId="77777777">
      <w:pPr>
        <w:numPr>
          <w:ilvl w:val="1"/>
          <w:numId w:val="9"/>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identification of any circuit breaker short circuit capability limits exceeded as a result of the interconnection;</w:t>
      </w:r>
    </w:p>
    <w:p w:rsidR="00911580" w:rsidRPr="0072600F" w14:paraId="4470E269" w14:textId="77777777">
      <w:pPr>
        <w:ind w:hanging="360"/>
        <w:rPr>
          <w:rFonts w:ascii="Times New Roman" w:hAnsi="Times New Roman" w:cs="Times New Roman"/>
          <w:sz w:val="26"/>
          <w:szCs w:val="26"/>
        </w:rPr>
      </w:pPr>
    </w:p>
    <w:p w:rsidR="008B6C7F" w:rsidRPr="0072600F" w14:paraId="39AAAA84" w14:textId="77777777">
      <w:pPr>
        <w:ind w:hanging="360"/>
        <w:rPr>
          <w:rFonts w:ascii="Times New Roman" w:hAnsi="Times New Roman" w:cs="Times New Roman"/>
          <w:sz w:val="26"/>
          <w:szCs w:val="26"/>
        </w:rPr>
      </w:pPr>
    </w:p>
    <w:p w:rsidR="00911580" w:rsidRPr="0072600F" w:rsidP="00FF0F67" w14:paraId="635C51A8" w14:textId="77777777">
      <w:pPr>
        <w:numPr>
          <w:ilvl w:val="1"/>
          <w:numId w:val="9"/>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identification of any thermal overload or voltage limit violations resulting from the interconnection;</w:t>
      </w:r>
    </w:p>
    <w:p w:rsidR="00244217" w:rsidRPr="0072600F" w:rsidP="00244217" w14:paraId="67B593B6" w14:textId="77777777">
      <w:pPr>
        <w:pStyle w:val="ListParagraph"/>
        <w:rPr>
          <w:szCs w:val="26"/>
        </w:rPr>
      </w:pPr>
    </w:p>
    <w:p w:rsidR="00C6044A" w:rsidRPr="0072600F" w:rsidP="008B6C7F" w14:paraId="3BF0ACB8" w14:textId="77777777">
      <w:pPr>
        <w:pStyle w:val="ListParagraph"/>
        <w:rPr>
          <w:szCs w:val="26"/>
        </w:rPr>
      </w:pPr>
    </w:p>
    <w:p w:rsidR="00911580" w:rsidRPr="0072600F" w14:paraId="1B1EF580" w14:textId="77777777">
      <w:pPr>
        <w:ind w:hanging="360"/>
        <w:rPr>
          <w:rFonts w:ascii="Times New Roman" w:hAnsi="Times New Roman" w:cs="Times New Roman"/>
          <w:sz w:val="26"/>
          <w:szCs w:val="26"/>
        </w:rPr>
      </w:pPr>
    </w:p>
    <w:p w:rsidR="00911580" w:rsidRPr="0072600F" w:rsidP="00FF0F67" w14:paraId="0DBCDD22" w14:textId="77777777">
      <w:pPr>
        <w:numPr>
          <w:ilvl w:val="1"/>
          <w:numId w:val="9"/>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 xml:space="preserve">identification of any instability or inadequately damped response to system disturbances resulting from the interconnection; </w:t>
      </w:r>
    </w:p>
    <w:p w:rsidR="00C6044A" w:rsidRPr="0072600F" w:rsidP="008B6C7F" w14:paraId="217C2C95" w14:textId="77777777">
      <w:pPr>
        <w:pStyle w:val="ListParagraph"/>
        <w:rPr>
          <w:szCs w:val="26"/>
        </w:rPr>
      </w:pPr>
    </w:p>
    <w:p w:rsidR="00911580" w:rsidRPr="0072600F" w14:paraId="33C711B1" w14:textId="77777777">
      <w:pPr>
        <w:ind w:hanging="360"/>
        <w:rPr>
          <w:rFonts w:ascii="Times New Roman" w:hAnsi="Times New Roman" w:cs="Times New Roman"/>
          <w:sz w:val="26"/>
          <w:szCs w:val="26"/>
        </w:rPr>
      </w:pPr>
    </w:p>
    <w:p w:rsidR="00911580" w:rsidRPr="0072600F" w:rsidP="00FF0F67" w14:paraId="76FE8AAA" w14:textId="77777777">
      <w:pPr>
        <w:numPr>
          <w:ilvl w:val="1"/>
          <w:numId w:val="9"/>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 xml:space="preserve">non-binding, good faith estimated cost and time required to construct facilities required on Transmission Provider’s Transmission System to accommodate the interconnection of the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generating facilities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to the transmission system of the host transmission provider; and</w:t>
      </w:r>
    </w:p>
    <w:p w:rsidR="00C6044A" w:rsidRPr="0072600F" w:rsidP="008B6C7F" w14:paraId="1E1A9405" w14:textId="77777777">
      <w:pPr>
        <w:pStyle w:val="ListParagraph"/>
        <w:rPr>
          <w:szCs w:val="26"/>
        </w:rPr>
      </w:pPr>
    </w:p>
    <w:p w:rsidR="00911580" w:rsidRPr="0072600F" w14:paraId="7CAD4BD2" w14:textId="77777777">
      <w:pPr>
        <w:ind w:hanging="360"/>
        <w:rPr>
          <w:rFonts w:ascii="Times New Roman" w:hAnsi="Times New Roman" w:cs="Times New Roman"/>
          <w:sz w:val="26"/>
          <w:szCs w:val="26"/>
        </w:rPr>
      </w:pPr>
    </w:p>
    <w:p w:rsidR="00911580" w:rsidRPr="0072600F" w:rsidP="00FF0F67" w14:paraId="1F42A67C" w14:textId="77777777">
      <w:pPr>
        <w:numPr>
          <w:ilvl w:val="1"/>
          <w:numId w:val="9"/>
        </w:numPr>
        <w:spacing w:after="0" w:line="240" w:lineRule="auto"/>
        <w:rPr>
          <w:rFonts w:ascii="Times New Roman" w:hAnsi="Times New Roman" w:cs="Times New Roman"/>
          <w:sz w:val="26"/>
          <w:szCs w:val="26"/>
        </w:rPr>
      </w:pPr>
      <w:r w:rsidRPr="0072600F">
        <w:rPr>
          <w:rFonts w:ascii="Times New Roman" w:hAnsi="Times New Roman" w:cs="Times New Roman"/>
          <w:sz w:val="26"/>
          <w:szCs w:val="26"/>
        </w:rPr>
        <w:t>description of how such facilities will address the identified short circuit, instability, and power flow issues.</w:t>
      </w:r>
    </w:p>
    <w:p w:rsidR="00C6044A" w:rsidRPr="0072600F" w:rsidP="008B6C7F" w14:paraId="5AF9ABCD" w14:textId="77777777">
      <w:pPr>
        <w:pStyle w:val="ListParagraph"/>
        <w:rPr>
          <w:szCs w:val="26"/>
        </w:rPr>
      </w:pPr>
    </w:p>
    <w:p w:rsidR="00911580" w:rsidRPr="0072600F" w14:paraId="3740BFA0" w14:textId="77777777">
      <w:pPr>
        <w:ind w:hanging="720"/>
        <w:rPr>
          <w:rFonts w:ascii="Times New Roman" w:hAnsi="Times New Roman" w:cs="Times New Roman"/>
          <w:sz w:val="26"/>
          <w:szCs w:val="26"/>
        </w:rPr>
      </w:pPr>
    </w:p>
    <w:p w:rsidR="00911580" w:rsidRPr="0072600F" w:rsidP="00FF0F67" w14:paraId="4A042308"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Affected System Interconnection Customers shall each provide a deposit of _________ for performance of the Affected System Study.  Upon receipt of the results of the Affected System Study by the Affected System Interconnection Customers, Transmission Provider shall charge, and Affected System Interconnection Customers shall pay, the actual cost of the Affected System Study.  Any difference between the deposit and the actual cost of the Affected System Study shall be paid by or refunded to Affected System Interconnection Customers, as appropriate, including interest calculated in accordance with section 35.19a(a)(2) of FERC’s regulations.</w:t>
      </w:r>
    </w:p>
    <w:p w:rsidR="00911580" w:rsidRPr="0072600F" w14:paraId="1BC0D5CE" w14:textId="77777777">
      <w:pPr>
        <w:ind w:hanging="720"/>
        <w:rPr>
          <w:rFonts w:ascii="Times New Roman" w:hAnsi="Times New Roman" w:cs="Times New Roman"/>
          <w:sz w:val="26"/>
          <w:szCs w:val="26"/>
        </w:rPr>
      </w:pPr>
    </w:p>
    <w:p w:rsidR="00911580" w:rsidRPr="0072600F" w:rsidP="00FF0F67" w14:paraId="4FD708E4" w14:textId="77777777">
      <w:pPr>
        <w:numPr>
          <w:ilvl w:val="0"/>
          <w:numId w:val="9"/>
        </w:numPr>
        <w:spacing w:after="0" w:line="240" w:lineRule="auto"/>
        <w:ind w:hanging="720"/>
        <w:rPr>
          <w:rFonts w:ascii="Times New Roman" w:hAnsi="Times New Roman" w:cs="Times New Roman"/>
          <w:sz w:val="26"/>
          <w:szCs w:val="26"/>
        </w:rPr>
      </w:pPr>
      <w:r w:rsidRPr="0072600F">
        <w:rPr>
          <w:rFonts w:ascii="Times New Roman" w:hAnsi="Times New Roman" w:cs="Times New Roman"/>
          <w:sz w:val="26"/>
          <w:szCs w:val="26"/>
        </w:rPr>
        <w:t>This Agreement shall include standard miscellaneous terms including, but not limited to, indemnities, representations, disclaimers, warranties, governing law, amendment, execution, waiver, enforceability, and assignment, which reflect best practices in the electric industry, that are consistent with regional practices, Applicable Laws and Regulations, and the organizational nature of each Party.  All of these provisions, to the extent practicable, shall be consistent with the provisions of the LGIP.</w:t>
      </w:r>
    </w:p>
    <w:p w:rsidR="00244217" w:rsidRPr="0072600F" w:rsidP="008B6C7F" w14:paraId="077CF07E" w14:textId="77777777">
      <w:pPr>
        <w:pStyle w:val="ListParagraph"/>
        <w:rPr>
          <w:szCs w:val="26"/>
        </w:rPr>
      </w:pPr>
    </w:p>
    <w:p w:rsidR="00911580" w:rsidRPr="0072600F" w14:paraId="5F22C732" w14:textId="77777777">
      <w:pPr>
        <w:rPr>
          <w:rFonts w:ascii="Times New Roman" w:hAnsi="Times New Roman" w:cs="Times New Roman"/>
          <w:sz w:val="26"/>
          <w:szCs w:val="26"/>
        </w:rPr>
      </w:pPr>
    </w:p>
    <w:p w:rsidR="00911580" w:rsidRPr="0072600F" w14:paraId="5440B68F"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 xml:space="preserve">IN WITNESS THEREOF, </w:t>
      </w:r>
      <w:r w:rsidRPr="0072600F">
        <w:rPr>
          <w:rFonts w:ascii="Times New Roman" w:hAnsi="Times New Roman" w:cs="Times New Roman"/>
          <w:sz w:val="26"/>
          <w:szCs w:val="26"/>
        </w:rPr>
        <w:t>the Parties have caused this Agreement to be duly executed by their duly authorized officers or agents on the day and year first above written.</w:t>
      </w:r>
    </w:p>
    <w:p w:rsidR="00911580" w:rsidRPr="0072600F" w14:paraId="51A86D48" w14:textId="77777777">
      <w:pPr>
        <w:rPr>
          <w:rFonts w:ascii="Times New Roman" w:hAnsi="Times New Roman" w:cs="Times New Roman"/>
          <w:b/>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 xml:space="preserve">Insert name of </w:t>
      </w:r>
      <w:r w:rsidRPr="0072600F">
        <w:rPr>
          <w:rFonts w:ascii="Times New Roman" w:hAnsi="Times New Roman" w:cs="Times New Roman"/>
          <w:b/>
          <w:sz w:val="26"/>
          <w:szCs w:val="26"/>
        </w:rPr>
        <w:t>Transmission Provider</w:t>
      </w:r>
      <w:r w:rsidRPr="0072600F">
        <w:rPr>
          <w:rFonts w:ascii="Times New Roman" w:hAnsi="Times New Roman" w:cs="Times New Roman"/>
          <w:b/>
          <w:sz w:val="26"/>
          <w:szCs w:val="26"/>
        </w:rPr>
        <w:t>}</w:t>
      </w:r>
    </w:p>
    <w:p w:rsidR="00911580" w:rsidRPr="0072600F" w14:paraId="45753B1F" w14:textId="77777777">
      <w:pPr>
        <w:rPr>
          <w:rFonts w:ascii="Times New Roman" w:hAnsi="Times New Roman" w:cs="Times New Roman"/>
          <w:sz w:val="26"/>
          <w:szCs w:val="26"/>
        </w:rPr>
      </w:pPr>
      <w:r w:rsidRPr="0072600F">
        <w:rPr>
          <w:rFonts w:ascii="Times New Roman" w:hAnsi="Times New Roman" w:cs="Times New Roman"/>
          <w:sz w:val="26"/>
          <w:szCs w:val="26"/>
        </w:rPr>
        <w:t xml:space="preserve">By: </w:t>
      </w:r>
      <w:r w:rsidRPr="0072600F">
        <w:rPr>
          <w:rFonts w:ascii="Times New Roman" w:hAnsi="Times New Roman" w:cs="Times New Roman"/>
          <w:sz w:val="26"/>
          <w:szCs w:val="26"/>
        </w:rPr>
        <w:tab/>
        <w:t>_____________________________ By: ______________________________</w:t>
      </w:r>
    </w:p>
    <w:p w:rsidR="00911580" w:rsidRPr="0072600F" w14:paraId="3D69F78B"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 Title: _____________________________</w:t>
      </w:r>
    </w:p>
    <w:p w:rsidR="00911580" w:rsidRPr="0072600F" w14:paraId="254A5CD3"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t>_____________________________ Date: _____________________________</w:t>
      </w:r>
    </w:p>
    <w:p w:rsidR="00911580" w:rsidRPr="0072600F" w14:paraId="30D7CF83" w14:textId="77777777">
      <w:pPr>
        <w:rPr>
          <w:rFonts w:ascii="Times New Roman" w:hAnsi="Times New Roman" w:cs="Times New Roman"/>
          <w:b/>
          <w:bCs/>
          <w:sz w:val="26"/>
          <w:szCs w:val="26"/>
        </w:rPr>
      </w:pPr>
    </w:p>
    <w:p w:rsidR="00911580" w:rsidRPr="0072600F" w14:paraId="6240ABA8" w14:textId="77777777">
      <w:pPr>
        <w:rPr>
          <w:rFonts w:ascii="Times New Roman" w:hAnsi="Times New Roman" w:cs="Times New Roman"/>
          <w:b/>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Affected System Interconnection Customer</w:t>
      </w:r>
      <w:r w:rsidRPr="0072600F">
        <w:rPr>
          <w:rFonts w:ascii="Times New Roman" w:hAnsi="Times New Roman" w:cs="Times New Roman"/>
          <w:b/>
          <w:bCs/>
          <w:sz w:val="26"/>
          <w:szCs w:val="26"/>
        </w:rPr>
        <w:t>}</w:t>
      </w:r>
    </w:p>
    <w:p w:rsidR="00911580" w:rsidRPr="0072600F" w14:paraId="6606286A"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t>_____________________________</w:t>
      </w:r>
    </w:p>
    <w:p w:rsidR="00911580" w:rsidRPr="0072600F" w14:paraId="1549694A"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w:t>
      </w:r>
    </w:p>
    <w:p w:rsidR="00911580" w:rsidRPr="0072600F" w14:paraId="3C58FC3F"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t>_____________________________</w:t>
      </w:r>
    </w:p>
    <w:p w:rsidR="00911580" w:rsidRPr="0072600F" w14:paraId="3CD1D7DA" w14:textId="77777777">
      <w:pPr>
        <w:rPr>
          <w:rFonts w:ascii="Times New Roman" w:hAnsi="Times New Roman" w:cs="Times New Roman"/>
          <w:sz w:val="26"/>
          <w:szCs w:val="26"/>
        </w:rPr>
      </w:pPr>
      <w:r w:rsidRPr="0072600F">
        <w:rPr>
          <w:rFonts w:ascii="Times New Roman" w:hAnsi="Times New Roman" w:cs="Times New Roman"/>
          <w:sz w:val="26"/>
          <w:szCs w:val="26"/>
        </w:rPr>
        <w:t>Project No. ____</w:t>
      </w:r>
    </w:p>
    <w:p w:rsidR="00911580" w:rsidRPr="0072600F" w14:paraId="59528D4D" w14:textId="77777777">
      <w:pPr>
        <w:rPr>
          <w:rFonts w:ascii="Times New Roman" w:hAnsi="Times New Roman" w:cs="Times New Roman"/>
          <w:sz w:val="26"/>
          <w:szCs w:val="26"/>
        </w:rPr>
      </w:pPr>
    </w:p>
    <w:p w:rsidR="00911580" w:rsidRPr="0072600F" w14:paraId="4F03AB46" w14:textId="77777777">
      <w:pPr>
        <w:rPr>
          <w:rFonts w:ascii="Times New Roman" w:hAnsi="Times New Roman" w:cs="Times New Roman"/>
          <w:b/>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Affected System Interconnection Customer</w:t>
      </w:r>
      <w:r w:rsidRPr="0072600F">
        <w:rPr>
          <w:rFonts w:ascii="Times New Roman" w:hAnsi="Times New Roman" w:cs="Times New Roman"/>
          <w:b/>
          <w:bCs/>
          <w:sz w:val="26"/>
          <w:szCs w:val="26"/>
        </w:rPr>
        <w:t>}</w:t>
      </w:r>
    </w:p>
    <w:p w:rsidR="00911580" w:rsidRPr="0072600F" w14:paraId="5ACE7046"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t>_____________________________</w:t>
      </w:r>
    </w:p>
    <w:p w:rsidR="00911580" w:rsidRPr="0072600F" w14:paraId="3CB61116"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w:t>
      </w:r>
    </w:p>
    <w:p w:rsidR="00911580" w:rsidRPr="0072600F" w14:paraId="2FBA42CC"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t>_____________________________</w:t>
      </w:r>
    </w:p>
    <w:p w:rsidR="00911580" w:rsidRPr="0072600F" w14:paraId="17A162BB" w14:textId="77777777">
      <w:pPr>
        <w:rPr>
          <w:rFonts w:ascii="Times New Roman" w:hAnsi="Times New Roman" w:cs="Times New Roman"/>
          <w:sz w:val="26"/>
          <w:szCs w:val="26"/>
        </w:rPr>
      </w:pPr>
      <w:r w:rsidRPr="0072600F">
        <w:rPr>
          <w:rFonts w:ascii="Times New Roman" w:hAnsi="Times New Roman" w:cs="Times New Roman"/>
          <w:sz w:val="26"/>
          <w:szCs w:val="26"/>
        </w:rPr>
        <w:t>Project No. ____</w:t>
      </w:r>
    </w:p>
    <w:p w:rsidR="00911580" w:rsidRPr="0072600F" w14:paraId="25555283" w14:textId="77777777">
      <w:pPr>
        <w:jc w:val="right"/>
        <w:rPr>
          <w:rFonts w:ascii="Times New Roman" w:hAnsi="Times New Roman" w:cs="Times New Roman"/>
          <w:sz w:val="26"/>
          <w:szCs w:val="26"/>
        </w:rPr>
      </w:pPr>
      <w:bookmarkStart w:id="346" w:name="_Hlk139643671"/>
      <w:r w:rsidRPr="0072600F">
        <w:rPr>
          <w:rFonts w:ascii="Times New Roman" w:hAnsi="Times New Roman" w:cs="Times New Roman"/>
          <w:b/>
          <w:bCs/>
          <w:sz w:val="26"/>
          <w:szCs w:val="26"/>
        </w:rPr>
        <w:t>Attachment A to Appendix 10</w:t>
      </w:r>
    </w:p>
    <w:p w:rsidR="00911580" w:rsidRPr="0072600F" w14:paraId="554B365E"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Multiparty Affected System Study Agreement</w:t>
      </w:r>
    </w:p>
    <w:p w:rsidR="00911580" w:rsidRPr="0072600F" w14:paraId="417198A1" w14:textId="77777777">
      <w:pPr>
        <w:rPr>
          <w:rFonts w:ascii="Times New Roman" w:hAnsi="Times New Roman" w:cs="Times New Roman"/>
          <w:b/>
          <w:bCs/>
          <w:sz w:val="26"/>
          <w:szCs w:val="26"/>
        </w:rPr>
      </w:pPr>
    </w:p>
    <w:p w:rsidR="00911580" w:rsidRPr="0072600F" w14:paraId="3DF92238"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ASSUMPTIONS USED IN CONDUCTING THE</w:t>
      </w:r>
    </w:p>
    <w:p w:rsidR="00911580" w:rsidRPr="0072600F" w14:paraId="19A28DFF"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MULTIPARTY AFFECTED SYSTEM STUDY</w:t>
      </w:r>
    </w:p>
    <w:bookmarkEnd w:id="346"/>
    <w:p w:rsidR="00911580" w:rsidRPr="0072600F" w14:paraId="0C2E2656" w14:textId="77777777">
      <w:pPr>
        <w:rPr>
          <w:rFonts w:ascii="Times New Roman" w:hAnsi="Times New Roman" w:cs="Times New Roman"/>
          <w:b/>
          <w:bCs/>
          <w:sz w:val="26"/>
          <w:szCs w:val="26"/>
        </w:rPr>
      </w:pPr>
    </w:p>
    <w:p w:rsidR="00911580" w:rsidRPr="0072600F" w14:paraId="61817BA5" w14:textId="77777777">
      <w:pPr>
        <w:rPr>
          <w:rFonts w:ascii="Times New Roman" w:hAnsi="Times New Roman" w:cs="Times New Roman"/>
          <w:sz w:val="26"/>
          <w:szCs w:val="26"/>
        </w:rPr>
      </w:pPr>
      <w:r w:rsidRPr="0072600F">
        <w:rPr>
          <w:rFonts w:ascii="Times New Roman" w:hAnsi="Times New Roman" w:cs="Times New Roman"/>
          <w:sz w:val="26"/>
          <w:szCs w:val="26"/>
        </w:rPr>
        <w:t>The Affected System Study will be based upon the following assumptions:</w:t>
      </w:r>
    </w:p>
    <w:p w:rsidR="00911580" w:rsidRPr="0072600F" w14:paraId="3F7150F1" w14:textId="77777777">
      <w:pPr>
        <w:rPr>
          <w:rFonts w:ascii="Times New Roman" w:hAnsi="Times New Roman" w:cs="Times New Roman"/>
          <w:sz w:val="26"/>
          <w:szCs w:val="26"/>
        </w:rPr>
      </w:pPr>
    </w:p>
    <w:p w:rsidR="00911580" w:rsidRPr="0072600F" w14:paraId="793B0BE2"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Assumptions to be completed by Affected System Interconnection Customers and Transmission Provider</w:t>
      </w:r>
      <w:r w:rsidRPr="0072600F">
        <w:rPr>
          <w:rFonts w:ascii="Times New Roman" w:hAnsi="Times New Roman" w:cs="Times New Roman"/>
          <w:sz w:val="26"/>
          <w:szCs w:val="26"/>
        </w:rPr>
        <w:t>}</w:t>
      </w:r>
    </w:p>
    <w:p w:rsidR="00911580" w:rsidRPr="0072600F" w14:paraId="6943D13D" w14:textId="77777777">
      <w:pPr>
        <w:widowControl w:val="0"/>
        <w:rPr>
          <w:rFonts w:ascii="Times New Roman" w:hAnsi="Times New Roman" w:cs="Times New Roman"/>
          <w:sz w:val="26"/>
          <w:szCs w:val="26"/>
        </w:rPr>
      </w:pPr>
    </w:p>
    <w:p w:rsidR="00911580" w:rsidRPr="0072600F" w14:paraId="69BEFFFA"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14:paraId="5F6F0C76" w14:textId="77777777">
      <w:pPr>
        <w:jc w:val="center"/>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APPENDIX 11 TO LGIP</w:t>
      </w:r>
    </w:p>
    <w:p w:rsidR="00911580" w:rsidRPr="0072600F" w14:paraId="423DE142" w14:textId="77777777">
      <w:pPr>
        <w:jc w:val="center"/>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TWO-PARTY AFFECTED SYSTEM FACILITIES CONSTRUCTION AGREEMENT</w:t>
      </w:r>
    </w:p>
    <w:p w:rsidR="00911580" w:rsidRPr="0072600F" w14:paraId="5AF78B60" w14:textId="77777777">
      <w:pPr>
        <w:jc w:val="center"/>
        <w:rPr>
          <w:rFonts w:ascii="Times New Roman" w:eastAsia="Calibri" w:hAnsi="Times New Roman" w:cs="Times New Roman"/>
          <w:sz w:val="26"/>
          <w:szCs w:val="26"/>
        </w:rPr>
      </w:pPr>
    </w:p>
    <w:p w:rsidR="00911580" w:rsidRPr="0072600F" w14:paraId="65AAB904"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 xml:space="preserve">THIS AGREEMENT </w:t>
      </w:r>
      <w:r w:rsidRPr="0072600F">
        <w:rPr>
          <w:rFonts w:ascii="Times New Roman" w:eastAsia="Calibri" w:hAnsi="Times New Roman" w:cs="Times New Roman"/>
          <w:sz w:val="26"/>
          <w:szCs w:val="26"/>
        </w:rPr>
        <w:t>is made and entered into this ____ day of _________, 20__, by and between _______________________________, organized and existing under the laws of the State of __________________ (Affected System Interconnection Customer) and__________________, an entity organized</w:t>
      </w:r>
      <w:r w:rsidRPr="0072600F" w:rsidR="005200E6">
        <w:rPr>
          <w:rFonts w:ascii="Times New Roman" w:eastAsia="Calibri" w:hAnsi="Times New Roman" w:cs="Times New Roman"/>
          <w:sz w:val="26"/>
          <w:szCs w:val="26"/>
        </w:rPr>
        <w:t xml:space="preserve"> </w:t>
      </w:r>
      <w:r w:rsidRPr="0072600F" w:rsidR="005200E6">
        <w:rPr>
          <w:rFonts w:ascii="Times New Roman" w:eastAsia="Calibri" w:hAnsi="Times New Roman" w:cs="Times New Roman"/>
          <w:i/>
          <w:iCs/>
          <w:sz w:val="26"/>
          <w:szCs w:val="26"/>
        </w:rPr>
        <w:t>and existing</w:t>
      </w:r>
      <w:r w:rsidRPr="0072600F">
        <w:rPr>
          <w:rFonts w:ascii="Times New Roman" w:eastAsia="Calibri" w:hAnsi="Times New Roman" w:cs="Times New Roman"/>
          <w:sz w:val="26"/>
          <w:szCs w:val="26"/>
        </w:rPr>
        <w:t xml:space="preserve"> under the laws of the State of __________________ (Transmission Provider).  Affected System Interconnection Customer and Transmission Provider each may be referred to as a “Party” or collectively as the “Parties.” </w:t>
      </w:r>
    </w:p>
    <w:p w:rsidR="00911580" w:rsidRPr="0072600F" w14:paraId="6188B1CE" w14:textId="77777777">
      <w:pPr>
        <w:rPr>
          <w:rFonts w:ascii="Times New Roman" w:eastAsia="Calibri" w:hAnsi="Times New Roman" w:cs="Times New Roman"/>
          <w:b/>
          <w:bCs/>
          <w:sz w:val="26"/>
          <w:szCs w:val="26"/>
        </w:rPr>
      </w:pPr>
    </w:p>
    <w:p w:rsidR="00911580" w:rsidRPr="0072600F" w14:paraId="541A267E" w14:textId="77777777">
      <w:pPr>
        <w:jc w:val="center"/>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RECITALS</w:t>
      </w:r>
    </w:p>
    <w:p w:rsidR="00911580" w:rsidRPr="0072600F" w14:paraId="0A4396E1" w14:textId="77777777">
      <w:pPr>
        <w:jc w:val="center"/>
        <w:rPr>
          <w:rFonts w:ascii="Times New Roman" w:eastAsia="Calibri" w:hAnsi="Times New Roman" w:cs="Times New Roman"/>
          <w:sz w:val="26"/>
          <w:szCs w:val="26"/>
        </w:rPr>
      </w:pPr>
    </w:p>
    <w:p w:rsidR="00911580" w:rsidRPr="0072600F" w14:paraId="5DFFE6D1"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 xml:space="preserve">WHEREAS, </w:t>
      </w:r>
      <w:r w:rsidRPr="0072600F">
        <w:rPr>
          <w:rFonts w:ascii="Times New Roman" w:eastAsia="Calibri" w:hAnsi="Times New Roman" w:cs="Times New Roman"/>
          <w:sz w:val="26"/>
          <w:szCs w:val="26"/>
        </w:rPr>
        <w:t xml:space="preserve">Affected System Interconnection Customer is proposing to develop a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description of generating facility or generating capacity addition to an existing generating facility</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consistent with the interconnection request submitted by Affected System Interconnection Customer to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name of host transmission provider</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dated __________________, for which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name of host transmission provider</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found impacts on Transmission Provider’s Transmission System; and</w:t>
      </w:r>
    </w:p>
    <w:p w:rsidR="00911580" w:rsidRPr="0072600F" w14:paraId="3D46B8CB" w14:textId="77777777">
      <w:pPr>
        <w:rPr>
          <w:rFonts w:ascii="Times New Roman" w:eastAsia="Calibri" w:hAnsi="Times New Roman" w:cs="Times New Roman"/>
          <w:sz w:val="26"/>
          <w:szCs w:val="26"/>
        </w:rPr>
      </w:pPr>
    </w:p>
    <w:p w:rsidR="00911580" w:rsidRPr="0072600F" w14:paraId="5D2C078E"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 xml:space="preserve">WHEREAS, </w:t>
      </w:r>
      <w:r w:rsidRPr="0072600F">
        <w:rPr>
          <w:rFonts w:ascii="Times New Roman" w:eastAsia="Calibri" w:hAnsi="Times New Roman" w:cs="Times New Roman"/>
          <w:sz w:val="26"/>
          <w:szCs w:val="26"/>
        </w:rPr>
        <w:t xml:space="preserve">Affected System Interconnection Customer desires to interconnect the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generating facility</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to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name of host transmission provider</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’s transmission system; and</w:t>
      </w:r>
    </w:p>
    <w:p w:rsidR="00911580" w:rsidRPr="0072600F" w14:paraId="7D2ABB2F" w14:textId="77777777">
      <w:pPr>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911580" w:rsidRPr="0072600F" w14:paraId="6B5BE9CA"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WHEREAS,</w:t>
      </w:r>
      <w:r w:rsidRPr="0072600F">
        <w:rPr>
          <w:rFonts w:ascii="Times New Roman" w:eastAsia="Calibri" w:hAnsi="Times New Roman" w:cs="Times New Roman"/>
          <w:sz w:val="26"/>
          <w:szCs w:val="26"/>
        </w:rPr>
        <w:t xml:space="preserve"> additions, modifications, and upgrade(s) must be made to certain existing facilities of Transmission Provider’s Transmission System to accommodate such interconnection; and</w:t>
      </w:r>
    </w:p>
    <w:p w:rsidR="00911580" w:rsidRPr="0072600F" w14:paraId="4024E3FE" w14:textId="77777777">
      <w:pPr>
        <w:rPr>
          <w:rFonts w:ascii="Times New Roman" w:eastAsia="Calibri" w:hAnsi="Times New Roman" w:cs="Times New Roman"/>
          <w:sz w:val="26"/>
          <w:szCs w:val="26"/>
        </w:rPr>
      </w:pPr>
    </w:p>
    <w:p w:rsidR="00911580" w:rsidRPr="0072600F" w14:paraId="624B599E"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WHEREAS,</w:t>
      </w:r>
      <w:r w:rsidRPr="0072600F">
        <w:rPr>
          <w:rFonts w:ascii="Times New Roman" w:eastAsia="Calibri" w:hAnsi="Times New Roman" w:cs="Times New Roman"/>
          <w:sz w:val="26"/>
          <w:szCs w:val="26"/>
        </w:rPr>
        <w:t xml:space="preserve"> Affected System Interconnection Customer has requested, and Transmission Provider has agreed, to enter into this Agreement for the purpose of </w:t>
      </w:r>
      <w:bookmarkStart w:id="347" w:name="_Hlk101448413"/>
      <w:r w:rsidRPr="0072600F">
        <w:rPr>
          <w:rFonts w:ascii="Times New Roman" w:eastAsia="Calibri" w:hAnsi="Times New Roman" w:cs="Times New Roman"/>
          <w:sz w:val="26"/>
          <w:szCs w:val="26"/>
        </w:rPr>
        <w:t>facilitating the construction of necessary Affected System Network Upgrade(s</w:t>
      </w:r>
      <w:bookmarkEnd w:id="347"/>
      <w:r w:rsidRPr="0072600F">
        <w:rPr>
          <w:rFonts w:ascii="Times New Roman" w:eastAsia="Calibri" w:hAnsi="Times New Roman" w:cs="Times New Roman"/>
          <w:sz w:val="26"/>
          <w:szCs w:val="26"/>
        </w:rPr>
        <w:t>);</w:t>
      </w:r>
    </w:p>
    <w:p w:rsidR="00911580" w:rsidRPr="0072600F" w14:paraId="7FB9F423" w14:textId="77777777">
      <w:pPr>
        <w:rPr>
          <w:rFonts w:ascii="Times New Roman" w:eastAsia="Calibri" w:hAnsi="Times New Roman" w:cs="Times New Roman"/>
          <w:sz w:val="26"/>
          <w:szCs w:val="26"/>
        </w:rPr>
      </w:pPr>
    </w:p>
    <w:p w:rsidR="00911580" w:rsidRPr="0072600F" w14:paraId="1BD7D894"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NOW, THEREFORE,</w:t>
      </w:r>
      <w:r w:rsidRPr="0072600F">
        <w:rPr>
          <w:rFonts w:ascii="Times New Roman" w:eastAsia="Calibri" w:hAnsi="Times New Roman" w:cs="Times New Roman"/>
          <w:sz w:val="26"/>
          <w:szCs w:val="26"/>
        </w:rPr>
        <w:t xml:space="preserve"> in consideration of and subject to the mutual covenants contained herein, the Parties agree as follows:</w:t>
      </w:r>
    </w:p>
    <w:p w:rsidR="00911580" w:rsidRPr="0072600F" w14:paraId="429C74F7" w14:textId="77777777">
      <w:pPr>
        <w:jc w:val="center"/>
        <w:rPr>
          <w:rFonts w:ascii="Times New Roman" w:hAnsi="Times New Roman" w:cs="Times New Roman"/>
          <w:sz w:val="26"/>
          <w:szCs w:val="26"/>
        </w:rPr>
      </w:pPr>
      <w:bookmarkStart w:id="348" w:name="_Hlk136010171"/>
      <w:r w:rsidRPr="0072600F">
        <w:rPr>
          <w:rFonts w:ascii="Times New Roman" w:hAnsi="Times New Roman" w:cs="Times New Roman"/>
          <w:b/>
          <w:bCs/>
          <w:color w:val="000000"/>
          <w:sz w:val="26"/>
          <w:szCs w:val="26"/>
        </w:rPr>
        <w:t>ARTICLE 1</w:t>
      </w:r>
    </w:p>
    <w:p w:rsidR="00911580" w:rsidRPr="0072600F" w14:paraId="0740015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DEFINITIONS</w:t>
      </w:r>
    </w:p>
    <w:p w:rsidR="00911580" w:rsidRPr="0072600F" w14:paraId="3D807019"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35954D7"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When used in this Agreement, with initial capitalization, the </w:t>
      </w:r>
      <w:r w:rsidRPr="0072600F">
        <w:rPr>
          <w:rFonts w:ascii="Times New Roman" w:eastAsia="Calibri" w:hAnsi="Times New Roman" w:cs="Times New Roman"/>
          <w:sz w:val="26"/>
          <w:szCs w:val="26"/>
        </w:rPr>
        <w:t>terms specified and not otherwise defined in this Agreement shall have the meanings indicated in this LGIP.</w:t>
      </w:r>
      <w:r w:rsidRPr="0072600F">
        <w:rPr>
          <w:rFonts w:ascii="Times New Roman" w:hAnsi="Times New Roman" w:cs="Times New Roman"/>
          <w:sz w:val="26"/>
          <w:szCs w:val="26"/>
        </w:rPr>
        <w:t xml:space="preserve"> </w:t>
      </w:r>
    </w:p>
    <w:p w:rsidR="00911580" w:rsidRPr="0072600F" w14:paraId="151862D9" w14:textId="77777777">
      <w:pPr>
        <w:rPr>
          <w:rFonts w:ascii="Times New Roman" w:hAnsi="Times New Roman" w:cs="Times New Roman"/>
          <w:sz w:val="26"/>
          <w:szCs w:val="26"/>
        </w:rPr>
      </w:pPr>
    </w:p>
    <w:p w:rsidR="00911580" w:rsidRPr="0072600F" w14:paraId="6394CEC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2</w:t>
      </w:r>
    </w:p>
    <w:p w:rsidR="00911580" w:rsidRPr="0072600F" w14:paraId="5ECDD873"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TERM OF AGREEMENT</w:t>
      </w:r>
    </w:p>
    <w:p w:rsidR="00911580" w:rsidRPr="0072600F" w14:paraId="19F58F0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C7D559C"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2.1</w:t>
      </w:r>
      <w:r w:rsidRPr="0072600F">
        <w:rPr>
          <w:rFonts w:ascii="Times New Roman" w:hAnsi="Times New Roman" w:cs="Times New Roman"/>
          <w:b/>
          <w:bCs/>
          <w:color w:val="000000"/>
          <w:sz w:val="26"/>
          <w:szCs w:val="26"/>
        </w:rPr>
        <w:tab/>
        <w:t xml:space="preserve">Effective Date. </w:t>
      </w:r>
      <w:r w:rsidRPr="0072600F">
        <w:rPr>
          <w:rFonts w:ascii="Times New Roman" w:hAnsi="Times New Roman" w:cs="Times New Roman"/>
          <w:color w:val="000000"/>
          <w:sz w:val="26"/>
          <w:szCs w:val="26"/>
        </w:rPr>
        <w:t xml:space="preserve"> This Agreement shall become effective upon execution by the Parties subject to acceptance by FERC (if applicable), or if filed unexecuted, upon the date specified by FERC. </w:t>
      </w:r>
    </w:p>
    <w:p w:rsidR="00911580" w:rsidRPr="0072600F" w14:paraId="6F4A3FD9"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E80638B"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2.2</w:t>
      </w:r>
      <w:r w:rsidRPr="0072600F">
        <w:rPr>
          <w:rFonts w:ascii="Times New Roman" w:hAnsi="Times New Roman" w:cs="Times New Roman"/>
          <w:b/>
          <w:bCs/>
          <w:color w:val="000000"/>
          <w:sz w:val="26"/>
          <w:szCs w:val="26"/>
        </w:rPr>
        <w:tab/>
        <w:t>Term.</w:t>
      </w:r>
    </w:p>
    <w:p w:rsidR="00911580" w:rsidRPr="0072600F" w14:paraId="6E777AC6"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8ADEF5E"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2.2.1</w:t>
      </w:r>
      <w:r w:rsidRPr="0072600F">
        <w:rPr>
          <w:rFonts w:ascii="Times New Roman" w:hAnsi="Times New Roman" w:cs="Times New Roman"/>
          <w:b/>
          <w:bCs/>
          <w:color w:val="000000"/>
          <w:sz w:val="26"/>
          <w:szCs w:val="26"/>
        </w:rPr>
        <w:tab/>
        <w:t>General.</w:t>
      </w:r>
      <w:r w:rsidRPr="0072600F">
        <w:rPr>
          <w:rFonts w:ascii="Times New Roman" w:hAnsi="Times New Roman" w:cs="Times New Roman"/>
          <w:color w:val="000000"/>
          <w:sz w:val="26"/>
          <w:szCs w:val="26"/>
        </w:rPr>
        <w:t xml:space="preserve">  This Agreement shall become effective as provided in Article 2.1 and shall continue in full force and effect until the earlier of (1) the final repayment, where applicable, by </w:t>
      </w:r>
      <w:r w:rsidRPr="0072600F">
        <w:rPr>
          <w:rFonts w:ascii="Times New Roman" w:eastAsia="Calibri" w:hAnsi="Times New Roman" w:cs="Times New Roman"/>
          <w:sz w:val="26"/>
          <w:szCs w:val="26"/>
        </w:rPr>
        <w:t>Transmission Provider</w:t>
      </w:r>
      <w:r w:rsidRPr="0072600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 xml:space="preserve">of the amount funded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for </w:t>
      </w:r>
      <w:r w:rsidRPr="0072600F">
        <w:rPr>
          <w:rFonts w:ascii="Times New Roman" w:eastAsia="Calibri" w:hAnsi="Times New Roman" w:cs="Times New Roman"/>
          <w:sz w:val="26"/>
          <w:szCs w:val="26"/>
        </w:rPr>
        <w:t>Transmission Provider</w:t>
      </w:r>
      <w:r w:rsidRPr="0072600F">
        <w:rPr>
          <w:rFonts w:ascii="Times New Roman" w:hAnsi="Times New Roman" w:cs="Times New Roman"/>
          <w:color w:val="000000"/>
          <w:sz w:val="26"/>
          <w:szCs w:val="26"/>
        </w:rPr>
        <w:t xml:space="preserve">’s design, procurement,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 provided in Appendix A; (2) the Parties agree to mutually terminate this Agreement; (3) earlier termination is permitted or provided for under Appendix A of this Agreement; or (4)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terminates this Agreement after providing Transmission Provider with written notice at least sixty (60) Calendar Days prior to the proposed termination date, provided that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has no outstanding contractual obligations to Transmission Provider under this Agreement.  No termination of this Agreement shall be effective until the Parties have complied with all Applicable Laws </w:t>
      </w:r>
      <w:r w:rsidRPr="0072600F">
        <w:rPr>
          <w:rFonts w:ascii="Times New Roman" w:hAnsi="Times New Roman" w:cs="Times New Roman"/>
          <w:sz w:val="26"/>
          <w:szCs w:val="26"/>
        </w:rPr>
        <w:t xml:space="preserve">and Regulations applicable to such termination.  The term of this Agreement may be adjusted upon mutual agreement of the Parties if (1) the commercial operation date for the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generating facility</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is adjusted in accordance with the rules and procedures established by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of host 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or (2) the in-service date for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Network Upgrade(s) is adjusted in accordance with the rules and procedures established by Transmission Provider.</w:t>
      </w:r>
    </w:p>
    <w:p w:rsidR="00911580" w:rsidRPr="0072600F" w14:paraId="43C4E9A7"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44472EC"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2.2.2</w:t>
      </w:r>
      <w:r w:rsidRPr="0072600F">
        <w:rPr>
          <w:rFonts w:ascii="Times New Roman" w:hAnsi="Times New Roman" w:cs="Times New Roman"/>
          <w:b/>
          <w:bCs/>
          <w:color w:val="000000"/>
          <w:sz w:val="26"/>
          <w:szCs w:val="26"/>
        </w:rPr>
        <w:tab/>
        <w:t xml:space="preserve">Termination Upon Default. </w:t>
      </w:r>
      <w:r w:rsidRPr="0072600F">
        <w:rPr>
          <w:rFonts w:ascii="Times New Roman" w:hAnsi="Times New Roman" w:cs="Times New Roman"/>
          <w:color w:val="000000"/>
          <w:sz w:val="26"/>
          <w:szCs w:val="26"/>
        </w:rPr>
        <w:t xml:space="preserve"> Default shall mean the failure of a Breaching Party to cure its Breach in accordance with Article 5 of this Agreement where Breach and Breaching Party are defined in Article 5.  Defaulting Party shall mean the Party that is in Default.  In the event of a Default by a Party, the non-</w:t>
      </w:r>
      <w:r w:rsidRPr="0072600F">
        <w:rPr>
          <w:rFonts w:ascii="Times New Roman" w:hAnsi="Times New Roman" w:cs="Times New Roman"/>
          <w:sz w:val="26"/>
          <w:szCs w:val="26"/>
        </w:rPr>
        <w:t xml:space="preserve">Defaulting </w:t>
      </w:r>
      <w:r w:rsidRPr="0072600F">
        <w:rPr>
          <w:rFonts w:ascii="Times New Roman" w:hAnsi="Times New Roman" w:cs="Times New Roman"/>
          <w:color w:val="000000"/>
          <w:sz w:val="26"/>
          <w:szCs w:val="26"/>
        </w:rPr>
        <w:t xml:space="preserve">Party shall have the termination rights described in Articles 5 and 6; provided, however, Transmission Provider may not terminate this Agreement if Affected System Interconnection Customer </w:t>
      </w:r>
      <w:r w:rsidRPr="0072600F">
        <w:rPr>
          <w:rFonts w:ascii="Times New Roman" w:hAnsi="Times New Roman" w:cs="Times New Roman"/>
          <w:sz w:val="26"/>
          <w:szCs w:val="26"/>
        </w:rPr>
        <w:t xml:space="preserve">is the Defaulting Party and compensates Transmission Provider within thirty (30) Calendar Days for the amount of damages billed to Affected System Interconnection Customer by Transmission Provider for any such damages, including </w:t>
      </w:r>
      <w:r w:rsidRPr="0072600F">
        <w:rPr>
          <w:rFonts w:ascii="Times New Roman" w:hAnsi="Times New Roman" w:cs="Times New Roman"/>
          <w:color w:val="000000"/>
          <w:sz w:val="26"/>
          <w:szCs w:val="26"/>
        </w:rPr>
        <w:t xml:space="preserve">costs and expenses, incurred by Transmission Provider as a result of such Default.  </w:t>
      </w:r>
    </w:p>
    <w:p w:rsidR="00911580" w:rsidRPr="0072600F" w14:paraId="00F9BDFA"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7F9C537"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2.2.3</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Consequences of Termination.</w:t>
      </w:r>
      <w:r w:rsidRPr="0072600F">
        <w:rPr>
          <w:rFonts w:ascii="Times New Roman" w:hAnsi="Times New Roman" w:cs="Times New Roman"/>
          <w:color w:val="000000"/>
          <w:sz w:val="26"/>
          <w:szCs w:val="26"/>
        </w:rPr>
        <w:t xml:space="preserve">  In the event of a termination by either Party, other than a </w:t>
      </w:r>
      <w:r w:rsidRPr="0072600F">
        <w:rPr>
          <w:rFonts w:ascii="Times New Roman" w:hAnsi="Times New Roman" w:cs="Times New Roman"/>
          <w:sz w:val="26"/>
          <w:szCs w:val="26"/>
        </w:rPr>
        <w:t xml:space="preserve">termination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due to a Default by Transmission Provider,</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sz w:val="26"/>
          <w:szCs w:val="26"/>
        </w:rPr>
        <w:t xml:space="preserve"> Interconnection Customer shall be responsible for the payment to Transmission Provider of all amounts then due and payable for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(including, without limitation, any equipment ordered related to such construction), plus all out-of-pocket expenses incurred by Transmission Provider in connection with the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Network Upgrade(s), through the date of termination, and, in the event of the termination of the entire Agreement, any actual costs which Transmission Provider reasonably incurs in (1) winding up work and construction demobilization and (2) ensuring the safety of persons and property and the integrity and safe and reliable operation of Transmission Provider’s Transmission System.  Transmission Provider shall use Reasonable Efforts to minimize such costs.</w:t>
      </w:r>
    </w:p>
    <w:p w:rsidR="00911580" w:rsidRPr="0072600F" w14:paraId="140F7499"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FF8D79B"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2.2.4</w:t>
      </w:r>
      <w:r w:rsidRPr="0072600F">
        <w:rPr>
          <w:rFonts w:ascii="Times New Roman" w:hAnsi="Times New Roman" w:cs="Times New Roman"/>
          <w:b/>
          <w:bCs/>
          <w:color w:val="000000"/>
          <w:sz w:val="26"/>
          <w:szCs w:val="26"/>
        </w:rPr>
        <w:tab/>
        <w:t>Reservation of Rights.</w:t>
      </w:r>
      <w:r w:rsidRPr="0072600F">
        <w:rPr>
          <w:rFonts w:ascii="Times New Roman" w:hAnsi="Times New Roman" w:cs="Times New Roman"/>
          <w:color w:val="000000"/>
          <w:sz w:val="26"/>
          <w:szCs w:val="26"/>
        </w:rPr>
        <w:t xml:space="preserv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911580" w:rsidRPr="0072600F" w14:paraId="7874121C"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7E7B898"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2.3</w:t>
      </w:r>
      <w:r w:rsidRPr="0072600F">
        <w:rPr>
          <w:rFonts w:ascii="Times New Roman" w:hAnsi="Times New Roman" w:cs="Times New Roman"/>
          <w:b/>
          <w:bCs/>
          <w:color w:val="000000"/>
          <w:sz w:val="26"/>
          <w:szCs w:val="26"/>
        </w:rPr>
        <w:tab/>
        <w:t>Filing.</w:t>
      </w:r>
      <w:r w:rsidRPr="0072600F">
        <w:rPr>
          <w:rFonts w:ascii="Times New Roman" w:hAnsi="Times New Roman" w:cs="Times New Roman"/>
          <w:color w:val="000000"/>
          <w:sz w:val="26"/>
          <w:szCs w:val="26"/>
        </w:rPr>
        <w:t xml:space="preserve">  Transmission Provider shall file this Agreement (and any amendment hereto) with the appropriate Governmental Authority, if required.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may request that any information so provided be subject to the confidentiality provisions of Article 8.  If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has executed this Agreement, or any amendment thereto,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reasonably cooperate with Transmission Provider with respect to such filing and to provide any information reasonably requested by Transmission Provider needed to comply with applicable regulatory requirements.</w:t>
      </w:r>
    </w:p>
    <w:p w:rsidR="00911580" w:rsidRPr="0072600F" w14:paraId="2FA15731"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B9AC09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2.4</w:t>
      </w:r>
      <w:r w:rsidRPr="0072600F">
        <w:rPr>
          <w:rFonts w:ascii="Times New Roman" w:hAnsi="Times New Roman" w:cs="Times New Roman"/>
          <w:b/>
          <w:bCs/>
          <w:color w:val="000000"/>
          <w:sz w:val="26"/>
          <w:szCs w:val="26"/>
        </w:rPr>
        <w:tab/>
        <w:t>Survival.</w:t>
      </w:r>
      <w:r w:rsidRPr="0072600F">
        <w:rPr>
          <w:rFonts w:ascii="Times New Roman" w:hAnsi="Times New Roman" w:cs="Times New Roman"/>
          <w:color w:val="000000"/>
          <w:sz w:val="26"/>
          <w:szCs w:val="26"/>
        </w:rPr>
        <w:t xml:space="preserve">  This Agreement shall continue in effect after termination</w:t>
      </w:r>
      <w:r w:rsidRPr="0072600F">
        <w:rPr>
          <w:rFonts w:ascii="Times New Roman" w:hAnsi="Times New Roman" w:cs="Times New Roman"/>
          <w:color w:val="FF0000"/>
          <w:sz w:val="26"/>
          <w:szCs w:val="26"/>
        </w:rPr>
        <w:t>,</w:t>
      </w:r>
      <w:r w:rsidRPr="0072600F">
        <w:rPr>
          <w:rFonts w:ascii="Times New Roman" w:hAnsi="Times New Roman" w:cs="Times New Roman"/>
          <w:color w:val="000000"/>
          <w:sz w:val="26"/>
          <w:szCs w:val="26"/>
        </w:rPr>
        <w:t xml:space="preserve"> to the extent necessary</w:t>
      </w:r>
      <w:r w:rsidRPr="0072600F">
        <w:rPr>
          <w:rFonts w:ascii="Times New Roman" w:hAnsi="Times New Roman" w:cs="Times New Roman"/>
          <w:color w:val="FF0000"/>
          <w:sz w:val="26"/>
          <w:szCs w:val="26"/>
        </w:rPr>
        <w:t>,</w:t>
      </w:r>
      <w:r w:rsidRPr="0072600F">
        <w:rPr>
          <w:rFonts w:ascii="Times New Roman" w:hAnsi="Times New Roman" w:cs="Times New Roman"/>
          <w:color w:val="000000"/>
          <w:sz w:val="26"/>
          <w:szCs w:val="26"/>
        </w:rPr>
        <w:t xml:space="preserve">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w:t>
      </w:r>
      <w:r w:rsidRPr="0072600F">
        <w:rPr>
          <w:rFonts w:ascii="Times New Roman" w:hAnsi="Times New Roman" w:cs="Times New Roman"/>
          <w:sz w:val="26"/>
          <w:szCs w:val="26"/>
        </w:rPr>
        <w:t xml:space="preserve">each Party </w:t>
      </w:r>
      <w:r w:rsidRPr="0072600F">
        <w:rPr>
          <w:rFonts w:ascii="Times New Roman" w:hAnsi="Times New Roman" w:cs="Times New Roman"/>
          <w:color w:val="000000"/>
          <w:sz w:val="26"/>
          <w:szCs w:val="26"/>
        </w:rPr>
        <w:t xml:space="preserve">to have access to the lands of the </w:t>
      </w:r>
      <w:r w:rsidRPr="0072600F">
        <w:rPr>
          <w:rFonts w:ascii="Times New Roman" w:hAnsi="Times New Roman" w:cs="Times New Roman"/>
          <w:sz w:val="26"/>
          <w:szCs w:val="26"/>
        </w:rPr>
        <w:t xml:space="preserve">other Party </w:t>
      </w:r>
      <w:r w:rsidRPr="0072600F">
        <w:rPr>
          <w:rFonts w:ascii="Times New Roman" w:hAnsi="Times New Roman" w:cs="Times New Roman"/>
          <w:color w:val="000000"/>
          <w:sz w:val="26"/>
          <w:szCs w:val="26"/>
        </w:rPr>
        <w:t>pursuant to this Agreement or other applicable agreements, to disconnect, remove</w:t>
      </w:r>
      <w:r w:rsidRPr="0072600F">
        <w:rPr>
          <w:rFonts w:ascii="Times New Roman" w:hAnsi="Times New Roman" w:cs="Times New Roman"/>
          <w:color w:val="FF0000"/>
          <w:sz w:val="26"/>
          <w:szCs w:val="26"/>
        </w:rPr>
        <w:t>,</w:t>
      </w:r>
      <w:r w:rsidRPr="0072600F">
        <w:rPr>
          <w:rFonts w:ascii="Times New Roman" w:hAnsi="Times New Roman" w:cs="Times New Roman"/>
          <w:color w:val="000000"/>
          <w:sz w:val="26"/>
          <w:szCs w:val="26"/>
        </w:rPr>
        <w:t xml:space="preserve"> or salvage its own facilities and equipment.</w:t>
      </w:r>
    </w:p>
    <w:p w:rsidR="00911580" w:rsidRPr="0072600F" w14:paraId="5ADAB612"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387B53F"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2.5</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Termination Obligations</w:t>
      </w:r>
      <w:r w:rsidRPr="0072600F">
        <w:rPr>
          <w:rFonts w:ascii="Times New Roman" w:hAnsi="Times New Roman" w:cs="Times New Roman"/>
          <w:b/>
          <w:color w:val="000000"/>
          <w:sz w:val="26"/>
          <w:szCs w:val="26"/>
        </w:rPr>
        <w:t>.</w:t>
      </w:r>
      <w:r w:rsidRPr="0072600F">
        <w:rPr>
          <w:rFonts w:ascii="Times New Roman" w:hAnsi="Times New Roman" w:cs="Times New Roman"/>
          <w:color w:val="000000"/>
          <w:sz w:val="26"/>
          <w:szCs w:val="26"/>
        </w:rPr>
        <w:t xml:space="preserve">  Upon any termination pursuant to this Agreement,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be responsible for the payment of all costs or other contractual obligations incurred prior to the </w:t>
      </w:r>
      <w:r w:rsidRPr="0072600F">
        <w:rPr>
          <w:rFonts w:ascii="Times New Roman" w:hAnsi="Times New Roman" w:cs="Times New Roman"/>
          <w:sz w:val="26"/>
          <w:szCs w:val="26"/>
        </w:rPr>
        <w:t>termination date, including previously incurred capital costs, penalties for early termination, and costs of removal and site restoration.</w:t>
      </w:r>
    </w:p>
    <w:p w:rsidR="00911580" w:rsidRPr="0072600F" w14:paraId="5840EA28" w14:textId="77777777">
      <w:pPr>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4D63EA2E"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ARTICLE 3</w:t>
      </w:r>
    </w:p>
    <w:p w:rsidR="00911580" w:rsidRPr="0072600F" w14:paraId="0D1BC4E6"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 xml:space="preserve">CONSTRUCTION OF AFFECTED SYSTEM NETWORK UPGRADE(S) </w:t>
      </w:r>
    </w:p>
    <w:p w:rsidR="00911580" w:rsidRPr="0072600F" w14:paraId="7D5D6B6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3EDD23E"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3.1</w:t>
      </w:r>
      <w:r w:rsidRPr="0072600F">
        <w:rPr>
          <w:rFonts w:ascii="Times New Roman" w:hAnsi="Times New Roman" w:cs="Times New Roman"/>
          <w:b/>
          <w:bCs/>
          <w:color w:val="000000"/>
          <w:sz w:val="26"/>
          <w:szCs w:val="26"/>
        </w:rPr>
        <w:tab/>
        <w:t>Construction.</w:t>
      </w:r>
    </w:p>
    <w:p w:rsidR="00911580" w:rsidRPr="0072600F" w14:paraId="55A75230"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F08E816" w14:textId="77777777">
      <w:pPr>
        <w:ind w:left="1440" w:hanging="720"/>
        <w:rPr>
          <w:rFonts w:ascii="Times New Roman" w:hAnsi="Times New Roman" w:cs="Times New Roman"/>
          <w:sz w:val="26"/>
          <w:szCs w:val="26"/>
        </w:rPr>
      </w:pPr>
      <w:bookmarkStart w:id="349" w:name="_Hlk136009876"/>
      <w:r w:rsidRPr="0072600F">
        <w:rPr>
          <w:rFonts w:ascii="Times New Roman" w:hAnsi="Times New Roman" w:cs="Times New Roman"/>
          <w:b/>
          <w:bCs/>
          <w:color w:val="000000"/>
          <w:sz w:val="26"/>
          <w:szCs w:val="26"/>
        </w:rPr>
        <w:t>3.1.1</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Transmission Provider Obligations.  </w:t>
      </w:r>
      <w:r w:rsidRPr="0072600F">
        <w:rPr>
          <w:rFonts w:ascii="Times New Roman" w:hAnsi="Times New Roman" w:cs="Times New Roman"/>
          <w:color w:val="000000"/>
          <w:sz w:val="26"/>
          <w:szCs w:val="26"/>
        </w:rPr>
        <w:t xml:space="preserve">Transmission Provider shall (or shall cause such action to) design, procure, </w:t>
      </w:r>
      <w:r w:rsidRPr="0072600F">
        <w:rPr>
          <w:rFonts w:ascii="Times New Roman" w:hAnsi="Times New Roman" w:cs="Times New Roman"/>
          <w:sz w:val="26"/>
          <w:szCs w:val="26"/>
        </w:rPr>
        <w:t>construct, an</w:t>
      </w:r>
      <w:r w:rsidRPr="0072600F">
        <w:rPr>
          <w:rFonts w:ascii="Times New Roman" w:hAnsi="Times New Roman" w:cs="Times New Roman"/>
          <w:color w:val="000000"/>
          <w:sz w:val="26"/>
          <w:szCs w:val="26"/>
        </w:rPr>
        <w:t xml:space="preserve">d install, and Affected </w:t>
      </w:r>
      <w:r w:rsidRPr="0072600F">
        <w:rPr>
          <w:rFonts w:ascii="Times New Roman" w:hAnsi="Times New Roman" w:cs="Times New Roman"/>
          <w:sz w:val="26"/>
          <w:szCs w:val="26"/>
        </w:rPr>
        <w:t xml:space="preserve">System Interconnection Customer shall pay, consistent with Article 3.2, the costs of all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identified in Appendix A.  All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designed, procured, constructed, and installed by Transmission Provider pursuant to this Agreement shall satisfy all requirements </w:t>
      </w:r>
      <w:r w:rsidRPr="0072600F">
        <w:rPr>
          <w:rFonts w:ascii="Times New Roman" w:hAnsi="Times New Roman" w:cs="Times New Roman"/>
          <w:color w:val="000000"/>
          <w:sz w:val="26"/>
          <w:szCs w:val="26"/>
        </w:rPr>
        <w:t xml:space="preserve">of applicable safety and/or engineering codes and comply with Good Utility Practice, and further, shall satisfy all Applicable Laws and </w:t>
      </w:r>
      <w:r w:rsidRPr="0072600F">
        <w:rPr>
          <w:rFonts w:ascii="Times New Roman" w:hAnsi="Times New Roman" w:cs="Times New Roman"/>
          <w:sz w:val="26"/>
          <w:szCs w:val="26"/>
        </w:rPr>
        <w:t>Regulations.  Transmission Provider shall not be required to undertake any action which is inconsistent with its standard safety practices, its material and equipment specifications, its design criteria and construction procedures, its labor agreements, or any Applicable Laws and Regulations.</w:t>
      </w:r>
    </w:p>
    <w:p w:rsidR="00911580" w:rsidRPr="0072600F" w14:paraId="63BC5601" w14:textId="77777777">
      <w:pPr>
        <w:ind w:left="1440" w:hanging="720"/>
        <w:rPr>
          <w:rFonts w:ascii="Times New Roman" w:hAnsi="Times New Roman" w:cs="Times New Roman"/>
          <w:sz w:val="26"/>
          <w:szCs w:val="26"/>
        </w:rPr>
      </w:pPr>
      <w:r w:rsidRPr="0072600F">
        <w:rPr>
          <w:rFonts w:ascii="Times New Roman" w:hAnsi="Times New Roman" w:cs="Times New Roman"/>
          <w:sz w:val="26"/>
          <w:szCs w:val="26"/>
        </w:rPr>
        <w:t> </w:t>
      </w:r>
    </w:p>
    <w:bookmarkEnd w:id="349"/>
    <w:p w:rsidR="00911580" w:rsidRPr="0072600F" w14:paraId="4B3C3F2D"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3.1.2</w:t>
      </w:r>
      <w:r w:rsidRPr="0072600F">
        <w:rPr>
          <w:rFonts w:ascii="Times New Roman" w:hAnsi="Times New Roman" w:cs="Times New Roman"/>
          <w:b/>
          <w:bCs/>
          <w:color w:val="000000"/>
          <w:sz w:val="26"/>
          <w:szCs w:val="26"/>
        </w:rPr>
        <w:tab/>
        <w:t xml:space="preserve">Suspension of Work. </w:t>
      </w:r>
    </w:p>
    <w:p w:rsidR="00911580" w:rsidRPr="0072600F" w14:paraId="615080E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86D2847" w14:textId="77777777">
      <w:pPr>
        <w:ind w:left="2880" w:hanging="1440"/>
        <w:rPr>
          <w:rFonts w:ascii="Times New Roman" w:hAnsi="Times New Roman" w:cs="Times New Roman"/>
          <w:sz w:val="26"/>
          <w:szCs w:val="26"/>
        </w:rPr>
      </w:pPr>
      <w:r w:rsidRPr="0072600F">
        <w:rPr>
          <w:rFonts w:ascii="Times New Roman" w:hAnsi="Times New Roman" w:cs="Times New Roman"/>
          <w:b/>
          <w:bCs/>
          <w:color w:val="000000"/>
          <w:sz w:val="26"/>
          <w:szCs w:val="26"/>
        </w:rPr>
        <w:t>3.1.2.1</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Right to </w:t>
      </w:r>
      <w:r w:rsidRPr="0072600F">
        <w:rPr>
          <w:rFonts w:ascii="Times New Roman" w:hAnsi="Times New Roman" w:cs="Times New Roman"/>
          <w:b/>
          <w:bCs/>
          <w:sz w:val="26"/>
          <w:szCs w:val="26"/>
        </w:rPr>
        <w:t xml:space="preserve">Suspend.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must provide to</w:t>
      </w:r>
      <w:r w:rsidRPr="0072600F">
        <w:rPr>
          <w:rFonts w:ascii="Times New Roman" w:eastAsia="Calibri" w:hAnsi="Times New Roman" w:cs="Times New Roman"/>
          <w:sz w:val="26"/>
          <w:szCs w:val="26"/>
        </w:rPr>
        <w:t xml:space="preserve"> Transmission Provider </w:t>
      </w:r>
      <w:r w:rsidRPr="0072600F">
        <w:rPr>
          <w:rFonts w:ascii="Times New Roman" w:hAnsi="Times New Roman" w:cs="Times New Roman"/>
          <w:color w:val="000000"/>
          <w:sz w:val="26"/>
          <w:szCs w:val="26"/>
        </w:rPr>
        <w:t xml:space="preserve">written notice of its request for suspension. Only the milestones described in the Appendices of this Agreement are subject to suspension under this Article 3.1.2.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will be constructed on the schedule described in the Appendices of this Agreement unless:  (1) construction is prevented by the order of a Governmental Authority; (2)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are not needed by any other </w:t>
      </w:r>
      <w:r w:rsidRPr="0072600F">
        <w:rPr>
          <w:rFonts w:ascii="Times New Roman" w:hAnsi="Times New Roman" w:cs="Times New Roman"/>
          <w:sz w:val="26"/>
          <w:szCs w:val="26"/>
        </w:rPr>
        <w:t xml:space="preserve">Interconnection Customer; or (3) Transmission Provider determines that a Force Majeure event prevents construction.  In the event of (1), (2), or (3), any security paid to Transmission Provider under Article 4.1 of this Agreement shall be released by Transmission Provider upon the determination by Transmission Provider that the Affected System Network Upgrade(s) will no longer be constructed.  If suspension </w:t>
      </w:r>
      <w:r w:rsidRPr="0072600F">
        <w:rPr>
          <w:rFonts w:ascii="Times New Roman" w:hAnsi="Times New Roman" w:cs="Times New Roman"/>
          <w:color w:val="000000"/>
          <w:sz w:val="26"/>
          <w:szCs w:val="26"/>
        </w:rPr>
        <w:t xml:space="preserve">occurs,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be responsible for the costs which Transmission Provider incurs (</w:t>
      </w:r>
      <w:r w:rsidRPr="0072600F">
        <w:rPr>
          <w:rFonts w:ascii="Times New Roman" w:hAnsi="Times New Roman" w:cs="Times New Roman"/>
          <w:color w:val="000000"/>
          <w:sz w:val="26"/>
          <w:szCs w:val="26"/>
        </w:rPr>
        <w:t>i</w:t>
      </w:r>
      <w:r w:rsidRPr="0072600F">
        <w:rPr>
          <w:rFonts w:ascii="Times New Roman" w:hAnsi="Times New Roman" w:cs="Times New Roman"/>
          <w:color w:val="000000"/>
          <w:sz w:val="26"/>
          <w:szCs w:val="26"/>
        </w:rPr>
        <w:t xml:space="preserve">) in accordance with this Agreement prior to the </w:t>
      </w:r>
      <w:r w:rsidRPr="0072600F">
        <w:rPr>
          <w:rFonts w:ascii="Times New Roman" w:hAnsi="Times New Roman" w:cs="Times New Roman"/>
          <w:sz w:val="26"/>
          <w:szCs w:val="26"/>
        </w:rPr>
        <w:t xml:space="preserve">suspension; </w:t>
      </w:r>
      <w:r w:rsidRPr="0072600F">
        <w:rPr>
          <w:rFonts w:ascii="Times New Roman" w:hAnsi="Times New Roman" w:cs="Times New Roman"/>
          <w:color w:val="000000"/>
          <w:sz w:val="26"/>
          <w:szCs w:val="26"/>
        </w:rPr>
        <w:t>(ii) in suspending such work, including any costs incurred to perform such work as may be necessary to ensure the safety of persons and property and the integrity of Transmission Provider’s Transmission System and, if applicable, any costs incurred in connection with the cancellation of contracts and orders for material which Transmission Provider cannot reasonably avoid</w:t>
      </w:r>
      <w:bookmarkEnd w:id="348"/>
      <w:r w:rsidRPr="0072600F">
        <w:rPr>
          <w:rFonts w:ascii="Times New Roman" w:hAnsi="Times New Roman" w:cs="Times New Roman"/>
          <w:color w:val="000000"/>
          <w:sz w:val="26"/>
          <w:szCs w:val="26"/>
        </w:rPr>
        <w:t xml:space="preserve">; and (iii) reasonably incurs in winding up work and construction demobilization; provided, however, that, prior to canceling any such contracts or orders, Transmission Provider shall obtain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authorization.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be responsible for all costs incurred in connection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failure to authorize cancellation of such contracts or orders.  </w:t>
      </w:r>
    </w:p>
    <w:p w:rsidR="00911580" w:rsidRPr="0072600F" w14:paraId="3EAF2541"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034F2F2" w14:textId="77777777">
      <w:pPr>
        <w:ind w:left="2880"/>
        <w:rPr>
          <w:rFonts w:ascii="Times New Roman" w:hAnsi="Times New Roman" w:cs="Times New Roman"/>
          <w:color w:val="000000"/>
          <w:sz w:val="26"/>
          <w:szCs w:val="26"/>
        </w:rPr>
      </w:pPr>
      <w:r w:rsidRPr="0072600F">
        <w:rPr>
          <w:rFonts w:ascii="Times New Roman" w:hAnsi="Times New Roman" w:cs="Times New Roman"/>
          <w:color w:val="000000"/>
          <w:sz w:val="26"/>
          <w:szCs w:val="26"/>
        </w:rPr>
        <w:t xml:space="preserve">Interest on amounts paid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to Transmission Provider for the design, procurement,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shall not accrue during periods in which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has suspended construction </w:t>
      </w:r>
      <w:bookmarkStart w:id="350" w:name="_Hlk101795055"/>
      <w:r w:rsidRPr="0072600F">
        <w:rPr>
          <w:rFonts w:ascii="Times New Roman" w:hAnsi="Times New Roman" w:cs="Times New Roman"/>
          <w:color w:val="000000"/>
          <w:sz w:val="26"/>
          <w:szCs w:val="26"/>
        </w:rPr>
        <w:t>under this Article 3.1.2</w:t>
      </w:r>
      <w:bookmarkEnd w:id="350"/>
      <w:r w:rsidRPr="0072600F">
        <w:rPr>
          <w:rFonts w:ascii="Times New Roman" w:hAnsi="Times New Roman" w:cs="Times New Roman"/>
          <w:color w:val="000000"/>
          <w:sz w:val="26"/>
          <w:szCs w:val="26"/>
        </w:rPr>
        <w:t xml:space="preserve">.  </w:t>
      </w:r>
    </w:p>
    <w:p w:rsidR="00911580" w:rsidRPr="0072600F" w14:paraId="6A5920ED" w14:textId="77777777">
      <w:pPr>
        <w:ind w:left="2880" w:hanging="1440"/>
        <w:rPr>
          <w:rFonts w:ascii="Times New Roman" w:hAnsi="Times New Roman" w:cs="Times New Roman"/>
          <w:color w:val="000000"/>
          <w:sz w:val="26"/>
          <w:szCs w:val="26"/>
        </w:rPr>
      </w:pPr>
    </w:p>
    <w:p w:rsidR="00911580" w:rsidRPr="0072600F" w14:paraId="78511D54" w14:textId="77777777">
      <w:pPr>
        <w:ind w:left="2880"/>
        <w:rPr>
          <w:rFonts w:ascii="Times New Roman" w:hAnsi="Times New Roman" w:cs="Times New Roman"/>
          <w:sz w:val="26"/>
          <w:szCs w:val="26"/>
        </w:rPr>
      </w:pPr>
      <w:r w:rsidRPr="0072600F">
        <w:rPr>
          <w:rFonts w:ascii="Times New Roman" w:hAnsi="Times New Roman" w:cs="Times New Roman"/>
          <w:color w:val="000000"/>
          <w:sz w:val="26"/>
          <w:szCs w:val="26"/>
        </w:rPr>
        <w:t xml:space="preserve">Transmission </w:t>
      </w:r>
      <w:r w:rsidRPr="0072600F">
        <w:rPr>
          <w:rFonts w:ascii="Times New Roman" w:hAnsi="Times New Roman" w:cs="Times New Roman"/>
          <w:sz w:val="26"/>
          <w:szCs w:val="26"/>
        </w:rPr>
        <w:t xml:space="preserve">Provider shall invoice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pursuant to Article 4 and will use Reasonable Efforts to minimize its costs.  In the event Affected System Interconnection Customer suspends work by Affected System Transmission Provider required under this Agreement pursuant to this Article 3.1.2.1, and has not requested Affected System Transmission Provider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Affected System Transmission Provider, whichever is earlier, if no effective date of suspension is specified.   </w:t>
      </w:r>
    </w:p>
    <w:p w:rsidR="00911580" w:rsidRPr="0072600F" w14:paraId="5ADF1BAC" w14:textId="77777777">
      <w:pPr>
        <w:ind w:left="2880" w:hanging="144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3C356E93" w14:textId="77777777">
      <w:pPr>
        <w:ind w:left="2880" w:hanging="1440"/>
        <w:rPr>
          <w:rFonts w:ascii="Times New Roman" w:eastAsia="Calibri" w:hAnsi="Times New Roman" w:cs="Times New Roman"/>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3.1.2.2</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b/>
      </w:r>
      <w:r w:rsidRPr="0072600F">
        <w:rPr>
          <w:rFonts w:ascii="Times New Roman" w:hAnsi="Times New Roman" w:cs="Times New Roman"/>
          <w:b/>
          <w:bCs/>
          <w:color w:val="000000"/>
          <w:sz w:val="26"/>
          <w:szCs w:val="26"/>
        </w:rPr>
        <w:t xml:space="preserve">Recommencing of Work. </w:t>
      </w:r>
      <w:r w:rsidRPr="0072600F">
        <w:rPr>
          <w:rFonts w:ascii="Times New Roman" w:hAnsi="Times New Roman" w:cs="Times New Roman"/>
          <w:color w:val="000000"/>
          <w:sz w:val="26"/>
          <w:szCs w:val="26"/>
        </w:rPr>
        <w:t xml:space="preserve"> If Affected System Interconnection </w:t>
      </w:r>
      <w:r w:rsidRPr="0072600F">
        <w:rPr>
          <w:rFonts w:ascii="Times New Roman" w:hAnsi="Times New Roman" w:cs="Times New Roman"/>
          <w:sz w:val="26"/>
          <w:szCs w:val="26"/>
        </w:rPr>
        <w:t xml:space="preserve">Customer requests that Transmission Provider recommence construction of Affected System Network Upgrade(s), Transmission Provider shall have no obligation to afford such work the priority it would have had but for the prior actions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to suspend the work.  In such event,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shall be responsible for any costs incurred in recommencing the work.  All recommenced work shall be completed pursuant to an amended schedule for the interconnection agreed to by the Parties.  Transmission Provider has the right to conduct a restudy of the Affected System Study if conditions have materially changed subsequent to the request to suspend.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shall be responsible for the costs of any studies or restudies required</w:t>
      </w: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w:t>
      </w:r>
    </w:p>
    <w:p w:rsidR="00911580" w:rsidRPr="0072600F" w14:paraId="68DFD61E" w14:textId="77777777">
      <w:pPr>
        <w:ind w:left="2880" w:hanging="1440"/>
        <w:rPr>
          <w:rFonts w:ascii="Times New Roman" w:hAnsi="Times New Roman" w:cs="Times New Roman"/>
          <w:sz w:val="26"/>
          <w:szCs w:val="26"/>
        </w:rPr>
      </w:pPr>
      <w:r w:rsidRPr="0072600F">
        <w:rPr>
          <w:rFonts w:ascii="Times New Roman" w:hAnsi="Times New Roman" w:cs="Times New Roman"/>
          <w:b/>
          <w:bCs/>
          <w:color w:val="000000"/>
          <w:sz w:val="26"/>
          <w:szCs w:val="26"/>
        </w:rPr>
        <w:t> </w:t>
      </w:r>
    </w:p>
    <w:p w:rsidR="00911580" w:rsidRPr="0072600F" w14:paraId="6E261922" w14:textId="77777777">
      <w:pPr>
        <w:ind w:left="2880" w:hanging="1440"/>
        <w:rPr>
          <w:rFonts w:ascii="Times New Roman" w:hAnsi="Times New Roman" w:cs="Times New Roman"/>
          <w:strike/>
          <w:color w:val="ED7D31"/>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3.1.2.3</w:t>
      </w:r>
      <w:r w:rsidRPr="0072600F">
        <w:rPr>
          <w:rFonts w:ascii="Times New Roman" w:hAnsi="Times New Roman" w:cs="Times New Roman"/>
          <w:b/>
          <w:bCs/>
          <w:color w:val="000000"/>
          <w:sz w:val="26"/>
          <w:szCs w:val="26"/>
        </w:rPr>
        <w:tab/>
        <w:t xml:space="preserve">Right to Suspend Due to Default.  </w:t>
      </w:r>
      <w:r w:rsidRPr="0072600F">
        <w:rPr>
          <w:rFonts w:ascii="Times New Roman" w:hAnsi="Times New Roman" w:cs="Times New Roman"/>
          <w:color w:val="000000"/>
          <w:sz w:val="26"/>
          <w:szCs w:val="26"/>
        </w:rPr>
        <w:t xml:space="preserve">Transmission Provider reserves the right, upon written notice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to suspend, at any time, </w:t>
      </w:r>
      <w:r w:rsidRPr="0072600F">
        <w:rPr>
          <w:rFonts w:ascii="Times New Roman" w:hAnsi="Times New Roman" w:cs="Times New Roman"/>
          <w:sz w:val="26"/>
          <w:szCs w:val="26"/>
        </w:rPr>
        <w:t xml:space="preserve">work by Transmission Provider due to Default by Affected System Interconnection Customer.  Affected System Interconnection Customer shall be responsible for any additional expenses incurred by Transmission Provider associated with the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(as set forth in Article 2.2.3) upon the occurrence of either a Breach that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is unable to cure</w:t>
      </w:r>
      <w:r w:rsidRPr="0072600F">
        <w:rPr>
          <w:rFonts w:ascii="Times New Roman" w:hAnsi="Times New Roman" w:cs="Times New Roman"/>
          <w:strike/>
          <w:sz w:val="26"/>
          <w:szCs w:val="26"/>
        </w:rPr>
        <w:t xml:space="preserve"> </w:t>
      </w:r>
      <w:r w:rsidRPr="0072600F">
        <w:rPr>
          <w:rFonts w:ascii="Times New Roman" w:hAnsi="Times New Roman" w:cs="Times New Roman"/>
          <w:sz w:val="26"/>
          <w:szCs w:val="26"/>
        </w:rPr>
        <w:t xml:space="preserve">pursuant to Article 5 or a Default pursuant to Article 5.  Any form of suspension by Transmission Provider shall not be barred by Articles 2.2.2, 2.2.3, or </w:t>
      </w:r>
      <w:r w:rsidRPr="0072600F">
        <w:rPr>
          <w:rFonts w:ascii="Times New Roman" w:hAnsi="Times New Roman" w:cs="Times New Roman"/>
          <w:color w:val="000000"/>
          <w:sz w:val="26"/>
          <w:szCs w:val="26"/>
        </w:rPr>
        <w:t>5.2.2, nor shall it affect Transmission Provider’s right to terminate the work or this Agreement pursuant to Article 6.</w:t>
      </w:r>
      <w:r w:rsidRPr="0072600F">
        <w:rPr>
          <w:rFonts w:ascii="Times New Roman" w:hAnsi="Times New Roman" w:cs="Times New Roman"/>
          <w:color w:val="000000"/>
          <w:sz w:val="26"/>
          <w:szCs w:val="26"/>
        </w:rPr>
        <w:t>]</w:t>
      </w:r>
    </w:p>
    <w:p w:rsidR="00911580" w:rsidRPr="0072600F" w14:paraId="469F1E3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1562CEB"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3.1.3</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Construction Status.  </w:t>
      </w:r>
      <w:r w:rsidRPr="0072600F">
        <w:rPr>
          <w:rFonts w:ascii="Times New Roman" w:hAnsi="Times New Roman" w:cs="Times New Roman"/>
          <w:color w:val="000000"/>
          <w:sz w:val="26"/>
          <w:szCs w:val="26"/>
        </w:rPr>
        <w:t xml:space="preserve">Transmission Provider shall keep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advised periodically as to the progress of its design, procurement and construction efforts</w:t>
      </w:r>
      <w:r w:rsidRPr="0072600F">
        <w:rPr>
          <w:rFonts w:ascii="Times New Roman" w:hAnsi="Times New Roman" w:cs="Times New Roman"/>
          <w:color w:val="FF0000"/>
          <w:sz w:val="26"/>
          <w:szCs w:val="26"/>
        </w:rPr>
        <w:t>,</w:t>
      </w:r>
      <w:r w:rsidRPr="0072600F">
        <w:rPr>
          <w:rFonts w:ascii="Times New Roman" w:hAnsi="Times New Roman" w:cs="Times New Roman"/>
          <w:color w:val="000000"/>
          <w:sz w:val="26"/>
          <w:szCs w:val="26"/>
        </w:rPr>
        <w:t xml:space="preserve"> as described in Appendix A.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may, at any time and reasonably, request a progress report from Transmission Provider.  If, at any time,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determines that the completion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will not be required until after the specified in-service date,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will provide written notice to Transmission Provider of such later date upon which the completion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would be required.  Transmission Provider may delay the in-service date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Network Upgrade(s) accordingly.</w:t>
      </w:r>
    </w:p>
    <w:p w:rsidR="00911580" w:rsidRPr="0072600F" w14:paraId="42061B86"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 </w:t>
      </w:r>
    </w:p>
    <w:p w:rsidR="00911580" w:rsidRPr="0072600F" w14:paraId="7F5AA996" w14:textId="77777777">
      <w:pPr>
        <w:ind w:left="1440" w:hanging="720"/>
        <w:rPr>
          <w:rFonts w:ascii="Times New Roman" w:hAnsi="Times New Roman" w:cs="Times New Roman"/>
          <w:sz w:val="26"/>
          <w:szCs w:val="26"/>
        </w:rPr>
      </w:pPr>
      <w:r w:rsidRPr="0072600F">
        <w:rPr>
          <w:rFonts w:ascii="Times New Roman" w:hAnsi="Times New Roman" w:cs="Times New Roman"/>
          <w:b/>
          <w:bCs/>
          <w:sz w:val="26"/>
          <w:szCs w:val="26"/>
        </w:rPr>
        <w:t>3.1.4</w:t>
      </w:r>
      <w:r w:rsidRPr="0072600F">
        <w:rPr>
          <w:rFonts w:ascii="Times New Roman" w:hAnsi="Times New Roman" w:cs="Times New Roman"/>
          <w:b/>
          <w:bCs/>
          <w:sz w:val="26"/>
          <w:szCs w:val="26"/>
        </w:rPr>
        <w:tab/>
        <w:t>Timely Completion.</w:t>
      </w:r>
      <w:r w:rsidRPr="0072600F">
        <w:rPr>
          <w:rFonts w:ascii="Times New Roman" w:hAnsi="Times New Roman" w:cs="Times New Roman"/>
          <w:sz w:val="26"/>
          <w:szCs w:val="26"/>
        </w:rPr>
        <w:t xml:space="preserve">  Transmission Provider shall use Reasonable Efforts to design, procure, construct, install, and test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in accordance with the schedule set forth in Appendix A, which schedule may be revised from time to time by mutual agreement of the Parties.  If any event occurs that will affect the time or ability to complete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Transmission Provider shall promptly notify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In such circumstances, Transmission Provider shall, within fifteen (15) Calendar Days of such notice, convene a meeting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to evaluate the alternatives available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Transmission Provider shall also make available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all studies and work papers related to the event and corresponding delay, including all information that is in the possession of Transmission Provider that is reasonably needed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to evaluate alternatives, subject to confidentiality arrangements consistent with Article 8.  Transmission Provider shall, 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Customer’s request and expense, use Reasonable Efforts to accelerate its work under this Agreement to meet the schedule set forth in Appendix A, provided that (1)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authorizes such actions, such authorization to be withheld, conditioned, or delayed by Affected System Interconnection Customer only if it can demonstrate that the acceleration would have a material adverse effect on it; and (2) the Affected System Interconnection Customer funds costs associated therewith in advance.</w:t>
      </w:r>
    </w:p>
    <w:p w:rsidR="00911580" w:rsidRPr="0072600F" w14:paraId="5428CB6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C0F8462"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3.2</w:t>
      </w:r>
      <w:r w:rsidRPr="0072600F">
        <w:rPr>
          <w:rFonts w:ascii="Times New Roman" w:hAnsi="Times New Roman" w:cs="Times New Roman"/>
          <w:b/>
          <w:bCs/>
          <w:color w:val="000000"/>
          <w:sz w:val="26"/>
          <w:szCs w:val="26"/>
        </w:rPr>
        <w:tab/>
        <w:t xml:space="preserve">Interconnection Costs. </w:t>
      </w:r>
    </w:p>
    <w:p w:rsidR="00911580" w:rsidRPr="0072600F" w14:paraId="3A56814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3A9C321"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3.2.1</w:t>
      </w:r>
      <w:r w:rsidRPr="0072600F">
        <w:rPr>
          <w:rFonts w:ascii="Times New Roman" w:hAnsi="Times New Roman" w:cs="Times New Roman"/>
          <w:b/>
          <w:bCs/>
          <w:color w:val="000000"/>
          <w:sz w:val="26"/>
          <w:szCs w:val="26"/>
        </w:rPr>
        <w:tab/>
        <w:t>Costs.</w:t>
      </w:r>
      <w:r w:rsidRPr="0072600F">
        <w:rPr>
          <w:rFonts w:ascii="Times New Roman" w:hAnsi="Times New Roman" w:cs="Times New Roman"/>
          <w:color w:val="000000"/>
          <w:sz w:val="26"/>
          <w:szCs w:val="26"/>
        </w:rPr>
        <w:t xml:space="preserv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pay to Transmission Provider costs (including taxes and financing costs) associated with seeking and obtaining all necessary approvals and of designing, engineering, constructing, and testing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as identified in Appendix A, in accordance with the cost recovery method provided herein.  Unless Transmission Provider elects to fund the Affected System Network Upgrade(s), they shall be initially funded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w:t>
      </w:r>
    </w:p>
    <w:p w:rsidR="00911580" w:rsidRPr="0072600F" w14:paraId="42AF9005"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434F125" w14:textId="77777777">
      <w:pPr>
        <w:ind w:left="2880" w:hanging="1440"/>
        <w:rPr>
          <w:rFonts w:ascii="Times New Roman" w:hAnsi="Times New Roman" w:cs="Times New Roman"/>
          <w:sz w:val="26"/>
          <w:szCs w:val="26"/>
        </w:rPr>
      </w:pPr>
      <w:r w:rsidRPr="0072600F">
        <w:rPr>
          <w:rFonts w:ascii="Times New Roman" w:hAnsi="Times New Roman" w:cs="Times New Roman"/>
          <w:b/>
          <w:bCs/>
          <w:color w:val="000000"/>
          <w:sz w:val="26"/>
          <w:szCs w:val="26"/>
        </w:rPr>
        <w:t>3.2.1.1</w:t>
      </w:r>
      <w:r w:rsidRPr="0072600F">
        <w:rPr>
          <w:rFonts w:ascii="Times New Roman" w:hAnsi="Times New Roman" w:cs="Times New Roman"/>
          <w:b/>
          <w:bCs/>
          <w:color w:val="000000"/>
          <w:sz w:val="26"/>
          <w:szCs w:val="26"/>
        </w:rPr>
        <w:tab/>
        <w:t>Lands of Other Property Owners.</w:t>
      </w:r>
      <w:r w:rsidRPr="0072600F">
        <w:rPr>
          <w:rFonts w:ascii="Times New Roman" w:hAnsi="Times New Roman" w:cs="Times New Roman"/>
          <w:color w:val="000000"/>
          <w:sz w:val="26"/>
          <w:szCs w:val="26"/>
        </w:rPr>
        <w:t xml:space="preserve">  If any part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is to be installed on property owned by persons other than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or Transmission Provider, Transmission Provider shall, 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expense, use efforts similar in nature and extent to those that it typically undertakes on its own behalf or on behalf of its Affiliates, including use of its eminent domain authority to the extent permitted and consistent with Applicable Laws and Regulations and, to the extent consistent with such Applicable Laws and Regulations, to procure from such persons any rights of use, </w:t>
      </w:r>
      <w:r w:rsidRPr="0072600F">
        <w:rPr>
          <w:rFonts w:ascii="Times New Roman" w:hAnsi="Times New Roman" w:cs="Times New Roman"/>
          <w:sz w:val="26"/>
          <w:szCs w:val="26"/>
        </w:rPr>
        <w:t xml:space="preserve">licenses, rights-of-way, and easements that are necessary to construct, operate, maintain, </w:t>
      </w:r>
      <w:r w:rsidRPr="0072600F">
        <w:rPr>
          <w:rFonts w:ascii="Times New Roman" w:hAnsi="Times New Roman" w:cs="Times New Roman"/>
          <w:color w:val="000000"/>
          <w:sz w:val="26"/>
          <w:szCs w:val="26"/>
        </w:rPr>
        <w:t xml:space="preserve">test, inspect, </w:t>
      </w:r>
      <w:r w:rsidRPr="0072600F">
        <w:rPr>
          <w:rFonts w:ascii="Times New Roman" w:hAnsi="Times New Roman" w:cs="Times New Roman"/>
          <w:sz w:val="26"/>
          <w:szCs w:val="26"/>
        </w:rPr>
        <w:t xml:space="preserve">replace, </w:t>
      </w:r>
      <w:r w:rsidRPr="0072600F">
        <w:rPr>
          <w:rFonts w:ascii="Times New Roman" w:hAnsi="Times New Roman" w:cs="Times New Roman"/>
          <w:color w:val="000000"/>
          <w:sz w:val="26"/>
          <w:szCs w:val="26"/>
        </w:rPr>
        <w:t xml:space="preserve">or remove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upon such property.  </w:t>
      </w:r>
    </w:p>
    <w:p w:rsidR="00911580" w:rsidRPr="0072600F" w14:paraId="5E1416C5"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3BA66D9" w14:textId="77777777">
      <w:pPr>
        <w:ind w:left="1440" w:hanging="810"/>
        <w:rPr>
          <w:rFonts w:ascii="Times New Roman" w:hAnsi="Times New Roman" w:cs="Times New Roman"/>
          <w:sz w:val="26"/>
          <w:szCs w:val="26"/>
        </w:rPr>
      </w:pPr>
      <w:r w:rsidRPr="0072600F">
        <w:rPr>
          <w:rFonts w:ascii="Times New Roman" w:hAnsi="Times New Roman" w:cs="Times New Roman"/>
          <w:b/>
          <w:bCs/>
          <w:color w:val="000000"/>
          <w:sz w:val="26"/>
          <w:szCs w:val="26"/>
        </w:rPr>
        <w:t>3.2.2</w:t>
      </w:r>
      <w:r w:rsidRPr="0072600F">
        <w:rPr>
          <w:rFonts w:ascii="Times New Roman" w:hAnsi="Times New Roman" w:cs="Times New Roman"/>
          <w:b/>
          <w:bCs/>
          <w:color w:val="000000"/>
          <w:sz w:val="26"/>
          <w:szCs w:val="26"/>
        </w:rPr>
        <w:tab/>
        <w:t>Repayment.</w:t>
      </w:r>
      <w:r w:rsidRPr="0072600F">
        <w:rPr>
          <w:rFonts w:ascii="Times New Roman" w:hAnsi="Times New Roman" w:cs="Times New Roman"/>
          <w:color w:val="000000"/>
          <w:sz w:val="26"/>
          <w:szCs w:val="26"/>
        </w:rPr>
        <w:t xml:space="preserve">  </w:t>
      </w:r>
    </w:p>
    <w:p w:rsidR="00911580" w:rsidRPr="0072600F" w14:paraId="61086028"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95DC9C2" w14:textId="77777777">
      <w:pPr>
        <w:ind w:left="2880" w:hanging="144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3.2.2.1</w:t>
      </w:r>
      <w:r w:rsidRPr="0072600F">
        <w:rPr>
          <w:rFonts w:ascii="Times New Roman" w:hAnsi="Times New Roman" w:cs="Times New Roman"/>
          <w:b/>
          <w:bCs/>
          <w:color w:val="000000"/>
          <w:sz w:val="26"/>
          <w:szCs w:val="26"/>
        </w:rPr>
        <w:tab/>
        <w:t>Repayment.</w:t>
      </w:r>
      <w:r w:rsidRPr="0072600F">
        <w:rPr>
          <w:rFonts w:ascii="Times New Roman" w:eastAsia="Calibri" w:hAnsi="Times New Roman" w:cs="Times New Roman"/>
          <w:sz w:val="26"/>
          <w:szCs w:val="26"/>
        </w:rPr>
        <w:t xml:space="preserve">  Consistent with Articles 11.4.1 and 11.4.2 of </w:t>
      </w:r>
      <w:r w:rsidRPr="0072600F" w:rsidR="00C6044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044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pro forma LGIA, Affected System</w:t>
      </w:r>
      <w:r w:rsidRPr="0072600F">
        <w:rPr>
          <w:rFonts w:ascii="Times New Roman" w:hAnsi="Times New Roman" w:cs="Times New Roman"/>
          <w:sz w:val="26"/>
          <w:szCs w:val="26"/>
        </w:rPr>
        <w:t xml:space="preserve"> Interconnection Customer shall be entitled to a cash repayment by Transmission Provider of the amount paid to Transmission Provider, if any, for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including any tax gross-up or other tax-related payments associated with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and not refunded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pursuant to Article 3.3.1 or otherwise.  The Parties may mutually agree to a repayment schedule, to be outlined in Appendix A, not to exceed twenty (20) years from the commercial operation date, for the complete repayment for all applicable costs associated with the Affected System Network Upgrade(s).  Any repayment shall include interest calculated in accordance with the methodology set forth in FERC’s regulations at 18 CFR 35.19 a(a)(2)(iii) from the date of any payment for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through the date on which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receives a repayment of such payment pursuant to this subparagraph.  Interest shall not accrue during periods in which</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sz w:val="26"/>
          <w:szCs w:val="26"/>
        </w:rPr>
        <w:t xml:space="preserve"> Interconnection Customer has suspended construction pursuant to Article 3.1.2.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may assign such repayment rights to any person. </w:t>
      </w:r>
      <w:r w:rsidRPr="0072600F">
        <w:rPr>
          <w:rFonts w:ascii="Times New Roman" w:eastAsia="Calibri" w:hAnsi="Times New Roman" w:cs="Times New Roman"/>
          <w:sz w:val="26"/>
          <w:szCs w:val="26"/>
        </w:rPr>
        <w:t xml:space="preserve"> </w:t>
      </w:r>
    </w:p>
    <w:p w:rsidR="00911580" w:rsidRPr="0072600F" w14:paraId="3E11C82E" w14:textId="77777777">
      <w:pPr>
        <w:ind w:left="2880" w:right="171" w:hanging="1440"/>
        <w:rPr>
          <w:rFonts w:ascii="Times New Roman" w:hAnsi="Times New Roman" w:cs="Times New Roman"/>
          <w:sz w:val="26"/>
          <w:szCs w:val="26"/>
        </w:rPr>
      </w:pPr>
      <w:r w:rsidRPr="0072600F">
        <w:rPr>
          <w:rFonts w:ascii="Times New Roman" w:hAnsi="Times New Roman" w:cs="Times New Roman"/>
          <w:color w:val="000000"/>
          <w:sz w:val="26"/>
          <w:szCs w:val="26"/>
        </w:rPr>
        <w:t> </w:t>
      </w:r>
    </w:p>
    <w:p w:rsidR="00911580" w:rsidRPr="0072600F" w14:paraId="4B396919" w14:textId="77777777">
      <w:pPr>
        <w:ind w:left="2880" w:right="171" w:hanging="1440"/>
        <w:rPr>
          <w:rFonts w:ascii="Times New Roman" w:hAnsi="Times New Roman" w:cs="Times New Roman"/>
          <w:sz w:val="26"/>
          <w:szCs w:val="26"/>
        </w:rPr>
      </w:pPr>
      <w:r w:rsidRPr="0072600F">
        <w:rPr>
          <w:rFonts w:ascii="Times New Roman" w:hAnsi="Times New Roman" w:cs="Times New Roman"/>
          <w:b/>
          <w:bCs/>
          <w:sz w:val="26"/>
          <w:szCs w:val="26"/>
        </w:rPr>
        <w:t>3.2.2.2</w:t>
      </w:r>
      <w:r w:rsidRPr="0072600F">
        <w:rPr>
          <w:rFonts w:ascii="Times New Roman" w:hAnsi="Times New Roman" w:cs="Times New Roman"/>
          <w:b/>
          <w:bCs/>
          <w:sz w:val="26"/>
          <w:szCs w:val="26"/>
        </w:rPr>
        <w:tab/>
        <w:t>Impact of Failure to Achieve Commercial Operation.</w:t>
      </w:r>
      <w:r w:rsidRPr="0072600F">
        <w:rPr>
          <w:rFonts w:ascii="Times New Roman" w:hAnsi="Times New Roman" w:cs="Times New Roman"/>
          <w:sz w:val="26"/>
          <w:szCs w:val="26"/>
        </w:rPr>
        <w:t xml:space="preserve">  If the Affected System Interconnection Customer’s</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 xml:space="preserve">generating facility fails to achieve commercial operation, but it or another generating facility is later constructed and makes use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Transmission Provider shall at that time reimburse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for the amounts advanced for the Affected System Network Upgrade(s).  Before any such reimbursement can occur,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(or the entity that ultimately constructs the generating facility, if different), is responsible for identifying the entity to which the reimbursement </w:t>
      </w:r>
      <w:r w:rsidRPr="0072600F">
        <w:rPr>
          <w:rFonts w:ascii="Times New Roman" w:hAnsi="Times New Roman" w:cs="Times New Roman"/>
          <w:color w:val="000000"/>
          <w:sz w:val="26"/>
          <w:szCs w:val="26"/>
        </w:rPr>
        <w:t xml:space="preserve">must be made.  </w:t>
      </w:r>
    </w:p>
    <w:p w:rsidR="00911580" w:rsidRPr="0072600F" w14:paraId="7481BC7F" w14:textId="77777777">
      <w:pPr>
        <w:ind w:left="2880" w:right="171" w:hanging="144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p w:rsidR="00911580" w:rsidRPr="0072600F" w14:paraId="30293ADD"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3.3</w:t>
      </w:r>
      <w:r w:rsidRPr="0072600F">
        <w:rPr>
          <w:rFonts w:ascii="Times New Roman" w:hAnsi="Times New Roman" w:cs="Times New Roman"/>
          <w:b/>
          <w:bCs/>
          <w:color w:val="000000"/>
          <w:sz w:val="26"/>
          <w:szCs w:val="26"/>
        </w:rPr>
        <w:tab/>
        <w:t>Taxes.</w:t>
      </w:r>
    </w:p>
    <w:p w:rsidR="00911580" w:rsidRPr="0072600F" w14:paraId="38C40B5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3F33D3A"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3.3.1</w:t>
      </w:r>
      <w:r w:rsidRPr="0072600F">
        <w:rPr>
          <w:rFonts w:ascii="Times New Roman" w:hAnsi="Times New Roman" w:cs="Times New Roman"/>
          <w:b/>
          <w:bCs/>
          <w:color w:val="000000"/>
          <w:sz w:val="26"/>
          <w:szCs w:val="26"/>
        </w:rPr>
        <w:tab/>
        <w:t xml:space="preserve">Indemnification for Contributions in Aid of Construction.  </w:t>
      </w:r>
      <w:r w:rsidRPr="0072600F">
        <w:rPr>
          <w:rFonts w:ascii="Times New Roman" w:hAnsi="Times New Roman" w:cs="Times New Roman"/>
          <w:color w:val="000000"/>
          <w:sz w:val="26"/>
          <w:szCs w:val="26"/>
        </w:rPr>
        <w:t xml:space="preserve">With regard only to payments made by Affected System Interconnection Customer to Transmission Provider for the installation of the Affected System Network Upgrade(s), Transmission Provider shall not include a gross-up for income taxes in the amounts it charges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for the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unless (1) Transmission Provider has determined, in good faith, that the payments or property transfers made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to Transmission Provider should be reported as income subject to taxation</w:t>
      </w:r>
      <w:r w:rsidRPr="0072600F">
        <w:rPr>
          <w:rFonts w:ascii="Times New Roman" w:hAnsi="Times New Roman" w:cs="Times New Roman"/>
          <w:color w:val="FF0000"/>
          <w:sz w:val="26"/>
          <w:szCs w:val="26"/>
        </w:rPr>
        <w:t>,</w:t>
      </w:r>
      <w:r w:rsidRPr="0072600F">
        <w:rPr>
          <w:rFonts w:ascii="Times New Roman" w:hAnsi="Times New Roman" w:cs="Times New Roman"/>
          <w:color w:val="000000"/>
          <w:sz w:val="26"/>
          <w:szCs w:val="26"/>
        </w:rPr>
        <w:t xml:space="preserve"> or (2) any Governmental Authority directs Transmission Provider to report payments or property as income subject to taxation.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reimburse Transmission Provider for such costs on a fully grossed-up basis, in accordance with this Article, within thirty (30) Calendar Days of receiving written notification from Transmission Provider of the amount due, including detail about how the amount was calculated.  </w:t>
      </w:r>
    </w:p>
    <w:p w:rsidR="00911580" w:rsidRPr="0072600F" w14:paraId="3580BE40"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70F7179" w14:textId="77777777">
      <w:pPr>
        <w:ind w:left="1440"/>
        <w:rPr>
          <w:rFonts w:ascii="Times New Roman" w:hAnsi="Times New Roman" w:cs="Times New Roman"/>
          <w:sz w:val="26"/>
          <w:szCs w:val="26"/>
        </w:rPr>
      </w:pPr>
      <w:r w:rsidRPr="0072600F">
        <w:rPr>
          <w:rFonts w:ascii="Times New Roman" w:hAnsi="Times New Roman" w:cs="Times New Roman"/>
          <w:color w:val="000000"/>
          <w:sz w:val="26"/>
          <w:szCs w:val="26"/>
        </w:rPr>
        <w:t xml:space="preserve">The indemnification obligation shall terminate at the earlier of (1) the expiration </w:t>
      </w:r>
      <w:r w:rsidRPr="0072600F" w:rsidR="00244217">
        <w:rPr>
          <w:rFonts w:ascii="Times New Roman" w:hAnsi="Times New Roman" w:cs="Times New Roman"/>
          <w:color w:val="000000"/>
          <w:sz w:val="26"/>
          <w:szCs w:val="26"/>
        </w:rPr>
        <w:t>O</w:t>
      </w:r>
      <w:r w:rsidRPr="0072600F">
        <w:rPr>
          <w:rFonts w:ascii="Times New Roman" w:hAnsi="Times New Roman" w:cs="Times New Roman"/>
          <w:color w:val="000000"/>
          <w:sz w:val="26"/>
          <w:szCs w:val="26"/>
        </w:rPr>
        <w:t>f the ten (10)-year testing period and the applicable statute of limitation, as it may be extended by Transmission Provider upon request of the Internal Revenue Service, to keep these years open for audit or adjustment, or (2) the occurrence of a subsequent taxable event and the payment of any related indemnification obligations as contemplated by this Article.  Notwithstanding the foregoing provisions of this Article 3.3.1, and to the extent permitted by law, to the extent that the receipt of such payments by</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is determined by any Governmental Authority to constitute income by Transmission Provider subject to taxation,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protect, indemnify</w:t>
      </w:r>
      <w:r w:rsidRPr="0072600F">
        <w:rPr>
          <w:rFonts w:ascii="Times New Roman" w:hAnsi="Times New Roman" w:cs="Times New Roman"/>
          <w:sz w:val="26"/>
          <w:szCs w:val="26"/>
        </w:rPr>
        <w:t>,</w:t>
      </w:r>
      <w:r w:rsidRPr="0072600F">
        <w:rPr>
          <w:rFonts w:ascii="Times New Roman" w:hAnsi="Times New Roman" w:cs="Times New Roman"/>
          <w:color w:val="000000"/>
          <w:sz w:val="26"/>
          <w:szCs w:val="26"/>
        </w:rPr>
        <w:t xml:space="preserve"> and hold harmless Transmission Provider and its Affiliates, from all claims by any such Governmental Authority for any tax, interest</w:t>
      </w:r>
      <w:r w:rsidRPr="0072600F">
        <w:rPr>
          <w:rFonts w:ascii="Times New Roman" w:hAnsi="Times New Roman" w:cs="Times New Roman"/>
          <w:sz w:val="26"/>
          <w:szCs w:val="26"/>
        </w:rPr>
        <w:t>,</w:t>
      </w:r>
      <w:r w:rsidRPr="0072600F">
        <w:rPr>
          <w:rFonts w:ascii="Times New Roman" w:hAnsi="Times New Roman" w:cs="Times New Roman"/>
          <w:color w:val="000000"/>
          <w:sz w:val="26"/>
          <w:szCs w:val="26"/>
        </w:rPr>
        <w:t xml:space="preserve"> and/or penalties associated with such determination.  Upon receiving written notification of such determination from the Governmental Authority,</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shall provide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with written notification within thirty (30) Calendar Days of such determination and notification.  Transmission Provider, upon the timely written request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and 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expense, shall appeal, protest, seek abatement of, or otherwise oppose such determination.  Transmission Provider reserves the right to make all decisions with regard to the prosecution of such appeal, protest, abatement</w:t>
      </w:r>
      <w:r w:rsidRPr="0072600F" w:rsidR="005200E6">
        <w:rPr>
          <w:rFonts w:ascii="Times New Roman" w:hAnsi="Times New Roman" w:cs="Times New Roman"/>
          <w:i/>
          <w:iCs/>
          <w:color w:val="000000"/>
          <w:sz w:val="26"/>
          <w:szCs w:val="26"/>
        </w:rPr>
        <w:t>,</w:t>
      </w:r>
      <w:r w:rsidRPr="0072600F">
        <w:rPr>
          <w:rFonts w:ascii="Times New Roman" w:hAnsi="Times New Roman" w:cs="Times New Roman"/>
          <w:color w:val="000000"/>
          <w:sz w:val="26"/>
          <w:szCs w:val="26"/>
        </w:rPr>
        <w:t xml:space="preserve"> or other contest, including the compromise or settlement of the claim; provided that Transmission Provider shall cooperate and consult in good faith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regarding the conduct of such contest.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not be required to pay Transmission Provider for the tax, interest, and/or penalties prior to the seventh (7</w:t>
      </w:r>
      <w:r w:rsidRPr="0072600F">
        <w:rPr>
          <w:rFonts w:ascii="Times New Roman" w:hAnsi="Times New Roman" w:cs="Times New Roman"/>
          <w:color w:val="000000"/>
          <w:sz w:val="26"/>
          <w:szCs w:val="26"/>
          <w:vertAlign w:val="superscript"/>
        </w:rPr>
        <w:t>th</w:t>
      </w:r>
      <w:r w:rsidRPr="0072600F">
        <w:rPr>
          <w:rFonts w:ascii="Times New Roman" w:hAnsi="Times New Roman" w:cs="Times New Roman"/>
          <w:color w:val="000000"/>
          <w:sz w:val="26"/>
          <w:szCs w:val="26"/>
        </w:rPr>
        <w:t xml:space="preserve">) Calendar Day before the date on which Transmission Provider (1) is required to pay the tax, interest, and/or penalties or other amount in lieu thereof pursuant to a compromise or settlement of the appeal, protest, abatement, or other contest; (2) is required to pay the tax, interest, and/or penalties as the result of a final, non-appealable order by a Governmental Authority; or (3) is required to pay the tax, interest, and/or penalties as a prerequisite to an appeal, protest, abatement, or other contest.  In the event such appeal, protest, abatement, or other contest results in a determination that Transmission Provider is not liable for any portion of any tax, interest, and/or penalties for which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has already made payment to Transmission Provider, Transmission Provider shall promptly refund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 any payment attributable to the amount determined to be non-taxable, plus any interest (calculated in accordance with 18 CFR 35.19a(a)(2)(iii)) or other payments Transmission Provider receives or which Transmission Provider may be entitled with respect to such payment.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shall provide</w:t>
      </w:r>
      <w:r w:rsidRPr="0072600F">
        <w:rPr>
          <w:rFonts w:ascii="Times New Roman" w:eastAsia="Calibri" w:hAnsi="Times New Roman" w:cs="Times New Roman"/>
          <w:sz w:val="26"/>
          <w:szCs w:val="26"/>
        </w:rPr>
        <w:t xml:space="preserve"> </w:t>
      </w:r>
      <w:r w:rsidRPr="0072600F">
        <w:rPr>
          <w:rFonts w:ascii="Times New Roman" w:hAnsi="Times New Roman" w:cs="Times New Roman"/>
          <w:sz w:val="26"/>
          <w:szCs w:val="26"/>
        </w:rPr>
        <w:t xml:space="preserve">Transmission Provider with credit assurances sufficient to meet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w:t>
      </w:r>
      <w:r w:rsidRPr="0072600F">
        <w:rPr>
          <w:rFonts w:ascii="Times New Roman" w:hAnsi="Times New Roman" w:cs="Times New Roman"/>
          <w:color w:val="000000"/>
          <w:sz w:val="26"/>
          <w:szCs w:val="26"/>
        </w:rPr>
        <w:t>Customer’s estimated liability for reimbursement of Transmission Provider for taxes, interest, and/or penalties under this Article 3.3.1.  Such estimated liability shall be stated in Appendix A.</w:t>
      </w:r>
    </w:p>
    <w:p w:rsidR="00911580" w:rsidRPr="0072600F" w14:paraId="1680E8BB" w14:textId="77777777">
      <w:pPr>
        <w:ind w:left="144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6A6D0321" w14:textId="77777777">
      <w:pPr>
        <w:ind w:left="1440"/>
        <w:rPr>
          <w:rFonts w:ascii="Times New Roman" w:hAnsi="Times New Roman" w:cs="Times New Roman"/>
          <w:sz w:val="26"/>
          <w:szCs w:val="26"/>
        </w:rPr>
      </w:pPr>
      <w:r w:rsidRPr="0072600F">
        <w:rPr>
          <w:rFonts w:ascii="Times New Roman" w:hAnsi="Times New Roman" w:cs="Times New Roman"/>
          <w:color w:val="000000"/>
          <w:sz w:val="26"/>
          <w:szCs w:val="26"/>
        </w:rPr>
        <w:t>To the extent that Transmission Provider is a limited liability company and not a corporation, and has elected to be taxed as a partnership, then the following shall apply:  Transmission Provider represents, and the Parties acknowledge, that</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Transmission Provider is a limited liability company and is treated as a partnership for federal income tax purposes.  Any payment made by</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Interconnection Customer to Transmission Provider for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is to be treated as an upfront payment.  It is anticipated by the Parties that any amounts paid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to Transmission Provider for</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Network Upgrade(s) will be reimbursed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in accordance with the terms of this Agreement, provided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fulfills its obligations under this Agreement.  </w:t>
      </w:r>
    </w:p>
    <w:p w:rsidR="00911580" w:rsidRPr="0072600F" w14:paraId="731E07D7"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ab/>
        <w:t xml:space="preserve"> </w:t>
      </w:r>
    </w:p>
    <w:p w:rsidR="00911580" w:rsidRPr="0072600F" w14:paraId="621FB0CC"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3.3.2</w:t>
      </w:r>
      <w:r w:rsidRPr="0072600F">
        <w:rPr>
          <w:rFonts w:ascii="Times New Roman" w:hAnsi="Times New Roman" w:cs="Times New Roman"/>
          <w:b/>
          <w:bCs/>
          <w:color w:val="000000"/>
          <w:sz w:val="26"/>
          <w:szCs w:val="26"/>
        </w:rPr>
        <w:tab/>
        <w:t xml:space="preserve">Private Letter Ruling.  </w:t>
      </w:r>
      <w:r w:rsidRPr="0072600F">
        <w:rPr>
          <w:rFonts w:ascii="Times New Roman" w:hAnsi="Times New Roman" w:cs="Times New Roman"/>
          <w:color w:val="000000"/>
          <w:sz w:val="26"/>
          <w:szCs w:val="26"/>
        </w:rPr>
        <w:t xml:space="preserve">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request and expense, Transmission Provider shall file with the Internal Revenue Service a request for a private letter ruling as to whether any property transferred or sums paid, or to be paid,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to Transmission Provider under this Agreement are subject to federal income taxation.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will prepare the initial draft of the request for a private letter ruling and will certify under penalties of perjury that all facts represented in such request are true and accurate to the best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knowledge.  Transmission Provider and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cooperate in good faith with respect to the submission of such request.</w:t>
      </w:r>
    </w:p>
    <w:p w:rsidR="00911580" w:rsidRPr="0072600F" w14:paraId="74CE7F50"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0F70DE9"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3.3.3</w:t>
      </w:r>
      <w:r w:rsidRPr="0072600F">
        <w:rPr>
          <w:rFonts w:ascii="Times New Roman" w:hAnsi="Times New Roman" w:cs="Times New Roman"/>
          <w:b/>
          <w:bCs/>
          <w:color w:val="000000"/>
          <w:sz w:val="26"/>
          <w:szCs w:val="26"/>
        </w:rPr>
        <w:tab/>
        <w:t>Other Taxes.</w:t>
      </w:r>
      <w:r w:rsidRPr="0072600F">
        <w:rPr>
          <w:rFonts w:ascii="Times New Roman" w:hAnsi="Times New Roman" w:cs="Times New Roman"/>
          <w:color w:val="000000"/>
          <w:sz w:val="26"/>
          <w:szCs w:val="26"/>
        </w:rPr>
        <w:t xml:space="preserve">  Upon the timely request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and 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sole expense, Transmission Provider shall appeal, protest, seek abatement of, or otherwise contest any tax (other than federal or state income tax) asserted or assessed against Transmission Provider for which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may be required to reimburse Transmission Provider under the terms of this Agreement.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pay to Transmission Provider on a periodic basis, as invoiced by Transmission Provider, Transmission Provider’s documented reasonable costs of prosecuting such appeal, protest, abatement, or other contest.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and Transmission Provider shall cooperate in good faith with respect to any such contest.  Unless the payment of such taxes is a prerequisite to an appeal or abatement or cannot be deferred, no amount shall be payable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to Transmission Provider for such taxes until they are assessed by a final, non-appealable order by any court or agency of competent jurisdiction.  In the event that a tax payment is withheld and ultimately due and payable after appeal,</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Interconnection Customer will be responsible for all taxes, interest and penalties, other than penalties attributable to any delay caused by Transmission Provider.  Each Party shall cooperate with the other Party to maintain each Party’s tax status.  Nothing in this Agreement is intended to adversely affect any Party’s tax-exempt status with respect to the issuance of bonds including, but not limited to, local furnishing bonds, as described in section 142(f) of the Internal Revenue Code.</w:t>
      </w:r>
    </w:p>
    <w:p w:rsidR="00911580" w:rsidRPr="0072600F" w14:paraId="10DD6236" w14:textId="77777777">
      <w:pPr>
        <w:rPr>
          <w:rFonts w:ascii="Times New Roman" w:hAnsi="Times New Roman" w:cs="Times New Roman"/>
          <w:color w:val="000000"/>
          <w:sz w:val="26"/>
          <w:szCs w:val="26"/>
        </w:rPr>
      </w:pPr>
    </w:p>
    <w:p w:rsidR="00911580" w:rsidRPr="0072600F" w14:paraId="180D7ECC"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4</w:t>
      </w:r>
    </w:p>
    <w:p w:rsidR="00911580" w:rsidRPr="0072600F" w14:paraId="58C60F08"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 xml:space="preserve">SECURITY, </w:t>
      </w:r>
      <w:r w:rsidRPr="0072600F">
        <w:rPr>
          <w:rFonts w:ascii="Times New Roman" w:hAnsi="Times New Roman" w:cs="Times New Roman"/>
          <w:b/>
          <w:bCs/>
          <w:sz w:val="26"/>
          <w:szCs w:val="26"/>
        </w:rPr>
        <w:t xml:space="preserve">BILLING, AND </w:t>
      </w:r>
      <w:r w:rsidRPr="0072600F">
        <w:rPr>
          <w:rFonts w:ascii="Times New Roman" w:hAnsi="Times New Roman" w:cs="Times New Roman"/>
          <w:b/>
          <w:bCs/>
          <w:color w:val="000000"/>
          <w:sz w:val="26"/>
          <w:szCs w:val="26"/>
        </w:rPr>
        <w:t>PAYMENTS</w:t>
      </w:r>
    </w:p>
    <w:p w:rsidR="00911580" w:rsidRPr="0072600F" w14:paraId="413B853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3726A9F"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4.1</w:t>
      </w:r>
      <w:r w:rsidRPr="0072600F">
        <w:rPr>
          <w:rFonts w:ascii="Times New Roman" w:hAnsi="Times New Roman" w:cs="Times New Roman"/>
          <w:b/>
          <w:bCs/>
          <w:color w:val="000000"/>
          <w:sz w:val="26"/>
          <w:szCs w:val="26"/>
        </w:rPr>
        <w:tab/>
        <w:t>Provision of Security.</w:t>
      </w:r>
      <w:r w:rsidRPr="0072600F">
        <w:rPr>
          <w:rFonts w:ascii="Times New Roman" w:hAnsi="Times New Roman" w:cs="Times New Roman"/>
          <w:color w:val="000000"/>
          <w:sz w:val="26"/>
          <w:szCs w:val="26"/>
        </w:rPr>
        <w:t xml:space="preserve">  By the earlier of (1) thirty (30) Calendar Days prior to the due date for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Customer’s first payment under the payment schedule specified in Appendix A, or (2) the first date specified in Appendix A for the ordering of equipment by Transmission Provider for installing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shall provide</w:t>
      </w:r>
      <w:r w:rsidRPr="0072600F">
        <w:rPr>
          <w:rFonts w:ascii="Times New Roman" w:eastAsia="Calibri" w:hAnsi="Times New Roman" w:cs="Times New Roman"/>
          <w:sz w:val="26"/>
          <w:szCs w:val="26"/>
        </w:rPr>
        <w:t xml:space="preserve"> </w:t>
      </w:r>
      <w:r w:rsidRPr="0072600F">
        <w:rPr>
          <w:rFonts w:ascii="Times New Roman" w:hAnsi="Times New Roman" w:cs="Times New Roman"/>
          <w:sz w:val="26"/>
          <w:szCs w:val="26"/>
        </w:rPr>
        <w:t xml:space="preserve">Transmission Provider, 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s option, a guarantee, a surety bond, letter of credit or other form of security that is reasonably acceptable to</w:t>
      </w:r>
      <w:r w:rsidRPr="0072600F">
        <w:rPr>
          <w:rFonts w:ascii="Times New Roman" w:eastAsia="Calibri" w:hAnsi="Times New Roman" w:cs="Times New Roman"/>
          <w:sz w:val="26"/>
          <w:szCs w:val="26"/>
        </w:rPr>
        <w:t xml:space="preserve"> </w:t>
      </w:r>
      <w:r w:rsidRPr="0072600F">
        <w:rPr>
          <w:rFonts w:ascii="Times New Roman" w:hAnsi="Times New Roman" w:cs="Times New Roman"/>
          <w:sz w:val="26"/>
          <w:szCs w:val="26"/>
        </w:rPr>
        <w:t xml:space="preserve">Transmission Provider.  Such security for payment shall be in an amount sufficient to cover the costs for constructing, procuring, and installing the applicable portion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and shall be reduced on a dollar-for-dollar basis for payments made to Transmission Provider for these purposes.  </w:t>
      </w:r>
    </w:p>
    <w:p w:rsidR="00911580" w:rsidRPr="0072600F" w14:paraId="77710EDB" w14:textId="77777777">
      <w:pPr>
        <w:ind w:left="720" w:hanging="720"/>
        <w:rPr>
          <w:rFonts w:ascii="Times New Roman" w:hAnsi="Times New Roman" w:cs="Times New Roman"/>
          <w:sz w:val="26"/>
          <w:szCs w:val="26"/>
        </w:rPr>
      </w:pPr>
    </w:p>
    <w:p w:rsidR="00911580" w:rsidRPr="0072600F" w14:paraId="4753D122" w14:textId="77777777">
      <w:pPr>
        <w:ind w:left="720"/>
        <w:rPr>
          <w:rFonts w:ascii="Times New Roman" w:hAnsi="Times New Roman" w:cs="Times New Roman"/>
          <w:color w:val="000000"/>
          <w:sz w:val="26"/>
          <w:szCs w:val="26"/>
        </w:rPr>
      </w:pPr>
      <w:r w:rsidRPr="0072600F">
        <w:rPr>
          <w:rFonts w:ascii="Times New Roman" w:hAnsi="Times New Roman" w:cs="Times New Roman"/>
          <w:sz w:val="26"/>
          <w:szCs w:val="26"/>
        </w:rPr>
        <w:t xml:space="preserve">The guarantee must be made by an entity that meets </w:t>
      </w:r>
      <w:r w:rsidRPr="0072600F">
        <w:rPr>
          <w:rFonts w:ascii="Times New Roman" w:hAnsi="Times New Roman" w:cs="Times New Roman"/>
          <w:color w:val="000000"/>
          <w:sz w:val="26"/>
          <w:szCs w:val="26"/>
        </w:rPr>
        <w:t xml:space="preserve">the creditworthiness requirements of Transmission Provider and contain terms and conditions that guarantee payment of any amount that may be due from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up to an agreed-to maximum amount.  The letter of credit must be issued by a financial institution reasonably acceptable to Transmission Provider and must specify a reasonable expiration date.  The surety bond must be issued by an insurer reasonably acceptable to</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Transmission Provider and must specify a reasonable expiration date.</w:t>
      </w:r>
    </w:p>
    <w:p w:rsidR="00911580" w:rsidRPr="0072600F" w14:paraId="758ADCA4"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B3F70DE"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4.2</w:t>
      </w:r>
      <w:r w:rsidRPr="0072600F">
        <w:rPr>
          <w:rFonts w:ascii="Times New Roman" w:hAnsi="Times New Roman" w:cs="Times New Roman"/>
          <w:b/>
          <w:bCs/>
          <w:color w:val="000000"/>
          <w:sz w:val="26"/>
          <w:szCs w:val="26"/>
        </w:rPr>
        <w:tab/>
        <w:t>Invoice.</w:t>
      </w:r>
      <w:r w:rsidRPr="0072600F">
        <w:rPr>
          <w:rFonts w:ascii="Times New Roman" w:hAnsi="Times New Roman" w:cs="Times New Roman"/>
          <w:color w:val="000000"/>
          <w:sz w:val="26"/>
          <w:szCs w:val="26"/>
        </w:rPr>
        <w:t xml:space="preserve">  Each Party shall submit to the other Party, on a monthly basis, invoices of amounts due, if any,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Agreement, including interest payments, shall be netted so that only the net amount remaining due shall be paid by the owing Party.  </w:t>
      </w:r>
    </w:p>
    <w:p w:rsidR="00911580" w:rsidRPr="0072600F" w14:paraId="7BD9E710"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18238BC"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4.3</w:t>
      </w:r>
      <w:r w:rsidRPr="0072600F">
        <w:rPr>
          <w:rFonts w:ascii="Times New Roman" w:hAnsi="Times New Roman" w:cs="Times New Roman"/>
          <w:b/>
          <w:bCs/>
          <w:color w:val="000000"/>
          <w:sz w:val="26"/>
          <w:szCs w:val="26"/>
        </w:rPr>
        <w:tab/>
        <w:t xml:space="preserve">Payment.  </w:t>
      </w:r>
      <w:r w:rsidRPr="0072600F">
        <w:rPr>
          <w:rFonts w:ascii="Times New Roman" w:hAnsi="Times New Roman" w:cs="Times New Roman"/>
          <w:color w:val="000000"/>
          <w:sz w:val="26"/>
          <w:szCs w:val="26"/>
        </w:rPr>
        <w:t xml:space="preserve">Invoices shall be rendered to the paying Party at the address specified by the Parties.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by a Party will not constitute a waiver of any rights or claims that Party may have under this Agreement. </w:t>
      </w:r>
    </w:p>
    <w:p w:rsidR="00911580" w:rsidRPr="0072600F" w14:paraId="2BC7821A"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FD6F86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4.4</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Final Invoice.  </w:t>
      </w:r>
      <w:r w:rsidRPr="0072600F">
        <w:rPr>
          <w:rFonts w:ascii="Times New Roman" w:hAnsi="Times New Roman" w:cs="Times New Roman"/>
          <w:color w:val="000000"/>
          <w:sz w:val="26"/>
          <w:szCs w:val="26"/>
        </w:rPr>
        <w:t xml:space="preserve">Within six (6) months after completion of the construction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Transmission Provider shall provide an invoice of the final cost of the construction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and shall set forth such costs in sufficient detail to enable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to compare the actual costs with the estimates and to ascertain deviations, if any, from the cost estimates.  Transmission Provider shall refund, with interest (calculated in accordance with 18 CFR 35.19a(a)(2)(iii)),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any amount by which the actual payment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for estimated costs exceeds the actual costs of construction within thirty (30) Calendar Days of the issuance of such final construction invoice. </w:t>
      </w:r>
    </w:p>
    <w:p w:rsidR="00911580" w:rsidRPr="0072600F" w14:paraId="1503B8BF"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AD33580"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4.5</w:t>
      </w:r>
      <w:r w:rsidRPr="0072600F">
        <w:rPr>
          <w:rFonts w:ascii="Times New Roman" w:hAnsi="Times New Roman" w:cs="Times New Roman"/>
          <w:b/>
          <w:bCs/>
          <w:color w:val="000000"/>
          <w:sz w:val="26"/>
          <w:szCs w:val="26"/>
        </w:rPr>
        <w:tab/>
        <w:t>Interest.</w:t>
      </w:r>
      <w:r w:rsidRPr="0072600F">
        <w:rPr>
          <w:rFonts w:ascii="Times New Roman" w:hAnsi="Times New Roman" w:cs="Times New Roman"/>
          <w:color w:val="000000"/>
          <w:sz w:val="26"/>
          <w:szCs w:val="26"/>
        </w:rPr>
        <w:t xml:space="preserve">  Interest on any unpaid amounts shall be calculated in accordance with 18 CFR 35.19a(a)(2)(iii). </w:t>
      </w:r>
    </w:p>
    <w:p w:rsidR="00911580" w:rsidRPr="0072600F" w14:paraId="23B85F98"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33819DD"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4.6</w:t>
      </w:r>
      <w:r w:rsidRPr="0072600F">
        <w:rPr>
          <w:rFonts w:ascii="Times New Roman" w:hAnsi="Times New Roman" w:cs="Times New Roman"/>
          <w:b/>
          <w:bCs/>
          <w:color w:val="000000"/>
          <w:sz w:val="26"/>
          <w:szCs w:val="26"/>
        </w:rPr>
        <w:tab/>
        <w:t>Payment During Dispute.</w:t>
      </w:r>
      <w:r w:rsidRPr="0072600F">
        <w:rPr>
          <w:rFonts w:ascii="Times New Roman" w:hAnsi="Times New Roman" w:cs="Times New Roman"/>
          <w:color w:val="000000"/>
          <w:sz w:val="26"/>
          <w:szCs w:val="26"/>
        </w:rPr>
        <w:t xml:space="preserve">  In the event of a billing dispute among the Parties, Transmission Provider shall continue to construct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under this Agreement as long as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(1) continues to make all payments not in dispute; and (2) pays to Transmission Provider or into an independent escrow account the portion of the invoice in dispute, pending resolution of such dispute.  If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fails to meet these two requirements, then Transmission Provider may provide notice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of a Default pursuant to Article 5.  Within thirty (30) Calendar Days after the resolution of the dispute, the Party that owes money to another Party shall pay the amount due with interest calculated in </w:t>
      </w:r>
      <w:r w:rsidRPr="0072600F">
        <w:rPr>
          <w:rFonts w:ascii="Times New Roman" w:hAnsi="Times New Roman" w:cs="Times New Roman"/>
          <w:sz w:val="26"/>
          <w:szCs w:val="26"/>
        </w:rPr>
        <w:t xml:space="preserve">accordance with </w:t>
      </w:r>
      <w:r w:rsidRPr="0072600F">
        <w:rPr>
          <w:rFonts w:ascii="Times New Roman" w:hAnsi="Times New Roman" w:cs="Times New Roman"/>
          <w:color w:val="000000"/>
          <w:sz w:val="26"/>
          <w:szCs w:val="26"/>
        </w:rPr>
        <w:t>the methodology set forth in 18 CFR 35.19a(a)(2)(iii).</w:t>
      </w:r>
    </w:p>
    <w:p w:rsidR="00911580" w:rsidRPr="0072600F" w14:paraId="4A4536B6"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5</w:t>
      </w:r>
    </w:p>
    <w:p w:rsidR="00911580" w:rsidRPr="0072600F" w14:paraId="5C50AEAB"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BREACH, CURE AND DEFAULT</w:t>
      </w:r>
    </w:p>
    <w:p w:rsidR="00911580" w:rsidRPr="0072600F" w14:paraId="1E49CC10"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026318C" w14:textId="77777777">
      <w:pPr>
        <w:ind w:left="720" w:hanging="720"/>
        <w:rPr>
          <w:rFonts w:ascii="Times New Roman" w:hAnsi="Times New Roman" w:cs="Times New Roman"/>
          <w:sz w:val="26"/>
          <w:szCs w:val="26"/>
        </w:rPr>
      </w:pPr>
      <w:bookmarkStart w:id="351" w:name="_Hlk136011403"/>
      <w:r w:rsidRPr="0072600F">
        <w:rPr>
          <w:rFonts w:ascii="Times New Roman" w:hAnsi="Times New Roman" w:cs="Times New Roman"/>
          <w:b/>
          <w:bCs/>
          <w:color w:val="000000"/>
          <w:sz w:val="26"/>
          <w:szCs w:val="26"/>
        </w:rPr>
        <w:t>5.1</w:t>
      </w:r>
      <w:r w:rsidRPr="0072600F">
        <w:rPr>
          <w:rFonts w:ascii="Times New Roman" w:hAnsi="Times New Roman" w:cs="Times New Roman"/>
          <w:b/>
          <w:bCs/>
          <w:color w:val="000000"/>
          <w:sz w:val="26"/>
          <w:szCs w:val="26"/>
        </w:rPr>
        <w:tab/>
        <w:t>Events of Breach.</w:t>
      </w:r>
      <w:r w:rsidRPr="0072600F">
        <w:rPr>
          <w:rFonts w:ascii="Times New Roman" w:hAnsi="Times New Roman" w:cs="Times New Roman"/>
          <w:color w:val="000000"/>
          <w:sz w:val="26"/>
          <w:szCs w:val="26"/>
        </w:rPr>
        <w:t xml:space="preserve">  A Breach of this Agreement shall include the:</w:t>
      </w:r>
    </w:p>
    <w:p w:rsidR="00911580" w:rsidRPr="0072600F" w14:paraId="24477006"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575304" w14:paraId="63A15771"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(a) Failure to pay any amount when due;</w:t>
      </w:r>
    </w:p>
    <w:p w:rsidR="00911580" w:rsidRPr="0072600F" w14:paraId="3FA46BE8"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1CC85AA"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(b) Failure to comply with any material term or condition of this Agreement,</w:t>
      </w:r>
    </w:p>
    <w:p w:rsidR="00911580" w:rsidRPr="0072600F" w14:paraId="3E309131"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xml:space="preserve">including but not limited to any material </w:t>
      </w:r>
      <w:r w:rsidRPr="0072600F">
        <w:rPr>
          <w:rFonts w:ascii="Times New Roman" w:hAnsi="Times New Roman" w:cs="Times New Roman"/>
          <w:sz w:val="26"/>
          <w:szCs w:val="26"/>
        </w:rPr>
        <w:t>Breach</w:t>
      </w:r>
      <w:r w:rsidRPr="0072600F">
        <w:rPr>
          <w:rFonts w:ascii="Times New Roman" w:hAnsi="Times New Roman" w:cs="Times New Roman"/>
          <w:color w:val="000000"/>
          <w:sz w:val="26"/>
          <w:szCs w:val="26"/>
        </w:rPr>
        <w:t xml:space="preserve"> of a representation, warranty, or</w:t>
      </w:r>
    </w:p>
    <w:p w:rsidR="00911580" w:rsidRPr="0072600F" w14:paraId="683ED4BF"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covenant made in this Agreement;</w:t>
      </w:r>
    </w:p>
    <w:p w:rsidR="00911580" w:rsidRPr="0072600F" w14:paraId="4D749C52" w14:textId="77777777">
      <w:pPr>
        <w:ind w:left="1440" w:hanging="720"/>
        <w:rPr>
          <w:rFonts w:ascii="Times New Roman" w:hAnsi="Times New Roman" w:cs="Times New Roman"/>
          <w:color w:val="000000"/>
          <w:sz w:val="26"/>
          <w:szCs w:val="26"/>
        </w:rPr>
      </w:pPr>
    </w:p>
    <w:p w:rsidR="00911580" w:rsidRPr="0072600F" w14:paraId="0D9DD613"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 xml:space="preserve">(c) </w:t>
      </w:r>
      <w:r w:rsidRPr="0072600F">
        <w:rPr>
          <w:rFonts w:ascii="Times New Roman" w:hAnsi="Times New Roman" w:cs="Times New Roman"/>
          <w:sz w:val="26"/>
          <w:szCs w:val="26"/>
        </w:rPr>
        <w:t>Failure of a Party to provide such access rights, or a Party’s attempt to revoke</w:t>
      </w:r>
    </w:p>
    <w:p w:rsidR="00911580" w:rsidRPr="0072600F" w14:paraId="7B2A5A09" w14:textId="77777777">
      <w:pPr>
        <w:ind w:left="1440" w:hanging="720"/>
        <w:rPr>
          <w:rFonts w:ascii="Times New Roman" w:hAnsi="Times New Roman" w:cs="Times New Roman"/>
          <w:sz w:val="26"/>
          <w:szCs w:val="26"/>
        </w:rPr>
      </w:pPr>
      <w:r w:rsidRPr="0072600F">
        <w:rPr>
          <w:rFonts w:ascii="Times New Roman" w:hAnsi="Times New Roman" w:cs="Times New Roman"/>
          <w:sz w:val="26"/>
          <w:szCs w:val="26"/>
        </w:rPr>
        <w:t>access or terminate such access rights, as provided under this Agreement</w:t>
      </w:r>
      <w:r w:rsidRPr="0072600F">
        <w:rPr>
          <w:rFonts w:ascii="Times New Roman" w:hAnsi="Times New Roman" w:cs="Times New Roman"/>
          <w:color w:val="000000"/>
          <w:sz w:val="26"/>
          <w:szCs w:val="26"/>
        </w:rPr>
        <w:t>; or</w:t>
      </w:r>
    </w:p>
    <w:bookmarkEnd w:id="351"/>
    <w:p w:rsidR="00911580" w:rsidRPr="0072600F" w14:paraId="22CD01E2" w14:textId="77777777">
      <w:pPr>
        <w:ind w:left="1440" w:hanging="720"/>
        <w:rPr>
          <w:rFonts w:ascii="Times New Roman" w:hAnsi="Times New Roman" w:cs="Times New Roman"/>
          <w:color w:val="000000"/>
          <w:sz w:val="26"/>
          <w:szCs w:val="26"/>
        </w:rPr>
      </w:pPr>
    </w:p>
    <w:p w:rsidR="00911580" w:rsidRPr="0072600F" w14:paraId="2DCE0342"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(d) Failure of a Party to provide information or data to another Party as required</w:t>
      </w:r>
    </w:p>
    <w:p w:rsidR="00911580" w:rsidRPr="0072600F" w14:paraId="535FD1BE"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under this Agreement, provided the Party entitled to the information or data under</w:t>
      </w:r>
    </w:p>
    <w:p w:rsidR="00911580" w:rsidRPr="0072600F" w14:paraId="1DFE4CE7"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this Agreement requires such information or data to satisfy its obligations under</w:t>
      </w:r>
    </w:p>
    <w:p w:rsidR="00911580" w:rsidRPr="0072600F" w14:paraId="3FD8FC74"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this Agreement.</w:t>
      </w:r>
    </w:p>
    <w:p w:rsidR="00911580" w:rsidRPr="0072600F" w14:paraId="0259D35F"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B0EA633"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5.2</w:t>
      </w:r>
      <w:r w:rsidRPr="0072600F">
        <w:rPr>
          <w:rFonts w:ascii="Times New Roman" w:hAnsi="Times New Roman" w:cs="Times New Roman"/>
          <w:b/>
          <w:bCs/>
          <w:color w:val="000000"/>
          <w:sz w:val="26"/>
          <w:szCs w:val="26"/>
        </w:rPr>
        <w:tab/>
        <w:t xml:space="preserve">Definition.  </w:t>
      </w:r>
      <w:r w:rsidRPr="0072600F">
        <w:rPr>
          <w:rFonts w:ascii="Times New Roman" w:hAnsi="Times New Roman" w:cs="Times New Roman"/>
          <w:color w:val="000000"/>
          <w:sz w:val="26"/>
          <w:szCs w:val="26"/>
        </w:rPr>
        <w:t>Breaching Party shall mean the Party that is in Breach</w:t>
      </w:r>
      <w:r w:rsidRPr="0072600F">
        <w:rPr>
          <w:rFonts w:ascii="Times New Roman" w:hAnsi="Times New Roman" w:cs="Times New Roman"/>
          <w:b/>
          <w:bCs/>
          <w:color w:val="000000"/>
          <w:sz w:val="26"/>
          <w:szCs w:val="26"/>
        </w:rPr>
        <w:t>.</w:t>
      </w:r>
    </w:p>
    <w:p w:rsidR="00911580" w:rsidRPr="0072600F" w14:paraId="0C0ABF56" w14:textId="77777777">
      <w:pPr>
        <w:ind w:left="720" w:hanging="720"/>
        <w:rPr>
          <w:rFonts w:ascii="Times New Roman" w:hAnsi="Times New Roman" w:cs="Times New Roman"/>
          <w:b/>
          <w:bCs/>
          <w:color w:val="000000"/>
          <w:sz w:val="26"/>
          <w:szCs w:val="26"/>
        </w:rPr>
      </w:pPr>
    </w:p>
    <w:p w:rsidR="00911580" w:rsidRPr="0072600F" w14:paraId="135AF154"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 xml:space="preserve">5.3 </w:t>
      </w:r>
      <w:r w:rsidRPr="0072600F">
        <w:rPr>
          <w:rFonts w:ascii="Times New Roman" w:hAnsi="Times New Roman" w:cs="Times New Roman"/>
          <w:b/>
          <w:bCs/>
          <w:color w:val="000000"/>
          <w:sz w:val="26"/>
          <w:szCs w:val="26"/>
        </w:rPr>
        <w:tab/>
        <w:t xml:space="preserve">Notice of Breach, </w:t>
      </w:r>
      <w:r w:rsidRPr="0072600F">
        <w:rPr>
          <w:rFonts w:ascii="Times New Roman" w:hAnsi="Times New Roman" w:cs="Times New Roman"/>
          <w:b/>
          <w:bCs/>
          <w:sz w:val="26"/>
          <w:szCs w:val="26"/>
        </w:rPr>
        <w:t>Cure, and Default.</w:t>
      </w:r>
      <w:r w:rsidRPr="0072600F">
        <w:rPr>
          <w:rFonts w:ascii="Times New Roman" w:hAnsi="Times New Roman" w:cs="Times New Roman"/>
          <w:sz w:val="26"/>
          <w:szCs w:val="26"/>
        </w:rPr>
        <w:t xml:space="preserve">  Upon the occurrence of an event of Breach, the Party not in Breach, </w:t>
      </w:r>
      <w:r w:rsidRPr="0072600F">
        <w:rPr>
          <w:rFonts w:ascii="Times New Roman" w:hAnsi="Times New Roman" w:cs="Times New Roman"/>
          <w:color w:val="000000"/>
          <w:sz w:val="26"/>
          <w:szCs w:val="26"/>
        </w:rPr>
        <w:t xml:space="preserve">when it becomes aware of the Breach, shall give written notice of the Breach to the </w:t>
      </w:r>
      <w:r w:rsidRPr="0072600F">
        <w:rPr>
          <w:rFonts w:ascii="Times New Roman" w:hAnsi="Times New Roman" w:cs="Times New Roman"/>
          <w:sz w:val="26"/>
          <w:szCs w:val="26"/>
        </w:rPr>
        <w:t>B</w:t>
      </w:r>
      <w:r w:rsidRPr="0072600F">
        <w:rPr>
          <w:rFonts w:ascii="Times New Roman" w:hAnsi="Times New Roman" w:cs="Times New Roman"/>
          <w:color w:val="000000"/>
          <w:sz w:val="26"/>
          <w:szCs w:val="26"/>
        </w:rPr>
        <w:t xml:space="preserve">reaching Party and to any other person representing a Party to this Agreement identified in writing to the other Party in advance.  Such notice shall set forth, in reasonable detail, the nature of the Breach, and where known and applicable, the steps necessary to cure such Breach.  </w:t>
      </w:r>
    </w:p>
    <w:p w:rsidR="00911580" w:rsidRPr="0072600F" w14:paraId="22E8E80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C192296"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5.3.1</w:t>
      </w:r>
      <w:r w:rsidRPr="0072600F">
        <w:rPr>
          <w:rFonts w:ascii="Times New Roman" w:hAnsi="Times New Roman" w:cs="Times New Roman"/>
          <w:b/>
          <w:bCs/>
          <w:color w:val="000000"/>
          <w:sz w:val="26"/>
          <w:szCs w:val="26"/>
        </w:rPr>
        <w:tab/>
      </w:r>
      <w:r w:rsidRPr="0072600F">
        <w:rPr>
          <w:rFonts w:ascii="Times New Roman" w:hAnsi="Times New Roman" w:cs="Times New Roman"/>
          <w:color w:val="000000"/>
          <w:sz w:val="26"/>
          <w:szCs w:val="26"/>
        </w:rPr>
        <w:t xml:space="preserve">Upon receiving written </w:t>
      </w:r>
      <w:r w:rsidRPr="0072600F">
        <w:rPr>
          <w:rFonts w:ascii="Times New Roman" w:hAnsi="Times New Roman" w:cs="Times New Roman"/>
          <w:sz w:val="26"/>
          <w:szCs w:val="26"/>
        </w:rPr>
        <w:t xml:space="preserve">notice of the Breach hereunder, the Breaching Party shall have a period to cure such Breach (hereinafter referred to as the “Cure Period”) which shall be sixty (60) Calendar Days.  </w:t>
      </w:r>
    </w:p>
    <w:p w:rsidR="00911580" w:rsidRPr="0072600F" w14:paraId="4B50C57C" w14:textId="77777777">
      <w:pPr>
        <w:ind w:left="1440" w:hanging="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74B4FC96" w14:textId="77777777">
      <w:pPr>
        <w:ind w:left="1440" w:hanging="720"/>
        <w:rPr>
          <w:rFonts w:ascii="Times New Roman" w:hAnsi="Times New Roman" w:cs="Times New Roman"/>
          <w:strike/>
          <w:color w:val="FF0000"/>
          <w:sz w:val="26"/>
          <w:szCs w:val="26"/>
        </w:rPr>
      </w:pPr>
      <w:r w:rsidRPr="0072600F">
        <w:rPr>
          <w:rFonts w:ascii="Times New Roman" w:hAnsi="Times New Roman" w:cs="Times New Roman"/>
          <w:b/>
          <w:bCs/>
          <w:sz w:val="26"/>
          <w:szCs w:val="26"/>
        </w:rPr>
        <w:t>5.3.2</w:t>
      </w:r>
      <w:r w:rsidRPr="0072600F">
        <w:rPr>
          <w:rFonts w:ascii="Times New Roman" w:hAnsi="Times New Roman" w:cs="Times New Roman"/>
          <w:b/>
          <w:bCs/>
          <w:sz w:val="26"/>
          <w:szCs w:val="26"/>
        </w:rPr>
        <w:tab/>
      </w:r>
      <w:r w:rsidRPr="0072600F">
        <w:rPr>
          <w:rFonts w:ascii="Times New Roman" w:hAnsi="Times New Roman" w:cs="Times New Roman"/>
          <w:sz w:val="26"/>
          <w:szCs w:val="26"/>
        </w:rPr>
        <w:t>In the event the Breaching Party fails to cure within the Cure Period, the Breaching Party will be in Default of this Agreement, and the non-</w:t>
      </w:r>
      <w:r w:rsidRPr="0072600F">
        <w:rPr>
          <w:rFonts w:ascii="Times New Roman" w:hAnsi="Times New Roman" w:cs="Times New Roman"/>
          <w:strike/>
          <w:sz w:val="26"/>
          <w:szCs w:val="26"/>
        </w:rPr>
        <w:t xml:space="preserve"> </w:t>
      </w:r>
      <w:r w:rsidRPr="0072600F">
        <w:rPr>
          <w:rFonts w:ascii="Times New Roman" w:hAnsi="Times New Roman" w:cs="Times New Roman"/>
          <w:sz w:val="26"/>
          <w:szCs w:val="26"/>
        </w:rPr>
        <w:t xml:space="preserve">Defaulting Party may terminate this Agreement in accordance with Article 6.2 of this Agreement or take whatever action at law or in equity as may appear necessary or desirable to enforce </w:t>
      </w:r>
      <w:r w:rsidRPr="0072600F">
        <w:rPr>
          <w:rFonts w:ascii="Times New Roman" w:hAnsi="Times New Roman" w:cs="Times New Roman"/>
          <w:color w:val="000000"/>
          <w:sz w:val="26"/>
          <w:szCs w:val="26"/>
        </w:rPr>
        <w:t xml:space="preserve">the performance or observance of any rights, remedies, obligations, agreement, or covenants under this Agreement. </w:t>
      </w:r>
    </w:p>
    <w:p w:rsidR="00911580" w:rsidRPr="0072600F" w14:paraId="5E4AFED3"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w:t>
      </w:r>
    </w:p>
    <w:p w:rsidR="00911580" w:rsidRPr="0072600F" w14:paraId="7E1EDA10" w14:textId="77777777">
      <w:pPr>
        <w:ind w:left="720" w:hanging="720"/>
        <w:rPr>
          <w:rFonts w:ascii="Times New Roman" w:hAnsi="Times New Roman" w:cs="Times New Roman"/>
          <w:sz w:val="26"/>
          <w:szCs w:val="26"/>
        </w:rPr>
      </w:pPr>
      <w:r w:rsidRPr="0072600F">
        <w:rPr>
          <w:rFonts w:ascii="Times New Roman" w:hAnsi="Times New Roman" w:cs="Times New Roman"/>
          <w:b/>
          <w:bCs/>
          <w:sz w:val="26"/>
          <w:szCs w:val="26"/>
        </w:rPr>
        <w:t>5.4</w:t>
      </w:r>
      <w:r w:rsidRPr="0072600F">
        <w:rPr>
          <w:rFonts w:ascii="Times New Roman" w:hAnsi="Times New Roman" w:cs="Times New Roman"/>
          <w:b/>
          <w:bCs/>
          <w:sz w:val="26"/>
          <w:szCs w:val="26"/>
        </w:rPr>
        <w:tab/>
        <w:t xml:space="preserve">Rights in the Event of Default.  </w:t>
      </w:r>
      <w:r w:rsidRPr="0072600F">
        <w:rPr>
          <w:rFonts w:ascii="Times New Roman" w:hAnsi="Times New Roman" w:cs="Times New Roman"/>
          <w:sz w:val="26"/>
          <w:szCs w:val="26"/>
        </w:rPr>
        <w:t>Notwithstanding the foregoing, upon the occurrence of a Default</w:t>
      </w:r>
      <w:r w:rsidRPr="0072600F">
        <w:rPr>
          <w:rFonts w:ascii="Times New Roman" w:hAnsi="Times New Roman" w:cs="Times New Roman"/>
          <w:color w:val="000000"/>
          <w:sz w:val="26"/>
          <w:szCs w:val="26"/>
        </w:rPr>
        <w:t>, the non-</w:t>
      </w:r>
      <w:r w:rsidRPr="0072600F">
        <w:rPr>
          <w:rFonts w:ascii="Times New Roman" w:hAnsi="Times New Roman" w:cs="Times New Roman"/>
          <w:sz w:val="26"/>
          <w:szCs w:val="26"/>
        </w:rPr>
        <w:t>D</w:t>
      </w:r>
      <w:r w:rsidRPr="0072600F">
        <w:rPr>
          <w:rFonts w:ascii="Times New Roman" w:hAnsi="Times New Roman" w:cs="Times New Roman"/>
          <w:color w:val="000000"/>
          <w:sz w:val="26"/>
          <w:szCs w:val="26"/>
        </w:rPr>
        <w:t>efaulting Party shall be entitled to exercise all rights and remedies it may have in equity or at law.</w:t>
      </w:r>
    </w:p>
    <w:p w:rsidR="00911580" w:rsidRPr="0072600F" w14:paraId="00A089D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9D55BB8"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6</w:t>
      </w:r>
    </w:p>
    <w:p w:rsidR="00911580" w:rsidRPr="0072600F" w:rsidP="008B6C7F" w14:paraId="792C6E6B" w14:textId="77777777">
      <w:pPr>
        <w:jc w:val="center"/>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TERMINATION OF AGREEMENT</w:t>
      </w:r>
    </w:p>
    <w:p w:rsidR="00911580" w:rsidRPr="0072600F" w:rsidP="003246C9" w14:paraId="3894FCA4"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6.1</w:t>
      </w:r>
      <w:r w:rsidRPr="0072600F">
        <w:rPr>
          <w:rFonts w:ascii="Times New Roman" w:hAnsi="Times New Roman" w:cs="Times New Roman"/>
          <w:b/>
          <w:color w:val="000000"/>
          <w:sz w:val="26"/>
          <w:szCs w:val="26"/>
        </w:rPr>
        <w:tab/>
        <w:t>Expiration of Term.</w:t>
      </w:r>
      <w:r w:rsidRPr="0072600F">
        <w:rPr>
          <w:rFonts w:ascii="Times New Roman" w:hAnsi="Times New Roman" w:cs="Times New Roman"/>
          <w:color w:val="000000"/>
          <w:sz w:val="26"/>
          <w:szCs w:val="26"/>
        </w:rPr>
        <w:t xml:space="preserve">  Except as otherwise specified in this Article 6, the Parties’ obligations under this Agreement shall terminate at the conclusion of the term of this Agreement.</w:t>
      </w:r>
    </w:p>
    <w:p w:rsidR="00911580" w:rsidRPr="0072600F" w14:paraId="46ACE1E4"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7162B826"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6.2</w:t>
      </w:r>
      <w:r w:rsidRPr="0072600F">
        <w:rPr>
          <w:rFonts w:ascii="Times New Roman" w:eastAsia="Calibri" w:hAnsi="Times New Roman" w:cs="Times New Roman"/>
          <w:sz w:val="26"/>
          <w:szCs w:val="26"/>
        </w:rPr>
        <w:tab/>
      </w:r>
      <w:r w:rsidRPr="0072600F">
        <w:rPr>
          <w:rFonts w:ascii="Times New Roman" w:hAnsi="Times New Roman" w:cs="Times New Roman"/>
          <w:b/>
          <w:color w:val="000000"/>
          <w:sz w:val="26"/>
          <w:szCs w:val="26"/>
        </w:rPr>
        <w:t>Termination.</w:t>
      </w:r>
      <w:r w:rsidRPr="0072600F">
        <w:rPr>
          <w:rFonts w:ascii="Times New Roman" w:hAnsi="Times New Roman" w:cs="Times New Roman"/>
          <w:color w:val="000000"/>
          <w:sz w:val="26"/>
          <w:szCs w:val="26"/>
        </w:rPr>
        <w:t xml:space="preserve">  In addition to the termination provisions set forth in Article 2.2, a Party may terminate this Agreement upon the Default of the other Party in accordance </w:t>
      </w:r>
      <w:r w:rsidRPr="0072600F">
        <w:rPr>
          <w:rFonts w:ascii="Times New Roman" w:hAnsi="Times New Roman" w:cs="Times New Roman"/>
          <w:sz w:val="26"/>
          <w:szCs w:val="26"/>
        </w:rPr>
        <w:t xml:space="preserve">with Article 5.2.2 of this Agreement.  Subject to the limitations set forth in Article 6.3, in the event of a Default, the termination of this Agreement by the non-Defaulting Party shall require a filing at FERC of a notice of termination, which filing </w:t>
      </w:r>
      <w:r w:rsidRPr="0072600F">
        <w:rPr>
          <w:rFonts w:ascii="Times New Roman" w:hAnsi="Times New Roman" w:cs="Times New Roman"/>
          <w:color w:val="000000"/>
          <w:sz w:val="26"/>
          <w:szCs w:val="26"/>
        </w:rPr>
        <w:t>must be accepted for filing by FERC.</w:t>
      </w:r>
    </w:p>
    <w:p w:rsidR="00911580" w:rsidRPr="0072600F" w14:paraId="733F7F37"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rsidP="003246C9" w14:paraId="66005318"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6.3</w:t>
      </w:r>
      <w:r w:rsidRPr="0072600F">
        <w:rPr>
          <w:rFonts w:ascii="Times New Roman" w:hAnsi="Times New Roman" w:cs="Times New Roman"/>
          <w:b/>
          <w:color w:val="000000"/>
          <w:sz w:val="26"/>
          <w:szCs w:val="26"/>
        </w:rPr>
        <w:tab/>
        <w:t>Disposition of Facilities Upon Termination of Agreement.</w:t>
      </w:r>
    </w:p>
    <w:p w:rsidR="00911580" w:rsidRPr="0072600F" w14:paraId="3580B223" w14:textId="77777777">
      <w:pP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rsidP="003246C9" w14:paraId="253EAA34"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6.3.1</w:t>
      </w:r>
      <w:r w:rsidRPr="0072600F">
        <w:rPr>
          <w:rFonts w:ascii="Times New Roman" w:hAnsi="Times New Roman" w:cs="Times New Roman"/>
          <w:b/>
          <w:color w:val="000000"/>
          <w:sz w:val="26"/>
          <w:szCs w:val="26"/>
        </w:rPr>
        <w:tab/>
        <w:t>Transmission Provider Obligations.</w:t>
      </w:r>
      <w:r w:rsidRPr="0072600F">
        <w:rPr>
          <w:rFonts w:ascii="Times New Roman" w:hAnsi="Times New Roman" w:cs="Times New Roman"/>
          <w:color w:val="000000"/>
          <w:sz w:val="26"/>
          <w:szCs w:val="26"/>
        </w:rPr>
        <w:t xml:space="preserve">  Upon termination of this Agreement, unless otherwise </w:t>
      </w:r>
      <w:r w:rsidRPr="0072600F">
        <w:rPr>
          <w:rFonts w:ascii="Times New Roman" w:hAnsi="Times New Roman" w:cs="Times New Roman"/>
          <w:sz w:val="26"/>
          <w:szCs w:val="26"/>
        </w:rPr>
        <w:t>agreed to by the Parties in writing, Transmission Provider:</w:t>
      </w:r>
    </w:p>
    <w:p w:rsidR="00911580" w:rsidRPr="0072600F" w14:paraId="70145D49"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584BB5E6" w14:textId="77777777">
      <w:pPr>
        <w:ind w:left="2160" w:hanging="720"/>
        <w:rPr>
          <w:rFonts w:ascii="Times New Roman" w:hAnsi="Times New Roman" w:cs="Times New Roman"/>
          <w:sz w:val="26"/>
          <w:szCs w:val="26"/>
        </w:rPr>
      </w:pPr>
      <w:r w:rsidRPr="0072600F">
        <w:rPr>
          <w:rFonts w:ascii="Times New Roman" w:hAnsi="Times New Roman" w:cs="Times New Roman"/>
          <w:color w:val="000000"/>
          <w:sz w:val="26"/>
          <w:szCs w:val="26"/>
        </w:rPr>
        <w:t>(a)</w:t>
      </w:r>
      <w:r w:rsidRPr="0072600F">
        <w:rPr>
          <w:rFonts w:ascii="Times New Roman" w:hAnsi="Times New Roman" w:cs="Times New Roman"/>
          <w:color w:val="000000"/>
          <w:sz w:val="26"/>
          <w:szCs w:val="26"/>
        </w:rPr>
        <w:tab/>
        <w:t xml:space="preserve">shall, prior to the construction and installation of any portion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and to the extent possible, cancel any pending orders of, or return, such equipment or material for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w:t>
      </w:r>
    </w:p>
    <w:p w:rsidR="00911580" w:rsidRPr="0072600F" w14:paraId="6B8E2679" w14:textId="77777777">
      <w:pPr>
        <w:ind w:left="216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766DBB4" w14:textId="77777777">
      <w:pPr>
        <w:ind w:left="2160" w:hanging="720"/>
        <w:rPr>
          <w:rFonts w:ascii="Times New Roman" w:hAnsi="Times New Roman" w:cs="Times New Roman"/>
          <w:sz w:val="26"/>
          <w:szCs w:val="26"/>
        </w:rPr>
      </w:pPr>
      <w:r w:rsidRPr="0072600F">
        <w:rPr>
          <w:rFonts w:ascii="Times New Roman" w:hAnsi="Times New Roman" w:cs="Times New Roman"/>
          <w:color w:val="000000"/>
          <w:sz w:val="26"/>
          <w:szCs w:val="26"/>
        </w:rPr>
        <w:t>(b)</w:t>
      </w:r>
      <w:r w:rsidRPr="0072600F">
        <w:rPr>
          <w:rFonts w:ascii="Times New Roman" w:hAnsi="Times New Roman" w:cs="Times New Roman"/>
          <w:color w:val="000000"/>
          <w:sz w:val="26"/>
          <w:szCs w:val="26"/>
        </w:rPr>
        <w:tab/>
        <w:t xml:space="preserve">may keep in place any portion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already constructed and installed; and, </w:t>
      </w:r>
    </w:p>
    <w:p w:rsidR="00911580" w:rsidRPr="0072600F" w14:paraId="50076A06" w14:textId="77777777">
      <w:pPr>
        <w:ind w:left="216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77B35A8" w14:textId="77777777">
      <w:pPr>
        <w:ind w:left="2160" w:hanging="720"/>
        <w:rPr>
          <w:rFonts w:ascii="Times New Roman" w:hAnsi="Times New Roman" w:cs="Times New Roman"/>
          <w:sz w:val="26"/>
          <w:szCs w:val="26"/>
        </w:rPr>
      </w:pPr>
      <w:r w:rsidRPr="0072600F">
        <w:rPr>
          <w:rFonts w:ascii="Times New Roman" w:hAnsi="Times New Roman" w:cs="Times New Roman"/>
          <w:color w:val="000000"/>
          <w:sz w:val="26"/>
          <w:szCs w:val="26"/>
        </w:rPr>
        <w:t>(c)</w:t>
      </w:r>
      <w:r w:rsidRPr="0072600F">
        <w:rPr>
          <w:rFonts w:ascii="Times New Roman" w:hAnsi="Times New Roman" w:cs="Times New Roman"/>
          <w:color w:val="000000"/>
          <w:sz w:val="26"/>
          <w:szCs w:val="26"/>
        </w:rPr>
        <w:tab/>
        <w:t>shall perform such work as may be necessary to ensure the safety of persons and property and to preserve the integrity of Transmission Provider’s Transmission System (e.g., construction demobilization to return the system to its original state, wind-up work).</w:t>
      </w:r>
    </w:p>
    <w:p w:rsidR="00911580" w:rsidRPr="0072600F" w14:paraId="5CC640D3"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3CB1D3D7"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6.3.2</w:t>
      </w:r>
      <w:r w:rsidRPr="0072600F">
        <w:rPr>
          <w:rFonts w:ascii="Times New Roman" w:hAnsi="Times New Roman" w:cs="Times New Roman"/>
          <w:b/>
          <w:color w:val="000000"/>
          <w:sz w:val="26"/>
          <w:szCs w:val="26"/>
        </w:rPr>
        <w:tab/>
      </w:r>
      <w:r w:rsidRPr="0072600F">
        <w:rPr>
          <w:rFonts w:ascii="Times New Roman" w:hAnsi="Times New Roman" w:cs="Times New Roman"/>
          <w:b/>
          <w:bCs/>
          <w:sz w:val="26"/>
          <w:szCs w:val="26"/>
        </w:rPr>
        <w:t xml:space="preserve">Affected System Interconnection Customer Obligations. </w:t>
      </w:r>
      <w:r w:rsidRPr="0072600F">
        <w:rPr>
          <w:rFonts w:ascii="Times New Roman" w:hAnsi="Times New Roman" w:cs="Times New Roman"/>
          <w:sz w:val="26"/>
          <w:szCs w:val="26"/>
        </w:rPr>
        <w:t xml:space="preserve"> Upon billing by Transmission Provider,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 shall reimburse Transmission Provider for any costs incurred by Transmission Provider</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 xml:space="preserve">in performance of the actions required or permitted by Article 6.3.1 and for the cost of any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described in Appendix A.  Transmission Provider shall use Reasonable Efforts to minimize costs and shall offset the amounts owed by any salvage value </w:t>
      </w:r>
      <w:r w:rsidRPr="0072600F">
        <w:rPr>
          <w:rFonts w:ascii="Times New Roman" w:hAnsi="Times New Roman" w:cs="Times New Roman"/>
          <w:color w:val="000000"/>
          <w:sz w:val="26"/>
          <w:szCs w:val="26"/>
        </w:rPr>
        <w:t xml:space="preserve">of facilities, if applicable.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pay these costs pursuant to Article 4.3 of this Agreement.  </w:t>
      </w:r>
    </w:p>
    <w:p w:rsidR="00911580" w:rsidRPr="0072600F" w14:paraId="0D18BC3F"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08FA67E6"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6.3.3</w:t>
      </w:r>
      <w:r w:rsidRPr="0072600F">
        <w:rPr>
          <w:rFonts w:ascii="Times New Roman" w:hAnsi="Times New Roman" w:cs="Times New Roman"/>
          <w:b/>
          <w:color w:val="000000"/>
          <w:sz w:val="26"/>
          <w:szCs w:val="26"/>
        </w:rPr>
        <w:tab/>
        <w:t>Pre-construction or Installation.</w:t>
      </w:r>
      <w:r w:rsidRPr="0072600F">
        <w:rPr>
          <w:rFonts w:ascii="Times New Roman" w:hAnsi="Times New Roman" w:cs="Times New Roman"/>
          <w:color w:val="000000"/>
          <w:sz w:val="26"/>
          <w:szCs w:val="26"/>
        </w:rPr>
        <w:t xml:space="preserve">  Upon termination of this Agreement and prior to the construction and installation of any portion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Transmission Provider may, at its option, retain any portion of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not cancelled or returned in accordance with Article 6.3.1(a), in which case Transmission Provider shall be responsible for all costs associated with procuring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To the extent that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has already paid Transmission Provider for any or all of such costs, Transmission Provider shall refund Affected System Interconnection Customer for those payments.  If Transmission Provider elects to not retain any portion of such facilities, Transmission Provider shall convey and make available to Affected System Interconnection Customer such facilities as soon as practicable after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payment for such facilities.</w:t>
      </w:r>
    </w:p>
    <w:p w:rsidR="00911580" w:rsidRPr="0072600F" w14:paraId="0970A01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40B9B140"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6.4</w:t>
      </w:r>
      <w:r w:rsidRPr="0072600F">
        <w:rPr>
          <w:rFonts w:ascii="Times New Roman" w:hAnsi="Times New Roman" w:cs="Times New Roman"/>
          <w:b/>
          <w:color w:val="000000"/>
          <w:sz w:val="26"/>
          <w:szCs w:val="26"/>
        </w:rPr>
        <w:tab/>
      </w:r>
      <w:r w:rsidRPr="0072600F">
        <w:rPr>
          <w:rFonts w:ascii="Times New Roman" w:hAnsi="Times New Roman" w:cs="Times New Roman"/>
          <w:b/>
          <w:bCs/>
          <w:sz w:val="26"/>
          <w:szCs w:val="26"/>
        </w:rPr>
        <w:t>Survival of Rights.</w:t>
      </w:r>
      <w:r w:rsidRPr="0072600F">
        <w:rPr>
          <w:rFonts w:ascii="Times New Roman" w:hAnsi="Times New Roman" w:cs="Times New Roman"/>
          <w:sz w:val="26"/>
          <w:szCs w:val="26"/>
        </w:rPr>
        <w:t xml:space="preserve">  Termination or expiration of this Agreement shall not relieve either Party of any of its liabilities and obligations arising hereunder prior to the date termination becomes effective, and each Party may take whatever judicial or administrative actions as appear necessary or desirable to enforce its rights hereunder.  The applicable provisions of this Agreement will continue in effect after expiration, or early termination hereof to the extent necessary to provide for (1) final billings, billing adjustments, and other billing procedures set forth in this Agreement; (2) the determination and enforcement of liability and indemnification obligations arising from acts or events that occurred while this Agreement was in effect; and (3) the confidentiality provisions set forth in Article 8.</w:t>
      </w:r>
    </w:p>
    <w:p w:rsidR="00911580" w:rsidRPr="0072600F" w14:paraId="2ED1AE81"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w:t>
      </w:r>
    </w:p>
    <w:p w:rsidR="00911580" w:rsidRPr="0072600F" w14:paraId="3D2064ED"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ARTICLE 7</w:t>
      </w:r>
    </w:p>
    <w:p w:rsidR="00911580" w:rsidRPr="0072600F" w:rsidP="008B6C7F" w14:paraId="1ECCBEAD"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SUBCONTRACTORS</w:t>
      </w:r>
    </w:p>
    <w:p w:rsidR="00911580" w:rsidRPr="0072600F" w:rsidP="003246C9" w14:paraId="2FBBBFE0" w14:textId="77777777">
      <w:pPr>
        <w:ind w:left="720" w:hanging="720"/>
        <w:rPr>
          <w:rFonts w:ascii="Times New Roman" w:hAnsi="Times New Roman" w:cs="Times New Roman"/>
          <w:sz w:val="26"/>
          <w:szCs w:val="26"/>
        </w:rPr>
      </w:pPr>
      <w:r w:rsidRPr="0072600F">
        <w:rPr>
          <w:rFonts w:ascii="Times New Roman" w:hAnsi="Times New Roman" w:cs="Times New Roman"/>
          <w:b/>
          <w:sz w:val="26"/>
          <w:szCs w:val="26"/>
        </w:rPr>
        <w:t>7.1</w:t>
      </w:r>
      <w:r w:rsidRPr="0072600F">
        <w:rPr>
          <w:rFonts w:ascii="Times New Roman" w:hAnsi="Times New Roman" w:cs="Times New Roman"/>
          <w:b/>
          <w:sz w:val="26"/>
          <w:szCs w:val="26"/>
        </w:rPr>
        <w:tab/>
      </w:r>
      <w:r w:rsidRPr="0072600F">
        <w:rPr>
          <w:rFonts w:ascii="Times New Roman" w:hAnsi="Times New Roman" w:cs="Times New Roman"/>
          <w:b/>
          <w:bCs/>
          <w:sz w:val="26"/>
          <w:szCs w:val="26"/>
        </w:rPr>
        <w:t>Subcontractors.</w:t>
      </w:r>
      <w:r w:rsidRPr="0072600F">
        <w:rPr>
          <w:rFonts w:ascii="Times New Roman" w:hAnsi="Times New Roman" w:cs="Times New Roman"/>
          <w:sz w:val="26"/>
          <w:szCs w:val="26"/>
        </w:rPr>
        <w:t xml:space="preserve">  Nothing in this Agreement shall prevent a Party from utilizing the services of subcontractors,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911580" w:rsidRPr="0072600F" w14:paraId="50BCC3B9" w14:textId="77777777">
      <w:pPr>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rsidP="003246C9" w14:paraId="74AD77C1"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7.1.1</w:t>
      </w:r>
      <w:r w:rsidRPr="0072600F">
        <w:rPr>
          <w:rFonts w:ascii="Times New Roman" w:hAnsi="Times New Roman" w:cs="Times New Roman"/>
          <w:b/>
          <w:color w:val="000000"/>
          <w:sz w:val="26"/>
          <w:szCs w:val="26"/>
        </w:rPr>
        <w:tab/>
        <w:t>Responsibility of Principal.</w:t>
      </w:r>
      <w:r w:rsidRPr="0072600F">
        <w:rPr>
          <w:rFonts w:ascii="Times New Roman" w:hAnsi="Times New Roman" w:cs="Times New Roman"/>
          <w:color w:val="000000"/>
          <w:sz w:val="26"/>
          <w:szCs w:val="26"/>
        </w:rPr>
        <w:t xml:space="preserve">  The creation of any subcontract relationship shall not relieve the hiring Party of any of its obligations under this Agreement.  In accordance with the provisions of this Agreement, each Party shall be fully responsible to the other Party for the acts or omissions of any subcontractor it hires as if no subcontract had been made.  Any applicable obligation imposed by this Agreement upon a Party shall be equally binding upon, and shall be construed as having application to, any subcontractor of such Party.</w:t>
      </w:r>
    </w:p>
    <w:p w:rsidR="00911580" w:rsidRPr="0072600F" w14:paraId="3DD8285D"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28915E5D"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7.1.2</w:t>
      </w:r>
      <w:r w:rsidRPr="0072600F">
        <w:rPr>
          <w:rFonts w:ascii="Times New Roman" w:hAnsi="Times New Roman" w:cs="Times New Roman"/>
          <w:b/>
          <w:color w:val="000000"/>
          <w:sz w:val="26"/>
          <w:szCs w:val="26"/>
        </w:rPr>
        <w:tab/>
        <w:t>No Third-Party Beneficiary.</w:t>
      </w:r>
      <w:r w:rsidRPr="0072600F">
        <w:rPr>
          <w:rFonts w:ascii="Times New Roman" w:hAnsi="Times New Roman" w:cs="Times New Roman"/>
          <w:color w:val="000000"/>
          <w:sz w:val="26"/>
          <w:szCs w:val="26"/>
        </w:rPr>
        <w:t xml:space="preserve">  Except as may be specifically set forth to the contrary herein, no subcontractor or any other party is intended to be, nor will it be deemed to be, a third-party beneficiary of this Agreement.</w:t>
      </w:r>
    </w:p>
    <w:p w:rsidR="00911580" w:rsidRPr="0072600F" w14:paraId="6BDDE2CF"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3246C9" w14:paraId="3A5314EA"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7.1.3</w:t>
      </w:r>
      <w:r w:rsidRPr="0072600F">
        <w:rPr>
          <w:rFonts w:ascii="Times New Roman" w:hAnsi="Times New Roman" w:cs="Times New Roman"/>
          <w:b/>
          <w:color w:val="000000"/>
          <w:sz w:val="26"/>
          <w:szCs w:val="26"/>
        </w:rPr>
        <w:tab/>
      </w:r>
      <w:r w:rsidRPr="0072600F">
        <w:rPr>
          <w:rFonts w:ascii="Times New Roman" w:hAnsi="Times New Roman" w:cs="Times New Roman"/>
          <w:b/>
          <w:bCs/>
          <w:color w:val="000000"/>
          <w:sz w:val="26"/>
          <w:szCs w:val="26"/>
        </w:rPr>
        <w:t xml:space="preserve">No Limitation by Insurance.  </w:t>
      </w:r>
      <w:r w:rsidRPr="0072600F">
        <w:rPr>
          <w:rFonts w:ascii="Times New Roman" w:hAnsi="Times New Roman" w:cs="Times New Roman"/>
          <w:color w:val="000000"/>
          <w:sz w:val="26"/>
          <w:szCs w:val="26"/>
        </w:rPr>
        <w:t>The obligations under this Article 7 will not be limited in any way by any limitation of any insurance policies or coverages, including any subcontractor’s insurance.</w:t>
      </w:r>
    </w:p>
    <w:p w:rsidR="00911580" w:rsidRPr="0072600F" w14:paraId="20561646" w14:textId="77777777">
      <w:pPr>
        <w:rPr>
          <w:rFonts w:ascii="Times New Roman" w:hAnsi="Times New Roman" w:cs="Times New Roman"/>
          <w:b/>
          <w:color w:val="000000"/>
          <w:sz w:val="26"/>
          <w:szCs w:val="26"/>
        </w:rPr>
      </w:pPr>
    </w:p>
    <w:p w:rsidR="00911580" w:rsidRPr="0072600F" w14:paraId="21A136E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8</w:t>
      </w:r>
    </w:p>
    <w:p w:rsidR="00911580" w:rsidRPr="0072600F" w:rsidP="008B6C7F" w14:paraId="40C4DE1E" w14:textId="77777777">
      <w:pPr>
        <w:jc w:val="center"/>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CONFIDENTIALITY</w:t>
      </w:r>
    </w:p>
    <w:p w:rsidR="00911580" w:rsidRPr="0072600F" w:rsidP="006F1E0C" w14:paraId="5B89EB54"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8.1</w:t>
      </w:r>
      <w:r w:rsidRPr="0072600F">
        <w:rPr>
          <w:rFonts w:ascii="Times New Roman" w:hAnsi="Times New Roman" w:cs="Times New Roman"/>
          <w:b/>
          <w:color w:val="000000"/>
          <w:sz w:val="26"/>
          <w:szCs w:val="26"/>
        </w:rPr>
        <w:tab/>
        <w:t>Confidentiality.</w:t>
      </w:r>
      <w:r w:rsidRPr="0072600F">
        <w:rPr>
          <w:rFonts w:ascii="Times New Roman" w:hAnsi="Times New Roman" w:cs="Times New Roman"/>
          <w:color w:val="000000"/>
          <w:sz w:val="26"/>
          <w:szCs w:val="26"/>
        </w:rPr>
        <w:t xml:space="preserve">  Confidential Information shall include, without limitation, all information relating to a Party’s technology, research and development, business affairs, and pricing, and any information supplied to the other Party prior to the execution of this Agreement.  </w:t>
      </w:r>
    </w:p>
    <w:p w:rsidR="00911580" w:rsidRPr="0072600F" w14:paraId="5515EBD4"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504F696"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 xml:space="preserve">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  The Parties shall maintain as confidential any information that is provided and identified by a Party as Critical Energy Infrastructure Information (CEII), as that term is defined in 18 CFR 388.113(c).  </w:t>
      </w:r>
    </w:p>
    <w:p w:rsidR="00911580" w:rsidRPr="0072600F" w14:paraId="6A74B8C6"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AE16D6E"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Such confidentiality will be maintained in accordance with this Article 8.  If requested by the receiving Party, the disclosing Party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911580" w:rsidRPr="0072600F" w14:paraId="552FE535"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297910B3"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8.1.1</w:t>
      </w:r>
      <w:r w:rsidRPr="0072600F">
        <w:rPr>
          <w:rFonts w:ascii="Times New Roman" w:hAnsi="Times New Roman" w:cs="Times New Roman"/>
          <w:b/>
          <w:color w:val="000000"/>
          <w:sz w:val="26"/>
          <w:szCs w:val="26"/>
        </w:rPr>
        <w:tab/>
        <w:t>Term.</w:t>
      </w:r>
      <w:r w:rsidRPr="0072600F">
        <w:rPr>
          <w:rFonts w:ascii="Times New Roman" w:hAnsi="Times New Roman" w:cs="Times New Roman"/>
          <w:color w:val="000000"/>
          <w:sz w:val="26"/>
          <w:szCs w:val="26"/>
        </w:rPr>
        <w:t xml:space="preserve">  During the term of this Agreement, and for a period of three (3) years after the expiration or termination of this Agreement, except as otherwise provided in this Article 8 or with regard to CEII, each Party shall hold in confidence and shall not disclose to any person Confidential Information.  CEII shall be treated in accordance with FERC policies and regulations.</w:t>
      </w:r>
    </w:p>
    <w:p w:rsidR="00911580" w:rsidRPr="0072600F" w14:paraId="248272D4"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3B7BF3A7"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8.1.2</w:t>
      </w:r>
      <w:r w:rsidRPr="0072600F">
        <w:rPr>
          <w:rFonts w:ascii="Times New Roman" w:hAnsi="Times New Roman" w:cs="Times New Roman"/>
          <w:b/>
          <w:color w:val="000000"/>
          <w:sz w:val="26"/>
          <w:szCs w:val="26"/>
        </w:rPr>
        <w:tab/>
        <w:t>Scope.</w:t>
      </w:r>
      <w:r w:rsidRPr="0072600F">
        <w:rPr>
          <w:rFonts w:ascii="Times New Roman" w:hAnsi="Times New Roman" w:cs="Times New Roman"/>
          <w:color w:val="000000"/>
          <w:sz w:val="26"/>
          <w:szCs w:val="26"/>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non-Party,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8.1.6 of this Agreement,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receiving Party that it no longer is confidential.</w:t>
      </w:r>
    </w:p>
    <w:p w:rsidR="00911580" w:rsidRPr="0072600F" w14:paraId="1D3F0FD5"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174F20C5"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8.1.3</w:t>
      </w:r>
      <w:r w:rsidRPr="0072600F">
        <w:rPr>
          <w:rFonts w:ascii="Times New Roman" w:hAnsi="Times New Roman" w:cs="Times New Roman"/>
          <w:b/>
          <w:color w:val="000000"/>
          <w:sz w:val="26"/>
          <w:szCs w:val="26"/>
        </w:rPr>
        <w:tab/>
        <w:t>Release of Confidential Information.</w:t>
      </w:r>
      <w:r w:rsidRPr="0072600F">
        <w:rPr>
          <w:rFonts w:ascii="Times New Roman" w:hAnsi="Times New Roman" w:cs="Times New Roman"/>
          <w:color w:val="000000"/>
          <w:sz w:val="26"/>
          <w:szCs w:val="26"/>
        </w:rPr>
        <w:t xml:space="preserve">  No Party shall release or disclose Confidential Information to any other person, except to its Affiliates (limited by the Standards of Conduct requirements), subcontractors, employees, agents, consultants, or to non-Parties that may be or are considering providing financing to or equity participation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or to potential purchasers or assignees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on a need-to-know basis in connection with this Agreement, unless such person has first been advised of the confidentiality provisions of this Article 8 and has agreed to comply with such provisions.  Notwithstanding the foregoing, a Party providing Confidential Information to any person shall remain primarily responsible for any release of Confidential Information in contravention of this Article 8.</w:t>
      </w:r>
    </w:p>
    <w:p w:rsidR="00911580" w:rsidRPr="0072600F" w14:paraId="51A8D67E"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55399110"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8.1.4</w:t>
      </w:r>
      <w:r w:rsidRPr="0072600F">
        <w:rPr>
          <w:rFonts w:ascii="Times New Roman" w:hAnsi="Times New Roman" w:cs="Times New Roman"/>
          <w:b/>
          <w:color w:val="000000"/>
          <w:sz w:val="26"/>
          <w:szCs w:val="26"/>
        </w:rPr>
        <w:tab/>
        <w:t>Rights.</w:t>
      </w:r>
      <w:r w:rsidRPr="0072600F">
        <w:rPr>
          <w:rFonts w:ascii="Times New Roman" w:hAnsi="Times New Roman" w:cs="Times New Roman"/>
          <w:color w:val="000000"/>
          <w:sz w:val="26"/>
          <w:szCs w:val="26"/>
        </w:rPr>
        <w:t xml:space="preserve">  Each Party shall retain all rights, title, and interest in the Confidential Information that it discloses to the receiving Party.  The disclosure by a Party to the receiving Party of Confidential Information shall not be deemed a waiver by the disclosing Party or any other person or entity of the right to protect the Confidential Information from public disclosure.</w:t>
      </w:r>
    </w:p>
    <w:p w:rsidR="00911580" w:rsidRPr="0072600F" w14:paraId="1C7F053B"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4FF869EC"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8.1.5</w:t>
      </w:r>
      <w:r w:rsidRPr="0072600F">
        <w:rPr>
          <w:rFonts w:ascii="Times New Roman" w:hAnsi="Times New Roman" w:cs="Times New Roman"/>
          <w:b/>
          <w:color w:val="000000"/>
          <w:sz w:val="26"/>
          <w:szCs w:val="26"/>
        </w:rPr>
        <w:tab/>
        <w:t>Standard of Care.</w:t>
      </w:r>
      <w:r w:rsidRPr="0072600F">
        <w:rPr>
          <w:rFonts w:ascii="Times New Roman" w:hAnsi="Times New Roman" w:cs="Times New Roman"/>
          <w:color w:val="000000"/>
          <w:sz w:val="26"/>
          <w:szCs w:val="26"/>
        </w:rPr>
        <w:t xml:space="preserve">  Each Party shall use at least the same standard of care to protect Confidential Information it receives as it uses to protect its own Confidential Information from unauthorized disclosure, publication</w:t>
      </w:r>
      <w:r w:rsidRPr="0072600F">
        <w:rPr>
          <w:rFonts w:ascii="Times New Roman" w:hAnsi="Times New Roman" w:cs="Times New Roman"/>
          <w:color w:val="FF0000"/>
          <w:sz w:val="26"/>
          <w:szCs w:val="26"/>
        </w:rPr>
        <w:t>,</w:t>
      </w:r>
      <w:r w:rsidRPr="0072600F">
        <w:rPr>
          <w:rFonts w:ascii="Times New Roman" w:hAnsi="Times New Roman" w:cs="Times New Roman"/>
          <w:color w:val="000000"/>
          <w:sz w:val="26"/>
          <w:szCs w:val="26"/>
        </w:rPr>
        <w:t xml:space="preserve"> or dissemination.  Each Party may use Confidential Information solely to fulfill its obligations to the other Party under this Agreement or its regulatory requirements.</w:t>
      </w:r>
    </w:p>
    <w:p w:rsidR="00911580" w:rsidRPr="0072600F" w14:paraId="08045323"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28F6155F"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8.1.6</w:t>
      </w:r>
      <w:r w:rsidRPr="0072600F">
        <w:rPr>
          <w:rFonts w:ascii="Times New Roman" w:hAnsi="Times New Roman" w:cs="Times New Roman"/>
          <w:b/>
          <w:color w:val="000000"/>
          <w:sz w:val="26"/>
          <w:szCs w:val="26"/>
        </w:rPr>
        <w:tab/>
        <w:t>Order of Disclosure.</w:t>
      </w:r>
      <w:r w:rsidRPr="0072600F">
        <w:rPr>
          <w:rFonts w:ascii="Times New Roman" w:hAnsi="Times New Roman" w:cs="Times New Roman"/>
          <w:color w:val="000000"/>
          <w:sz w:val="26"/>
          <w:szCs w:val="26"/>
        </w:rPr>
        <w:t xml:space="preserve">  If a court or a Government Authority or entity with the right, power, and apparent authority to do so requests or requires either Party, by subpoena, oral deposition, interrogatories, requests for production of documents, administrative order, or otherwise, to disclose Confidential </w:t>
      </w:r>
      <w:r w:rsidRPr="0072600F">
        <w:rPr>
          <w:rFonts w:ascii="Times New Roman" w:hAnsi="Times New Roman" w:cs="Times New Roman"/>
          <w:sz w:val="26"/>
          <w:szCs w:val="26"/>
        </w:rPr>
        <w:t xml:space="preserve">Information, that Party shall provide the disclosing Party with prompt notice of such request(s) or requirement(s) so that the disclosing Party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w:t>
      </w:r>
      <w:r w:rsidRPr="0072600F">
        <w:rPr>
          <w:rFonts w:ascii="Times New Roman" w:hAnsi="Times New Roman" w:cs="Times New Roman"/>
          <w:color w:val="000000"/>
          <w:sz w:val="26"/>
          <w:szCs w:val="26"/>
        </w:rPr>
        <w:t>assurance that confidential treatment will be accorded any Confidential Information so furnished.</w:t>
      </w:r>
    </w:p>
    <w:p w:rsidR="00911580" w:rsidRPr="0072600F" w14:paraId="039EA512"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782F68EB"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8.1.7</w:t>
      </w:r>
      <w:r w:rsidRPr="0072600F">
        <w:rPr>
          <w:rFonts w:ascii="Times New Roman" w:hAnsi="Times New Roman" w:cs="Times New Roman"/>
          <w:b/>
          <w:color w:val="000000"/>
          <w:sz w:val="26"/>
          <w:szCs w:val="26"/>
        </w:rPr>
        <w:tab/>
        <w:t>Termination of Agreement.</w:t>
      </w:r>
      <w:r w:rsidRPr="0072600F">
        <w:rPr>
          <w:rFonts w:ascii="Times New Roman" w:hAnsi="Times New Roman" w:cs="Times New Roman"/>
          <w:color w:val="000000"/>
          <w:sz w:val="26"/>
          <w:szCs w:val="26"/>
        </w:rPr>
        <w:t xml:space="preserve">  Upon termination of this Agreement for any reason, each Party shall, within ten (10) Business Days of receipt of a written request from the other Party, </w:t>
      </w:r>
      <w:r w:rsidRPr="0072600F">
        <w:rPr>
          <w:rFonts w:ascii="Times New Roman" w:hAnsi="Times New Roman" w:cs="Times New Roman"/>
          <w:sz w:val="26"/>
          <w:szCs w:val="26"/>
        </w:rPr>
        <w:t xml:space="preserve">use Reasonable Efforts to destroy, erase, or delete (with such destruction, erasure, and deletion </w:t>
      </w:r>
      <w:r w:rsidRPr="0072600F">
        <w:rPr>
          <w:rFonts w:ascii="Times New Roman" w:hAnsi="Times New Roman" w:cs="Times New Roman"/>
          <w:color w:val="000000"/>
          <w:sz w:val="26"/>
          <w:szCs w:val="26"/>
        </w:rPr>
        <w:t>certified in writing to the requesting Party) or return to the requesting Party any and all written or electronic Confidential Information received from the requesting Party, except that each Party may keep one copy for archival purposes, provided that the obligation to treat it as Confidential Information in accordance with this Article 8 shall survive such termination.</w:t>
      </w:r>
    </w:p>
    <w:p w:rsidR="00911580" w:rsidRPr="0072600F" w14:paraId="4DD90737"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19F6AEF6"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8.1.8</w:t>
      </w:r>
      <w:r w:rsidRPr="0072600F">
        <w:rPr>
          <w:rFonts w:ascii="Times New Roman" w:hAnsi="Times New Roman" w:cs="Times New Roman"/>
          <w:b/>
          <w:color w:val="000000"/>
          <w:sz w:val="26"/>
          <w:szCs w:val="26"/>
        </w:rPr>
        <w:tab/>
        <w:t>Remedies.</w:t>
      </w:r>
      <w:r w:rsidRPr="0072600F">
        <w:rPr>
          <w:rFonts w:ascii="Times New Roman" w:hAnsi="Times New Roman" w:cs="Times New Roman"/>
          <w:color w:val="000000"/>
          <w:sz w:val="26"/>
          <w:szCs w:val="26"/>
        </w:rPr>
        <w:t xml:space="preserve">  The Parties agree that monetary damages would be inadequate to compensate a Party for the other Party’s Breach of its obligations under this Article 8.  Each Party accordingly agrees that the disclosing Party shall be entitled to equitable relief, by way of injunction or otherwise, if the receiving Party Breaches or threatens to Breach its obligations under this Article 8, which equitable relief shall be granted without bond or proof of damages, and the breaching Party shall not plead in defense that there would be an adequate remedy at law.  Such remedy shall not be deemed an exclusive remedy for the Breach of this Article 8, but it shall be in addition to all other remedies available at law or in equity.  The Parties further acknowledge and agree that the </w:t>
      </w:r>
      <w:r w:rsidRPr="0072600F">
        <w:rPr>
          <w:rFonts w:ascii="Times New Roman" w:hAnsi="Times New Roman" w:cs="Times New Roman"/>
          <w:sz w:val="26"/>
          <w:szCs w:val="26"/>
        </w:rPr>
        <w:t>covenants contained herein are necessary for the protection of legitimate business interests and are reasonable in scope.  Neither Party, however, shall be liable for indirect, incidental, or consequential or punitive damages of any nature or kind resulting from or arising in connection with this Article 8.</w:t>
      </w:r>
    </w:p>
    <w:p w:rsidR="00911580" w:rsidRPr="0072600F" w14:paraId="27A2CF03" w14:textId="77777777">
      <w:pPr>
        <w:ind w:left="1440" w:hanging="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rsidP="006F1E0C" w14:paraId="2BEC700C" w14:textId="77777777">
      <w:pPr>
        <w:ind w:left="1440" w:hanging="720"/>
        <w:rPr>
          <w:rFonts w:ascii="Times New Roman" w:hAnsi="Times New Roman" w:cs="Times New Roman"/>
          <w:sz w:val="26"/>
          <w:szCs w:val="26"/>
        </w:rPr>
      </w:pPr>
      <w:r w:rsidRPr="0072600F">
        <w:rPr>
          <w:rFonts w:ascii="Times New Roman" w:hAnsi="Times New Roman" w:cs="Times New Roman"/>
          <w:b/>
          <w:sz w:val="26"/>
          <w:szCs w:val="26"/>
        </w:rPr>
        <w:t>8.1.9</w:t>
      </w:r>
      <w:r w:rsidRPr="0072600F">
        <w:rPr>
          <w:rFonts w:ascii="Times New Roman" w:hAnsi="Times New Roman" w:cs="Times New Roman"/>
          <w:b/>
          <w:sz w:val="26"/>
          <w:szCs w:val="26"/>
        </w:rPr>
        <w:tab/>
        <w:t>Disclosure to FERC, its Staff, or a State Regulatory Body.</w:t>
      </w:r>
      <w:r w:rsidRPr="0072600F">
        <w:rPr>
          <w:rFonts w:ascii="Times New Roman" w:hAnsi="Times New Roman" w:cs="Times New Roman"/>
          <w:sz w:val="26"/>
          <w:szCs w:val="26"/>
        </w:rPr>
        <w:t xml:space="preserve">  Notwithstanding anything in this Article 8 to the contrary, and pursuant to 18 CFR 1b.20, if FERC or its staff, during the course of an </w:t>
      </w:r>
      <w:r w:rsidRPr="0072600F">
        <w:rPr>
          <w:rFonts w:ascii="Times New Roman" w:hAnsi="Times New Roman" w:cs="Times New Roman"/>
          <w:color w:val="000000"/>
          <w:sz w:val="26"/>
          <w:szCs w:val="26"/>
        </w:rPr>
        <w:t>investigation or otherwise, requests information from a Party that is otherwise required to be maintained in confidence pursuant to this Agreement, the Party shall provide the requested information to FERC or its staff, within the time provided for in the request for information.  In providing the information to FERC or its staff, the Party must, consistent with 18 CFR 388.112, request that the information be treated as confidential and non-public by FERC and its staff and that the information be withheld from public disclosure.  Parties are prohibited from notifying the other Party to this Agreement prior to the release of the Confidential Information to FERC or its staff.  The Party shall notify the other Party to the Agreement when it is notified by FERC or its staff that a request to release Confidential Information has been received by FERC, at which time either of the Parties may respond before such information would be made public, pursuant to 18 CFR 388.112.  Requests from a state regulatory body conducting a confidential investigation shall be treated in a similar manner if consistent with the applicable state rules and regulations.</w:t>
      </w:r>
    </w:p>
    <w:p w:rsidR="00911580" w:rsidRPr="0072600F" w14:paraId="28933A8D"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333A03EC"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8.1.10</w:t>
      </w:r>
      <w:r w:rsidRPr="0072600F">
        <w:rPr>
          <w:rFonts w:ascii="Times New Roman" w:hAnsi="Times New Roman" w:cs="Times New Roman"/>
          <w:b/>
          <w:color w:val="000000"/>
          <w:sz w:val="26"/>
          <w:szCs w:val="26"/>
        </w:rPr>
        <w:tab/>
      </w:r>
      <w:r w:rsidRPr="0072600F">
        <w:rPr>
          <w:rFonts w:ascii="Times New Roman" w:hAnsi="Times New Roman" w:cs="Times New Roman"/>
          <w:color w:val="000000"/>
          <w:sz w:val="26"/>
          <w:szCs w:val="26"/>
        </w:rPr>
        <w:t>Subject to the exception in Article 8.1.9, any information that a disclosing Party claims is competitively sensitive, commercial</w:t>
      </w:r>
      <w:r w:rsidRPr="0072600F">
        <w:rPr>
          <w:rFonts w:ascii="Times New Roman" w:hAnsi="Times New Roman" w:cs="Times New Roman"/>
          <w:sz w:val="26"/>
          <w:szCs w:val="26"/>
        </w:rPr>
        <w:t>,</w:t>
      </w:r>
      <w:r w:rsidRPr="0072600F">
        <w:rPr>
          <w:rFonts w:ascii="Times New Roman" w:hAnsi="Times New Roman" w:cs="Times New Roman"/>
          <w:color w:val="000000"/>
          <w:sz w:val="26"/>
          <w:szCs w:val="26"/>
        </w:rPr>
        <w:t xml:space="preserve"> or financial information under this Agreement shall not be disclosed by the receiving Party to any person not employed or retained by the receiving Party, except to the extent disclosure is (1) required by law; (2) reasonably deemed by the </w:t>
      </w:r>
      <w:r w:rsidRPr="0072600F">
        <w:rPr>
          <w:rFonts w:ascii="Times New Roman" w:hAnsi="Times New Roman" w:cs="Times New Roman"/>
          <w:sz w:val="26"/>
          <w:szCs w:val="26"/>
        </w:rPr>
        <w:t xml:space="preserve">disclosing Party to be required to be disclosed in connection with a dispute between or among the Parties, or the defense of litigation or dispute; (3) otherwise permitted by consent of the disclosing Party, such consent not to be unreasonably withheld; or (4) necessary to fulfill its obligations under this Agreement or as </w:t>
      </w:r>
      <w:r w:rsidRPr="0072600F" w:rsidR="002E3F37">
        <w:rPr>
          <w:rFonts w:ascii="Times New Roman" w:hAnsi="Times New Roman" w:cs="Times New Roman"/>
          <w:sz w:val="26"/>
          <w:szCs w:val="26"/>
        </w:rPr>
        <w:t>[</w:t>
      </w:r>
      <w:r w:rsidRPr="0072600F">
        <w:rPr>
          <w:rFonts w:ascii="Times New Roman" w:hAnsi="Times New Roman" w:cs="Times New Roman"/>
          <w:sz w:val="26"/>
          <w:szCs w:val="26"/>
        </w:rPr>
        <w:t>the</w:t>
      </w:r>
      <w:r w:rsidRPr="0072600F" w:rsidR="002E3F37">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a  balancing authority, including disclosing the Confidential Information to a regional or national reliability organization.  The Party asserting confidentiality shall notify </w:t>
      </w:r>
      <w:r w:rsidRPr="0072600F">
        <w:rPr>
          <w:rFonts w:ascii="Times New Roman" w:hAnsi="Times New Roman" w:cs="Times New Roman"/>
          <w:color w:val="000000"/>
          <w:sz w:val="26"/>
          <w:szCs w:val="26"/>
        </w:rPr>
        <w:t>the receiving Party in writing of the information that Party claims is confidential.  Prior to any disclosures of that Party’s Confidential Information under this subparagraph, or if any non-Party or Governmental Authority makes any request or demand for any of the information described in this subparagraph, the Party that received the Confidential Information from the disclosing Party agrees to promptly notify the disclosing Party in writing and agrees to assert confidentiality and cooperate with the disclosing Party in seeking to protect the Confidential Information from public disclosure by confidentiality agreement, protective order</w:t>
      </w:r>
      <w:r w:rsidRPr="0072600F">
        <w:rPr>
          <w:rFonts w:ascii="Times New Roman" w:hAnsi="Times New Roman" w:cs="Times New Roman"/>
          <w:sz w:val="26"/>
          <w:szCs w:val="26"/>
        </w:rPr>
        <w:t>,</w:t>
      </w:r>
      <w:r w:rsidRPr="0072600F">
        <w:rPr>
          <w:rFonts w:ascii="Times New Roman" w:hAnsi="Times New Roman" w:cs="Times New Roman"/>
          <w:color w:val="000000"/>
          <w:sz w:val="26"/>
          <w:szCs w:val="26"/>
        </w:rPr>
        <w:t xml:space="preserve"> or other reasonable measures.</w:t>
      </w:r>
    </w:p>
    <w:p w:rsidR="00911580" w:rsidRPr="0072600F" w14:paraId="53B5404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B6F27C6"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9</w:t>
      </w:r>
    </w:p>
    <w:p w:rsidR="00911580" w:rsidRPr="0072600F" w14:paraId="2255C42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INFORMATION ACCESS AND AUDIT RIGHTS</w:t>
      </w:r>
    </w:p>
    <w:p w:rsidR="00911580" w:rsidRPr="0072600F" w14:paraId="4F53C5E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BDBA9F9"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9.1</w:t>
      </w:r>
      <w:r w:rsidRPr="0072600F">
        <w:rPr>
          <w:rFonts w:ascii="Times New Roman" w:hAnsi="Times New Roman" w:cs="Times New Roman"/>
          <w:b/>
          <w:bCs/>
          <w:color w:val="000000"/>
          <w:sz w:val="26"/>
          <w:szCs w:val="26"/>
        </w:rPr>
        <w:tab/>
        <w:t xml:space="preserve">Information Access.  </w:t>
      </w:r>
      <w:r w:rsidRPr="0072600F">
        <w:rPr>
          <w:rFonts w:ascii="Times New Roman" w:hAnsi="Times New Roman" w:cs="Times New Roman"/>
          <w:color w:val="000000"/>
          <w:sz w:val="26"/>
          <w:szCs w:val="26"/>
        </w:rPr>
        <w:t>Each Party shall make available to the other Party information necessary to verify the costs incurred by the other Party for which the requesting Party is responsible under this Agreement and carry out obligations and responsibilities under this Agreement, provided that the Parties shall not use such information for purposes other than those set forth in this Article 9.1 and to enforce their rights under this Agreement.</w:t>
      </w:r>
    </w:p>
    <w:p w:rsidR="00911580" w:rsidRPr="0072600F" w14:paraId="15148FC0"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50DB6781"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9.2</w:t>
      </w:r>
      <w:r w:rsidRPr="0072600F">
        <w:rPr>
          <w:rFonts w:ascii="Times New Roman" w:hAnsi="Times New Roman" w:cs="Times New Roman"/>
          <w:b/>
          <w:bCs/>
          <w:color w:val="000000"/>
          <w:sz w:val="26"/>
          <w:szCs w:val="26"/>
        </w:rPr>
        <w:tab/>
        <w:t xml:space="preserve">Audit Rights.  </w:t>
      </w:r>
      <w:r w:rsidRPr="0072600F">
        <w:rPr>
          <w:rFonts w:ascii="Times New Roman" w:hAnsi="Times New Roman" w:cs="Times New Roman"/>
          <w:color w:val="000000"/>
          <w:sz w:val="26"/>
          <w:szCs w:val="26"/>
        </w:rPr>
        <w:t>Subject to the requirements of confidentiality under Article 8 of this Agreement, the accounts and records related to the design, engineering, procurement, and construction of the Affected System Network Upgrade(s) shall be subject to audit during the period of this Agreement and for a period of twenty-four (24) months following Transmission Provider’s issuance of a final invoice in accordance with Article 4.4.  Affected System Interconnection Customer at its expense shall have the right, during normal business hours, and upon prior reasonable notice to Transmission Provider, to audit such accounts and records.  Any audit authorized by this Article 9.2 shall be performed at the offices where such accounts and records are maintained and shall be limited to those portions of such accounts and records that relate to obligations under this Agreement.</w:t>
      </w:r>
    </w:p>
    <w:p w:rsidR="00911580" w:rsidRPr="0072600F" w14:paraId="0C1EA6E5" w14:textId="77777777">
      <w:pPr>
        <w:rPr>
          <w:rFonts w:ascii="Times New Roman" w:hAnsi="Times New Roman" w:cs="Times New Roman"/>
          <w:b/>
          <w:bCs/>
          <w:color w:val="000000"/>
          <w:sz w:val="26"/>
          <w:szCs w:val="26"/>
        </w:rPr>
      </w:pPr>
      <w:r w:rsidRPr="0072600F">
        <w:rPr>
          <w:rFonts w:ascii="Times New Roman" w:hAnsi="Times New Roman" w:cs="Times New Roman"/>
          <w:color w:val="000000"/>
          <w:sz w:val="26"/>
          <w:szCs w:val="26"/>
        </w:rPr>
        <w:t> </w:t>
      </w:r>
      <w:r w:rsidRPr="0072600F">
        <w:rPr>
          <w:rFonts w:ascii="Times New Roman" w:hAnsi="Times New Roman" w:cs="Times New Roman"/>
          <w:b/>
          <w:bCs/>
          <w:color w:val="000000"/>
          <w:sz w:val="26"/>
          <w:szCs w:val="26"/>
        </w:rPr>
        <w:t> </w:t>
      </w:r>
    </w:p>
    <w:p w:rsidR="00911580" w:rsidRPr="0072600F" w14:paraId="0EF5494E"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10</w:t>
      </w:r>
    </w:p>
    <w:p w:rsidR="00911580" w:rsidRPr="0072600F" w14:paraId="7309EBF5"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NOTICES</w:t>
      </w:r>
    </w:p>
    <w:p w:rsidR="00911580" w:rsidRPr="0072600F" w14:paraId="5EADFFC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43B4798" w14:textId="77777777">
      <w:pPr>
        <w:ind w:left="720" w:hanging="810"/>
        <w:rPr>
          <w:rFonts w:ascii="Times New Roman" w:hAnsi="Times New Roman" w:cs="Times New Roman"/>
          <w:sz w:val="26"/>
          <w:szCs w:val="26"/>
        </w:rPr>
      </w:pPr>
      <w:r w:rsidRPr="0072600F">
        <w:rPr>
          <w:rFonts w:ascii="Times New Roman" w:hAnsi="Times New Roman" w:cs="Times New Roman"/>
          <w:b/>
          <w:bCs/>
          <w:color w:val="000000"/>
          <w:sz w:val="26"/>
          <w:szCs w:val="26"/>
        </w:rPr>
        <w:t>10.1</w:t>
      </w:r>
      <w:r w:rsidRPr="0072600F">
        <w:rPr>
          <w:rFonts w:ascii="Times New Roman" w:hAnsi="Times New Roman" w:cs="Times New Roman"/>
          <w:b/>
          <w:bCs/>
          <w:color w:val="000000"/>
          <w:sz w:val="26"/>
          <w:szCs w:val="26"/>
        </w:rPr>
        <w:tab/>
        <w:t>General.</w:t>
      </w:r>
      <w:r w:rsidRPr="0072600F">
        <w:rPr>
          <w:rFonts w:ascii="Times New Roman" w:hAnsi="Times New Roman" w:cs="Times New Roman"/>
          <w:color w:val="000000"/>
          <w:sz w:val="26"/>
          <w:szCs w:val="26"/>
        </w:rPr>
        <w:t xml:space="preserve">  Any </w:t>
      </w:r>
      <w:r w:rsidRPr="0072600F">
        <w:rPr>
          <w:rFonts w:ascii="Times New Roman" w:hAnsi="Times New Roman" w:cs="Times New Roman"/>
          <w:sz w:val="26"/>
          <w:szCs w:val="26"/>
        </w:rPr>
        <w:t xml:space="preserve">notice, demand, or request required or permitted to be given by a Party to the other Party, and any instrument required or permitted to be tendered or delivered by a Party in writing to another Party, may be so given, tendered, or delivered, as the case may be, </w:t>
      </w:r>
      <w:r w:rsidRPr="0072600F">
        <w:rPr>
          <w:rFonts w:ascii="Times New Roman" w:hAnsi="Times New Roman" w:cs="Times New Roman"/>
          <w:color w:val="000000"/>
          <w:sz w:val="26"/>
          <w:szCs w:val="26"/>
        </w:rPr>
        <w:t>by depositing the same with the United States Postal Service with postage prepaid, for transmission by certified or registered mail, addressed to the Parties, or personally delivered to the Parties, at the address set out below:</w:t>
      </w:r>
    </w:p>
    <w:p w:rsidR="00911580" w:rsidRPr="0072600F" w14:paraId="0136702F"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07A6603" w14:textId="77777777">
      <w:pPr>
        <w:ind w:firstLine="720"/>
        <w:rPr>
          <w:rFonts w:ascii="Times New Roman" w:hAnsi="Times New Roman" w:cs="Times New Roman"/>
          <w:sz w:val="26"/>
          <w:szCs w:val="26"/>
        </w:rPr>
      </w:pPr>
      <w:r w:rsidRPr="0072600F">
        <w:rPr>
          <w:rFonts w:ascii="Times New Roman" w:hAnsi="Times New Roman" w:cs="Times New Roman"/>
          <w:color w:val="000000"/>
          <w:sz w:val="26"/>
          <w:szCs w:val="26"/>
          <w:u w:val="single"/>
        </w:rPr>
        <w:t>To Transmission Provider</w:t>
      </w:r>
      <w:r w:rsidRPr="0072600F">
        <w:rPr>
          <w:rFonts w:ascii="Times New Roman" w:hAnsi="Times New Roman" w:cs="Times New Roman"/>
          <w:color w:val="000000"/>
          <w:sz w:val="26"/>
          <w:szCs w:val="26"/>
        </w:rPr>
        <w:t>:</w:t>
      </w:r>
    </w:p>
    <w:p w:rsidR="00911580" w:rsidRPr="0072600F" w14:paraId="12A837A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A6B568C" w14:textId="77777777">
      <w:pPr>
        <w:rPr>
          <w:rFonts w:ascii="Times New Roman" w:hAnsi="Times New Roman" w:cs="Times New Roman"/>
          <w:color w:val="000000"/>
          <w:sz w:val="26"/>
          <w:szCs w:val="26"/>
        </w:rPr>
      </w:pPr>
    </w:p>
    <w:p w:rsidR="00911580" w:rsidRPr="0072600F" w14:paraId="62E41163" w14:textId="77777777">
      <w:pPr>
        <w:ind w:firstLine="720"/>
        <w:rPr>
          <w:rFonts w:ascii="Times New Roman" w:hAnsi="Times New Roman" w:cs="Times New Roman"/>
          <w:color w:val="000000"/>
          <w:sz w:val="26"/>
          <w:szCs w:val="26"/>
        </w:rPr>
      </w:pPr>
      <w:r w:rsidRPr="0072600F">
        <w:rPr>
          <w:rFonts w:ascii="Times New Roman" w:hAnsi="Times New Roman" w:cs="Times New Roman"/>
          <w:color w:val="000000"/>
          <w:sz w:val="26"/>
          <w:szCs w:val="26"/>
          <w:u w:val="single"/>
        </w:rPr>
        <w:t>To Affected System Interconnection Customer</w:t>
      </w:r>
      <w:r w:rsidRPr="0072600F">
        <w:rPr>
          <w:rFonts w:ascii="Times New Roman" w:hAnsi="Times New Roman" w:cs="Times New Roman"/>
          <w:color w:val="000000"/>
          <w:sz w:val="26"/>
          <w:szCs w:val="26"/>
        </w:rPr>
        <w:t>:</w:t>
      </w:r>
    </w:p>
    <w:p w:rsidR="00911580" w:rsidRPr="0072600F" w14:paraId="627BE0EC" w14:textId="77777777">
      <w:pPr>
        <w:rPr>
          <w:rFonts w:ascii="Times New Roman" w:hAnsi="Times New Roman" w:cs="Times New Roman"/>
          <w:i/>
          <w:iCs/>
          <w:sz w:val="26"/>
          <w:szCs w:val="26"/>
        </w:rPr>
      </w:pPr>
    </w:p>
    <w:p w:rsidR="00911580" w:rsidRPr="0072600F" w14:paraId="4570B565" w14:textId="77777777">
      <w:pP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p w:rsidR="00911580" w:rsidRPr="0072600F" w14:paraId="0FEBC09B"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10.2</w:t>
      </w:r>
      <w:r w:rsidRPr="0072600F">
        <w:rPr>
          <w:rFonts w:ascii="Times New Roman" w:hAnsi="Times New Roman" w:cs="Times New Roman"/>
          <w:b/>
          <w:bCs/>
          <w:color w:val="000000"/>
          <w:sz w:val="26"/>
          <w:szCs w:val="26"/>
        </w:rPr>
        <w:tab/>
        <w:t>Billings and Payments.</w:t>
      </w:r>
      <w:r w:rsidRPr="0072600F">
        <w:rPr>
          <w:rFonts w:ascii="Times New Roman" w:hAnsi="Times New Roman" w:cs="Times New Roman"/>
          <w:color w:val="000000"/>
          <w:sz w:val="26"/>
          <w:szCs w:val="26"/>
        </w:rPr>
        <w:t xml:space="preserve">  Billings and payments shall be sent to the addresses shown in Article 10.1 unless otherwise agreed to by the Parties.</w:t>
      </w:r>
    </w:p>
    <w:p w:rsidR="00911580" w:rsidRPr="0072600F" w14:paraId="6248B6C6"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1A98BA2D"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10.3</w:t>
      </w:r>
      <w:r w:rsidRPr="0072600F">
        <w:rPr>
          <w:rFonts w:ascii="Times New Roman" w:hAnsi="Times New Roman" w:cs="Times New Roman"/>
          <w:b/>
          <w:bCs/>
          <w:color w:val="000000"/>
          <w:sz w:val="26"/>
          <w:szCs w:val="26"/>
        </w:rPr>
        <w:tab/>
        <w:t>Alternative Forms of Notice.</w:t>
      </w:r>
      <w:r w:rsidRPr="0072600F">
        <w:rPr>
          <w:rFonts w:ascii="Times New Roman" w:hAnsi="Times New Roman" w:cs="Times New Roman"/>
          <w:color w:val="000000"/>
          <w:sz w:val="26"/>
          <w:szCs w:val="26"/>
        </w:rPr>
        <w:t xml:space="preserve">  Any notice or request required or permitted to be given by a Party to the other Party and not required by this Agreement to be given in writing may be so given by telephone, facsimile or email to the telephone numbers and email addresses set out below:</w:t>
      </w:r>
    </w:p>
    <w:p w:rsidR="00911580" w:rsidRPr="0072600F" w14:paraId="702B0791"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DCE40DC"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u w:val="single"/>
        </w:rPr>
        <w:t>To Transmission Provider</w:t>
      </w:r>
      <w:r w:rsidRPr="0072600F">
        <w:rPr>
          <w:rFonts w:ascii="Times New Roman" w:hAnsi="Times New Roman" w:cs="Times New Roman"/>
          <w:color w:val="000000"/>
          <w:sz w:val="26"/>
          <w:szCs w:val="26"/>
        </w:rPr>
        <w:t>:</w:t>
      </w:r>
    </w:p>
    <w:p w:rsidR="00911580" w:rsidRPr="0072600F" w14:paraId="2C9B0314"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1D1D0DC"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9466368" w14:textId="77777777">
      <w:pPr>
        <w:ind w:left="720" w:hanging="720"/>
        <w:rPr>
          <w:rFonts w:ascii="Times New Roman" w:hAnsi="Times New Roman" w:cs="Times New Roman"/>
          <w:color w:val="000000"/>
          <w:sz w:val="26"/>
          <w:szCs w:val="26"/>
          <w:u w:val="single"/>
        </w:rPr>
      </w:pPr>
      <w:r w:rsidRPr="0072600F">
        <w:rPr>
          <w:rFonts w:ascii="Times New Roman" w:hAnsi="Times New Roman" w:cs="Times New Roman"/>
          <w:color w:val="000000"/>
          <w:sz w:val="26"/>
          <w:szCs w:val="26"/>
        </w:rPr>
        <w:t> </w:t>
      </w:r>
    </w:p>
    <w:p w:rsidR="00911580" w:rsidRPr="0072600F" w14:paraId="1C6084AB" w14:textId="77777777">
      <w:pPr>
        <w:ind w:left="720"/>
        <w:rPr>
          <w:rFonts w:ascii="Times New Roman" w:hAnsi="Times New Roman" w:cs="Times New Roman"/>
          <w:color w:val="000000"/>
          <w:sz w:val="26"/>
          <w:szCs w:val="26"/>
        </w:rPr>
      </w:pPr>
      <w:r w:rsidRPr="0072600F">
        <w:rPr>
          <w:rFonts w:ascii="Times New Roman" w:hAnsi="Times New Roman" w:cs="Times New Roman"/>
          <w:color w:val="000000"/>
          <w:sz w:val="26"/>
          <w:szCs w:val="26"/>
          <w:u w:val="single"/>
        </w:rPr>
        <w:t>To Affected System Interconnection Customer</w:t>
      </w:r>
      <w:r w:rsidRPr="0072600F">
        <w:rPr>
          <w:rFonts w:ascii="Times New Roman" w:hAnsi="Times New Roman" w:cs="Times New Roman"/>
          <w:color w:val="000000"/>
          <w:sz w:val="26"/>
          <w:szCs w:val="26"/>
        </w:rPr>
        <w:t>:</w:t>
      </w:r>
    </w:p>
    <w:p w:rsidR="00911580" w:rsidRPr="0072600F" w14:paraId="3DCE5F93" w14:textId="77777777">
      <w:pPr>
        <w:ind w:left="720"/>
        <w:rPr>
          <w:rFonts w:ascii="Times New Roman" w:hAnsi="Times New Roman" w:cs="Times New Roman"/>
          <w:color w:val="000000"/>
          <w:sz w:val="26"/>
          <w:szCs w:val="26"/>
        </w:rPr>
      </w:pPr>
    </w:p>
    <w:p w:rsidR="00911580" w:rsidRPr="0072600F" w14:paraId="313560DF" w14:textId="77777777">
      <w:pPr>
        <w:ind w:left="720" w:hanging="720"/>
        <w:rPr>
          <w:rFonts w:ascii="Times New Roman" w:eastAsia="Calibri" w:hAnsi="Times New Roman" w:cs="Times New Roman"/>
          <w:sz w:val="26"/>
          <w:szCs w:val="26"/>
        </w:rPr>
      </w:pPr>
      <w:r w:rsidRPr="0072600F">
        <w:rPr>
          <w:rFonts w:ascii="Times New Roman" w:hAnsi="Times New Roman" w:cs="Times New Roman"/>
          <w:b/>
          <w:bCs/>
          <w:color w:val="000000"/>
          <w:sz w:val="26"/>
          <w:szCs w:val="26"/>
        </w:rPr>
        <w:t>10.4</w:t>
      </w:r>
      <w:r w:rsidRPr="0072600F">
        <w:rPr>
          <w:rFonts w:ascii="Times New Roman" w:hAnsi="Times New Roman" w:cs="Times New Roman"/>
          <w:b/>
          <w:bCs/>
          <w:color w:val="000000"/>
          <w:sz w:val="26"/>
          <w:szCs w:val="26"/>
        </w:rPr>
        <w:tab/>
        <w:t>Execution and Filing.</w:t>
      </w:r>
      <w:r w:rsidRPr="0072600F">
        <w:rPr>
          <w:rFonts w:ascii="Times New Roman" w:hAnsi="Times New Roman" w:cs="Times New Roman"/>
          <w:color w:val="000000"/>
          <w:sz w:val="26"/>
          <w:szCs w:val="26"/>
        </w:rPr>
        <w:t xml:space="preserve">  Affected System </w:t>
      </w:r>
      <w:r w:rsidRPr="0072600F">
        <w:rPr>
          <w:rFonts w:ascii="Times New Roman" w:eastAsia="Calibri" w:hAnsi="Times New Roman" w:cs="Times New Roman"/>
          <w:sz w:val="26"/>
          <w:szCs w:val="26"/>
        </w:rPr>
        <w:t xml:space="preserve">Interconnection Customer shall either: </w:t>
      </w:r>
      <w:r w:rsidRPr="0072600F" w:rsidR="009850FB">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Pr>
          <w:rFonts w:ascii="Times New Roman" w:eastAsia="Calibri" w:hAnsi="Times New Roman" w:cs="Times New Roman"/>
          <w:sz w:val="26"/>
          <w:szCs w:val="26"/>
        </w:rPr>
        <w:t>) execute two originals of this tendered Agreement and return them to Transmission Provider; or (ii) request in writing that Transmission Provider file with FERC this Agreement in unexecuted form.  As soon as practicable, but not later than ten (10) Business Days after receiving either the two executed originals of this tendered Agreement (if it does not conform with a FERC-approved standard form of this Agreement) or the request to file this Agreement unexecuted, Transmission Provider shall file this Agreement with FERC, together with its explanation of any matters as to which Affected System Interconnection Customer and Transmission Provider disagree and support for the costs that Transmission Provider proposes to charge to Affected System Interconnection Customer under this Agreement.  An unexecuted version of this Agreement should contain terms and conditions deemed appropriate by Transmission Provider for the Affected System Interconnection Customer’s generating facility.  If the Parties agree to proceed with design, procurement, and construction of facilities and upgrades under the agreed-upon terms of the unexecuted version of this Agreement, they may proceed pending FERC action.</w:t>
      </w:r>
    </w:p>
    <w:p w:rsidR="00911580" w:rsidRPr="0072600F" w14:paraId="67D21603" w14:textId="77777777">
      <w:pPr>
        <w:rPr>
          <w:rFonts w:ascii="Times New Roman" w:hAnsi="Times New Roman" w:cs="Times New Roman"/>
          <w:color w:val="000000"/>
          <w:sz w:val="26"/>
          <w:szCs w:val="26"/>
        </w:rPr>
      </w:pPr>
    </w:p>
    <w:p w:rsidR="00911580" w:rsidRPr="0072600F" w14:paraId="01A36A7A"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11</w:t>
      </w:r>
    </w:p>
    <w:p w:rsidR="00911580" w:rsidRPr="0072600F" w14:paraId="753887AF" w14:textId="77777777">
      <w:pPr>
        <w:jc w:val="center"/>
        <w:rPr>
          <w:rFonts w:ascii="Times New Roman" w:hAnsi="Times New Roman" w:cs="Times New Roman"/>
          <w:b/>
          <w:color w:val="000000"/>
          <w:sz w:val="26"/>
          <w:szCs w:val="26"/>
        </w:rPr>
      </w:pPr>
      <w:r w:rsidRPr="0072600F">
        <w:rPr>
          <w:rFonts w:ascii="Times New Roman" w:hAnsi="Times New Roman" w:cs="Times New Roman"/>
          <w:b/>
          <w:bCs/>
          <w:color w:val="000000"/>
          <w:sz w:val="26"/>
          <w:szCs w:val="26"/>
        </w:rPr>
        <w:t>MISCELLANEOUS</w:t>
      </w:r>
    </w:p>
    <w:p w:rsidR="00911580" w:rsidRPr="0072600F" w14:paraId="14BA3BB7" w14:textId="77777777">
      <w:pPr>
        <w:rPr>
          <w:rFonts w:ascii="Times New Roman" w:hAnsi="Times New Roman" w:cs="Times New Roman"/>
          <w:b/>
          <w:bCs/>
          <w:i/>
          <w:iCs/>
          <w:color w:val="000000"/>
          <w:sz w:val="26"/>
          <w:szCs w:val="26"/>
        </w:rPr>
      </w:pPr>
    </w:p>
    <w:p w:rsidR="00911580" w:rsidRPr="0072600F" w14:paraId="47919327" w14:textId="77777777">
      <w:pPr>
        <w:ind w:left="720" w:hanging="720"/>
        <w:rPr>
          <w:rFonts w:ascii="Times New Roman" w:hAnsi="Times New Roman" w:cs="Times New Roman"/>
          <w:iCs/>
          <w:color w:val="000000"/>
          <w:sz w:val="26"/>
          <w:szCs w:val="26"/>
        </w:rPr>
      </w:pPr>
      <w:r w:rsidRPr="0072600F">
        <w:rPr>
          <w:rFonts w:ascii="Times New Roman" w:hAnsi="Times New Roman" w:cs="Times New Roman"/>
          <w:b/>
          <w:iCs/>
          <w:color w:val="000000"/>
          <w:sz w:val="26"/>
          <w:szCs w:val="26"/>
        </w:rPr>
        <w:t xml:space="preserve">11.1 </w:t>
      </w:r>
      <w:r w:rsidRPr="0072600F">
        <w:rPr>
          <w:rFonts w:ascii="Times New Roman" w:hAnsi="Times New Roman" w:cs="Times New Roman"/>
          <w:b/>
          <w:iCs/>
          <w:color w:val="000000"/>
          <w:sz w:val="26"/>
          <w:szCs w:val="26"/>
        </w:rPr>
        <w:tab/>
      </w:r>
      <w:r w:rsidRPr="0072600F">
        <w:rPr>
          <w:rFonts w:ascii="Times New Roman" w:hAnsi="Times New Roman" w:cs="Times New Roman"/>
          <w:iCs/>
          <w:color w:val="000000"/>
          <w:sz w:val="26"/>
          <w:szCs w:val="26"/>
        </w:rPr>
        <w:t>This Agreement shall include standard miscellaneous terms including, but not limited to, indemnities, representations, disclaimers, warranties, governing law, amendment, execution, waiver, enforceability and assignment, which reflect best practices in the electric industry, that are consistent with regional practices, Applicable Laws and Regulations and the organizational nature of each Party.  All of these provisions, to the extent practicable, shall be consistent with the provisions of this LGIP.</w:t>
      </w:r>
    </w:p>
    <w:p w:rsidR="00911580" w:rsidRPr="0072600F" w14:paraId="36C7176F" w14:textId="77777777">
      <w:pPr>
        <w:rPr>
          <w:rFonts w:ascii="Times New Roman" w:hAnsi="Times New Roman" w:cs="Times New Roman"/>
          <w:iCs/>
          <w:sz w:val="26"/>
          <w:szCs w:val="26"/>
        </w:rPr>
      </w:pPr>
    </w:p>
    <w:p w:rsidR="00911580" w:rsidRPr="0072600F" w14:paraId="0EDAD61E" w14:textId="77777777">
      <w:pPr>
        <w:rPr>
          <w:rFonts w:ascii="Times New Roman" w:hAnsi="Times New Roman" w:cs="Times New Roman"/>
          <w:iCs/>
          <w:color w:val="000000"/>
          <w:sz w:val="26"/>
          <w:szCs w:val="26"/>
        </w:rPr>
      </w:pPr>
      <w:r w:rsidRPr="0072600F">
        <w:rPr>
          <w:rFonts w:ascii="Times New Roman" w:hAnsi="Times New Roman" w:cs="Times New Roman"/>
          <w:iCs/>
          <w:color w:val="000000"/>
          <w:sz w:val="26"/>
          <w:szCs w:val="26"/>
        </w:rPr>
        <w:t> </w:t>
      </w:r>
    </w:p>
    <w:p w:rsidR="00911580" w:rsidRPr="0072600F" w14:paraId="7C54F9BD" w14:textId="77777777">
      <w:pPr>
        <w:jc w:val="center"/>
        <w:rPr>
          <w:rFonts w:ascii="Times New Roman" w:hAnsi="Times New Roman" w:cs="Times New Roman"/>
          <w:iCs/>
          <w:sz w:val="26"/>
          <w:szCs w:val="26"/>
        </w:rPr>
      </w:pPr>
      <w:r w:rsidRPr="0072600F">
        <w:rPr>
          <w:rFonts w:ascii="Times New Roman" w:hAnsi="Times New Roman" w:cs="Times New Roman"/>
          <w:iCs/>
          <w:sz w:val="26"/>
          <w:szCs w:val="26"/>
        </w:rPr>
        <w:t>{</w:t>
      </w:r>
      <w:r w:rsidRPr="0072600F">
        <w:rPr>
          <w:rFonts w:ascii="Times New Roman" w:hAnsi="Times New Roman" w:cs="Times New Roman"/>
          <w:iCs/>
          <w:sz w:val="26"/>
          <w:szCs w:val="26"/>
        </w:rPr>
        <w:t>Signature Page to Follow</w:t>
      </w:r>
      <w:r w:rsidRPr="0072600F">
        <w:rPr>
          <w:rFonts w:ascii="Times New Roman" w:hAnsi="Times New Roman" w:cs="Times New Roman"/>
          <w:iCs/>
          <w:sz w:val="26"/>
          <w:szCs w:val="26"/>
        </w:rPr>
        <w:t>}</w:t>
      </w:r>
    </w:p>
    <w:p w:rsidR="00911580" w:rsidRPr="0072600F" w14:paraId="62FDB461" w14:textId="77777777">
      <w:pPr>
        <w:jc w:val="center"/>
        <w:rPr>
          <w:rFonts w:ascii="Times New Roman" w:hAnsi="Times New Roman" w:cs="Times New Roman"/>
          <w:iCs/>
          <w:sz w:val="26"/>
          <w:szCs w:val="26"/>
        </w:rPr>
      </w:pPr>
      <w:r w:rsidRPr="0072600F">
        <w:rPr>
          <w:rFonts w:ascii="Times New Roman" w:hAnsi="Times New Roman" w:cs="Times New Roman"/>
          <w:iCs/>
          <w:sz w:val="26"/>
          <w:szCs w:val="26"/>
        </w:rPr>
        <w:br w:type="page"/>
      </w:r>
    </w:p>
    <w:p w:rsidR="00911580" w:rsidRPr="0072600F" w14:paraId="39FDDCA8" w14:textId="77777777">
      <w:pPr>
        <w:ind w:firstLine="720"/>
        <w:rPr>
          <w:rFonts w:ascii="Times New Roman" w:hAnsi="Times New Roman" w:cs="Times New Roman"/>
          <w:sz w:val="26"/>
          <w:szCs w:val="26"/>
        </w:rPr>
      </w:pPr>
      <w:r w:rsidRPr="0072600F">
        <w:rPr>
          <w:rFonts w:ascii="Times New Roman" w:hAnsi="Times New Roman" w:cs="Times New Roman"/>
          <w:b/>
          <w:bCs/>
          <w:color w:val="000000"/>
          <w:sz w:val="26"/>
          <w:szCs w:val="26"/>
        </w:rPr>
        <w:t>IN WITNESS WHEREOF,</w:t>
      </w:r>
      <w:r w:rsidRPr="0072600F">
        <w:rPr>
          <w:rFonts w:ascii="Times New Roman" w:hAnsi="Times New Roman" w:cs="Times New Roman"/>
          <w:color w:val="000000"/>
          <w:sz w:val="26"/>
          <w:szCs w:val="26"/>
        </w:rPr>
        <w:t xml:space="preserve"> the Parties have executed this Agreement in multiple originals, each of which shall constitute and be an original Agreement among the Parties.</w:t>
      </w:r>
    </w:p>
    <w:p w:rsidR="00911580" w:rsidRPr="0072600F" w14:paraId="5B06F6B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532C01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6FFF962"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Transmission Provider</w:t>
      </w:r>
    </w:p>
    <w:p w:rsidR="00911580" w:rsidRPr="0072600F" w14:paraId="550F2C4C"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Transmission Provider</w:t>
      </w:r>
      <w:r w:rsidRPr="0072600F">
        <w:rPr>
          <w:rFonts w:ascii="Times New Roman" w:hAnsi="Times New Roman" w:cs="Times New Roman"/>
          <w:b/>
          <w:bCs/>
          <w:color w:val="000000"/>
          <w:sz w:val="26"/>
          <w:szCs w:val="26"/>
        </w:rPr>
        <w:t>}</w:t>
      </w:r>
    </w:p>
    <w:p w:rsidR="00911580" w:rsidRPr="0072600F" w14:paraId="422337A6"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By: </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5C1AC58D" w14:textId="77777777">
      <w:pPr>
        <w:rPr>
          <w:rFonts w:ascii="Times New Roman" w:hAnsi="Times New Roman" w:cs="Times New Roman"/>
          <w:sz w:val="26"/>
          <w:szCs w:val="26"/>
        </w:rPr>
      </w:pPr>
      <w:r w:rsidRPr="0072600F">
        <w:rPr>
          <w:rFonts w:ascii="Times New Roman" w:hAnsi="Times New Roman" w:cs="Times New Roman"/>
          <w:color w:val="000000"/>
          <w:sz w:val="26"/>
          <w:szCs w:val="26"/>
        </w:rPr>
        <w:t>Name: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0A19A1CB"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Title: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1460ADF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BFF49BA"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BBC52B6"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Affected System Interconnection Customer</w:t>
      </w:r>
    </w:p>
    <w:p w:rsidR="00911580" w:rsidRPr="0072600F" w14:paraId="32BE10C5" w14:textId="77777777">
      <w:pPr>
        <w:rPr>
          <w:rFonts w:ascii="Times New Roman" w:hAnsi="Times New Roman" w:cs="Times New Roman"/>
          <w:sz w:val="26"/>
          <w:szCs w:val="26"/>
        </w:rPr>
      </w:pPr>
      <w:r w:rsidRPr="0072600F">
        <w:rPr>
          <w:rFonts w:ascii="Times New Roman" w:hAnsi="Times New Roman" w:cs="Times New Roman"/>
          <w:b/>
          <w:color w:val="000000"/>
          <w:sz w:val="26"/>
          <w:szCs w:val="26"/>
        </w:rPr>
        <w:t>{</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Interconnection Customer</w:t>
      </w:r>
      <w:r w:rsidRPr="0072600F">
        <w:rPr>
          <w:rFonts w:ascii="Times New Roman" w:hAnsi="Times New Roman" w:cs="Times New Roman"/>
          <w:b/>
          <w:bCs/>
          <w:color w:val="000000"/>
          <w:sz w:val="26"/>
          <w:szCs w:val="26"/>
        </w:rPr>
        <w:t>}</w:t>
      </w:r>
    </w:p>
    <w:p w:rsidR="00911580" w:rsidRPr="0072600F" w14:paraId="40962AC3"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By: </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5BF34278" w14:textId="77777777">
      <w:pPr>
        <w:rPr>
          <w:rFonts w:ascii="Times New Roman" w:hAnsi="Times New Roman" w:cs="Times New Roman"/>
          <w:sz w:val="26"/>
          <w:szCs w:val="26"/>
        </w:rPr>
      </w:pPr>
      <w:r w:rsidRPr="0072600F">
        <w:rPr>
          <w:rFonts w:ascii="Times New Roman" w:hAnsi="Times New Roman" w:cs="Times New Roman"/>
          <w:color w:val="000000"/>
          <w:sz w:val="26"/>
          <w:szCs w:val="26"/>
        </w:rPr>
        <w:t>Name: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1E49E850"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Title: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1461FC10"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E0FB1BB"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B220417" w14:textId="77777777">
      <w:pPr>
        <w:jc w:val="center"/>
        <w:rPr>
          <w:rFonts w:ascii="Times New Roman" w:hAnsi="Times New Roman" w:cs="Times New Roman"/>
          <w:sz w:val="26"/>
          <w:szCs w:val="26"/>
        </w:rPr>
      </w:pPr>
      <w:r w:rsidRPr="0072600F">
        <w:rPr>
          <w:rFonts w:ascii="Times New Roman" w:hAnsi="Times New Roman" w:cs="Times New Roman"/>
          <w:color w:val="000000"/>
          <w:sz w:val="26"/>
          <w:szCs w:val="26"/>
        </w:rPr>
        <w:t>Project No. ____</w:t>
      </w:r>
    </w:p>
    <w:p w:rsidR="00911580" w:rsidRPr="0072600F" w14:paraId="33039FD4" w14:textId="77777777">
      <w:pPr>
        <w:rPr>
          <w:rFonts w:ascii="Times New Roman" w:hAnsi="Times New Roman" w:cs="Times New Roman"/>
          <w:sz w:val="26"/>
          <w:szCs w:val="26"/>
        </w:rPr>
      </w:pPr>
    </w:p>
    <w:p w:rsidR="00911580" w:rsidRPr="0072600F" w14:paraId="2D1747B5" w14:textId="77777777">
      <w:pPr>
        <w:spacing w:line="480" w:lineRule="auto"/>
        <w:rPr>
          <w:rFonts w:ascii="Times New Roman" w:eastAsia="Calibri" w:hAnsi="Times New Roman" w:cs="Times New Roman"/>
          <w:i/>
          <w:iCs/>
          <w:sz w:val="26"/>
          <w:szCs w:val="26"/>
        </w:rPr>
      </w:pPr>
    </w:p>
    <w:p w:rsidR="00911580" w:rsidRPr="0072600F" w14:paraId="7126AD5D" w14:textId="77777777">
      <w:pPr>
        <w:spacing w:line="480" w:lineRule="auto"/>
        <w:rPr>
          <w:rFonts w:ascii="Times New Roman" w:eastAsia="Calibri" w:hAnsi="Times New Roman" w:cs="Times New Roman"/>
          <w:i/>
          <w:iCs/>
          <w:sz w:val="26"/>
          <w:szCs w:val="26"/>
        </w:rPr>
      </w:pPr>
    </w:p>
    <w:p w:rsidR="00911580" w:rsidRPr="0072600F" w14:paraId="73D5B4FB" w14:textId="77777777">
      <w:pPr>
        <w:rPr>
          <w:rFonts w:ascii="Times New Roman" w:hAnsi="Times New Roman" w:cs="Times New Roman"/>
          <w:b/>
          <w:bCs/>
          <w:i/>
          <w:iCs/>
          <w:color w:val="000000"/>
          <w:sz w:val="26"/>
          <w:szCs w:val="26"/>
        </w:rPr>
      </w:pPr>
      <w:r w:rsidRPr="0072600F">
        <w:rPr>
          <w:rFonts w:ascii="Times New Roman" w:hAnsi="Times New Roman" w:cs="Times New Roman"/>
          <w:b/>
          <w:bCs/>
          <w:i/>
          <w:iCs/>
          <w:color w:val="000000"/>
          <w:sz w:val="26"/>
          <w:szCs w:val="26"/>
        </w:rPr>
        <w:br w:type="page"/>
      </w:r>
    </w:p>
    <w:p w:rsidR="00911580" w:rsidRPr="0072600F" w14:paraId="688CE61C"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Attachment A to Appendix 11</w:t>
      </w:r>
    </w:p>
    <w:p w:rsidR="00911580" w:rsidRPr="0072600F" w14:paraId="0064B3CA"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Two-Party Affected System Facilities Construction Agreement</w:t>
      </w:r>
    </w:p>
    <w:p w:rsidR="00911580" w:rsidRPr="0072600F" w14:paraId="32520A46" w14:textId="77777777">
      <w:pPr>
        <w:rPr>
          <w:rFonts w:ascii="Times New Roman" w:hAnsi="Times New Roman" w:cs="Times New Roman"/>
          <w:sz w:val="26"/>
          <w:szCs w:val="26"/>
        </w:rPr>
      </w:pPr>
    </w:p>
    <w:p w:rsidR="00911580" w:rsidRPr="0072600F" w14:paraId="1060FA9F"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AFFECTED SYSTEM NETWORK UPGRADE(S), COST ESTIMATES AND RESPONSIBILITY, CONSTRUCTION SCHEDULE AND MONTHLY PAYMENT SCHEDULE</w:t>
      </w:r>
    </w:p>
    <w:p w:rsidR="00911580" w:rsidRPr="0072600F" w14:paraId="737B69C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0968E40"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This Appendix A is a part of the Affected System Facilities Construction Agreement between Affected System Interconnection Customer and Transmission Provider.</w:t>
      </w:r>
    </w:p>
    <w:p w:rsidR="00911580" w:rsidRPr="0072600F" w14:paraId="0ADC10AF"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F1E0C" w14:paraId="3778BE79" w14:textId="77777777">
      <w:pPr>
        <w:ind w:left="720" w:hanging="720"/>
        <w:rPr>
          <w:rFonts w:ascii="Times New Roman" w:hAnsi="Times New Roman" w:cs="Times New Roman"/>
          <w:b/>
          <w:color w:val="000000"/>
          <w:sz w:val="26"/>
          <w:szCs w:val="26"/>
        </w:rPr>
      </w:pPr>
      <w:r w:rsidRPr="0072600F">
        <w:rPr>
          <w:rFonts w:ascii="Times New Roman" w:hAnsi="Times New Roman" w:cs="Times New Roman"/>
          <w:b/>
          <w:color w:val="000000"/>
          <w:sz w:val="26"/>
          <w:szCs w:val="26"/>
        </w:rPr>
        <w:t> 1.1</w:t>
      </w:r>
      <w:r w:rsidRPr="0072600F">
        <w:rPr>
          <w:rFonts w:ascii="Times New Roman" w:hAnsi="Times New Roman" w:cs="Times New Roman"/>
          <w:b/>
          <w:color w:val="000000"/>
          <w:sz w:val="26"/>
          <w:szCs w:val="26"/>
        </w:rPr>
        <w:tab/>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color w:val="000000"/>
          <w:sz w:val="26"/>
          <w:szCs w:val="26"/>
        </w:rPr>
        <w:t xml:space="preserve">Network Upgrade(s) to be installed by Transmission Provider.  </w:t>
      </w:r>
    </w:p>
    <w:p w:rsidR="00911580" w:rsidRPr="0072600F" w14:paraId="2E300AF0" w14:textId="77777777">
      <w:pPr>
        <w:ind w:left="720" w:hanging="720"/>
        <w:rPr>
          <w:rFonts w:ascii="Times New Roman" w:hAnsi="Times New Roman" w:cs="Times New Roman"/>
          <w:b/>
          <w:bCs/>
          <w:color w:val="000000"/>
          <w:sz w:val="26"/>
          <w:szCs w:val="26"/>
        </w:rPr>
      </w:pPr>
    </w:p>
    <w:p w:rsidR="00911580" w:rsidRPr="0072600F" w14:paraId="04207102" w14:textId="77777777">
      <w:pPr>
        <w:ind w:left="72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6B9C08B4" w14:textId="77777777">
      <w:pPr>
        <w:ind w:left="720" w:hanging="720"/>
        <w:rPr>
          <w:rFonts w:ascii="Times New Roman" w:hAnsi="Times New Roman" w:cs="Times New Roman"/>
          <w:b/>
          <w:bCs/>
          <w:sz w:val="26"/>
          <w:szCs w:val="26"/>
        </w:rPr>
      </w:pPr>
    </w:p>
    <w:p w:rsidR="00911580" w:rsidRPr="0072600F" w14:paraId="5C06DD52" w14:textId="77777777">
      <w:pPr>
        <w:ind w:left="720" w:hanging="720"/>
        <w:rPr>
          <w:rFonts w:ascii="Times New Roman" w:hAnsi="Times New Roman" w:cs="Times New Roman"/>
          <w:b/>
          <w:bCs/>
          <w:sz w:val="26"/>
          <w:szCs w:val="26"/>
        </w:rPr>
      </w:pPr>
      <w:r w:rsidRPr="0072600F">
        <w:rPr>
          <w:rFonts w:ascii="Times New Roman" w:hAnsi="Times New Roman" w:cs="Times New Roman"/>
          <w:sz w:val="26"/>
          <w:szCs w:val="26"/>
        </w:rPr>
        <w:t> </w:t>
      </w:r>
      <w:r w:rsidRPr="0072600F">
        <w:rPr>
          <w:rFonts w:ascii="Times New Roman" w:hAnsi="Times New Roman" w:cs="Times New Roman"/>
          <w:b/>
          <w:bCs/>
          <w:sz w:val="26"/>
          <w:szCs w:val="26"/>
        </w:rPr>
        <w:t> </w:t>
      </w:r>
    </w:p>
    <w:p w:rsidR="00911580" w:rsidRPr="0072600F" w14:paraId="0E657D6A" w14:textId="77777777">
      <w:pPr>
        <w:ind w:left="720" w:hanging="720"/>
        <w:rPr>
          <w:rFonts w:ascii="Times New Roman" w:hAnsi="Times New Roman" w:cs="Times New Roman"/>
          <w:sz w:val="26"/>
          <w:szCs w:val="26"/>
        </w:rPr>
      </w:pPr>
      <w:r w:rsidRPr="0072600F">
        <w:rPr>
          <w:rFonts w:ascii="Times New Roman" w:hAnsi="Times New Roman" w:cs="Times New Roman"/>
          <w:b/>
          <w:bCs/>
          <w:sz w:val="26"/>
          <w:szCs w:val="26"/>
        </w:rPr>
        <w:t>1.2</w:t>
      </w:r>
      <w:r w:rsidRPr="0072600F">
        <w:rPr>
          <w:rFonts w:ascii="Times New Roman" w:hAnsi="Times New Roman" w:cs="Times New Roman"/>
          <w:b/>
          <w:bCs/>
          <w:sz w:val="26"/>
          <w:szCs w:val="26"/>
        </w:rPr>
        <w:tab/>
        <w:t>First Equipment Order (including permitting).</w:t>
      </w:r>
      <w:r w:rsidRPr="0072600F">
        <w:rPr>
          <w:rFonts w:ascii="Times New Roman" w:hAnsi="Times New Roman" w:cs="Times New Roman"/>
          <w:sz w:val="26"/>
          <w:szCs w:val="26"/>
        </w:rPr>
        <w:t xml:space="preserve">  </w:t>
      </w:r>
    </w:p>
    <w:p w:rsidR="00911580" w:rsidRPr="0072600F" w14:paraId="66891130" w14:textId="77777777">
      <w:pPr>
        <w:ind w:left="720" w:hanging="720"/>
        <w:rPr>
          <w:rFonts w:ascii="Times New Roman" w:hAnsi="Times New Roman" w:cs="Times New Roman"/>
          <w:sz w:val="26"/>
          <w:szCs w:val="26"/>
        </w:rPr>
      </w:pPr>
    </w:p>
    <w:p w:rsidR="00911580" w:rsidRPr="0072600F" w14:paraId="33655BCB" w14:textId="77777777">
      <w:pPr>
        <w:ind w:left="72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527F502A" w14:textId="77777777">
      <w:pPr>
        <w:ind w:left="720" w:hanging="720"/>
        <w:rPr>
          <w:rFonts w:ascii="Times New Roman" w:hAnsi="Times New Roman" w:cs="Times New Roman"/>
          <w:sz w:val="26"/>
          <w:szCs w:val="26"/>
        </w:rPr>
      </w:pPr>
    </w:p>
    <w:p w:rsidR="00911580" w:rsidRPr="0072600F" w14:paraId="793337CB" w14:textId="77777777">
      <w:pPr>
        <w:ind w:left="720" w:hanging="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3CF04D19" w14:textId="77777777">
      <w:pPr>
        <w:ind w:left="144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1.2.1.</w:t>
      </w:r>
      <w:r w:rsidRPr="0072600F">
        <w:rPr>
          <w:rFonts w:ascii="Times New Roman" w:hAnsi="Times New Roman" w:cs="Times New Roman"/>
          <w:b/>
          <w:bCs/>
          <w:color w:val="000000"/>
          <w:sz w:val="26"/>
          <w:szCs w:val="26"/>
        </w:rPr>
        <w:tab/>
        <w:t xml:space="preserve">Permitting and Land Rights – </w:t>
      </w:r>
      <w:r w:rsidRPr="0072600F">
        <w:rPr>
          <w:rFonts w:ascii="Times New Roman" w:hAnsi="Times New Roman" w:cs="Times New Roman"/>
          <w:b/>
          <w:color w:val="000000"/>
          <w:sz w:val="26"/>
          <w:szCs w:val="26"/>
        </w:rPr>
        <w:t>Transmission Provider</w:t>
      </w:r>
      <w:r w:rsidRPr="0072600F">
        <w:rPr>
          <w:rFonts w:ascii="Times New Roman" w:hAnsi="Times New Roman" w:cs="Times New Roman"/>
          <w:b/>
          <w:bCs/>
          <w:color w:val="000000"/>
          <w:sz w:val="26"/>
          <w:szCs w:val="26"/>
        </w:rPr>
        <w:t xml:space="preserve"> </w:t>
      </w:r>
      <w:r w:rsidRPr="0072600F">
        <w:rPr>
          <w:rFonts w:ascii="Times New Roman" w:hAnsi="Times New Roman" w:cs="Times New Roman"/>
          <w:b/>
          <w:bCs/>
          <w:color w:val="000000"/>
          <w:sz w:val="26"/>
          <w:szCs w:val="26"/>
        </w:rPr>
        <w:t>Affected System Network Upgrade(s)</w:t>
      </w:r>
    </w:p>
    <w:p w:rsidR="00911580" w:rsidRPr="0072600F" w14:paraId="69CA96B7" w14:textId="77777777">
      <w:pPr>
        <w:ind w:left="1440" w:hanging="720"/>
        <w:rPr>
          <w:rFonts w:ascii="Times New Roman" w:hAnsi="Times New Roman" w:cs="Times New Roman"/>
          <w:b/>
          <w:bCs/>
          <w:sz w:val="26"/>
          <w:szCs w:val="26"/>
        </w:rPr>
      </w:pPr>
    </w:p>
    <w:p w:rsidR="00911580" w:rsidRPr="0072600F" w14:paraId="1C04D422"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004AD42D"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1BA8230"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1.3</w:t>
      </w:r>
      <w:r w:rsidRPr="0072600F">
        <w:rPr>
          <w:rFonts w:ascii="Times New Roman" w:hAnsi="Times New Roman" w:cs="Times New Roman"/>
          <w:b/>
          <w:bCs/>
          <w:color w:val="000000"/>
          <w:sz w:val="26"/>
          <w:szCs w:val="26"/>
        </w:rPr>
        <w:tab/>
        <w:t>Construction Schedule.</w:t>
      </w:r>
      <w:r w:rsidRPr="0072600F">
        <w:rPr>
          <w:rFonts w:ascii="Times New Roman" w:hAnsi="Times New Roman" w:cs="Times New Roman"/>
          <w:color w:val="000000"/>
          <w:sz w:val="26"/>
          <w:szCs w:val="26"/>
        </w:rPr>
        <w:t xml:space="preserve">  Where applicable, construction of the Affected System Network Upgrade(s) is scheduled as follows and will be periodically updated as necessary:  </w:t>
      </w:r>
    </w:p>
    <w:p w:rsidR="00911580" w:rsidRPr="0072600F" w14:paraId="7B213BF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50724E3" w14:textId="77777777">
      <w:pPr>
        <w:ind w:firstLine="720"/>
        <w:rPr>
          <w:rFonts w:ascii="Times New Roman" w:hAnsi="Times New Roman" w:cs="Times New Roman"/>
          <w:sz w:val="26"/>
          <w:szCs w:val="26"/>
        </w:rPr>
      </w:pPr>
      <w:r w:rsidRPr="0072600F">
        <w:rPr>
          <w:rFonts w:ascii="Times New Roman" w:hAnsi="Times New Roman" w:cs="Times New Roman"/>
          <w:b/>
          <w:bCs/>
          <w:color w:val="000000"/>
          <w:sz w:val="26"/>
          <w:szCs w:val="26"/>
        </w:rPr>
        <w:t>Table 1:  Transmission Provider Construction Activities</w:t>
      </w:r>
    </w:p>
    <w:tbl>
      <w:tblPr>
        <w:tblW w:w="0" w:type="auto"/>
        <w:tblInd w:w="612" w:type="dxa"/>
        <w:tblCellMar>
          <w:top w:w="15" w:type="dxa"/>
          <w:left w:w="15" w:type="dxa"/>
          <w:bottom w:w="15" w:type="dxa"/>
          <w:right w:w="15" w:type="dxa"/>
        </w:tblCellMar>
        <w:tblLook w:val="04A0"/>
      </w:tblPr>
      <w:tblGrid>
        <w:gridCol w:w="1775"/>
        <w:gridCol w:w="2625"/>
        <w:gridCol w:w="1067"/>
        <w:gridCol w:w="923"/>
      </w:tblGrid>
      <w:tr w14:paraId="3F50A63C"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3E1EF97F"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MILESTONE NUMBER</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45565F98" w14:textId="77777777">
            <w:pPr>
              <w:jc w:val="center"/>
              <w:rPr>
                <w:rFonts w:ascii="Times New Roman" w:hAnsi="Times New Roman" w:cs="Times New Roman"/>
                <w:sz w:val="26"/>
                <w:szCs w:val="26"/>
              </w:rPr>
            </w:pPr>
            <w:r w:rsidRPr="0072600F">
              <w:rPr>
                <w:rFonts w:ascii="Times New Roman" w:hAnsi="Times New Roman" w:cs="Times New Roman"/>
                <w:b/>
                <w:bCs/>
                <w:caps/>
                <w:color w:val="000000"/>
                <w:sz w:val="26"/>
                <w:szCs w:val="26"/>
              </w:rPr>
              <w:t>DESCRIPTION</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1D9E179F"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START DATE</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54FCFA97"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END</w:t>
            </w:r>
          </w:p>
          <w:p w:rsidR="00911580" w:rsidRPr="0072600F" w14:paraId="082645CE"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DATE</w:t>
            </w:r>
          </w:p>
        </w:tc>
      </w:tr>
      <w:tr w14:paraId="0AE61792"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40620B2"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A20F86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DE7241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575FA266"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10DA4BC8"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82300D3"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1E36EC0"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D1C9C4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DA3680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4ACB6CDB"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199E178"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76B79B5"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128E8A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972F91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57E4CD78"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91BE4B2"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E218A6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7C6A60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ADCE90A"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0F81E441"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FAB4E34"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9E42A6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13AD76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9676B0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1B470D6D" w14:textId="77777777">
        <w:tblPrEx>
          <w:tblW w:w="0" w:type="auto"/>
          <w:tblInd w:w="612" w:type="dxa"/>
          <w:tblCellMar>
            <w:top w:w="15" w:type="dxa"/>
            <w:left w:w="15" w:type="dxa"/>
            <w:bottom w:w="15" w:type="dxa"/>
            <w:right w:w="15" w:type="dxa"/>
          </w:tblCellMar>
          <w:tblLook w:val="04A0"/>
        </w:tblPrEx>
        <w:tc>
          <w:tcPr>
            <w:tcW w:w="177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51E5D12"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8E52BA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06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AC823F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B17CE0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bl>
    <w:p w:rsidR="00911580" w:rsidRPr="0072600F" w14:paraId="0FDADB4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A19F91F"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Note:  Construction schedule assumes that Transmission Provider has obtained final authorizations and security from Affected System Interconnection Customer and all necessary permits from Governmental Authorities as necessary prerequisites to commence construction of any of the Affected System Network Upgrade(s).</w:t>
      </w:r>
    </w:p>
    <w:p w:rsidR="00911580" w:rsidRPr="0072600F" w14:paraId="3176F00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AE4221A"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1.4</w:t>
      </w:r>
      <w:r w:rsidRPr="0072600F">
        <w:rPr>
          <w:rFonts w:ascii="Times New Roman" w:hAnsi="Times New Roman" w:cs="Times New Roman"/>
          <w:b/>
          <w:bCs/>
          <w:color w:val="000000"/>
          <w:sz w:val="26"/>
          <w:szCs w:val="26"/>
        </w:rPr>
        <w:tab/>
        <w:t xml:space="preserve">Payment Schedule.  </w:t>
      </w:r>
    </w:p>
    <w:p w:rsidR="00911580" w:rsidRPr="0072600F" w14:paraId="5CFD113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3896528"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1.4.1</w:t>
      </w:r>
      <w:r w:rsidRPr="0072600F">
        <w:rPr>
          <w:rFonts w:ascii="Times New Roman" w:hAnsi="Times New Roman" w:cs="Times New Roman"/>
          <w:b/>
          <w:bCs/>
          <w:color w:val="000000"/>
          <w:sz w:val="26"/>
          <w:szCs w:val="26"/>
        </w:rPr>
        <w:tab/>
        <w:t xml:space="preserve">Timing of and Adjustments to </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Interconnection Customer’s Payments and Security.  </w:t>
      </w:r>
    </w:p>
    <w:p w:rsidR="00911580" w:rsidRPr="0072600F" w14:paraId="78FA9FFF" w14:textId="77777777">
      <w:pPr>
        <w:ind w:left="1440" w:hanging="720"/>
        <w:rPr>
          <w:rFonts w:ascii="Times New Roman" w:hAnsi="Times New Roman" w:cs="Times New Roman"/>
          <w:color w:val="FF0000"/>
          <w:sz w:val="26"/>
          <w:szCs w:val="26"/>
        </w:rPr>
      </w:pPr>
      <w:r w:rsidRPr="0072600F">
        <w:rPr>
          <w:rFonts w:ascii="Times New Roman" w:hAnsi="Times New Roman" w:cs="Times New Roman"/>
          <w:color w:val="000000"/>
          <w:sz w:val="26"/>
          <w:szCs w:val="26"/>
        </w:rPr>
        <w:t> </w:t>
      </w:r>
    </w:p>
    <w:p w:rsidR="00911580" w:rsidRPr="0072600F" w14:paraId="41D8EC34"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39EA5664" w14:textId="77777777">
      <w:pPr>
        <w:ind w:left="720" w:hanging="720"/>
        <w:rPr>
          <w:rFonts w:ascii="Times New Roman" w:hAnsi="Times New Roman" w:cs="Times New Roman"/>
          <w:sz w:val="26"/>
          <w:szCs w:val="26"/>
        </w:rPr>
      </w:pPr>
    </w:p>
    <w:p w:rsidR="00911580" w:rsidRPr="0072600F" w14:paraId="6E010973" w14:textId="77777777">
      <w:pPr>
        <w:ind w:left="1440" w:hanging="720"/>
        <w:rPr>
          <w:rFonts w:ascii="Times New Roman" w:hAnsi="Times New Roman" w:cs="Times New Roman"/>
          <w:sz w:val="26"/>
          <w:szCs w:val="26"/>
        </w:rPr>
      </w:pPr>
      <w:r w:rsidRPr="0072600F">
        <w:rPr>
          <w:rFonts w:ascii="Times New Roman" w:hAnsi="Times New Roman" w:cs="Times New Roman"/>
          <w:b/>
          <w:bCs/>
          <w:sz w:val="26"/>
          <w:szCs w:val="26"/>
        </w:rPr>
        <w:t>1.4.2</w:t>
      </w:r>
      <w:r w:rsidRPr="0072600F">
        <w:rPr>
          <w:rFonts w:ascii="Times New Roman" w:hAnsi="Times New Roman" w:cs="Times New Roman"/>
          <w:b/>
          <w:bCs/>
          <w:sz w:val="26"/>
          <w:szCs w:val="26"/>
        </w:rPr>
        <w:tab/>
        <w:t>Monthly Payment Schedule.</w:t>
      </w:r>
      <w:r w:rsidRPr="0072600F">
        <w:rPr>
          <w:rFonts w:ascii="Times New Roman" w:hAnsi="Times New Roman" w:cs="Times New Roman"/>
          <w:sz w:val="26"/>
          <w:szCs w:val="26"/>
        </w:rPr>
        <w:t xml:space="preserve">  Affected System Interconnection Customer’s payment schedule is as follows.</w:t>
      </w:r>
    </w:p>
    <w:p w:rsidR="00911580" w:rsidRPr="0072600F" w14:paraId="38D479CA" w14:textId="77777777">
      <w:pPr>
        <w:ind w:left="1440" w:hanging="720"/>
        <w:rPr>
          <w:rFonts w:ascii="Times New Roman" w:hAnsi="Times New Roman" w:cs="Times New Roman"/>
          <w:b/>
          <w:bCs/>
          <w:sz w:val="26"/>
          <w:szCs w:val="26"/>
        </w:rPr>
      </w:pPr>
    </w:p>
    <w:p w:rsidR="00911580" w:rsidRPr="0072600F" w14:paraId="4A50FB58"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1FC74B51" w14:textId="77777777">
      <w:pPr>
        <w:ind w:left="1440"/>
        <w:rPr>
          <w:rFonts w:ascii="Times New Roman" w:hAnsi="Times New Roman" w:cs="Times New Roman"/>
          <w:b/>
          <w:bCs/>
          <w:color w:val="000000"/>
          <w:sz w:val="26"/>
          <w:szCs w:val="26"/>
        </w:rPr>
      </w:pPr>
    </w:p>
    <w:p w:rsidR="00911580" w:rsidRPr="0072600F" w14:paraId="3BA12EEE" w14:textId="77777777">
      <w:pPr>
        <w:ind w:left="1440"/>
        <w:rPr>
          <w:rFonts w:ascii="Times New Roman" w:hAnsi="Times New Roman" w:cs="Times New Roman"/>
          <w:sz w:val="26"/>
          <w:szCs w:val="26"/>
        </w:rPr>
      </w:pPr>
      <w:r w:rsidRPr="0072600F">
        <w:rPr>
          <w:rFonts w:ascii="Times New Roman" w:hAnsi="Times New Roman" w:cs="Times New Roman"/>
          <w:b/>
          <w:bCs/>
          <w:color w:val="000000"/>
          <w:sz w:val="26"/>
          <w:szCs w:val="26"/>
        </w:rPr>
        <w:t xml:space="preserve">Table 2:  </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Interconnection Customer’s Payment/Security Obligations for </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Network Upgrade(s). </w:t>
      </w:r>
    </w:p>
    <w:p w:rsidR="00911580" w:rsidRPr="0072600F" w14:paraId="31922565" w14:textId="77777777">
      <w:pPr>
        <w:rPr>
          <w:rFonts w:ascii="Times New Roman" w:hAnsi="Times New Roman" w:cs="Times New Roman"/>
          <w:sz w:val="26"/>
          <w:szCs w:val="26"/>
        </w:rPr>
      </w:pPr>
      <w:r w:rsidRPr="0072600F">
        <w:rPr>
          <w:rFonts w:ascii="Times New Roman" w:hAnsi="Times New Roman" w:cs="Times New Roman"/>
          <w:color w:val="000000"/>
          <w:sz w:val="26"/>
          <w:szCs w:val="26"/>
        </w:rPr>
        <w:tab/>
      </w:r>
    </w:p>
    <w:tbl>
      <w:tblPr>
        <w:tblW w:w="0" w:type="auto"/>
        <w:tblInd w:w="1332" w:type="dxa"/>
        <w:tblCellMar>
          <w:top w:w="15" w:type="dxa"/>
          <w:left w:w="15" w:type="dxa"/>
          <w:bottom w:w="15" w:type="dxa"/>
          <w:right w:w="15" w:type="dxa"/>
        </w:tblCellMar>
        <w:tblLook w:val="04A0"/>
      </w:tblPr>
      <w:tblGrid>
        <w:gridCol w:w="1785"/>
        <w:gridCol w:w="2250"/>
        <w:gridCol w:w="960"/>
      </w:tblGrid>
      <w:tr w14:paraId="5D002A9C" w14:textId="77777777">
        <w:tblPrEx>
          <w:tblW w:w="0" w:type="auto"/>
          <w:tblInd w:w="1332" w:type="dxa"/>
          <w:tblCellMar>
            <w:top w:w="15" w:type="dxa"/>
            <w:left w:w="15" w:type="dxa"/>
            <w:bottom w:w="15" w:type="dxa"/>
            <w:right w:w="15" w:type="dxa"/>
          </w:tblCellMar>
          <w:tblLook w:val="04A0"/>
        </w:tblPrEx>
        <w:tc>
          <w:tcPr>
            <w:tcW w:w="178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4EB171BA"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MILESTONE NUMBER</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0864C4D7" w14:textId="77777777">
            <w:pPr>
              <w:jc w:val="center"/>
              <w:rPr>
                <w:rFonts w:ascii="Times New Roman" w:hAnsi="Times New Roman" w:cs="Times New Roman"/>
                <w:sz w:val="26"/>
                <w:szCs w:val="26"/>
              </w:rPr>
            </w:pPr>
            <w:r w:rsidRPr="0072600F">
              <w:rPr>
                <w:rFonts w:ascii="Times New Roman" w:hAnsi="Times New Roman" w:cs="Times New Roman"/>
                <w:b/>
                <w:bCs/>
                <w:caps/>
                <w:color w:val="000000"/>
                <w:sz w:val="26"/>
                <w:szCs w:val="26"/>
              </w:rPr>
              <w:t>DESCRIPTION</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1CE01E8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DATE</w:t>
            </w:r>
          </w:p>
        </w:tc>
      </w:tr>
      <w:tr w14:paraId="06B8F542" w14:textId="77777777">
        <w:tblPrEx>
          <w:tblW w:w="0" w:type="auto"/>
          <w:tblInd w:w="1332" w:type="dxa"/>
          <w:tblCellMar>
            <w:top w:w="15" w:type="dxa"/>
            <w:left w:w="15" w:type="dxa"/>
            <w:bottom w:w="15" w:type="dxa"/>
            <w:right w:w="15" w:type="dxa"/>
          </w:tblCellMar>
          <w:tblLook w:val="04A0"/>
        </w:tblPrEx>
        <w:tc>
          <w:tcPr>
            <w:tcW w:w="178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A6F8F64" w14:textId="77777777">
            <w:pPr>
              <w:jc w:val="center"/>
              <w:rPr>
                <w:rFonts w:ascii="Times New Roman" w:hAnsi="Times New Roman" w:cs="Times New Roman"/>
                <w:strike/>
                <w:sz w:val="26"/>
                <w:szCs w:val="2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54DCDEA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857432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1C701564" w14:textId="77777777">
        <w:tblPrEx>
          <w:tblW w:w="0" w:type="auto"/>
          <w:tblInd w:w="1332" w:type="dxa"/>
          <w:tblCellMar>
            <w:top w:w="15" w:type="dxa"/>
            <w:left w:w="15" w:type="dxa"/>
            <w:bottom w:w="15" w:type="dxa"/>
            <w:right w:w="15" w:type="dxa"/>
          </w:tblCellMar>
          <w:tblLook w:val="04A0"/>
        </w:tblPrEx>
        <w:tc>
          <w:tcPr>
            <w:tcW w:w="178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0A5ABA3"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EB64AB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25CC7F6"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62A0CD6E" w14:textId="77777777">
        <w:tblPrEx>
          <w:tblW w:w="0" w:type="auto"/>
          <w:tblInd w:w="1332" w:type="dxa"/>
          <w:tblCellMar>
            <w:top w:w="15" w:type="dxa"/>
            <w:left w:w="15" w:type="dxa"/>
            <w:bottom w:w="15" w:type="dxa"/>
            <w:right w:w="15" w:type="dxa"/>
          </w:tblCellMar>
          <w:tblLook w:val="04A0"/>
        </w:tblPrEx>
        <w:tc>
          <w:tcPr>
            <w:tcW w:w="178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2F15BD2"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505C4D7F"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015E28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44BAF440" w14:textId="77777777">
        <w:tblPrEx>
          <w:tblW w:w="0" w:type="auto"/>
          <w:tblInd w:w="1332" w:type="dxa"/>
          <w:tblCellMar>
            <w:top w:w="15" w:type="dxa"/>
            <w:left w:w="15" w:type="dxa"/>
            <w:bottom w:w="15" w:type="dxa"/>
            <w:right w:w="15" w:type="dxa"/>
          </w:tblCellMar>
          <w:tblLook w:val="04A0"/>
        </w:tblPrEx>
        <w:tc>
          <w:tcPr>
            <w:tcW w:w="178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DF5D41F"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AD78499"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906CB8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bl>
    <w:p w:rsidR="00911580" w:rsidRPr="0072600F" w14:paraId="53391EE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1637416" w14:textId="77777777">
      <w:pPr>
        <w:ind w:left="1440"/>
        <w:rPr>
          <w:rFonts w:ascii="Times New Roman" w:hAnsi="Times New Roman" w:cs="Times New Roman"/>
          <w:sz w:val="26"/>
          <w:szCs w:val="26"/>
        </w:rPr>
      </w:pPr>
      <w:r w:rsidRPr="0072600F">
        <w:rPr>
          <w:rFonts w:ascii="Times New Roman" w:hAnsi="Times New Roman" w:cs="Times New Roman"/>
          <w:color w:val="000000"/>
          <w:sz w:val="26"/>
          <w:szCs w:val="26"/>
        </w:rPr>
        <w:t>Note:  Affected System Interconnection Customer’s payment or provision of security as provided in this Agreement operates as a condition precedent to Transmission Provider’s obligations to construct any Affected System Network Upgrade(s), and failure to meet this schedule will constitute a Breach pursuant to Article 5.1 of this Agreement.</w:t>
      </w:r>
    </w:p>
    <w:p w:rsidR="00911580" w:rsidRPr="0072600F" w14:paraId="6F69469B"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  </w:t>
      </w:r>
    </w:p>
    <w:p w:rsidR="00911580" w:rsidRPr="0072600F" w14:paraId="34C6A79D" w14:textId="77777777">
      <w:pPr>
        <w:rPr>
          <w:rFonts w:ascii="Times New Roman" w:hAnsi="Times New Roman" w:cs="Times New Roman"/>
          <w:color w:val="000000"/>
          <w:sz w:val="26"/>
          <w:szCs w:val="26"/>
        </w:rPr>
      </w:pPr>
      <w:r w:rsidRPr="0072600F">
        <w:rPr>
          <w:rFonts w:ascii="Times New Roman" w:hAnsi="Times New Roman" w:cs="Times New Roman"/>
          <w:b/>
          <w:color w:val="000000"/>
          <w:sz w:val="26"/>
          <w:szCs w:val="26"/>
        </w:rPr>
        <w:t>1.5</w:t>
      </w:r>
      <w:r w:rsidRPr="0072600F">
        <w:rPr>
          <w:rFonts w:ascii="Times New Roman" w:hAnsi="Times New Roman" w:cs="Times New Roman"/>
          <w:b/>
          <w:color w:val="000000"/>
          <w:sz w:val="26"/>
          <w:szCs w:val="26"/>
        </w:rPr>
        <w:tab/>
        <w:t>Permits, Licenses, and Authorizations.</w:t>
      </w:r>
      <w:r w:rsidRPr="0072600F">
        <w:rPr>
          <w:rFonts w:ascii="Times New Roman" w:hAnsi="Times New Roman" w:cs="Times New Roman"/>
          <w:color w:val="000000"/>
          <w:sz w:val="26"/>
          <w:szCs w:val="26"/>
        </w:rPr>
        <w:t xml:space="preserve">   </w:t>
      </w:r>
    </w:p>
    <w:p w:rsidR="00911580" w:rsidRPr="0072600F" w14:paraId="4418FCE3" w14:textId="77777777">
      <w:pPr>
        <w:rPr>
          <w:rFonts w:ascii="Times New Roman" w:hAnsi="Times New Roman" w:cs="Times New Roman"/>
          <w:color w:val="000000"/>
          <w:sz w:val="26"/>
          <w:szCs w:val="26"/>
        </w:rPr>
      </w:pPr>
    </w:p>
    <w:p w:rsidR="00911580" w:rsidRPr="0072600F" w14:paraId="0DAA7BEA"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6060859D" w14:textId="77777777">
      <w:pPr>
        <w:rPr>
          <w:rFonts w:ascii="Times New Roman" w:hAnsi="Times New Roman" w:cs="Times New Roman"/>
          <w:sz w:val="26"/>
          <w:szCs w:val="26"/>
        </w:rPr>
      </w:pPr>
    </w:p>
    <w:p w:rsidR="00911580" w:rsidRPr="0072600F" w14:paraId="71F2CE6B" w14:textId="77777777">
      <w:pPr>
        <w:keepNext/>
        <w:keepLines/>
        <w:jc w:val="right"/>
        <w:rPr>
          <w:rFonts w:ascii="Times New Roman" w:hAnsi="Times New Roman" w:cs="Times New Roman"/>
          <w:b/>
          <w:bCs/>
          <w:color w:val="000000"/>
          <w:sz w:val="26"/>
          <w:szCs w:val="26"/>
        </w:rPr>
      </w:pPr>
      <w:bookmarkStart w:id="352" w:name="_Hlk136014744"/>
      <w:r w:rsidRPr="0072600F">
        <w:rPr>
          <w:rFonts w:ascii="Times New Roman" w:hAnsi="Times New Roman" w:cs="Times New Roman"/>
          <w:b/>
          <w:bCs/>
          <w:color w:val="000000"/>
          <w:sz w:val="26"/>
          <w:szCs w:val="26"/>
        </w:rPr>
        <w:t>Attachment B to Appendix 11</w:t>
      </w:r>
    </w:p>
    <w:p w:rsidR="00911580" w:rsidRPr="0072600F" w14:paraId="0AE5DEC7" w14:textId="77777777">
      <w:pPr>
        <w:keepNext/>
        <w:keepLines/>
        <w:jc w:val="right"/>
        <w:rPr>
          <w:rFonts w:ascii="Times New Roman" w:hAnsi="Times New Roman" w:cs="Times New Roman"/>
          <w:sz w:val="26"/>
          <w:szCs w:val="26"/>
        </w:rPr>
      </w:pPr>
      <w:r w:rsidRPr="0072600F">
        <w:rPr>
          <w:rFonts w:ascii="Times New Roman" w:hAnsi="Times New Roman" w:cs="Times New Roman"/>
          <w:b/>
          <w:bCs/>
          <w:color w:val="000000"/>
          <w:sz w:val="26"/>
          <w:szCs w:val="26"/>
        </w:rPr>
        <w:t>Two-Party Affected System Facilities Construction Agreement</w:t>
      </w:r>
    </w:p>
    <w:p w:rsidR="00911580" w:rsidRPr="0072600F" w14:paraId="2FA02E2B" w14:textId="77777777">
      <w:pPr>
        <w:keepNext/>
        <w:keepLines/>
        <w:jc w:val="center"/>
        <w:rPr>
          <w:rFonts w:ascii="Times New Roman" w:hAnsi="Times New Roman" w:cs="Times New Roman"/>
          <w:sz w:val="26"/>
          <w:szCs w:val="26"/>
        </w:rPr>
      </w:pPr>
    </w:p>
    <w:p w:rsidR="00911580" w:rsidRPr="0072600F" w14:paraId="2F17F21A" w14:textId="77777777">
      <w:pPr>
        <w:keepNext/>
        <w:keepLines/>
        <w:jc w:val="center"/>
        <w:rPr>
          <w:rFonts w:ascii="Times New Roman" w:hAnsi="Times New Roman" w:cs="Times New Roman"/>
          <w:sz w:val="26"/>
          <w:szCs w:val="26"/>
        </w:rPr>
      </w:pPr>
      <w:r w:rsidRPr="0072600F">
        <w:rPr>
          <w:rFonts w:ascii="Times New Roman" w:hAnsi="Times New Roman" w:cs="Times New Roman"/>
          <w:b/>
          <w:bCs/>
          <w:color w:val="000000"/>
          <w:sz w:val="26"/>
          <w:szCs w:val="26"/>
        </w:rPr>
        <w:t>NOTIFICATION OF COMPLETED CONSTRUCTION</w:t>
      </w:r>
    </w:p>
    <w:p w:rsidR="00911580" w:rsidRPr="0072600F" w14:paraId="44AF980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F6904F0" w14:textId="77777777">
      <w:pPr>
        <w:rPr>
          <w:rFonts w:ascii="Times New Roman" w:hAnsi="Times New Roman" w:cs="Times New Roman"/>
          <w:sz w:val="26"/>
          <w:szCs w:val="26"/>
        </w:rPr>
      </w:pPr>
      <w:r w:rsidRPr="0072600F">
        <w:rPr>
          <w:rFonts w:ascii="Times New Roman" w:hAnsi="Times New Roman" w:cs="Times New Roman"/>
          <w:sz w:val="26"/>
          <w:szCs w:val="26"/>
        </w:rPr>
        <w:t>This Appendix B is a part of the Affected System</w:t>
      </w:r>
      <w:r w:rsidRPr="0072600F">
        <w:rPr>
          <w:rFonts w:ascii="Times New Roman" w:hAnsi="Times New Roman" w:cs="Times New Roman"/>
          <w:strike/>
          <w:sz w:val="26"/>
          <w:szCs w:val="26"/>
        </w:rPr>
        <w:t>s</w:t>
      </w:r>
      <w:r w:rsidRPr="0072600F">
        <w:rPr>
          <w:rFonts w:ascii="Times New Roman" w:hAnsi="Times New Roman" w:cs="Times New Roman"/>
          <w:sz w:val="26"/>
          <w:szCs w:val="26"/>
        </w:rPr>
        <w:t xml:space="preserve"> Facilities Construction Agreement between Affected System Interconnection Customer and Transmission Provider.  Where applicable, when Transmission Provider has completed construction of the Affected System Network Upgrade(s), Transmission Provider shall send notice to Affected System Interconnection Customer in substantially the form following:</w:t>
      </w:r>
    </w:p>
    <w:p w:rsidR="00911580" w:rsidRPr="0072600F" w14:paraId="1AEF3957" w14:textId="77777777">
      <w:pPr>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66778363" w14:textId="77777777">
      <w:pPr>
        <w:ind w:left="72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Date</w:t>
      </w:r>
      <w:r w:rsidRPr="0072600F">
        <w:rPr>
          <w:rFonts w:ascii="Times New Roman" w:hAnsi="Times New Roman" w:cs="Times New Roman"/>
          <w:sz w:val="26"/>
          <w:szCs w:val="26"/>
        </w:rPr>
        <w:t>}</w:t>
      </w:r>
      <w:r w:rsidRPr="0072600F">
        <w:rPr>
          <w:rFonts w:ascii="Times New Roman" w:hAnsi="Times New Roman" w:cs="Times New Roman"/>
          <w:sz w:val="26"/>
          <w:szCs w:val="26"/>
        </w:rPr>
        <w:t> </w:t>
      </w:r>
    </w:p>
    <w:p w:rsidR="00911580" w:rsidRPr="0072600F" w14:paraId="11F8636E" w14:textId="77777777">
      <w:pPr>
        <w:ind w:left="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010B2D1C" w14:textId="77777777">
      <w:pPr>
        <w:ind w:left="72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Affected System Interconnection Customer Address</w:t>
      </w:r>
      <w:r w:rsidRPr="0072600F">
        <w:rPr>
          <w:rFonts w:ascii="Times New Roman" w:hAnsi="Times New Roman" w:cs="Times New Roman"/>
          <w:sz w:val="26"/>
          <w:szCs w:val="26"/>
        </w:rPr>
        <w:t>}</w:t>
      </w:r>
    </w:p>
    <w:p w:rsidR="00911580" w:rsidRPr="0072600F" w14:paraId="24CE3CDA" w14:textId="77777777">
      <w:pPr>
        <w:ind w:left="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17013B16" w14:textId="77777777">
      <w:pPr>
        <w:ind w:left="720"/>
        <w:rPr>
          <w:rFonts w:ascii="Times New Roman" w:hAnsi="Times New Roman" w:cs="Times New Roman"/>
          <w:sz w:val="26"/>
          <w:szCs w:val="26"/>
        </w:rPr>
      </w:pPr>
      <w:r w:rsidRPr="0072600F">
        <w:rPr>
          <w:rFonts w:ascii="Times New Roman" w:hAnsi="Times New Roman" w:cs="Times New Roman"/>
          <w:sz w:val="26"/>
          <w:szCs w:val="26"/>
        </w:rPr>
        <w:t>Re:</w:t>
      </w:r>
      <w:r w:rsidRPr="0072600F">
        <w:rPr>
          <w:rFonts w:ascii="Times New Roman" w:hAnsi="Times New Roman" w:cs="Times New Roman"/>
          <w:sz w:val="26"/>
          <w:szCs w:val="26"/>
        </w:rPr>
        <w:tab/>
        <w:t>Completion of Affected System Network Upgrade(s)</w:t>
      </w:r>
    </w:p>
    <w:p w:rsidR="00911580" w:rsidRPr="0072600F" w14:paraId="25446956" w14:textId="77777777">
      <w:pPr>
        <w:ind w:left="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4C89DC20"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Dear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Name or Title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911580" w:rsidRPr="0072600F" w14:paraId="5FCE8B95" w14:textId="77777777">
      <w:pPr>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11CDAE18"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This letter is sent pursuant to the Affected System Facilities Construction Agreement between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Transmission Provider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and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Affected System Interconnection Customer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dated ____________, 20___.</w:t>
      </w:r>
    </w:p>
    <w:p w:rsidR="00911580" w:rsidRPr="0072600F" w14:paraId="1A9C95D4" w14:textId="77777777">
      <w:pPr>
        <w:ind w:left="720"/>
        <w:rPr>
          <w:rFonts w:ascii="Times New Roman" w:hAnsi="Times New Roman" w:cs="Times New Roman"/>
          <w:sz w:val="26"/>
          <w:szCs w:val="26"/>
        </w:rPr>
      </w:pPr>
      <w:r w:rsidRPr="0072600F">
        <w:rPr>
          <w:rFonts w:ascii="Times New Roman" w:hAnsi="Times New Roman" w:cs="Times New Roman"/>
          <w:sz w:val="26"/>
          <w:szCs w:val="26"/>
        </w:rPr>
        <w:t> </w:t>
      </w:r>
    </w:p>
    <w:p w:rsidR="00911580" w:rsidRPr="0072600F" w14:paraId="042CA7F5"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 xml:space="preserve">On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Date</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Transmission Provider completed to its satisfaction all work on the Affected System Network Upgrade(s) required to facilitate the safe and reliable interconnection and operation of Affected System Interconnection Customer’s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description of generating facility</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Transmission Provider</w:t>
      </w:r>
      <w:r w:rsidRPr="0072600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confirms that the Affected System Network Upgrade(s) are in place.</w:t>
      </w:r>
    </w:p>
    <w:bookmarkEnd w:id="352"/>
    <w:p w:rsidR="00911580" w:rsidRPr="0072600F" w14:paraId="40340F7C"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842EBB4"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w:t>
      </w:r>
      <w:r w:rsidRPr="0072600F">
        <w:rPr>
          <w:rFonts w:ascii="Times New Roman" w:hAnsi="Times New Roman" w:cs="Times New Roman"/>
          <w:color w:val="000000"/>
          <w:sz w:val="26"/>
          <w:szCs w:val="26"/>
        </w:rPr>
        <w:tab/>
        <w:t>Thank you.</w:t>
      </w:r>
    </w:p>
    <w:p w:rsidR="00911580" w:rsidRPr="0072600F" w14:paraId="2A59223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881AEC8" w14:textId="77777777">
      <w:pPr>
        <w:rPr>
          <w:rFonts w:ascii="Times New Roman" w:hAnsi="Times New Roman" w:cs="Times New Roman"/>
          <w:sz w:val="26"/>
          <w:szCs w:val="26"/>
        </w:rPr>
      </w:pPr>
      <w:r w:rsidRPr="0072600F">
        <w:rPr>
          <w:rFonts w:ascii="Times New Roman" w:hAnsi="Times New Roman" w:cs="Times New Roman"/>
          <w:color w:val="000000"/>
          <w:sz w:val="26"/>
          <w:szCs w:val="26"/>
        </w:rPr>
        <w:tab/>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Signature</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w:t>
      </w:r>
    </w:p>
    <w:p w:rsidR="00911580" w:rsidRPr="0072600F" w14:paraId="621B0798" w14:textId="77777777">
      <w:pPr>
        <w:ind w:firstLine="720"/>
        <w:rPr>
          <w:rFonts w:ascii="Times New Roman" w:hAnsi="Times New Roman" w:cs="Times New Roman"/>
          <w:sz w:val="26"/>
          <w:szCs w:val="26"/>
        </w:rPr>
      </w:pP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Transmission Provider </w:t>
      </w:r>
      <w:r w:rsidRPr="0072600F">
        <w:rPr>
          <w:rFonts w:ascii="Times New Roman" w:hAnsi="Times New Roman" w:cs="Times New Roman"/>
          <w:sz w:val="26"/>
          <w:szCs w:val="26"/>
        </w:rPr>
        <w:t>Representative</w:t>
      </w:r>
      <w:r w:rsidRPr="0072600F">
        <w:rPr>
          <w:rFonts w:ascii="Times New Roman" w:hAnsi="Times New Roman" w:cs="Times New Roman"/>
          <w:color w:val="000000"/>
          <w:sz w:val="26"/>
          <w:szCs w:val="26"/>
        </w:rPr>
        <w:t>}</w:t>
      </w:r>
    </w:p>
    <w:p w:rsidR="00911580" w:rsidRPr="0072600F" w14:paraId="41FF435C" w14:textId="77777777">
      <w:pP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br w:type="page"/>
      </w:r>
    </w:p>
    <w:p w:rsidR="00911580" w:rsidRPr="0072600F" w14:paraId="78C804E6"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xml:space="preserve">Attachment C to Appendix 11 </w:t>
      </w:r>
    </w:p>
    <w:p w:rsidR="00911580" w:rsidRPr="0072600F" w14:paraId="2C70DBA6"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Two-Party Affected System Facilities Construction Agreement</w:t>
      </w:r>
    </w:p>
    <w:p w:rsidR="00911580" w:rsidRPr="0072600F" w14:paraId="00A73EF5" w14:textId="77777777">
      <w:pPr>
        <w:jc w:val="center"/>
        <w:rPr>
          <w:rFonts w:ascii="Times New Roman" w:hAnsi="Times New Roman" w:cs="Times New Roman"/>
          <w:sz w:val="26"/>
          <w:szCs w:val="26"/>
        </w:rPr>
      </w:pPr>
    </w:p>
    <w:p w:rsidR="00911580" w:rsidRPr="0072600F" w14:paraId="2B26F3B4"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EXHIBITS</w:t>
      </w:r>
    </w:p>
    <w:p w:rsidR="00911580" w:rsidRPr="0072600F" w14:paraId="10600ACC" w14:textId="77777777">
      <w:pPr>
        <w:jc w:val="center"/>
        <w:rPr>
          <w:rFonts w:ascii="Times New Roman" w:hAnsi="Times New Roman" w:cs="Times New Roman"/>
          <w:sz w:val="26"/>
          <w:szCs w:val="26"/>
        </w:rPr>
      </w:pPr>
    </w:p>
    <w:p w:rsidR="00911580" w:rsidRPr="0072600F" w14:paraId="4F8B013F" w14:textId="77777777">
      <w:pPr>
        <w:jc w:val="center"/>
        <w:rPr>
          <w:rFonts w:ascii="Times New Roman" w:hAnsi="Times New Roman" w:cs="Times New Roman"/>
          <w:sz w:val="26"/>
          <w:szCs w:val="26"/>
        </w:rPr>
      </w:pPr>
      <w:r w:rsidRPr="0072600F">
        <w:rPr>
          <w:rFonts w:ascii="Times New Roman" w:hAnsi="Times New Roman" w:cs="Times New Roman"/>
          <w:color w:val="000000"/>
          <w:sz w:val="26"/>
          <w:szCs w:val="26"/>
        </w:rPr>
        <w:t xml:space="preserve">This Appendix C is a part of the Affected System Facilities Construction Agreement </w:t>
      </w:r>
      <w:r w:rsidRPr="0072600F" w:rsidR="00E52FBF">
        <w:rPr>
          <w:rFonts w:ascii="Times New Roman" w:hAnsi="Times New Roman" w:cs="Times New Roman"/>
          <w:color w:val="000000"/>
          <w:sz w:val="26"/>
          <w:szCs w:val="26"/>
        </w:rPr>
        <w:t>[</w:t>
      </w:r>
      <w:r w:rsidRPr="0072600F">
        <w:rPr>
          <w:rFonts w:ascii="Times New Roman" w:hAnsi="Times New Roman" w:cs="Times New Roman"/>
          <w:color w:val="000000"/>
          <w:sz w:val="26"/>
          <w:szCs w:val="26"/>
        </w:rPr>
        <w:t>among</w:t>
      </w:r>
      <w:r w:rsidRPr="0072600F" w:rsidR="00E52FBF">
        <w:rPr>
          <w:rFonts w:ascii="Times New Roman" w:hAnsi="Times New Roman" w:cs="Times New Roman"/>
          <w:color w:val="000000"/>
          <w:sz w:val="26"/>
          <w:szCs w:val="26"/>
        </w:rPr>
        <w:t xml:space="preserve">] </w:t>
      </w:r>
      <w:r w:rsidRPr="0072600F" w:rsidR="00E52FBF">
        <w:rPr>
          <w:rFonts w:ascii="Times New Roman" w:hAnsi="Times New Roman" w:cs="Times New Roman"/>
          <w:i/>
          <w:iCs/>
          <w:color w:val="000000"/>
          <w:sz w:val="26"/>
          <w:szCs w:val="26"/>
        </w:rPr>
        <w:t>between</w:t>
      </w:r>
      <w:r w:rsidRPr="0072600F">
        <w:rPr>
          <w:rFonts w:ascii="Times New Roman" w:hAnsi="Times New Roman" w:cs="Times New Roman"/>
          <w:color w:val="000000"/>
          <w:sz w:val="26"/>
          <w:szCs w:val="26"/>
        </w:rPr>
        <w:t xml:space="preserve"> Affected System Interconnection Customer and Transmission Provider.</w:t>
      </w:r>
    </w:p>
    <w:p w:rsidR="00911580" w:rsidRPr="0072600F" w14:paraId="22BBBADF"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6FCCB3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A1</w:t>
      </w:r>
    </w:p>
    <w:p w:rsidR="00911580" w:rsidRPr="0072600F" w14:paraId="7B0DAEE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Transmission Provider Site Map</w:t>
      </w:r>
    </w:p>
    <w:p w:rsidR="00911580" w:rsidRPr="0072600F" w14:paraId="56FC12FC"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1F712E95"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A2</w:t>
      </w:r>
    </w:p>
    <w:p w:rsidR="00911580" w:rsidRPr="0072600F" w14:paraId="5414C638"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Site Plan</w:t>
      </w:r>
    </w:p>
    <w:p w:rsidR="00911580" w:rsidRPr="0072600F" w14:paraId="3C05461C"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315F6C00"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A3</w:t>
      </w:r>
    </w:p>
    <w:p w:rsidR="00911580" w:rsidRPr="0072600F" w14:paraId="34BF0EF2"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Network Upgrade(s) Plan &amp; Profile</w:t>
      </w:r>
    </w:p>
    <w:p w:rsidR="00911580" w:rsidRPr="0072600F" w14:paraId="20AD36AD"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30175FBE"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A4</w:t>
      </w:r>
    </w:p>
    <w:p w:rsidR="00911580" w:rsidRPr="0072600F" w14:paraId="0BC0CE26"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Estimated Cost of 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Network Upgrade(s) </w:t>
      </w:r>
    </w:p>
    <w:p w:rsidR="00911580" w:rsidRPr="0072600F" w14:paraId="7EB13E46"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70AF05A7"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bl>
      <w:tblPr>
        <w:tblW w:w="0" w:type="auto"/>
        <w:tblCellMar>
          <w:top w:w="15" w:type="dxa"/>
          <w:left w:w="15" w:type="dxa"/>
          <w:bottom w:w="15" w:type="dxa"/>
          <w:right w:w="15" w:type="dxa"/>
        </w:tblCellMar>
        <w:tblLook w:val="04A0"/>
      </w:tblPr>
      <w:tblGrid>
        <w:gridCol w:w="720"/>
        <w:gridCol w:w="1230"/>
        <w:gridCol w:w="2400"/>
        <w:gridCol w:w="1182"/>
      </w:tblGrid>
      <w:tr w14:paraId="03805766" w14:textId="77777777">
        <w:tblPrEx>
          <w:tblW w:w="0" w:type="auto"/>
          <w:tblCellMar>
            <w:top w:w="15" w:type="dxa"/>
            <w:left w:w="15" w:type="dxa"/>
            <w:bottom w:w="15" w:type="dxa"/>
            <w:right w:w="15" w:type="dxa"/>
          </w:tblCellMar>
          <w:tblLook w:val="04A0"/>
        </w:tblPrEx>
        <w:tc>
          <w:tcPr>
            <w:tcW w:w="72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bottom"/>
            <w:hideMark/>
          </w:tcPr>
          <w:p w:rsidR="00911580" w:rsidRPr="0072600F" w14:paraId="0578CC2F"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c>
        <w:tc>
          <w:tcPr>
            <w:tcW w:w="1230" w:type="dxa"/>
            <w:tcBorders>
              <w:top w:val="single" w:sz="6" w:space="0" w:color="000000"/>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063DEBF0"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Location</w:t>
            </w:r>
          </w:p>
        </w:tc>
        <w:tc>
          <w:tcPr>
            <w:tcW w:w="2400" w:type="dxa"/>
            <w:tcBorders>
              <w:top w:val="single" w:sz="6" w:space="0" w:color="000000"/>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109106E5"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Facilities to Be Constructed by</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Transmission Provider</w:t>
            </w:r>
          </w:p>
        </w:tc>
        <w:tc>
          <w:tcPr>
            <w:tcW w:w="645" w:type="dxa"/>
            <w:tcBorders>
              <w:top w:val="single" w:sz="6" w:space="0" w:color="000000"/>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26C23537"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Estimate in Dollars</w:t>
            </w:r>
          </w:p>
        </w:tc>
      </w:tr>
      <w:tr w14:paraId="0A1A4422" w14:textId="77777777">
        <w:tblPrEx>
          <w:tblW w:w="0" w:type="auto"/>
          <w:tblCellMar>
            <w:top w:w="15" w:type="dxa"/>
            <w:left w:w="15" w:type="dxa"/>
            <w:bottom w:w="15" w:type="dxa"/>
            <w:right w:w="15" w:type="dxa"/>
          </w:tblCellMar>
          <w:tblLook w:val="04A0"/>
        </w:tblPrEx>
        <w:tc>
          <w:tcPr>
            <w:tcW w:w="720" w:type="dxa"/>
            <w:tcBorders>
              <w:top w:val="nil"/>
              <w:left w:val="single" w:sz="6" w:space="0" w:color="000000"/>
              <w:bottom w:val="single" w:sz="6" w:space="0" w:color="000000"/>
              <w:right w:val="single" w:sz="6" w:space="0" w:color="000000"/>
            </w:tcBorders>
            <w:tcMar>
              <w:top w:w="15" w:type="dxa"/>
              <w:left w:w="100" w:type="dxa"/>
              <w:bottom w:w="15" w:type="dxa"/>
              <w:right w:w="100" w:type="dxa"/>
            </w:tcMar>
            <w:vAlign w:val="bottom"/>
            <w:hideMark/>
          </w:tcPr>
          <w:p w:rsidR="00911580" w:rsidRPr="0072600F" w14:paraId="6DA5A46A"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c>
        <w:tc>
          <w:tcPr>
            <w:tcW w:w="123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06A177D6"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c>
        <w:tc>
          <w:tcPr>
            <w:tcW w:w="240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7B7F13FF"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645" w:type="dxa"/>
            <w:tcBorders>
              <w:top w:val="nil"/>
              <w:left w:val="nil"/>
              <w:bottom w:val="single" w:sz="6" w:space="0" w:color="000000"/>
              <w:right w:val="single" w:sz="6" w:space="0" w:color="000000"/>
            </w:tcBorders>
            <w:tcMar>
              <w:top w:w="15" w:type="dxa"/>
              <w:left w:w="100" w:type="dxa"/>
              <w:bottom w:w="15" w:type="dxa"/>
              <w:right w:w="100" w:type="dxa"/>
            </w:tcMar>
            <w:vAlign w:val="center"/>
            <w:hideMark/>
          </w:tcPr>
          <w:p w:rsidR="00911580" w:rsidRPr="0072600F" w14:paraId="552F13DF"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39635383" w14:textId="77777777">
        <w:tblPrEx>
          <w:tblW w:w="0" w:type="auto"/>
          <w:tblCellMar>
            <w:top w:w="15" w:type="dxa"/>
            <w:left w:w="15" w:type="dxa"/>
            <w:bottom w:w="15" w:type="dxa"/>
            <w:right w:w="15" w:type="dxa"/>
          </w:tblCellMar>
          <w:tblLook w:val="04A0"/>
        </w:tblPrEx>
        <w:tc>
          <w:tcPr>
            <w:tcW w:w="720" w:type="dxa"/>
            <w:tcBorders>
              <w:top w:val="nil"/>
              <w:left w:val="single" w:sz="6" w:space="0" w:color="000000"/>
              <w:bottom w:val="single" w:sz="6" w:space="0" w:color="000000"/>
              <w:right w:val="single" w:sz="6" w:space="0" w:color="000000"/>
            </w:tcBorders>
            <w:tcMar>
              <w:top w:w="15" w:type="dxa"/>
              <w:left w:w="100" w:type="dxa"/>
              <w:bottom w:w="15" w:type="dxa"/>
              <w:right w:w="100" w:type="dxa"/>
            </w:tcMar>
            <w:vAlign w:val="bottom"/>
            <w:hideMark/>
          </w:tcPr>
          <w:p w:rsidR="00911580" w:rsidRPr="0072600F" w14:paraId="2CB471F8"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23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2184F19D"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40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0435E88F" w14:textId="77777777">
            <w:pPr>
              <w:jc w:val="right"/>
              <w:rPr>
                <w:rFonts w:ascii="Times New Roman" w:hAnsi="Times New Roman" w:cs="Times New Roman"/>
                <w:sz w:val="26"/>
                <w:szCs w:val="26"/>
              </w:rPr>
            </w:pPr>
            <w:r w:rsidRPr="0072600F">
              <w:rPr>
                <w:rFonts w:ascii="Times New Roman" w:hAnsi="Times New Roman" w:cs="Times New Roman"/>
                <w:b/>
                <w:bCs/>
                <w:color w:val="000000"/>
                <w:sz w:val="26"/>
                <w:szCs w:val="26"/>
              </w:rPr>
              <w:t>Total:</w:t>
            </w:r>
          </w:p>
        </w:tc>
        <w:tc>
          <w:tcPr>
            <w:tcW w:w="645" w:type="dxa"/>
            <w:tcBorders>
              <w:top w:val="nil"/>
              <w:left w:val="nil"/>
              <w:bottom w:val="single" w:sz="6" w:space="0" w:color="000000"/>
              <w:right w:val="single" w:sz="6" w:space="0" w:color="000000"/>
            </w:tcBorders>
            <w:tcMar>
              <w:top w:w="15" w:type="dxa"/>
              <w:left w:w="100" w:type="dxa"/>
              <w:bottom w:w="15" w:type="dxa"/>
              <w:right w:w="100" w:type="dxa"/>
            </w:tcMar>
            <w:vAlign w:val="center"/>
            <w:hideMark/>
          </w:tcPr>
          <w:p w:rsidR="00911580" w:rsidRPr="0072600F" w14:paraId="2327653B"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bl>
    <w:p w:rsidR="00911580" w:rsidRPr="0072600F" w14:paraId="3287A294" w14:textId="77777777">
      <w:pPr>
        <w:rPr>
          <w:rFonts w:ascii="Times New Roman" w:eastAsia="Calibri" w:hAnsi="Times New Roman" w:cs="Times New Roman"/>
          <w:i/>
          <w:iCs/>
          <w:sz w:val="26"/>
          <w:szCs w:val="26"/>
        </w:rPr>
      </w:pPr>
    </w:p>
    <w:p w:rsidR="00911580" w:rsidRPr="0072600F" w14:paraId="1874E760" w14:textId="77777777">
      <w:pPr>
        <w:jc w:val="center"/>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APPENDIX 12 TO LGIP</w:t>
      </w:r>
    </w:p>
    <w:p w:rsidR="00911580" w:rsidRPr="0072600F" w14:paraId="57DD1F05" w14:textId="77777777">
      <w:pPr>
        <w:jc w:val="center"/>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MULTIPARTY AFFECTED SYSTEM FACILITIES CONSTRUCTION AGREEMENT</w:t>
      </w:r>
    </w:p>
    <w:p w:rsidR="00911580" w:rsidRPr="0072600F" w14:paraId="58FBF827" w14:textId="77777777">
      <w:pPr>
        <w:jc w:val="center"/>
        <w:rPr>
          <w:rFonts w:ascii="Times New Roman" w:eastAsia="Calibri" w:hAnsi="Times New Roman" w:cs="Times New Roman"/>
          <w:sz w:val="26"/>
          <w:szCs w:val="26"/>
        </w:rPr>
      </w:pPr>
    </w:p>
    <w:p w:rsidR="00911580" w:rsidRPr="0072600F" w14:paraId="556BDB3D"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 xml:space="preserve">THIS AGREEMENT </w:t>
      </w:r>
      <w:r w:rsidRPr="0072600F">
        <w:rPr>
          <w:rFonts w:ascii="Times New Roman" w:eastAsia="Calibri" w:hAnsi="Times New Roman" w:cs="Times New Roman"/>
          <w:sz w:val="26"/>
          <w:szCs w:val="26"/>
        </w:rPr>
        <w:t xml:space="preserve">is made and entered into this ____ day of _________, 20__, by and among _______________________________, organized and existing under the laws of the State of __________________ (Affected System Interconnection Customer); ______________________, </w:t>
      </w:r>
      <w:r w:rsidRPr="0072600F">
        <w:rPr>
          <w:rFonts w:ascii="Times New Roman" w:eastAsia="Calibri" w:hAnsi="Times New Roman" w:cs="Times New Roman"/>
          <w:sz w:val="26"/>
          <w:szCs w:val="26"/>
        </w:rPr>
        <w:t>a</w:t>
      </w:r>
      <w:r w:rsidRPr="0072600F">
        <w:rPr>
          <w:rFonts w:ascii="Times New Roman" w:eastAsia="Calibri" w:hAnsi="Times New Roman" w:cs="Times New Roman"/>
          <w:sz w:val="26"/>
          <w:szCs w:val="26"/>
        </w:rPr>
        <w:t xml:space="preserve"> ______________________ organized and existing under the laws of the State of __________________  (Affected System Interconnection Customer); and__________________, an entity organized </w:t>
      </w:r>
      <w:r w:rsidRPr="0072600F" w:rsidR="005200E6">
        <w:rPr>
          <w:rFonts w:ascii="Times New Roman" w:eastAsia="Calibri" w:hAnsi="Times New Roman" w:cs="Times New Roman"/>
          <w:i/>
          <w:iCs/>
          <w:sz w:val="26"/>
          <w:szCs w:val="26"/>
        </w:rPr>
        <w:t xml:space="preserve">and existing </w:t>
      </w:r>
      <w:r w:rsidRPr="0072600F">
        <w:rPr>
          <w:rFonts w:ascii="Times New Roman" w:eastAsia="Calibri" w:hAnsi="Times New Roman" w:cs="Times New Roman"/>
          <w:sz w:val="26"/>
          <w:szCs w:val="26"/>
        </w:rPr>
        <w:t xml:space="preserve">under the laws of the State of </w:t>
      </w:r>
      <w:r w:rsidRPr="0072600F">
        <w:rPr>
          <w:rFonts w:ascii="Times New Roman" w:eastAsia="Calibri" w:hAnsi="Times New Roman" w:cs="Times New Roman"/>
          <w:sz w:val="26"/>
          <w:szCs w:val="26"/>
          <w:u w:val="single"/>
        </w:rPr>
        <w:t>______________</w:t>
      </w:r>
      <w:r w:rsidRPr="0072600F">
        <w:rPr>
          <w:rFonts w:ascii="Times New Roman" w:eastAsia="Calibri" w:hAnsi="Times New Roman" w:cs="Times New Roman"/>
          <w:sz w:val="26"/>
          <w:szCs w:val="26"/>
        </w:rPr>
        <w:t xml:space="preserve"> (Transmission Provider).  Affected System Interconnection Customers and Transmission Provider each may be referred to as a “Party” or collectively as the “Parties.”  When it is not important to differentiate among them, Affected System Interconnection Customers each may be referred to as “Affected System Interconnection Customer” or collectively as “Affected System Interconnection Customers.”</w:t>
      </w:r>
    </w:p>
    <w:p w:rsidR="00911580" w:rsidRPr="0072600F" w14:paraId="25C6A2A8" w14:textId="77777777">
      <w:pPr>
        <w:rPr>
          <w:rFonts w:ascii="Times New Roman" w:eastAsia="Calibri" w:hAnsi="Times New Roman" w:cs="Times New Roman"/>
          <w:b/>
          <w:bCs/>
          <w:sz w:val="26"/>
          <w:szCs w:val="26"/>
        </w:rPr>
      </w:pPr>
    </w:p>
    <w:p w:rsidR="00911580" w:rsidRPr="0072600F" w14:paraId="505AC54C" w14:textId="77777777">
      <w:pPr>
        <w:jc w:val="center"/>
        <w:rPr>
          <w:rFonts w:ascii="Times New Roman" w:eastAsia="Calibri" w:hAnsi="Times New Roman" w:cs="Times New Roman"/>
          <w:b/>
          <w:bCs/>
          <w:sz w:val="26"/>
          <w:szCs w:val="26"/>
        </w:rPr>
      </w:pPr>
      <w:r w:rsidRPr="0072600F">
        <w:rPr>
          <w:rFonts w:ascii="Times New Roman" w:eastAsia="Calibri" w:hAnsi="Times New Roman" w:cs="Times New Roman"/>
          <w:b/>
          <w:bCs/>
          <w:sz w:val="26"/>
          <w:szCs w:val="26"/>
        </w:rPr>
        <w:t>RECITALS</w:t>
      </w:r>
    </w:p>
    <w:p w:rsidR="00911580" w:rsidRPr="0072600F" w14:paraId="454FCC47" w14:textId="77777777">
      <w:pPr>
        <w:jc w:val="center"/>
        <w:rPr>
          <w:rFonts w:ascii="Times New Roman" w:eastAsia="Calibri" w:hAnsi="Times New Roman" w:cs="Times New Roman"/>
          <w:sz w:val="26"/>
          <w:szCs w:val="26"/>
        </w:rPr>
      </w:pPr>
    </w:p>
    <w:p w:rsidR="00911580" w:rsidRPr="0072600F" w14:paraId="215C8734"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 xml:space="preserve">WHEREAS, </w:t>
      </w:r>
      <w:r w:rsidRPr="0072600F">
        <w:rPr>
          <w:rFonts w:ascii="Times New Roman" w:eastAsia="Calibri" w:hAnsi="Times New Roman" w:cs="Times New Roman"/>
          <w:sz w:val="26"/>
          <w:szCs w:val="26"/>
        </w:rPr>
        <w:t xml:space="preserve">Affected System Interconnection Customers are proposing to develop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description of generating facilities or generating capacity additions to an existing generating facility</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consistent with the interconnection requests submitted by Affected System Interconnection Customers to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name of host transmission provider</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dated _________________, for which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name of host transmission provider</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found impacts on Transmission Provider’s Transmission System; and</w:t>
      </w:r>
    </w:p>
    <w:p w:rsidR="00911580" w:rsidRPr="0072600F" w14:paraId="75BB8D56" w14:textId="77777777">
      <w:pPr>
        <w:rPr>
          <w:rFonts w:ascii="Times New Roman" w:eastAsia="Calibri" w:hAnsi="Times New Roman" w:cs="Times New Roman"/>
          <w:sz w:val="26"/>
          <w:szCs w:val="26"/>
        </w:rPr>
      </w:pPr>
    </w:p>
    <w:p w:rsidR="00911580" w:rsidRPr="0072600F" w14:paraId="372A05F8"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 xml:space="preserve">WHEREAS, </w:t>
      </w:r>
      <w:r w:rsidRPr="0072600F">
        <w:rPr>
          <w:rFonts w:ascii="Times New Roman" w:eastAsia="Calibri" w:hAnsi="Times New Roman" w:cs="Times New Roman"/>
          <w:sz w:val="26"/>
          <w:szCs w:val="26"/>
        </w:rPr>
        <w:t xml:space="preserve">Affected System Interconnection Customers desire to interconnect the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generating facilities</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to </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name of host transmission provider</w:t>
      </w:r>
      <w:r w:rsidRPr="0072600F" w:rsidR="0042166D">
        <w:rPr>
          <w:rFonts w:ascii="Times New Roman" w:eastAsia="Calibri" w:hAnsi="Times New Roman" w:cs="Times New Roman"/>
          <w:sz w:val="26"/>
          <w:szCs w:val="26"/>
        </w:rPr>
        <w:t>}</w:t>
      </w:r>
      <w:r w:rsidRPr="0072600F">
        <w:rPr>
          <w:rFonts w:ascii="Times New Roman" w:eastAsia="Calibri" w:hAnsi="Times New Roman" w:cs="Times New Roman"/>
          <w:sz w:val="26"/>
          <w:szCs w:val="26"/>
        </w:rPr>
        <w:t>’s transmission system; and</w:t>
      </w:r>
    </w:p>
    <w:p w:rsidR="00911580" w:rsidRPr="0072600F" w14:paraId="6233B9F5" w14:textId="77777777">
      <w:pPr>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911580" w:rsidRPr="0072600F" w14:paraId="7571D50D"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WHEREAS,</w:t>
      </w:r>
      <w:r w:rsidRPr="0072600F">
        <w:rPr>
          <w:rFonts w:ascii="Times New Roman" w:eastAsia="Calibri" w:hAnsi="Times New Roman" w:cs="Times New Roman"/>
          <w:sz w:val="26"/>
          <w:szCs w:val="26"/>
        </w:rPr>
        <w:t xml:space="preserve"> additions, modifications, and upgrade(s) must be made to certain existing facilities of Transmission Provider’s Transmission System to accommodate such interconnection; and</w:t>
      </w:r>
    </w:p>
    <w:p w:rsidR="00911580" w:rsidRPr="0072600F" w14:paraId="2B0746E4" w14:textId="77777777">
      <w:pPr>
        <w:rPr>
          <w:rFonts w:ascii="Times New Roman" w:eastAsia="Calibri" w:hAnsi="Times New Roman" w:cs="Times New Roman"/>
          <w:sz w:val="26"/>
          <w:szCs w:val="26"/>
        </w:rPr>
      </w:pPr>
    </w:p>
    <w:p w:rsidR="00911580" w:rsidRPr="0072600F" w14:paraId="51375359"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WHEREAS,</w:t>
      </w:r>
      <w:r w:rsidRPr="0072600F">
        <w:rPr>
          <w:rFonts w:ascii="Times New Roman" w:eastAsia="Calibri" w:hAnsi="Times New Roman" w:cs="Times New Roman"/>
          <w:sz w:val="26"/>
          <w:szCs w:val="26"/>
        </w:rPr>
        <w:t xml:space="preserve"> Affected System Interconnection Customers have requested, and Transmission Provider has agreed, to enter into this Agreement for the purpose of facilitating the construction of necessary Affected System Network Upgrade(s);</w:t>
      </w:r>
    </w:p>
    <w:p w:rsidR="00911580" w:rsidRPr="0072600F" w14:paraId="528551DA" w14:textId="77777777">
      <w:pPr>
        <w:rPr>
          <w:rFonts w:ascii="Times New Roman" w:eastAsia="Calibri" w:hAnsi="Times New Roman" w:cs="Times New Roman"/>
          <w:sz w:val="26"/>
          <w:szCs w:val="26"/>
        </w:rPr>
      </w:pPr>
    </w:p>
    <w:p w:rsidR="00911580" w:rsidRPr="0072600F" w14:paraId="5FA1EDD6" w14:textId="77777777">
      <w:pPr>
        <w:ind w:firstLine="720"/>
        <w:rPr>
          <w:rFonts w:ascii="Times New Roman" w:eastAsia="Calibri" w:hAnsi="Times New Roman" w:cs="Times New Roman"/>
          <w:sz w:val="26"/>
          <w:szCs w:val="26"/>
        </w:rPr>
      </w:pPr>
      <w:r w:rsidRPr="0072600F">
        <w:rPr>
          <w:rFonts w:ascii="Times New Roman" w:eastAsia="Calibri" w:hAnsi="Times New Roman" w:cs="Times New Roman"/>
          <w:b/>
          <w:bCs/>
          <w:sz w:val="26"/>
          <w:szCs w:val="26"/>
        </w:rPr>
        <w:t>NOW, THEREFORE,</w:t>
      </w:r>
      <w:r w:rsidRPr="0072600F">
        <w:rPr>
          <w:rFonts w:ascii="Times New Roman" w:eastAsia="Calibri" w:hAnsi="Times New Roman" w:cs="Times New Roman"/>
          <w:sz w:val="26"/>
          <w:szCs w:val="26"/>
        </w:rPr>
        <w:t xml:space="preserve"> in consideration of and subject to the mutual covenants contained herein, the Parties agree as follows:</w:t>
      </w:r>
    </w:p>
    <w:p w:rsidR="00911580" w:rsidRPr="0072600F" w14:paraId="622E1C2F"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1</w:t>
      </w:r>
    </w:p>
    <w:p w:rsidR="00911580" w:rsidRPr="0072600F" w14:paraId="1DFC1111"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DEFINITIONS</w:t>
      </w:r>
    </w:p>
    <w:p w:rsidR="00911580" w:rsidRPr="0072600F" w14:paraId="6A27726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65D6A63"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When used in this Agreement, with initial capitalization, the </w:t>
      </w:r>
      <w:r w:rsidRPr="0072600F">
        <w:rPr>
          <w:rFonts w:ascii="Times New Roman" w:eastAsia="Calibri" w:hAnsi="Times New Roman" w:cs="Times New Roman"/>
          <w:sz w:val="26"/>
          <w:szCs w:val="26"/>
        </w:rPr>
        <w:t>terms specified and not otherwise defined in this Agreement shall have the meanings indicated in this LGIP.</w:t>
      </w:r>
      <w:r w:rsidRPr="0072600F">
        <w:rPr>
          <w:rFonts w:ascii="Times New Roman" w:hAnsi="Times New Roman" w:cs="Times New Roman"/>
          <w:color w:val="000000"/>
          <w:sz w:val="26"/>
          <w:szCs w:val="26"/>
        </w:rPr>
        <w:t xml:space="preserve"> </w:t>
      </w:r>
    </w:p>
    <w:p w:rsidR="00911580" w:rsidRPr="0072600F" w14:paraId="48C70093" w14:textId="77777777">
      <w:pPr>
        <w:rPr>
          <w:rFonts w:ascii="Times New Roman" w:hAnsi="Times New Roman" w:cs="Times New Roman"/>
          <w:color w:val="000000"/>
          <w:sz w:val="26"/>
          <w:szCs w:val="26"/>
        </w:rPr>
      </w:pPr>
    </w:p>
    <w:p w:rsidR="00911580" w:rsidRPr="0072600F" w14:paraId="156DF27A"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2</w:t>
      </w:r>
    </w:p>
    <w:p w:rsidR="00911580" w:rsidRPr="0072600F" w14:paraId="35FBFB74"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TERM OF AGREEMENT</w:t>
      </w:r>
    </w:p>
    <w:p w:rsidR="00911580" w:rsidRPr="0072600F" w14:paraId="1EEA4F69"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DF5207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2.1</w:t>
      </w:r>
      <w:r w:rsidRPr="0072600F">
        <w:rPr>
          <w:rFonts w:ascii="Times New Roman" w:hAnsi="Times New Roman" w:cs="Times New Roman"/>
          <w:b/>
          <w:bCs/>
          <w:color w:val="000000"/>
          <w:sz w:val="26"/>
          <w:szCs w:val="26"/>
        </w:rPr>
        <w:tab/>
        <w:t xml:space="preserve">Effective Date. </w:t>
      </w:r>
      <w:r w:rsidRPr="0072600F">
        <w:rPr>
          <w:rFonts w:ascii="Times New Roman" w:hAnsi="Times New Roman" w:cs="Times New Roman"/>
          <w:color w:val="000000"/>
          <w:sz w:val="26"/>
          <w:szCs w:val="26"/>
        </w:rPr>
        <w:t xml:space="preserve"> This Agreement shall become effective upon execution by the Parties subject to acceptance by FERC (if applicable), or if filed unexecuted, upon the date specified by FERC. </w:t>
      </w:r>
    </w:p>
    <w:p w:rsidR="00911580" w:rsidRPr="0072600F" w14:paraId="5FEAA32F"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7831FE2"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2.2</w:t>
      </w:r>
      <w:r w:rsidRPr="0072600F">
        <w:rPr>
          <w:rFonts w:ascii="Times New Roman" w:hAnsi="Times New Roman" w:cs="Times New Roman"/>
          <w:b/>
          <w:bCs/>
          <w:color w:val="000000"/>
          <w:sz w:val="26"/>
          <w:szCs w:val="26"/>
        </w:rPr>
        <w:tab/>
        <w:t>Term.</w:t>
      </w:r>
    </w:p>
    <w:p w:rsidR="00911580" w:rsidRPr="0072600F" w14:paraId="0C6B0AD4"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18B25CF"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2.2.1</w:t>
      </w:r>
      <w:r w:rsidRPr="0072600F">
        <w:rPr>
          <w:rFonts w:ascii="Times New Roman" w:hAnsi="Times New Roman" w:cs="Times New Roman"/>
          <w:b/>
          <w:bCs/>
          <w:color w:val="000000"/>
          <w:sz w:val="26"/>
          <w:szCs w:val="26"/>
        </w:rPr>
        <w:tab/>
        <w:t>General.</w:t>
      </w:r>
      <w:r w:rsidRPr="0072600F">
        <w:rPr>
          <w:rFonts w:ascii="Times New Roman" w:hAnsi="Times New Roman" w:cs="Times New Roman"/>
          <w:color w:val="000000"/>
          <w:sz w:val="26"/>
          <w:szCs w:val="26"/>
        </w:rPr>
        <w:t xml:space="preserve">  This Agreement shall become effective as provided in Article 2.1 and shall continue in full force and effect until the earlier of (1) the final repayment, where applicable, by </w:t>
      </w:r>
      <w:r w:rsidRPr="0072600F">
        <w:rPr>
          <w:rFonts w:ascii="Times New Roman" w:eastAsia="Calibri" w:hAnsi="Times New Roman" w:cs="Times New Roman"/>
          <w:sz w:val="26"/>
          <w:szCs w:val="26"/>
        </w:rPr>
        <w:t>Transmission Provider</w:t>
      </w:r>
      <w:r w:rsidRPr="0072600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 xml:space="preserve">of the amount funded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for </w:t>
      </w:r>
      <w:r w:rsidRPr="0072600F">
        <w:rPr>
          <w:rFonts w:ascii="Times New Roman" w:eastAsia="Calibri" w:hAnsi="Times New Roman" w:cs="Times New Roman"/>
          <w:sz w:val="26"/>
          <w:szCs w:val="26"/>
        </w:rPr>
        <w:t>Transmission Provider</w:t>
      </w:r>
      <w:r w:rsidRPr="0072600F">
        <w:rPr>
          <w:rFonts w:ascii="Times New Roman" w:hAnsi="Times New Roman" w:cs="Times New Roman"/>
          <w:color w:val="000000"/>
          <w:sz w:val="26"/>
          <w:szCs w:val="26"/>
        </w:rPr>
        <w:t xml:space="preserve">’s design, procurement,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 provided in Appendix A; (2) the Parties agree to mutually terminate this Agreement; (3) earlier termination is permitted or provided for under Appendix A of this Agreement; or (4)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terminate this Agreement after providing Transmission Provider with written notice at least sixty (60) Calendar Days prior to the proposed termination date, provided that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have no outstanding contractual obligations to Transmission Provider under this Agreement.  No termination of this Agreement shall be effective until the Parties have complied with all Applicable Laws and Regulations applicable to such termination.  The term of this Agreement may be adjusted upon mutual agreement of the Parties if the commercial operation date(s) for the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generating facilities</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is adjusted in accordance with the rules and procedures established by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name of host transmission provider</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or the in-service date for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 is adjusted in accordance with the rules and procedures established by Transmission Provider.</w:t>
      </w:r>
    </w:p>
    <w:p w:rsidR="00911580" w:rsidRPr="0072600F" w14:paraId="523631EB"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425D54C"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2.2.2</w:t>
      </w:r>
      <w:r w:rsidRPr="0072600F">
        <w:rPr>
          <w:rFonts w:ascii="Times New Roman" w:hAnsi="Times New Roman" w:cs="Times New Roman"/>
          <w:b/>
          <w:bCs/>
          <w:color w:val="000000"/>
          <w:sz w:val="26"/>
          <w:szCs w:val="26"/>
        </w:rPr>
        <w:tab/>
        <w:t xml:space="preserve">Termination Upon Default. </w:t>
      </w:r>
      <w:r w:rsidRPr="0072600F">
        <w:rPr>
          <w:rFonts w:ascii="Times New Roman" w:hAnsi="Times New Roman" w:cs="Times New Roman"/>
          <w:color w:val="000000"/>
          <w:sz w:val="26"/>
          <w:szCs w:val="26"/>
        </w:rPr>
        <w:t xml:space="preserve"> Default shall mean the failure of a Breaching Party to cure its Breach in accordance with Article 5 of this Agreement where Breach and Breaching Party are defined in Article 5.  Defaulting Party shall mean the Party that is in Default.  In the event of a Default by a Party, each non-Defaulting Party shall have the termination rights described in Articles 5 and 6; provided, however, Transmission Provider may not terminate this Agreement if an Affected System Interconnection Customer is the Defaulting Party and compensates Transmission Provider within thirty (30) Calendar Days for the amount of </w:t>
      </w:r>
      <w:r w:rsidRPr="0072600F">
        <w:rPr>
          <w:rFonts w:ascii="Times New Roman" w:hAnsi="Times New Roman" w:cs="Times New Roman"/>
          <w:sz w:val="26"/>
          <w:szCs w:val="26"/>
        </w:rPr>
        <w:t>damages</w:t>
      </w:r>
      <w:r w:rsidRPr="0072600F">
        <w:rPr>
          <w:rFonts w:ascii="Times New Roman" w:hAnsi="Times New Roman" w:cs="Times New Roman"/>
          <w:color w:val="000000"/>
          <w:sz w:val="26"/>
          <w:szCs w:val="26"/>
        </w:rPr>
        <w:t xml:space="preserve"> billed to Affected System Interconnection Customer(s) by Transmission Provider for any</w:t>
      </w:r>
      <w:r w:rsidRPr="0072600F">
        <w:rPr>
          <w:rFonts w:ascii="Times New Roman" w:hAnsi="Times New Roman" w:cs="Times New Roman"/>
          <w:color w:val="00B0F0"/>
          <w:sz w:val="26"/>
          <w:szCs w:val="26"/>
        </w:rPr>
        <w:t xml:space="preserve"> </w:t>
      </w:r>
      <w:r w:rsidRPr="0072600F">
        <w:rPr>
          <w:rFonts w:ascii="Times New Roman" w:hAnsi="Times New Roman" w:cs="Times New Roman"/>
          <w:sz w:val="26"/>
          <w:szCs w:val="26"/>
        </w:rPr>
        <w:t xml:space="preserve">such </w:t>
      </w:r>
      <w:r w:rsidRPr="0072600F">
        <w:rPr>
          <w:rFonts w:ascii="Times New Roman" w:hAnsi="Times New Roman" w:cs="Times New Roman"/>
          <w:color w:val="000000"/>
          <w:sz w:val="26"/>
          <w:szCs w:val="26"/>
        </w:rPr>
        <w:t>damages, including costs and expenses incurred by Transmission Provider as a result of such Default.  Notwithstanding the foregoing, Default by one or more Affected System Interconnection Customers shall not provide the other Affected System Interconnection Customer(s), either individually or in concert, with the right to terminate the entire Agreement.  The non-Defaulting Party/Parties may, individually or in concert, initiate the removal of an Affected System Interconnection Customer that is a Defaulting Party from this Agreement.  Transmission Provider shall not terminate this Agreement or the participation of any Affected System Interconnection Customer without provision being made for Transmission Provider to be fully reimbursed for all of its costs incurred under this Agreement.</w:t>
      </w:r>
    </w:p>
    <w:p w:rsidR="00911580" w:rsidRPr="0072600F" w14:paraId="3A748A25"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3E47680"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2.2.3</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Consequences of Termination.</w:t>
      </w:r>
      <w:r w:rsidRPr="0072600F">
        <w:rPr>
          <w:rFonts w:ascii="Times New Roman" w:hAnsi="Times New Roman" w:cs="Times New Roman"/>
          <w:color w:val="000000"/>
          <w:sz w:val="26"/>
          <w:szCs w:val="26"/>
        </w:rPr>
        <w:t xml:space="preserve">  In the event of a termination by a Party, other than a termination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due to a Default by Transmission Provider,</w:t>
      </w:r>
      <w:r w:rsidRPr="0072600F">
        <w:rPr>
          <w:rFonts w:ascii="Times New Roman" w:eastAsia="Calibri" w:hAnsi="Times New Roman" w:cs="Times New Roman"/>
          <w:sz w:val="26"/>
          <w:szCs w:val="26"/>
        </w:rPr>
        <w:t xml:space="preserve"> each Affected System</w:t>
      </w:r>
      <w:r w:rsidRPr="0072600F">
        <w:rPr>
          <w:rFonts w:ascii="Times New Roman" w:hAnsi="Times New Roman" w:cs="Times New Roman"/>
          <w:color w:val="000000"/>
          <w:sz w:val="26"/>
          <w:szCs w:val="26"/>
        </w:rPr>
        <w:t xml:space="preserve"> Interconnection Customer whose participation in this Agreement is </w:t>
      </w:r>
      <w:r w:rsidRPr="0072600F">
        <w:rPr>
          <w:rFonts w:ascii="Times New Roman" w:hAnsi="Times New Roman" w:cs="Times New Roman"/>
          <w:sz w:val="26"/>
          <w:szCs w:val="26"/>
        </w:rPr>
        <w:t xml:space="preserve">terminated shall be responsible for the payment to Transmission Provider of all amounts then due and payable for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(including, without limitation, any equipment ordered related to such construction), plus all out-of-pocket expenses incurred by Transmission Provider in connection with the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through the date of termination, and, in the event of the termination of the entire Agreement, any actual costs which Transmission Provider reasonably incurs in (1) winding up work and construction demobilization and (2) ensuring the safety of persons and property and the integrity and safe and reliable operation of Transmission Provider’s Transmission System.  Transmission Provider shall use Reasonable Efforts to minimize such costs.  The cost responsibility of other Affected System Interconnection Customers shall be adjusted, as necessary, based on the payments </w:t>
      </w:r>
      <w:r w:rsidRPr="0072600F">
        <w:rPr>
          <w:rFonts w:ascii="Times New Roman" w:hAnsi="Times New Roman" w:cs="Times New Roman"/>
          <w:color w:val="000000"/>
          <w:sz w:val="26"/>
          <w:szCs w:val="26"/>
        </w:rPr>
        <w:t>by an Affected System Interconnection Customer that is terminated from the Agreement.</w:t>
      </w:r>
    </w:p>
    <w:p w:rsidR="00911580" w:rsidRPr="0072600F" w14:paraId="0EA2C3CD"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53E44E6"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2.2.4</w:t>
      </w:r>
      <w:r w:rsidRPr="0072600F">
        <w:rPr>
          <w:rFonts w:ascii="Times New Roman" w:hAnsi="Times New Roman" w:cs="Times New Roman"/>
          <w:b/>
          <w:bCs/>
          <w:color w:val="000000"/>
          <w:sz w:val="26"/>
          <w:szCs w:val="26"/>
        </w:rPr>
        <w:tab/>
        <w:t>Reservation of Rights.</w:t>
      </w:r>
      <w:r w:rsidRPr="0072600F">
        <w:rPr>
          <w:rFonts w:ascii="Times New Roman" w:hAnsi="Times New Roman" w:cs="Times New Roman"/>
          <w:color w:val="000000"/>
          <w:sz w:val="26"/>
          <w:szCs w:val="26"/>
        </w:rPr>
        <w:t xml:space="preserv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911580" w:rsidRPr="0072600F" w14:paraId="10E5F29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09845D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2.3</w:t>
      </w:r>
      <w:r w:rsidRPr="0072600F">
        <w:rPr>
          <w:rFonts w:ascii="Times New Roman" w:hAnsi="Times New Roman" w:cs="Times New Roman"/>
          <w:b/>
          <w:bCs/>
          <w:color w:val="000000"/>
          <w:sz w:val="26"/>
          <w:szCs w:val="26"/>
        </w:rPr>
        <w:tab/>
        <w:t>Filing.</w:t>
      </w:r>
      <w:r w:rsidRPr="0072600F">
        <w:rPr>
          <w:rFonts w:ascii="Times New Roman" w:hAnsi="Times New Roman" w:cs="Times New Roman"/>
          <w:color w:val="000000"/>
          <w:sz w:val="26"/>
          <w:szCs w:val="26"/>
        </w:rPr>
        <w:t xml:space="preserve">  Transmission Provider shall file this Agreement (and any amendment hereto) with the appropriate Governmental Authority, if required.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may request that any information so provided be subject to the confidentiality provisions of Article 8.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that has executed this Agreement, or any amendment thereto, shall reasonably cooperate with Transmission Provider with respect to such filing and to provide any information reasonably requested by Transmission Provider needed to comply with applicable regulatory requirements.</w:t>
      </w:r>
    </w:p>
    <w:p w:rsidR="00911580" w:rsidRPr="0072600F" w14:paraId="4CBB879E"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14E9BAD"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2.4</w:t>
      </w:r>
      <w:r w:rsidRPr="0072600F">
        <w:rPr>
          <w:rFonts w:ascii="Times New Roman" w:hAnsi="Times New Roman" w:cs="Times New Roman"/>
          <w:b/>
          <w:bCs/>
          <w:color w:val="000000"/>
          <w:sz w:val="26"/>
          <w:szCs w:val="26"/>
        </w:rPr>
        <w:tab/>
        <w:t>Survival.</w:t>
      </w:r>
      <w:r w:rsidRPr="0072600F">
        <w:rPr>
          <w:rFonts w:ascii="Times New Roman" w:hAnsi="Times New Roman" w:cs="Times New Roman"/>
          <w:color w:val="000000"/>
          <w:sz w:val="26"/>
          <w:szCs w:val="26"/>
        </w:rPr>
        <w:t xml:space="preserve">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w:t>
      </w:r>
      <w:r w:rsidRPr="0072600F">
        <w:rPr>
          <w:rFonts w:ascii="Times New Roman" w:hAnsi="Times New Roman" w:cs="Times New Roman"/>
          <w:sz w:val="26"/>
          <w:szCs w:val="26"/>
        </w:rPr>
        <w:t xml:space="preserve">each Party </w:t>
      </w:r>
      <w:r w:rsidRPr="0072600F">
        <w:rPr>
          <w:rFonts w:ascii="Times New Roman" w:hAnsi="Times New Roman" w:cs="Times New Roman"/>
          <w:color w:val="000000"/>
          <w:sz w:val="26"/>
          <w:szCs w:val="26"/>
        </w:rPr>
        <w:t xml:space="preserve">to have access to the lands of the </w:t>
      </w:r>
      <w:r w:rsidRPr="0072600F">
        <w:rPr>
          <w:rFonts w:ascii="Times New Roman" w:hAnsi="Times New Roman" w:cs="Times New Roman"/>
          <w:sz w:val="26"/>
          <w:szCs w:val="26"/>
        </w:rPr>
        <w:t xml:space="preserve">other Party </w:t>
      </w:r>
      <w:r w:rsidRPr="0072600F">
        <w:rPr>
          <w:rFonts w:ascii="Times New Roman" w:hAnsi="Times New Roman" w:cs="Times New Roman"/>
          <w:color w:val="000000"/>
          <w:sz w:val="26"/>
          <w:szCs w:val="26"/>
        </w:rPr>
        <w:t>pursuant to this Agreement or other applicable agreements, to disconnect, remove, or salvage its own facilities and equipment.</w:t>
      </w:r>
    </w:p>
    <w:p w:rsidR="00911580" w:rsidRPr="0072600F" w14:paraId="4FB72F89"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1A785FE" w14:textId="77777777">
      <w:pPr>
        <w:ind w:left="72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2.5</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Termination Obligations</w:t>
      </w:r>
      <w:r w:rsidRPr="0072600F">
        <w:rPr>
          <w:rFonts w:ascii="Times New Roman" w:hAnsi="Times New Roman" w:cs="Times New Roman"/>
          <w:b/>
          <w:color w:val="000000"/>
          <w:sz w:val="26"/>
          <w:szCs w:val="26"/>
        </w:rPr>
        <w:t>.</w:t>
      </w:r>
      <w:r w:rsidRPr="0072600F">
        <w:rPr>
          <w:rFonts w:ascii="Times New Roman" w:hAnsi="Times New Roman" w:cs="Times New Roman"/>
          <w:color w:val="000000"/>
          <w:sz w:val="26"/>
          <w:szCs w:val="26"/>
        </w:rPr>
        <w:t xml:space="preserve">  Upon any termination pursuant to this Agreement or termination of the participation in this Agreement of an Affected System Interconnection Customer,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be responsible for the payment of its proportionate share of all costs or other contractual obligations incurred prior to the termination date, including previously incurred capital costs, penalties for early termination, and costs of removal and site restoration.  The cost responsibility of the other Affected System Interconnection Customers shall be adjusted as necessary.</w:t>
      </w:r>
    </w:p>
    <w:p w:rsidR="00911580" w:rsidRPr="0072600F" w14:paraId="52CC385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F9A3DF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3</w:t>
      </w:r>
    </w:p>
    <w:p w:rsidR="00911580" w:rsidRPr="0072600F" w14:paraId="5B4911B0"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CONSTRUCTION</w:t>
      </w:r>
      <w:r w:rsidRPr="0072600F">
        <w:rPr>
          <w:rFonts w:ascii="Times New Roman" w:hAnsi="Times New Roman" w:cs="Times New Roman"/>
          <w:b/>
          <w:bCs/>
          <w:color w:val="00B0F0"/>
          <w:sz w:val="26"/>
          <w:szCs w:val="26"/>
        </w:rPr>
        <w:t xml:space="preserve"> </w:t>
      </w:r>
      <w:r w:rsidRPr="0072600F">
        <w:rPr>
          <w:rFonts w:ascii="Times New Roman" w:hAnsi="Times New Roman" w:cs="Times New Roman"/>
          <w:b/>
          <w:bCs/>
          <w:color w:val="000000"/>
          <w:sz w:val="26"/>
          <w:szCs w:val="26"/>
        </w:rPr>
        <w:t xml:space="preserve">OF </w:t>
      </w:r>
      <w:r w:rsidRPr="0072600F">
        <w:rPr>
          <w:rFonts w:ascii="Times New Roman" w:hAnsi="Times New Roman" w:cs="Times New Roman"/>
          <w:b/>
          <w:bCs/>
          <w:sz w:val="26"/>
          <w:szCs w:val="26"/>
        </w:rPr>
        <w:t xml:space="preserve">AFFECTED SYSTEM NETWORK </w:t>
      </w:r>
      <w:r w:rsidRPr="0072600F">
        <w:rPr>
          <w:rFonts w:ascii="Times New Roman" w:hAnsi="Times New Roman" w:cs="Times New Roman"/>
          <w:b/>
          <w:bCs/>
          <w:color w:val="000000"/>
          <w:sz w:val="26"/>
          <w:szCs w:val="26"/>
        </w:rPr>
        <w:t xml:space="preserve">UPGRADE(S) </w:t>
      </w:r>
    </w:p>
    <w:p w:rsidR="00911580" w:rsidRPr="0072600F" w14:paraId="1D3873A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9BA1BB9"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3.1</w:t>
      </w:r>
      <w:r w:rsidRPr="0072600F">
        <w:rPr>
          <w:rFonts w:ascii="Times New Roman" w:hAnsi="Times New Roman" w:cs="Times New Roman"/>
          <w:b/>
          <w:bCs/>
          <w:color w:val="000000"/>
          <w:sz w:val="26"/>
          <w:szCs w:val="26"/>
        </w:rPr>
        <w:tab/>
        <w:t>Construction.</w:t>
      </w:r>
    </w:p>
    <w:p w:rsidR="00911580" w:rsidRPr="0072600F" w14:paraId="13C64F5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9DD985D"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3.1.1</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Transmission Provider Obligations.  </w:t>
      </w:r>
      <w:r w:rsidRPr="0072600F">
        <w:rPr>
          <w:rFonts w:ascii="Times New Roman" w:hAnsi="Times New Roman" w:cs="Times New Roman"/>
          <w:color w:val="000000"/>
          <w:sz w:val="26"/>
          <w:szCs w:val="26"/>
        </w:rPr>
        <w:t xml:space="preserve">Transmission Provider shall (or shall cause such action to) design, procure, construct, and install, and Affected System Interconnection Customers shall pay, consistent with Article 3.2, the costs of all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identified in Appendix A.  All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designed, procured, constructed, and installed by Transmission Provider pursuant to this Agreement shall satisfy all requirements of applicable safety and/or engineering codes and comply with </w:t>
      </w:r>
      <w:r w:rsidRPr="0072600F">
        <w:rPr>
          <w:rFonts w:ascii="Times New Roman" w:hAnsi="Times New Roman" w:cs="Times New Roman"/>
          <w:sz w:val="26"/>
          <w:szCs w:val="26"/>
        </w:rPr>
        <w:t>Good Utility Practice, and further, shall satisfy all Applicable Laws and Regulations.  Transmission Provider shall not be required to undertake any action which is inconsistent with its standard safety practices, its material and equipment specifications, its design criteria and construction procedures, its labor agreements, or any Applicable Laws and Regulations.</w:t>
      </w:r>
    </w:p>
    <w:p w:rsidR="00911580" w:rsidRPr="0072600F" w14:paraId="052AFBA2"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D043324"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3.1.2</w:t>
      </w:r>
      <w:r w:rsidRPr="0072600F">
        <w:rPr>
          <w:rFonts w:ascii="Times New Roman" w:hAnsi="Times New Roman" w:cs="Times New Roman"/>
          <w:b/>
          <w:bCs/>
          <w:color w:val="000000"/>
          <w:sz w:val="26"/>
          <w:szCs w:val="26"/>
        </w:rPr>
        <w:tab/>
        <w:t xml:space="preserve">Suspension of Work. </w:t>
      </w:r>
    </w:p>
    <w:p w:rsidR="00911580" w:rsidRPr="0072600F" w14:paraId="052ADC40"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8503381" w14:textId="77777777">
      <w:pPr>
        <w:ind w:left="2880" w:hanging="1440"/>
        <w:rPr>
          <w:rFonts w:ascii="Times New Roman" w:hAnsi="Times New Roman" w:cs="Times New Roman"/>
          <w:sz w:val="26"/>
          <w:szCs w:val="26"/>
        </w:rPr>
      </w:pPr>
      <w:r w:rsidRPr="0072600F">
        <w:rPr>
          <w:rFonts w:ascii="Times New Roman" w:hAnsi="Times New Roman" w:cs="Times New Roman"/>
          <w:b/>
          <w:bCs/>
          <w:color w:val="000000"/>
          <w:sz w:val="26"/>
          <w:szCs w:val="26"/>
        </w:rPr>
        <w:t>3.1.2.1</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Right to Suspend.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must jointly provide to</w:t>
      </w:r>
      <w:r w:rsidRPr="0072600F">
        <w:rPr>
          <w:rFonts w:ascii="Times New Roman" w:eastAsia="Calibri" w:hAnsi="Times New Roman" w:cs="Times New Roman"/>
          <w:sz w:val="26"/>
          <w:szCs w:val="26"/>
        </w:rPr>
        <w:t xml:space="preserve"> Transmission Provider </w:t>
      </w:r>
      <w:r w:rsidRPr="0072600F">
        <w:rPr>
          <w:rFonts w:ascii="Times New Roman" w:hAnsi="Times New Roman" w:cs="Times New Roman"/>
          <w:color w:val="000000"/>
          <w:sz w:val="26"/>
          <w:szCs w:val="26"/>
        </w:rPr>
        <w:t xml:space="preserve">written notice of their request for suspension.  Only the milestones described in the Appendices of this Agreement are subject to suspension under this Article 3.1.2.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will be constructed on the schedule described in the Appendices of this Agreement unless:  (1) construction is prevented by the order of a Governmental Authority; (2)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are not needed by any other </w:t>
      </w:r>
      <w:r w:rsidRPr="0072600F">
        <w:rPr>
          <w:rFonts w:ascii="Times New Roman" w:hAnsi="Times New Roman" w:cs="Times New Roman"/>
          <w:sz w:val="26"/>
          <w:szCs w:val="26"/>
        </w:rPr>
        <w:t>I</w:t>
      </w:r>
      <w:r w:rsidRPr="0072600F">
        <w:rPr>
          <w:rFonts w:ascii="Times New Roman" w:hAnsi="Times New Roman" w:cs="Times New Roman"/>
          <w:color w:val="000000"/>
          <w:sz w:val="26"/>
          <w:szCs w:val="26"/>
        </w:rPr>
        <w:t xml:space="preserve">nterconnection </w:t>
      </w:r>
      <w:r w:rsidRPr="0072600F">
        <w:rPr>
          <w:rFonts w:ascii="Times New Roman" w:hAnsi="Times New Roman" w:cs="Times New Roman"/>
          <w:sz w:val="26"/>
          <w:szCs w:val="26"/>
        </w:rPr>
        <w:t>C</w:t>
      </w:r>
      <w:r w:rsidRPr="0072600F">
        <w:rPr>
          <w:rFonts w:ascii="Times New Roman" w:hAnsi="Times New Roman" w:cs="Times New Roman"/>
          <w:color w:val="000000"/>
          <w:sz w:val="26"/>
          <w:szCs w:val="26"/>
        </w:rPr>
        <w:t xml:space="preserve">ustomer; or (3) Transmission Provider determines that a Force Majeure event prevents construction.  </w:t>
      </w:r>
      <w:r w:rsidRPr="0072600F">
        <w:rPr>
          <w:rFonts w:ascii="Times New Roman" w:hAnsi="Times New Roman" w:cs="Times New Roman"/>
          <w:sz w:val="26"/>
          <w:szCs w:val="26"/>
        </w:rPr>
        <w:t xml:space="preserve">In the event of (1), (2), or (3), any security paid to Transmission Provider under Article 4.1 of this Agreement shall be released by Transmission Provider upon the determination by Transmission Provider that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Network Upgrade(s) will no longer be constructed.  </w:t>
      </w:r>
      <w:r w:rsidRPr="0072600F">
        <w:rPr>
          <w:rFonts w:ascii="Times New Roman" w:hAnsi="Times New Roman" w:cs="Times New Roman"/>
          <w:color w:val="000000"/>
          <w:sz w:val="26"/>
          <w:szCs w:val="26"/>
        </w:rPr>
        <w:t xml:space="preserve">If suspension occurs,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shall be responsible for the costs which Transmission Provider incurs (</w:t>
      </w:r>
      <w:r w:rsidRPr="0072600F">
        <w:rPr>
          <w:rFonts w:ascii="Times New Roman" w:hAnsi="Times New Roman" w:cs="Times New Roman"/>
          <w:color w:val="000000"/>
          <w:sz w:val="26"/>
          <w:szCs w:val="26"/>
        </w:rPr>
        <w:t>i</w:t>
      </w:r>
      <w:r w:rsidRPr="0072600F">
        <w:rPr>
          <w:rFonts w:ascii="Times New Roman" w:hAnsi="Times New Roman" w:cs="Times New Roman"/>
          <w:color w:val="000000"/>
          <w:sz w:val="26"/>
          <w:szCs w:val="26"/>
        </w:rPr>
        <w:t xml:space="preserve">) in accordance with this Agreement prior to the suspension; (ii) in suspending such work, including any costs incurred to perform such work as may be necessary to ensure the safety of persons and property and the integrity of Transmission Provider’s Transmission System and, if applicable, any costs incurred in connection with the cancellation of contracts and orders for material which Transmission Provider cannot reasonably avoid; and (iii) reasonably incurs in winding up work and construction demobilization; provided, however, that, prior to canceling any such contracts or orders, Transmission Provider shall obtain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authorization.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shall be responsible for all costs incurred in connection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failure to authorize cancellation of such contracts or orders.  </w:t>
      </w:r>
    </w:p>
    <w:p w:rsidR="00911580" w:rsidRPr="0072600F" w14:paraId="17D4B4CE"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6290D9D" w14:textId="77777777">
      <w:pPr>
        <w:ind w:left="2880"/>
        <w:rPr>
          <w:rFonts w:ascii="Times New Roman" w:hAnsi="Times New Roman" w:cs="Times New Roman"/>
          <w:color w:val="000000"/>
          <w:sz w:val="26"/>
          <w:szCs w:val="26"/>
        </w:rPr>
      </w:pPr>
      <w:r w:rsidRPr="0072600F">
        <w:rPr>
          <w:rFonts w:ascii="Times New Roman" w:hAnsi="Times New Roman" w:cs="Times New Roman"/>
          <w:color w:val="000000"/>
          <w:sz w:val="26"/>
          <w:szCs w:val="26"/>
        </w:rPr>
        <w:t xml:space="preserve">Interest on amounts paid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to Transmission Provider for the design, procurement,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shall not accrue during periods in which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have suspended construction under this Article 3.1.2. </w:t>
      </w:r>
    </w:p>
    <w:p w:rsidR="00911580" w:rsidRPr="0072600F" w14:paraId="7FFC2483" w14:textId="77777777">
      <w:pPr>
        <w:ind w:left="2880" w:hanging="1440"/>
        <w:rPr>
          <w:rFonts w:ascii="Times New Roman" w:hAnsi="Times New Roman" w:cs="Times New Roman"/>
          <w:color w:val="000000"/>
          <w:sz w:val="26"/>
          <w:szCs w:val="26"/>
        </w:rPr>
      </w:pPr>
    </w:p>
    <w:p w:rsidR="00911580" w:rsidRPr="0072600F" w14:paraId="0711A5B0" w14:textId="77777777">
      <w:pPr>
        <w:ind w:left="2880"/>
        <w:rPr>
          <w:rFonts w:ascii="Times New Roman" w:hAnsi="Times New Roman" w:cs="Times New Roman"/>
          <w:color w:val="000000"/>
          <w:sz w:val="26"/>
          <w:szCs w:val="26"/>
        </w:rPr>
      </w:pPr>
      <w:r w:rsidRPr="0072600F">
        <w:rPr>
          <w:rFonts w:ascii="Times New Roman" w:hAnsi="Times New Roman" w:cs="Times New Roman"/>
          <w:color w:val="000000"/>
          <w:sz w:val="26"/>
          <w:szCs w:val="26"/>
        </w:rPr>
        <w:t xml:space="preserve">Transmission Provider shall invoice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pursuant to Article 4 and will use Reasonable Efforts to minimize its costs.  In the event Affected System Interconnection Customers suspend work by Affected System Transmission Provider required under this Agreement pursuant to this Article 3.1.2.1, and have not requested Affected System Transmission Provider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Affected System Transmission Provider, whichever is earlier, if no effective date of suspension is specified. </w:t>
      </w:r>
    </w:p>
    <w:p w:rsidR="00911580" w:rsidRPr="0072600F" w14:paraId="4B0DFA39"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24539C4" w14:textId="77777777">
      <w:pPr>
        <w:ind w:left="2880" w:hanging="1440"/>
        <w:rPr>
          <w:rFonts w:ascii="Times New Roman" w:hAnsi="Times New Roman" w:cs="Times New Roman"/>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3.1.2.2</w:t>
      </w:r>
      <w:r w:rsidRPr="0072600F">
        <w:rPr>
          <w:rFonts w:ascii="Times New Roman" w:hAnsi="Times New Roman" w:cs="Times New Roman"/>
          <w:b/>
          <w:bCs/>
          <w:color w:val="000000"/>
          <w:sz w:val="26"/>
          <w:szCs w:val="26"/>
        </w:rPr>
        <w:tab/>
        <w:t xml:space="preserve">Recommencing of Work. </w:t>
      </w:r>
      <w:r w:rsidRPr="0072600F">
        <w:rPr>
          <w:rFonts w:ascii="Times New Roman" w:hAnsi="Times New Roman" w:cs="Times New Roman"/>
          <w:color w:val="000000"/>
          <w:sz w:val="26"/>
          <w:szCs w:val="26"/>
        </w:rPr>
        <w:t xml:space="preserve"> If Affected System Interconnection Customers request that Transmission Provider recommence construction of Affected System Network Upgrade(s), Transmission Provider shall have no obligation to afford such work the priority it would have had but for the prior actions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to suspend the work.  In such event,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shall be responsible for any costs incurred in recommencing the work.  All recommenced work shall be completed pursuant to an amended schedule </w:t>
      </w:r>
      <w:r w:rsidRPr="0072600F">
        <w:rPr>
          <w:rFonts w:ascii="Times New Roman" w:hAnsi="Times New Roman" w:cs="Times New Roman"/>
          <w:sz w:val="26"/>
          <w:szCs w:val="26"/>
        </w:rPr>
        <w:t xml:space="preserve">for the interconnection agreed to by the Parties.  Transmission Provider has the right to conduct a restudy of the Affected System Study if conditions have materially changed subsequent to the request to suspend.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Interconnection Customers shall be responsible for the costs of any studies or restudies required</w:t>
      </w: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w:t>
      </w:r>
    </w:p>
    <w:p w:rsidR="00911580" w:rsidRPr="0072600F" w14:paraId="64C604F8" w14:textId="77777777">
      <w:pPr>
        <w:ind w:left="2880" w:hanging="1440"/>
        <w:rPr>
          <w:rFonts w:ascii="Times New Roman" w:hAnsi="Times New Roman" w:cs="Times New Roman"/>
          <w:sz w:val="26"/>
          <w:szCs w:val="26"/>
        </w:rPr>
      </w:pPr>
      <w:r w:rsidRPr="0072600F">
        <w:rPr>
          <w:rFonts w:ascii="Times New Roman" w:hAnsi="Times New Roman" w:cs="Times New Roman"/>
          <w:b/>
          <w:bCs/>
          <w:color w:val="000000"/>
          <w:sz w:val="26"/>
          <w:szCs w:val="26"/>
        </w:rPr>
        <w:t> </w:t>
      </w:r>
    </w:p>
    <w:p w:rsidR="00911580" w:rsidRPr="0072600F" w14:paraId="1BB9862C" w14:textId="77777777">
      <w:pPr>
        <w:ind w:left="2880" w:hanging="1440"/>
        <w:rPr>
          <w:rFonts w:ascii="Times New Roman" w:hAnsi="Times New Roman" w:cs="Times New Roman"/>
          <w:strike/>
          <w:color w:val="ED7D31"/>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3.1.2.3</w:t>
      </w:r>
      <w:r w:rsidRPr="0072600F">
        <w:rPr>
          <w:rFonts w:ascii="Times New Roman" w:hAnsi="Times New Roman" w:cs="Times New Roman"/>
          <w:b/>
          <w:bCs/>
          <w:color w:val="000000"/>
          <w:sz w:val="26"/>
          <w:szCs w:val="26"/>
        </w:rPr>
        <w:tab/>
        <w:t xml:space="preserve">Right to Suspend Due to Default.  </w:t>
      </w:r>
      <w:r w:rsidRPr="0072600F">
        <w:rPr>
          <w:rFonts w:ascii="Times New Roman" w:hAnsi="Times New Roman" w:cs="Times New Roman"/>
          <w:color w:val="000000"/>
          <w:sz w:val="26"/>
          <w:szCs w:val="26"/>
        </w:rPr>
        <w:t xml:space="preserve">Transmission Provider reserves the right, upon written notice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w:t>
      </w:r>
      <w:r w:rsidRPr="0072600F">
        <w:rPr>
          <w:rFonts w:ascii="Times New Roman" w:hAnsi="Times New Roman" w:cs="Times New Roman"/>
          <w:sz w:val="26"/>
          <w:szCs w:val="26"/>
        </w:rPr>
        <w:t>Customers, to suspend, at any time, work by Transmission Provider due to a Default by Affected System Interconnection Customer(s).  Defaulting</w:t>
      </w:r>
      <w:r w:rsidRPr="0072600F">
        <w:rPr>
          <w:rFonts w:ascii="Times New Roman" w:hAnsi="Times New Roman" w:cs="Times New Roman"/>
          <w:strike/>
          <w:sz w:val="26"/>
          <w:szCs w:val="26"/>
        </w:rPr>
        <w:t xml:space="preserve"> </w:t>
      </w:r>
      <w:r w:rsidRPr="0072600F">
        <w:rPr>
          <w:rFonts w:ascii="Times New Roman" w:hAnsi="Times New Roman" w:cs="Times New Roman"/>
          <w:sz w:val="26"/>
          <w:szCs w:val="26"/>
        </w:rPr>
        <w:t xml:space="preserve">Affected System Interconnection Customer(s) shall be responsible for any additional expenses incurred by Transmission Provider associated with the construction and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w:t>
      </w:r>
      <w:r w:rsidRPr="0072600F">
        <w:rPr>
          <w:rFonts w:ascii="Times New Roman" w:hAnsi="Times New Roman" w:cs="Times New Roman"/>
          <w:sz w:val="26"/>
          <w:szCs w:val="26"/>
        </w:rPr>
        <w:t xml:space="preserve">Upgrade(s) (as set forth in Article 2.2.3) upon the occurrence of a Default pursuant to Article 5.  Any </w:t>
      </w:r>
      <w:r w:rsidRPr="0072600F">
        <w:rPr>
          <w:rFonts w:ascii="Times New Roman" w:hAnsi="Times New Roman" w:cs="Times New Roman"/>
          <w:color w:val="000000"/>
          <w:sz w:val="26"/>
          <w:szCs w:val="26"/>
        </w:rPr>
        <w:t>form of suspension by Transmission Provider shall not be barred by Articles 2.2.2, 2.2.3, or 5.2.2, nor shall it affect Transmission Provider’s right to terminate the work or this Agreement pursuant to Article 6.</w:t>
      </w:r>
      <w:r w:rsidRPr="0072600F">
        <w:rPr>
          <w:rFonts w:ascii="Times New Roman" w:hAnsi="Times New Roman" w:cs="Times New Roman"/>
          <w:color w:val="000000"/>
          <w:sz w:val="26"/>
          <w:szCs w:val="26"/>
        </w:rPr>
        <w:t>]</w:t>
      </w:r>
    </w:p>
    <w:p w:rsidR="00911580" w:rsidRPr="0072600F" w14:paraId="375D04E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692C1C2"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3.1.3</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Construction Status.  </w:t>
      </w:r>
      <w:r w:rsidRPr="0072600F">
        <w:rPr>
          <w:rFonts w:ascii="Times New Roman" w:hAnsi="Times New Roman" w:cs="Times New Roman"/>
          <w:color w:val="000000"/>
          <w:sz w:val="26"/>
          <w:szCs w:val="26"/>
        </w:rPr>
        <w:t xml:space="preserve">Transmission Provider shall keep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advised periodically as to the progress of its design, procurement, and construction efforts, as described in Appendix A.  An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may, at any time and reasonably, request a progress report from Transmission Provider.  If, at any time, an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determines that the completion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will not be required until after the specified in-service date,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will provide written notice to all other Parties of such later date for which the completion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 would be required.  Transmission Provider may</w:t>
      </w:r>
      <w:r w:rsidRPr="0072600F">
        <w:rPr>
          <w:rFonts w:ascii="Times New Roman" w:hAnsi="Times New Roman" w:cs="Times New Roman"/>
          <w:color w:val="00B0F0"/>
          <w:sz w:val="26"/>
          <w:szCs w:val="26"/>
        </w:rPr>
        <w:t xml:space="preserve"> </w:t>
      </w:r>
      <w:r w:rsidRPr="0072600F">
        <w:rPr>
          <w:rFonts w:ascii="Times New Roman" w:hAnsi="Times New Roman" w:cs="Times New Roman"/>
          <w:color w:val="000000"/>
          <w:sz w:val="26"/>
          <w:szCs w:val="26"/>
        </w:rPr>
        <w:t xml:space="preserve">delay the in-service date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 accordingly, but only if agreed to by all other Affected System Interconnection Customers.</w:t>
      </w:r>
    </w:p>
    <w:p w:rsidR="00911580" w:rsidRPr="0072600F" w14:paraId="471FD1CB"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AC039EE"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3.1.4</w:t>
      </w:r>
      <w:r w:rsidRPr="0072600F">
        <w:rPr>
          <w:rFonts w:ascii="Times New Roman" w:hAnsi="Times New Roman" w:cs="Times New Roman"/>
          <w:b/>
          <w:bCs/>
          <w:color w:val="000000"/>
          <w:sz w:val="26"/>
          <w:szCs w:val="26"/>
        </w:rPr>
        <w:tab/>
        <w:t>Timely Completion.</w:t>
      </w:r>
      <w:r w:rsidRPr="0072600F">
        <w:rPr>
          <w:rFonts w:ascii="Times New Roman" w:hAnsi="Times New Roman" w:cs="Times New Roman"/>
          <w:color w:val="000000"/>
          <w:sz w:val="26"/>
          <w:szCs w:val="26"/>
        </w:rPr>
        <w:t xml:space="preserve">  Transmission Provider shall use Reasonable Efforts to design, procure, construct, install, and test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in accordance with the schedule set forth in Appendix A, which schedule may be revised from time to time by mutual agreement of the Parties.  If any event occurs that will affect the time or ability to complete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Transmission Provider shall promptly notify </w:t>
      </w:r>
      <w:r w:rsidRPr="0072600F">
        <w:rPr>
          <w:rFonts w:ascii="Times New Roman" w:eastAsia="Calibri" w:hAnsi="Times New Roman" w:cs="Times New Roman"/>
          <w:sz w:val="26"/>
          <w:szCs w:val="26"/>
        </w:rPr>
        <w:t>all other Parties</w:t>
      </w:r>
      <w:r w:rsidRPr="0072600F">
        <w:rPr>
          <w:rFonts w:ascii="Times New Roman" w:hAnsi="Times New Roman" w:cs="Times New Roman"/>
          <w:color w:val="000000"/>
          <w:sz w:val="26"/>
          <w:szCs w:val="26"/>
        </w:rPr>
        <w:t xml:space="preserve">.  In such circumstances, Transmission Provider shall, within fifteen (15) Calendar Days of such notice, convene a meeting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to evaluate the alternatives available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Transmission Provider shall also make available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all studies and work papers related to the event and corresponding delay, including all information that is in the possession of </w:t>
      </w:r>
      <w:r w:rsidRPr="0072600F" w:rsidR="002C0896">
        <w:rPr>
          <w:rFonts w:ascii="Times New Roman" w:hAnsi="Times New Roman" w:cs="Times New Roman"/>
          <w:color w:val="000000"/>
          <w:sz w:val="26"/>
          <w:szCs w:val="26"/>
        </w:rPr>
        <w:t>t</w:t>
      </w:r>
      <w:r w:rsidRPr="0072600F">
        <w:rPr>
          <w:rFonts w:ascii="Times New Roman" w:hAnsi="Times New Roman" w:cs="Times New Roman"/>
          <w:color w:val="000000"/>
          <w:sz w:val="26"/>
          <w:szCs w:val="26"/>
        </w:rPr>
        <w:t xml:space="preserve">ransmission Provider that </w:t>
      </w:r>
      <w:r w:rsidRPr="0072600F">
        <w:rPr>
          <w:rFonts w:ascii="Times New Roman" w:hAnsi="Times New Roman" w:cs="Times New Roman"/>
          <w:sz w:val="26"/>
          <w:szCs w:val="26"/>
        </w:rPr>
        <w:t xml:space="preserve">is reasonably needed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Customers to evaluate alternatives, subject to confidentiality arrangements consistent with Article 8.  Transmission Provider shall, at any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sz w:val="26"/>
          <w:szCs w:val="26"/>
        </w:rPr>
        <w:t xml:space="preserve">Interconnection Customer’s request and expense, use Reasonable Efforts to accelerate its work under this Agreement to meet the schedule set forth in Appendix A, </w:t>
      </w:r>
      <w:r w:rsidRPr="0072600F">
        <w:rPr>
          <w:rFonts w:ascii="Times New Roman" w:hAnsi="Times New Roman" w:cs="Times New Roman"/>
          <w:color w:val="000000"/>
          <w:sz w:val="26"/>
          <w:szCs w:val="26"/>
        </w:rPr>
        <w:t xml:space="preserve">provided that (1)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jointly authorize such actions, such authorizations to be withheld, conditioned, or delayed by a given Affected System Interconnection Customer only if it can demonstrate that the acceleration would have a material adverse effect on it; and (2) the requesting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funds the costs associated therewith in advance, or all Affected System Interconnection Customers agree in advance to fund such costs based on such other allocation method as they may adopt.</w:t>
      </w:r>
    </w:p>
    <w:p w:rsidR="00911580" w:rsidRPr="0072600F" w14:paraId="2B7B297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EF38BEF" w14:textId="77777777">
      <w:pPr>
        <w:rPr>
          <w:rFonts w:ascii="Times New Roman" w:hAnsi="Times New Roman" w:cs="Times New Roman"/>
          <w:b/>
          <w:bCs/>
          <w:color w:val="000000"/>
          <w:sz w:val="26"/>
          <w:szCs w:val="26"/>
        </w:rPr>
      </w:pPr>
    </w:p>
    <w:p w:rsidR="00911580" w:rsidRPr="0072600F" w14:paraId="504C1C66"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3.2</w:t>
      </w:r>
      <w:r w:rsidRPr="0072600F">
        <w:rPr>
          <w:rFonts w:ascii="Times New Roman" w:hAnsi="Times New Roman" w:cs="Times New Roman"/>
          <w:b/>
          <w:bCs/>
          <w:color w:val="000000"/>
          <w:sz w:val="26"/>
          <w:szCs w:val="26"/>
        </w:rPr>
        <w:tab/>
        <w:t xml:space="preserve">Interconnection Costs. </w:t>
      </w:r>
    </w:p>
    <w:p w:rsidR="00911580" w:rsidRPr="0072600F" w14:paraId="12EA675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1B155D" w14:paraId="458A8EB4"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3.2.1</w:t>
      </w:r>
      <w:r w:rsidRPr="0072600F">
        <w:rPr>
          <w:rFonts w:ascii="Times New Roman" w:hAnsi="Times New Roman" w:cs="Times New Roman"/>
          <w:b/>
          <w:color w:val="000000"/>
          <w:sz w:val="26"/>
          <w:szCs w:val="26"/>
        </w:rPr>
        <w:tab/>
        <w:t>Costs.</w:t>
      </w:r>
      <w:r w:rsidRPr="0072600F">
        <w:rPr>
          <w:rFonts w:ascii="Times New Roman" w:hAnsi="Times New Roman" w:cs="Times New Roman"/>
          <w:color w:val="000000"/>
          <w:sz w:val="26"/>
          <w:szCs w:val="26"/>
        </w:rPr>
        <w:t xml:space="preserv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shall pay to Transmission Provider costs (including taxes and financing costs) associated with seeking and obtaining all necessary approvals and of designing, engineering, constructing, and testing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as identified in Appendix A, in accordance with the cost recovery method provided herein.  Except as expressly otherwise agreed, Affected System Interconnection Customers shall be collectively responsible for these costs, based on their proportionate share of cost responsibility, as provided in Appendix A.  Unless Transmission Provider elects to fund the Affected System Network Upgrade(s), they shall be initially funded by the applicable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w:t>
      </w:r>
    </w:p>
    <w:p w:rsidR="00911580" w:rsidRPr="0072600F" w14:paraId="6F916807"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1B155D" w14:paraId="3850D02D" w14:textId="77777777">
      <w:pPr>
        <w:ind w:left="2880" w:hanging="1440"/>
        <w:rPr>
          <w:rFonts w:ascii="Times New Roman" w:hAnsi="Times New Roman" w:cs="Times New Roman"/>
          <w:sz w:val="26"/>
          <w:szCs w:val="26"/>
        </w:rPr>
      </w:pPr>
      <w:r w:rsidRPr="0072600F">
        <w:rPr>
          <w:rFonts w:ascii="Times New Roman" w:hAnsi="Times New Roman" w:cs="Times New Roman"/>
          <w:b/>
          <w:color w:val="000000"/>
          <w:sz w:val="26"/>
          <w:szCs w:val="26"/>
        </w:rPr>
        <w:t>3.2.1.1</w:t>
      </w:r>
      <w:r w:rsidRPr="0072600F">
        <w:rPr>
          <w:rFonts w:ascii="Times New Roman" w:hAnsi="Times New Roman" w:cs="Times New Roman"/>
          <w:b/>
          <w:color w:val="000000"/>
          <w:sz w:val="26"/>
          <w:szCs w:val="26"/>
        </w:rPr>
        <w:tab/>
      </w:r>
      <w:r w:rsidRPr="0072600F">
        <w:rPr>
          <w:rFonts w:ascii="Times New Roman" w:hAnsi="Times New Roman" w:cs="Times New Roman"/>
          <w:b/>
          <w:bCs/>
          <w:color w:val="000000"/>
          <w:sz w:val="26"/>
          <w:szCs w:val="26"/>
        </w:rPr>
        <w:t>Lands of Other Property Owners.</w:t>
      </w:r>
      <w:r w:rsidRPr="0072600F">
        <w:rPr>
          <w:rFonts w:ascii="Times New Roman" w:hAnsi="Times New Roman" w:cs="Times New Roman"/>
          <w:color w:val="000000"/>
          <w:sz w:val="26"/>
          <w:szCs w:val="26"/>
        </w:rPr>
        <w:t xml:space="preserve">  If any part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is to be installed on property owned by persons other than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or Transmission Provider, Transmission Provider shall, at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expense, use efforts similar in nature and extent to those that it typically undertakes on its own behalf or on behalf of its Affiliates, including use of its eminent domain authority to the extent permitted and consistent with Applicable Laws and Regulations and, to the extent consistent with such Applicable Laws and Regulations, to procure from such persons any rights of use, licenses, rights-of-way, and easements that are necessary to construct, operate, maintain, test, inspect, replace, or remove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upon such property.  </w:t>
      </w:r>
    </w:p>
    <w:p w:rsidR="00911580" w:rsidRPr="0072600F" w14:paraId="0F4F1D1A"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91C1E3F"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3.2.2</w:t>
      </w:r>
      <w:r w:rsidRPr="0072600F">
        <w:rPr>
          <w:rFonts w:ascii="Times New Roman" w:hAnsi="Times New Roman" w:cs="Times New Roman"/>
          <w:b/>
          <w:bCs/>
          <w:color w:val="000000"/>
          <w:sz w:val="26"/>
          <w:szCs w:val="26"/>
        </w:rPr>
        <w:tab/>
        <w:t>Repayment.</w:t>
      </w:r>
      <w:r w:rsidRPr="0072600F">
        <w:rPr>
          <w:rFonts w:ascii="Times New Roman" w:hAnsi="Times New Roman" w:cs="Times New Roman"/>
          <w:color w:val="000000"/>
          <w:sz w:val="26"/>
          <w:szCs w:val="26"/>
        </w:rPr>
        <w:t xml:space="preserve">  </w:t>
      </w:r>
    </w:p>
    <w:p w:rsidR="00911580" w:rsidRPr="0072600F" w14:paraId="76C152B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1902687" w14:textId="77777777">
      <w:pPr>
        <w:ind w:left="2880" w:hanging="144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3.2.2.1</w:t>
      </w:r>
      <w:r w:rsidRPr="0072600F">
        <w:rPr>
          <w:rFonts w:ascii="Times New Roman" w:hAnsi="Times New Roman" w:cs="Times New Roman"/>
          <w:b/>
          <w:bCs/>
          <w:color w:val="000000"/>
          <w:sz w:val="26"/>
          <w:szCs w:val="26"/>
        </w:rPr>
        <w:tab/>
        <w:t>Repayment.</w:t>
      </w:r>
      <w:r w:rsidRPr="0072600F">
        <w:rPr>
          <w:rFonts w:ascii="Times New Roman" w:eastAsia="Calibri" w:hAnsi="Times New Roman" w:cs="Times New Roman"/>
          <w:sz w:val="26"/>
          <w:szCs w:val="26"/>
        </w:rPr>
        <w:t xml:space="preserve">  Consistent with articles 11.4.1 and 11.4.2 of </w:t>
      </w:r>
      <w:r w:rsidRPr="0072600F" w:rsidR="002C089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C089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pro forma LGIA, each Affected System</w:t>
      </w:r>
      <w:r w:rsidRPr="0072600F">
        <w:rPr>
          <w:rFonts w:ascii="Times New Roman" w:hAnsi="Times New Roman" w:cs="Times New Roman"/>
          <w:color w:val="000000"/>
          <w:sz w:val="26"/>
          <w:szCs w:val="26"/>
        </w:rPr>
        <w:t xml:space="preserve"> Interconnection Customer shall be entitled to a cash repayment by Transmission Provider of the amount each Affected System Interconnection Customer paid to Transmission Provider, if any, for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including any tax gross-up or other tax-related payments associated with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and not refunded to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pursuant to Article 3.3.1 or otherwise.  The Parties may mutually agree to a repayment schedule, to be outlined in Appendix A, not to exceed twenty (20) years from the commercial operation date, for the complete repayment for all applicable costs associated with the Affected System Network Upgrade(s).  Any repayment shall include interest calculated in accordance with the methodology set forth in FERC’s regulations at 18 CFR 35.19 a(a)(2)(iii) from the date of any payment for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through the date on which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receive a repayment of such payment pursuant to this subparagraph.  Interest shall not accrue during periods in which</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Interconnection Customers have suspended construction pursuant to Article 3.1.2.1.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may assign such repayment rights to any person. </w:t>
      </w:r>
      <w:r w:rsidRPr="0072600F">
        <w:rPr>
          <w:rFonts w:ascii="Times New Roman" w:eastAsia="Calibri" w:hAnsi="Times New Roman" w:cs="Times New Roman"/>
          <w:sz w:val="26"/>
          <w:szCs w:val="26"/>
        </w:rPr>
        <w:t xml:space="preserve"> </w:t>
      </w:r>
    </w:p>
    <w:p w:rsidR="00911580" w:rsidRPr="0072600F" w14:paraId="4222EB46" w14:textId="77777777">
      <w:pPr>
        <w:ind w:left="2880" w:right="171"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0A8BB5D" w14:textId="77777777">
      <w:pPr>
        <w:ind w:left="2880" w:right="171" w:hanging="1440"/>
        <w:rPr>
          <w:rFonts w:ascii="Times New Roman" w:hAnsi="Times New Roman" w:cs="Times New Roman"/>
          <w:sz w:val="26"/>
          <w:szCs w:val="26"/>
        </w:rPr>
      </w:pPr>
      <w:r w:rsidRPr="0072600F">
        <w:rPr>
          <w:rFonts w:ascii="Times New Roman" w:hAnsi="Times New Roman" w:cs="Times New Roman"/>
          <w:b/>
          <w:bCs/>
          <w:color w:val="000000"/>
          <w:sz w:val="26"/>
          <w:szCs w:val="26"/>
        </w:rPr>
        <w:t>3.2.2.2</w:t>
      </w:r>
      <w:r w:rsidRPr="0072600F">
        <w:rPr>
          <w:rFonts w:ascii="Times New Roman" w:hAnsi="Times New Roman" w:cs="Times New Roman"/>
          <w:b/>
          <w:bCs/>
          <w:color w:val="000000"/>
          <w:sz w:val="26"/>
          <w:szCs w:val="26"/>
        </w:rPr>
        <w:tab/>
        <w:t>Impact of Failure to Achieve Commercial Operation.</w:t>
      </w:r>
      <w:r w:rsidRPr="0072600F">
        <w:rPr>
          <w:rFonts w:ascii="Times New Roman" w:hAnsi="Times New Roman" w:cs="Times New Roman"/>
          <w:color w:val="000000"/>
          <w:sz w:val="26"/>
          <w:szCs w:val="26"/>
        </w:rPr>
        <w:t xml:space="preserve">  If an Affected System Interconnection Customer’s generating facility fails to achieve commercial operation, but it or another generating facility is later constructed and makes use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Transmission Provider shall at that time reimburse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for the portion of the Affected System Network Upgrade(s) it funded.  Before any such reimbursement can occur,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(or the entity that ultimately constructs the generating facility, if different</w:t>
      </w:r>
      <w:r w:rsidRPr="0072600F">
        <w:rPr>
          <w:rFonts w:ascii="Times New Roman" w:hAnsi="Times New Roman" w:cs="Times New Roman"/>
          <w:sz w:val="26"/>
          <w:szCs w:val="26"/>
        </w:rPr>
        <w:t>)</w:t>
      </w:r>
      <w:r w:rsidRPr="0072600F">
        <w:rPr>
          <w:rFonts w:ascii="Times New Roman" w:hAnsi="Times New Roman" w:cs="Times New Roman"/>
          <w:color w:val="000000"/>
          <w:sz w:val="26"/>
          <w:szCs w:val="26"/>
        </w:rPr>
        <w:t xml:space="preserve">, is responsible for identifying the entity to which the reimbursement must be made.  </w:t>
      </w:r>
    </w:p>
    <w:p w:rsidR="00911580" w:rsidRPr="0072600F" w14:paraId="7428BDF1" w14:textId="77777777">
      <w:pPr>
        <w:rPr>
          <w:rFonts w:ascii="Times New Roman" w:hAnsi="Times New Roman" w:cs="Times New Roman"/>
          <w:color w:val="000000"/>
          <w:sz w:val="26"/>
          <w:szCs w:val="26"/>
        </w:rPr>
      </w:pPr>
    </w:p>
    <w:p w:rsidR="00911580" w:rsidRPr="0072600F" w:rsidP="001B155D" w14:paraId="5A0BBA9D" w14:textId="77777777">
      <w:pPr>
        <w:rPr>
          <w:rFonts w:ascii="Times New Roman" w:hAnsi="Times New Roman" w:cs="Times New Roman"/>
          <w:sz w:val="26"/>
          <w:szCs w:val="26"/>
        </w:rPr>
      </w:pPr>
      <w:r w:rsidRPr="0072600F">
        <w:rPr>
          <w:rFonts w:ascii="Times New Roman" w:hAnsi="Times New Roman" w:cs="Times New Roman"/>
          <w:b/>
          <w:color w:val="000000"/>
          <w:sz w:val="26"/>
          <w:szCs w:val="26"/>
        </w:rPr>
        <w:t>3.3</w:t>
      </w:r>
      <w:r w:rsidRPr="0072600F">
        <w:rPr>
          <w:rFonts w:ascii="Times New Roman" w:hAnsi="Times New Roman" w:cs="Times New Roman"/>
          <w:b/>
          <w:color w:val="000000"/>
          <w:sz w:val="26"/>
          <w:szCs w:val="26"/>
        </w:rPr>
        <w:tab/>
        <w:t>Taxes.</w:t>
      </w:r>
    </w:p>
    <w:p w:rsidR="00911580" w:rsidRPr="0072600F" w14:paraId="0F0300D0"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142F4FF"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3.3.1</w:t>
      </w:r>
      <w:r w:rsidRPr="0072600F">
        <w:rPr>
          <w:rFonts w:ascii="Times New Roman" w:hAnsi="Times New Roman" w:cs="Times New Roman"/>
          <w:b/>
          <w:bCs/>
          <w:color w:val="000000"/>
          <w:sz w:val="26"/>
          <w:szCs w:val="26"/>
        </w:rPr>
        <w:tab/>
        <w:t xml:space="preserve">Indemnification for Contributions in Aid of Construction.  </w:t>
      </w:r>
      <w:r w:rsidRPr="0072600F">
        <w:rPr>
          <w:rFonts w:ascii="Times New Roman" w:hAnsi="Times New Roman" w:cs="Times New Roman"/>
          <w:color w:val="000000"/>
          <w:sz w:val="26"/>
          <w:szCs w:val="26"/>
        </w:rPr>
        <w:t xml:space="preserve">With regard only to payments made by Affected System Interconnection Customers to Transmission Provider for the installation of the Affected System Network Upgrade(s), Transmission Provider shall not include a gross-up for income taxes in the amounts it charges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for the installation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unless (1) Transmission Provider has determined, in good faith, that the payments or property transfers made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to Transmission Provider should be reported as income subject to taxation, or (2) any Governmental Authority directs Transmission Provider to report payments or property as income subject to taxation.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shall reimburse Transmission Provider for such costs on a fully grossed-up basis, in accordance with this Article, within thirty (30) Calendar Days of receiving written notification from Transmission Provider of the amount due, including detail about how the amount was calculated.  </w:t>
      </w:r>
    </w:p>
    <w:p w:rsidR="00911580" w:rsidRPr="0072600F" w14:paraId="00BD8E6B"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30D3FB2" w14:textId="77777777">
      <w:pPr>
        <w:ind w:left="1440"/>
        <w:rPr>
          <w:rFonts w:ascii="Times New Roman" w:hAnsi="Times New Roman" w:cs="Times New Roman"/>
          <w:sz w:val="26"/>
          <w:szCs w:val="26"/>
        </w:rPr>
      </w:pPr>
      <w:r w:rsidRPr="0072600F">
        <w:rPr>
          <w:rFonts w:ascii="Times New Roman" w:hAnsi="Times New Roman" w:cs="Times New Roman"/>
          <w:color w:val="000000"/>
          <w:sz w:val="26"/>
          <w:szCs w:val="26"/>
        </w:rPr>
        <w:t>The indemnification obligation shall terminate at the earlier of (1) the expiration of the ten (10)-year testing period and the applicable statute of limitation, as it may be extended by Transmission Provider upon request of the Internal Revenue Service, to keep these years open for audit or adjustment, or (2) the occurrence of a subsequent taxable event and the payment of any related indemnification obligations as contemplated by this Article.  Notwithstanding the foregoing provisions of this Article 3.3.1, and to the extent permitted by law, to the extent that the receipt of such payments by</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is determined by any Governmental Authority to constitute income by Transmission Provider subject to taxation,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shall protect, indemnify, and hold harmless Transmission Provider and its Affiliates, from all claims by any such Governmental Authority for any tax, interest, and/or penalties associated with such determination.  Upon receiving written notification of such determination from the Governmental Authority,</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shall provide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with written notification within thirty (30) Calendar Days of such determination and notification.  Transmission Provider, upon the timely written request by any one or more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and at </w:t>
      </w:r>
      <w:r w:rsidRPr="0072600F">
        <w:rPr>
          <w:rFonts w:ascii="Times New Roman" w:eastAsia="Calibri" w:hAnsi="Times New Roman" w:cs="Times New Roman"/>
          <w:sz w:val="26"/>
          <w:szCs w:val="26"/>
        </w:rPr>
        <w:t xml:space="preserve">the </w:t>
      </w:r>
      <w:r w:rsidRPr="0072600F">
        <w:rPr>
          <w:rFonts w:ascii="Times New Roman" w:hAnsi="Times New Roman" w:cs="Times New Roman"/>
          <w:color w:val="000000"/>
          <w:sz w:val="26"/>
          <w:szCs w:val="26"/>
        </w:rPr>
        <w:t xml:space="preserve">expense of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shall appeal, protest, seek abatement of, or otherwise oppose such determination.  Transmission Provider reserves the right to make all decisions with regard to the prosecution of such appeal, protest, abatement or other contest, including the compromise or settlement of the claim; provided that Transmission Provider shall cooperate and consult in good faith with the requesting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regarding the conduct of such contest.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shall not be required to pay Transmission Provider for the tax, interest, and/or penalties prior to the seventh (7</w:t>
      </w:r>
      <w:r w:rsidRPr="0072600F">
        <w:rPr>
          <w:rFonts w:ascii="Times New Roman" w:hAnsi="Times New Roman" w:cs="Times New Roman"/>
          <w:color w:val="000000"/>
          <w:sz w:val="26"/>
          <w:szCs w:val="26"/>
          <w:vertAlign w:val="superscript"/>
        </w:rPr>
        <w:t>th</w:t>
      </w:r>
      <w:r w:rsidRPr="0072600F">
        <w:rPr>
          <w:rFonts w:ascii="Times New Roman" w:hAnsi="Times New Roman" w:cs="Times New Roman"/>
          <w:color w:val="000000"/>
          <w:sz w:val="26"/>
          <w:szCs w:val="26"/>
        </w:rPr>
        <w:t xml:space="preserve">) Calendar Day before the date on which Transmission Provider (1) is required to pay the tax, interest, and/or penalties or other amount in lieu thereof pursuant to a compromise or settlement of the appeal, protest, abatement, or other contest; (2) is required to pay the tax, interest, and/or penalties as the result of a final, non-appealable order by a Governmental Authority; or (3) is required to pay the tax, interest, and/or penalties as a prerequisite to an appeal, protest, abatement, or other contest.  In the event such appeal, protest, abatement, or other contest results in a determination that Transmission Provider is not liable for any portion of any tax, interest, and/or penalties for which any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has already made payment to Transmission Provider, Transmission Provider shall promptly refund to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any payment attributable to the amount determined to be non-taxable, plus any interest (calculated in accordance with 18 CFR 35.19a(a)(2)(iii)) or other payments Transmission Provider receives or to which Transmission Provider may be entitled with respect to such payment.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provide</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with credit assurances sufficient to meet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estimated liability for reimbursement of Transmission Provider for taxes, interest, and/or penalties under this Article 3.3.1.  Such estimated liability shall be stated in Appendix A.</w:t>
      </w:r>
    </w:p>
    <w:p w:rsidR="00911580" w:rsidRPr="0072600F" w14:paraId="2E513DB5" w14:textId="77777777">
      <w:pPr>
        <w:ind w:left="144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7DB91021" w14:textId="77777777">
      <w:pPr>
        <w:ind w:left="1440"/>
        <w:rPr>
          <w:rFonts w:ascii="Times New Roman" w:hAnsi="Times New Roman" w:cs="Times New Roman"/>
          <w:sz w:val="26"/>
          <w:szCs w:val="26"/>
        </w:rPr>
      </w:pPr>
      <w:r w:rsidRPr="0072600F">
        <w:rPr>
          <w:rFonts w:ascii="Times New Roman" w:hAnsi="Times New Roman" w:cs="Times New Roman"/>
          <w:color w:val="000000"/>
          <w:sz w:val="26"/>
          <w:szCs w:val="26"/>
        </w:rPr>
        <w:t>To the extent that Transmission Provider is a limited liability company and not a corporation, and has elected to be taxed as a partnership, then the following shall apply:  Transmission Provider represents, and the Parties acknowledge, that</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Transmission Provider is a limited liability company and is treated as a partnership for federal income tax purposes.  Any payment made by</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Interconnection Customers to Transmission Provider for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is to be treated as an upfront payment.  It is anticipated by the Parties that any amounts paid by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to Transmission Provider for</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Network Upgrade(s) will be reimbursed to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in accordance with the terms of this Agreement, provided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fulfills its obligations under this Agreement.  </w:t>
      </w:r>
    </w:p>
    <w:p w:rsidR="00911580" w:rsidRPr="0072600F" w14:paraId="3FACBEBF" w14:textId="77777777">
      <w:pPr>
        <w:ind w:left="1440" w:hanging="720"/>
        <w:rPr>
          <w:rFonts w:ascii="Times New Roman" w:hAnsi="Times New Roman" w:cs="Times New Roman"/>
          <w:b/>
          <w:bCs/>
          <w:color w:val="000000"/>
          <w:sz w:val="26"/>
          <w:szCs w:val="26"/>
        </w:rPr>
      </w:pPr>
    </w:p>
    <w:p w:rsidR="00911580" w:rsidRPr="0072600F" w14:paraId="611E697F"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3.3.2</w:t>
      </w:r>
      <w:r w:rsidRPr="0072600F">
        <w:rPr>
          <w:rFonts w:ascii="Times New Roman" w:hAnsi="Times New Roman" w:cs="Times New Roman"/>
          <w:b/>
          <w:bCs/>
          <w:color w:val="000000"/>
          <w:sz w:val="26"/>
          <w:szCs w:val="26"/>
        </w:rPr>
        <w:tab/>
        <w:t xml:space="preserve">Private Letter Ruling.  </w:t>
      </w:r>
      <w:r w:rsidRPr="0072600F">
        <w:rPr>
          <w:rFonts w:ascii="Times New Roman" w:hAnsi="Times New Roman" w:cs="Times New Roman"/>
          <w:color w:val="000000"/>
          <w:sz w:val="26"/>
          <w:szCs w:val="26"/>
        </w:rPr>
        <w:t xml:space="preserve">At the request and expense of any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Transmission Provider shall file with the Internal Revenue Service a request for a private letter ruling as to whether any property transferred or sums paid, or to be paid, by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to Transmission Provider under this Agreement are subject to federal income taxation.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desiring such a request will prepare the initial draft of the request for a private letter ruling and will certify under penalties of perjury that all facts represented in such request are true and accurate to the best of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knowledge.  Transmission Provider and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shall cooperate in good faith with respect to the submission of such request.</w:t>
      </w:r>
    </w:p>
    <w:p w:rsidR="00911580" w:rsidRPr="0072600F" w14:paraId="66C20B3F"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D364F1F"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3.3.3</w:t>
      </w:r>
      <w:r w:rsidRPr="0072600F">
        <w:rPr>
          <w:rFonts w:ascii="Times New Roman" w:hAnsi="Times New Roman" w:cs="Times New Roman"/>
          <w:b/>
          <w:bCs/>
          <w:color w:val="000000"/>
          <w:sz w:val="26"/>
          <w:szCs w:val="26"/>
        </w:rPr>
        <w:tab/>
        <w:t>Other Taxes.</w:t>
      </w:r>
      <w:r w:rsidRPr="0072600F">
        <w:rPr>
          <w:rFonts w:ascii="Times New Roman" w:hAnsi="Times New Roman" w:cs="Times New Roman"/>
          <w:color w:val="000000"/>
          <w:sz w:val="26"/>
          <w:szCs w:val="26"/>
        </w:rPr>
        <w:t xml:space="preserve">  Upon the timely request by any one or more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and at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sole expense, Transmission Provider shall appeal, protest, seek abatement of, or otherwise contest any tax (other than federal or state income tax) asserted or assessed against Transmission Provider for which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may be required to reimburse Transmission Provider under the terms of this Agreement.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who requested the action shall pay to Transmission Provider on a periodic basis, as invoiced by Transmission Provider, Transmission Provider’s documented reasonable costs of prosecuting such appeal, protest, abatement, or other contest.  The requesting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and Transmission Provider shall cooperate in good faith with respect to any such contest.  Unless the payment of such taxes is a prerequisite to an appeal or abatement or cannot be deferred, no amount shall be payable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to Transmission Provider for such taxes until they are assessed by a</w:t>
      </w:r>
      <w:r w:rsidRPr="0072600F" w:rsidR="002C0896">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final, non-appealable order by any court or agency of competent jurisdiction.  In the event that a tax payment is withheld and ultimately due and payable after appeal,</w:t>
      </w:r>
      <w:r w:rsidRPr="0072600F">
        <w:rPr>
          <w:rFonts w:ascii="Times New Roman" w:eastAsia="Calibri" w:hAnsi="Times New Roman" w:cs="Times New Roman"/>
          <w:sz w:val="26"/>
          <w:szCs w:val="26"/>
        </w:rPr>
        <w:t xml:space="preserve"> Affected System</w:t>
      </w:r>
      <w:r w:rsidRPr="0072600F">
        <w:rPr>
          <w:rFonts w:ascii="Times New Roman" w:hAnsi="Times New Roman" w:cs="Times New Roman"/>
          <w:color w:val="000000"/>
          <w:sz w:val="26"/>
          <w:szCs w:val="26"/>
        </w:rPr>
        <w:t xml:space="preserve"> Interconnection Customer(s) will be responsible for all taxes, interest, and penalties, other than penalties attributable to any delay caused by Transmission Provider.  Each Party shall cooperate with the other Party to maintain each Party’s tax status.  Nothing in this Agreement is intended to adversely affect any Party’s tax-exempt status with respect to the issuance of bonds including, but not limited to, local furnishing bonds, as described in section 142(f) of the Internal Revenue Code.</w:t>
      </w:r>
    </w:p>
    <w:p w:rsidR="00911580" w:rsidRPr="0072600F" w14:paraId="67862CEE" w14:textId="77777777">
      <w:pPr>
        <w:jc w:val="center"/>
        <w:rPr>
          <w:rFonts w:ascii="Times New Roman" w:hAnsi="Times New Roman" w:cs="Times New Roman"/>
          <w:b/>
          <w:bCs/>
          <w:color w:val="000000"/>
          <w:sz w:val="26"/>
          <w:szCs w:val="26"/>
        </w:rPr>
      </w:pPr>
    </w:p>
    <w:p w:rsidR="00911580" w:rsidRPr="0072600F" w:rsidP="006933F2" w14:paraId="21768A0B"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4</w:t>
      </w:r>
    </w:p>
    <w:p w:rsidR="00911580" w:rsidRPr="0072600F" w14:paraId="5B9A8AD5"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SECURITY, BILLING, AND PAYMENTS</w:t>
      </w:r>
    </w:p>
    <w:p w:rsidR="00911580" w:rsidRPr="0072600F" w14:paraId="52CCE81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9F19F77" w14:textId="77777777">
      <w:pPr>
        <w:ind w:left="72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4.1</w:t>
      </w:r>
      <w:r w:rsidRPr="0072600F">
        <w:rPr>
          <w:rFonts w:ascii="Times New Roman" w:hAnsi="Times New Roman" w:cs="Times New Roman"/>
          <w:b/>
          <w:bCs/>
          <w:color w:val="000000"/>
          <w:sz w:val="26"/>
          <w:szCs w:val="26"/>
        </w:rPr>
        <w:tab/>
        <w:t>Provision of Security.</w:t>
      </w:r>
      <w:r w:rsidRPr="0072600F">
        <w:rPr>
          <w:rFonts w:ascii="Times New Roman" w:hAnsi="Times New Roman" w:cs="Times New Roman"/>
          <w:color w:val="000000"/>
          <w:sz w:val="26"/>
          <w:szCs w:val="26"/>
        </w:rPr>
        <w:t xml:space="preserve">  By the earlier of (1) thirty (30) Calendar Days prior to the due date for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first payment under the payment schedule specified in Appendix A, or (2) the first date specified in Appendix A for the ordering of equipment by Transmission Provider for installing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provide Transmission Provider, at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w:t>
      </w:r>
      <w:r w:rsidRPr="0072600F" w:rsidR="002C0896">
        <w:rPr>
          <w:rFonts w:ascii="Times New Roman" w:hAnsi="Times New Roman" w:cs="Times New Roman"/>
          <w:color w:val="000000"/>
          <w:sz w:val="26"/>
          <w:szCs w:val="26"/>
        </w:rPr>
        <w:t>’</w:t>
      </w:r>
      <w:r w:rsidRPr="0072600F">
        <w:rPr>
          <w:rFonts w:ascii="Times New Roman" w:hAnsi="Times New Roman" w:cs="Times New Roman"/>
          <w:color w:val="000000"/>
          <w:sz w:val="26"/>
          <w:szCs w:val="26"/>
        </w:rPr>
        <w:t>s option, a guarantee, a surety bond, letter of credit, or other form of security that is reasonably acceptable to</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Such security for payment shall be in an amount sufficient to cover the costs for constructing, procuring, and installing the applicable portion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and shall be reduced on a dollar-for-dollar basis for payments made to Transmission Provider for these purposes.  </w:t>
      </w:r>
    </w:p>
    <w:p w:rsidR="00911580" w:rsidRPr="0072600F" w14:paraId="657F6687" w14:textId="77777777">
      <w:pPr>
        <w:ind w:left="720" w:hanging="720"/>
        <w:rPr>
          <w:rFonts w:ascii="Times New Roman" w:hAnsi="Times New Roman" w:cs="Times New Roman"/>
          <w:color w:val="000000"/>
          <w:sz w:val="26"/>
          <w:szCs w:val="26"/>
        </w:rPr>
      </w:pPr>
    </w:p>
    <w:p w:rsidR="00911580" w:rsidRPr="0072600F" w14:paraId="638D4220" w14:textId="77777777">
      <w:pPr>
        <w:ind w:left="720"/>
        <w:rPr>
          <w:rFonts w:ascii="Times New Roman" w:hAnsi="Times New Roman" w:cs="Times New Roman"/>
          <w:color w:val="000000"/>
          <w:sz w:val="26"/>
          <w:szCs w:val="26"/>
        </w:rPr>
      </w:pPr>
      <w:r w:rsidRPr="0072600F">
        <w:rPr>
          <w:rFonts w:ascii="Times New Roman" w:hAnsi="Times New Roman" w:cs="Times New Roman"/>
          <w:color w:val="000000"/>
          <w:sz w:val="26"/>
          <w:szCs w:val="26"/>
        </w:rPr>
        <w:t>The guarantee must be made by an</w:t>
      </w:r>
      <w:r w:rsidRPr="0072600F" w:rsidR="002C0896">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 xml:space="preserve">entity that meets the creditworthiness requirements of Transmission Provider and contain terms and conditions that guarantee payment of any amount that may be due from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up to an agreed-to maximum amount.  The letter of credit must be issued by a financial institution reasonably acceptable to Transmission Provider and must specify a reasonable expiration date.  The surety bond must be issued by an insurer reasonably acceptable to</w:t>
      </w:r>
      <w:r w:rsidRPr="0072600F">
        <w:rPr>
          <w:rFonts w:ascii="Times New Roman" w:eastAsia="Calibri" w:hAnsi="Times New Roman" w:cs="Times New Roman"/>
          <w:sz w:val="26"/>
          <w:szCs w:val="26"/>
        </w:rPr>
        <w:t xml:space="preserve"> </w:t>
      </w:r>
      <w:r w:rsidRPr="0072600F">
        <w:rPr>
          <w:rFonts w:ascii="Times New Roman" w:hAnsi="Times New Roman" w:cs="Times New Roman"/>
          <w:color w:val="000000"/>
          <w:sz w:val="26"/>
          <w:szCs w:val="26"/>
        </w:rPr>
        <w:t xml:space="preserve">Transmission Provider and must specify a reasonable expiration date. </w:t>
      </w:r>
    </w:p>
    <w:p w:rsidR="00911580" w:rsidRPr="0072600F" w14:paraId="3D2EB3D8"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3B646BA"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4.2</w:t>
      </w:r>
      <w:r w:rsidRPr="0072600F">
        <w:rPr>
          <w:rFonts w:ascii="Times New Roman" w:hAnsi="Times New Roman" w:cs="Times New Roman"/>
          <w:b/>
          <w:bCs/>
          <w:color w:val="000000"/>
          <w:sz w:val="26"/>
          <w:szCs w:val="26"/>
        </w:rPr>
        <w:tab/>
        <w:t>Invoice.</w:t>
      </w:r>
      <w:r w:rsidRPr="0072600F">
        <w:rPr>
          <w:rFonts w:ascii="Times New Roman" w:hAnsi="Times New Roman" w:cs="Times New Roman"/>
          <w:color w:val="000000"/>
          <w:sz w:val="26"/>
          <w:szCs w:val="26"/>
        </w:rPr>
        <w:t xml:space="preserve">  Each Party shall submit to the other Parties, on a monthly basis, invoices of amounts due, if any,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another Party under this Agreement, including interest payments, shall be netted so that only the net amount remaining due shall be paid by the owing Party.  </w:t>
      </w:r>
    </w:p>
    <w:p w:rsidR="00911580" w:rsidRPr="0072600F" w14:paraId="42C41E91"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8D5881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4.3</w:t>
      </w:r>
      <w:r w:rsidRPr="0072600F">
        <w:rPr>
          <w:rFonts w:ascii="Times New Roman" w:hAnsi="Times New Roman" w:cs="Times New Roman"/>
          <w:b/>
          <w:bCs/>
          <w:color w:val="000000"/>
          <w:sz w:val="26"/>
          <w:szCs w:val="26"/>
        </w:rPr>
        <w:tab/>
        <w:t xml:space="preserve">Payment.  </w:t>
      </w:r>
      <w:r w:rsidRPr="0072600F">
        <w:rPr>
          <w:rFonts w:ascii="Times New Roman" w:hAnsi="Times New Roman" w:cs="Times New Roman"/>
          <w:color w:val="000000"/>
          <w:sz w:val="26"/>
          <w:szCs w:val="26"/>
        </w:rPr>
        <w:t xml:space="preserve">Invoices shall be rendered to the paying Party at the address specified by the Parties.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by a Party will not constitute a waiver of any rights or claims that Party may have under this Agreement. </w:t>
      </w:r>
    </w:p>
    <w:p w:rsidR="00911580" w:rsidRPr="0072600F" w14:paraId="32D23438"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52A10CD"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4.4</w:t>
      </w:r>
      <w:r w:rsidRPr="0072600F">
        <w:rPr>
          <w:rFonts w:ascii="Times New Roman" w:hAnsi="Times New Roman" w:cs="Times New Roman"/>
          <w:color w:val="000000"/>
          <w:sz w:val="26"/>
          <w:szCs w:val="26"/>
        </w:rPr>
        <w:tab/>
      </w:r>
      <w:r w:rsidRPr="0072600F">
        <w:rPr>
          <w:rFonts w:ascii="Times New Roman" w:hAnsi="Times New Roman" w:cs="Times New Roman"/>
          <w:b/>
          <w:bCs/>
          <w:color w:val="000000"/>
          <w:sz w:val="26"/>
          <w:szCs w:val="26"/>
        </w:rPr>
        <w:t xml:space="preserve">Final Invoice.  </w:t>
      </w:r>
      <w:r w:rsidRPr="0072600F">
        <w:rPr>
          <w:rFonts w:ascii="Times New Roman" w:hAnsi="Times New Roman" w:cs="Times New Roman"/>
          <w:color w:val="000000"/>
          <w:sz w:val="26"/>
          <w:szCs w:val="26"/>
        </w:rPr>
        <w:t xml:space="preserve">Within six (6) months after completion of the construction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Transmission Provider shall provide an invoice of the final cost of the construction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and shall set forth such costs in sufficient detail to enable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to compare the actual costs with the estimates and to ascertain deviations, if any, from the cost estimates.  Transmission Provider shall refund, with interest (calculated in accordance with 18 CFR 35.19a(a)(2)(iii)), to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any amount by which the actual payment by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for estimated costs exceeds the actual costs of construction within thirty (30) Calendar Days of the issuance of such final construction invoice. </w:t>
      </w:r>
    </w:p>
    <w:p w:rsidR="00911580" w:rsidRPr="0072600F" w14:paraId="79D354BF"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B672025"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4.5</w:t>
      </w:r>
      <w:r w:rsidRPr="0072600F">
        <w:rPr>
          <w:rFonts w:ascii="Times New Roman" w:hAnsi="Times New Roman" w:cs="Times New Roman"/>
          <w:b/>
          <w:bCs/>
          <w:color w:val="000000"/>
          <w:sz w:val="26"/>
          <w:szCs w:val="26"/>
        </w:rPr>
        <w:tab/>
        <w:t>Interest.</w:t>
      </w:r>
      <w:r w:rsidRPr="0072600F">
        <w:rPr>
          <w:rFonts w:ascii="Times New Roman" w:hAnsi="Times New Roman" w:cs="Times New Roman"/>
          <w:color w:val="000000"/>
          <w:sz w:val="26"/>
          <w:szCs w:val="26"/>
        </w:rPr>
        <w:t xml:space="preserve">  Interest on any unpaid amounts shall be calculated in accordance with 18 CFR 35.19a(a)(2)(iii). </w:t>
      </w:r>
    </w:p>
    <w:p w:rsidR="00911580" w:rsidRPr="0072600F" w14:paraId="7E48EF8C"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F1AD255"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4.6</w:t>
      </w:r>
      <w:r w:rsidRPr="0072600F">
        <w:rPr>
          <w:rFonts w:ascii="Times New Roman" w:hAnsi="Times New Roman" w:cs="Times New Roman"/>
          <w:b/>
          <w:bCs/>
          <w:color w:val="000000"/>
          <w:sz w:val="26"/>
          <w:szCs w:val="26"/>
        </w:rPr>
        <w:tab/>
        <w:t>Payment During Dispute.</w:t>
      </w:r>
      <w:r w:rsidRPr="0072600F">
        <w:rPr>
          <w:rFonts w:ascii="Times New Roman" w:hAnsi="Times New Roman" w:cs="Times New Roman"/>
          <w:color w:val="000000"/>
          <w:sz w:val="26"/>
          <w:szCs w:val="26"/>
        </w:rPr>
        <w:t xml:space="preserve">  In the event of a billing dispute among the Parties, Transmission Provider shall continue to construct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under this Agreement as long as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(1) continues to make all payments not in dispute; and (2) pays to Transmission Provider or into an independent escrow account the portion of the invoice in dispute, pending resolution of such dispute.  If any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fails to meet these two requirements, then Transmission Provider may provide notice to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of a Default pursuant to Article 5.  Within thirty (30) Calendar Days after the resolution of the dispute, the Party that owes money to another Party shall pay the amount due with interest calculated in accordance with the methodology set forth in 18 CFR 35.19a(a)(2)(iii).</w:t>
      </w:r>
    </w:p>
    <w:p w:rsidR="00911580" w:rsidRPr="0072600F" w14:paraId="5303E61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79FBB34"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5</w:t>
      </w:r>
    </w:p>
    <w:p w:rsidR="00911580" w:rsidRPr="0072600F" w14:paraId="25DD9D7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BREACH, CURE, AND DEFAULT</w:t>
      </w:r>
    </w:p>
    <w:p w:rsidR="00911580" w:rsidRPr="0072600F" w14:paraId="41EEEDC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6255F7D"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5.1</w:t>
      </w:r>
      <w:r w:rsidRPr="0072600F">
        <w:rPr>
          <w:rFonts w:ascii="Times New Roman" w:hAnsi="Times New Roman" w:cs="Times New Roman"/>
          <w:b/>
          <w:bCs/>
          <w:color w:val="000000"/>
          <w:sz w:val="26"/>
          <w:szCs w:val="26"/>
        </w:rPr>
        <w:tab/>
        <w:t>Events of Breach.</w:t>
      </w:r>
      <w:r w:rsidRPr="0072600F">
        <w:rPr>
          <w:rFonts w:ascii="Times New Roman" w:hAnsi="Times New Roman" w:cs="Times New Roman"/>
          <w:color w:val="000000"/>
          <w:sz w:val="26"/>
          <w:szCs w:val="26"/>
        </w:rPr>
        <w:t xml:space="preserve">  A Breach of this Agreement shall include the:</w:t>
      </w:r>
    </w:p>
    <w:p w:rsidR="00911580" w:rsidRPr="0072600F" w14:paraId="62CCF09C"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1B155D" w14:paraId="6B378555"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(a)</w:t>
      </w:r>
      <w:r w:rsidRPr="0072600F">
        <w:rPr>
          <w:rFonts w:ascii="Times New Roman" w:hAnsi="Times New Roman" w:cs="Times New Roman"/>
          <w:color w:val="000000"/>
          <w:sz w:val="26"/>
          <w:szCs w:val="26"/>
        </w:rPr>
        <w:tab/>
        <w:t>Failure to pay any amount when due;</w:t>
      </w:r>
    </w:p>
    <w:p w:rsidR="00911580" w:rsidRPr="0072600F" w14:paraId="4C0306F6"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B2EF997"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(b)</w:t>
      </w:r>
      <w:r w:rsidRPr="0072600F">
        <w:rPr>
          <w:rFonts w:ascii="Times New Roman" w:hAnsi="Times New Roman" w:cs="Times New Roman"/>
          <w:color w:val="000000"/>
          <w:sz w:val="26"/>
          <w:szCs w:val="26"/>
        </w:rPr>
        <w:tab/>
        <w:t xml:space="preserve">Failure to comply with any material term or condition of this Agreement, including but not limited to any material </w:t>
      </w:r>
      <w:r w:rsidRPr="0072600F">
        <w:rPr>
          <w:rFonts w:ascii="Times New Roman" w:hAnsi="Times New Roman" w:cs="Times New Roman"/>
          <w:sz w:val="26"/>
          <w:szCs w:val="26"/>
        </w:rPr>
        <w:t>Breach</w:t>
      </w:r>
      <w:r w:rsidRPr="0072600F">
        <w:rPr>
          <w:rFonts w:ascii="Times New Roman" w:hAnsi="Times New Roman" w:cs="Times New Roman"/>
          <w:color w:val="000000"/>
          <w:sz w:val="26"/>
          <w:szCs w:val="26"/>
        </w:rPr>
        <w:t xml:space="preserve"> of a representation, warranty, or covenant made in this Agreement;</w:t>
      </w:r>
    </w:p>
    <w:p w:rsidR="00911580" w:rsidRPr="0072600F" w14:paraId="4429D0C0"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33A26C0"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(c)</w:t>
      </w:r>
      <w:r w:rsidRPr="0072600F">
        <w:rPr>
          <w:rFonts w:ascii="Times New Roman" w:hAnsi="Times New Roman" w:cs="Times New Roman"/>
          <w:color w:val="000000"/>
          <w:sz w:val="26"/>
          <w:szCs w:val="26"/>
        </w:rPr>
        <w:tab/>
      </w:r>
      <w:r w:rsidRPr="0072600F">
        <w:rPr>
          <w:rFonts w:ascii="Times New Roman" w:hAnsi="Times New Roman" w:cs="Times New Roman"/>
          <w:sz w:val="26"/>
          <w:szCs w:val="26"/>
        </w:rPr>
        <w:t>Failure of a Party to provide such access rights, or a Party’s attempt to revoke access or terminate such access rights, as provided under this Agreement</w:t>
      </w:r>
      <w:r w:rsidRPr="0072600F">
        <w:rPr>
          <w:rFonts w:ascii="Times New Roman" w:hAnsi="Times New Roman" w:cs="Times New Roman"/>
          <w:color w:val="000000"/>
          <w:sz w:val="26"/>
          <w:szCs w:val="26"/>
        </w:rPr>
        <w:t>; or</w:t>
      </w:r>
    </w:p>
    <w:p w:rsidR="00911580" w:rsidRPr="0072600F" w14:paraId="38ED54CA"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3DA9657" w14:textId="77777777">
      <w:pPr>
        <w:ind w:left="1440" w:hanging="720"/>
        <w:rPr>
          <w:rFonts w:ascii="Times New Roman" w:hAnsi="Times New Roman" w:cs="Times New Roman"/>
          <w:sz w:val="26"/>
          <w:szCs w:val="26"/>
        </w:rPr>
      </w:pPr>
      <w:r w:rsidRPr="0072600F">
        <w:rPr>
          <w:rFonts w:ascii="Times New Roman" w:hAnsi="Times New Roman" w:cs="Times New Roman"/>
          <w:color w:val="000000"/>
          <w:sz w:val="26"/>
          <w:szCs w:val="26"/>
        </w:rPr>
        <w:t>(d)</w:t>
      </w:r>
      <w:r w:rsidRPr="0072600F">
        <w:rPr>
          <w:rFonts w:ascii="Times New Roman" w:hAnsi="Times New Roman" w:cs="Times New Roman"/>
          <w:color w:val="000000"/>
          <w:sz w:val="26"/>
          <w:szCs w:val="26"/>
        </w:rPr>
        <w:tab/>
        <w:t>Failure of a Party to provide information or data to another Party as required under this Agreement, provided the Party entitled to the information or data under this Agreement requires such information or data to satisfy its obligations under this Agreement.</w:t>
      </w:r>
    </w:p>
    <w:p w:rsidR="00911580" w:rsidRPr="0072600F" w14:paraId="73C6299F"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437A470"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xml:space="preserve">5.2 </w:t>
      </w:r>
      <w:r w:rsidRPr="0072600F">
        <w:rPr>
          <w:rFonts w:ascii="Times New Roman" w:hAnsi="Times New Roman" w:cs="Times New Roman"/>
          <w:b/>
          <w:bCs/>
          <w:color w:val="000000"/>
          <w:sz w:val="26"/>
          <w:szCs w:val="26"/>
        </w:rPr>
        <w:tab/>
        <w:t xml:space="preserve">Definition.  </w:t>
      </w:r>
      <w:r w:rsidRPr="0072600F">
        <w:rPr>
          <w:rFonts w:ascii="Times New Roman" w:hAnsi="Times New Roman" w:cs="Times New Roman"/>
          <w:color w:val="000000"/>
          <w:sz w:val="26"/>
          <w:szCs w:val="26"/>
        </w:rPr>
        <w:t>Breaching Party shall mean the Party that is in Breach.</w:t>
      </w:r>
      <w:r w:rsidRPr="0072600F">
        <w:rPr>
          <w:rFonts w:ascii="Times New Roman" w:hAnsi="Times New Roman" w:cs="Times New Roman"/>
          <w:b/>
          <w:bCs/>
          <w:color w:val="000000"/>
          <w:sz w:val="26"/>
          <w:szCs w:val="26"/>
        </w:rPr>
        <w:tab/>
      </w:r>
    </w:p>
    <w:p w:rsidR="00911580" w:rsidRPr="0072600F" w14:paraId="35AC10EA" w14:textId="77777777">
      <w:pPr>
        <w:ind w:left="720" w:hanging="720"/>
        <w:rPr>
          <w:rFonts w:ascii="Times New Roman" w:hAnsi="Times New Roman" w:cs="Times New Roman"/>
          <w:b/>
          <w:bCs/>
          <w:color w:val="000000"/>
          <w:sz w:val="26"/>
          <w:szCs w:val="26"/>
        </w:rPr>
      </w:pPr>
    </w:p>
    <w:p w:rsidR="00911580" w:rsidRPr="0072600F" w14:paraId="2511ABA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 xml:space="preserve">5.3 </w:t>
      </w:r>
      <w:r w:rsidRPr="0072600F">
        <w:rPr>
          <w:rFonts w:ascii="Times New Roman" w:hAnsi="Times New Roman" w:cs="Times New Roman"/>
          <w:b/>
          <w:bCs/>
          <w:color w:val="000000"/>
          <w:sz w:val="26"/>
          <w:szCs w:val="26"/>
        </w:rPr>
        <w:tab/>
        <w:t>Notice of Breach, Cure, and Default.</w:t>
      </w:r>
      <w:r w:rsidRPr="0072600F">
        <w:rPr>
          <w:rFonts w:ascii="Times New Roman" w:hAnsi="Times New Roman" w:cs="Times New Roman"/>
          <w:color w:val="000000"/>
          <w:sz w:val="26"/>
          <w:szCs w:val="26"/>
        </w:rPr>
        <w:t xml:space="preserve">  Upon the occurrence of an event of Breach, any Party aggrieved by the Breach</w:t>
      </w:r>
      <w:r w:rsidRPr="0072600F">
        <w:rPr>
          <w:rFonts w:ascii="Times New Roman" w:hAnsi="Times New Roman" w:cs="Times New Roman"/>
          <w:sz w:val="26"/>
          <w:szCs w:val="26"/>
        </w:rPr>
        <w:t>,</w:t>
      </w:r>
      <w:r w:rsidRPr="0072600F">
        <w:rPr>
          <w:rFonts w:ascii="Times New Roman" w:hAnsi="Times New Roman" w:cs="Times New Roman"/>
          <w:color w:val="ED7D31"/>
          <w:sz w:val="26"/>
          <w:szCs w:val="26"/>
        </w:rPr>
        <w:t xml:space="preserve"> </w:t>
      </w:r>
      <w:r w:rsidRPr="0072600F">
        <w:rPr>
          <w:rFonts w:ascii="Times New Roman" w:hAnsi="Times New Roman" w:cs="Times New Roman"/>
          <w:color w:val="000000"/>
          <w:sz w:val="26"/>
          <w:szCs w:val="26"/>
        </w:rPr>
        <w:t xml:space="preserve">when it becomes aware of the Breach, shall give written notice of the Breach to the </w:t>
      </w:r>
      <w:r w:rsidRPr="0072600F">
        <w:rPr>
          <w:rFonts w:ascii="Times New Roman" w:hAnsi="Times New Roman" w:cs="Times New Roman"/>
          <w:sz w:val="26"/>
          <w:szCs w:val="26"/>
        </w:rPr>
        <w:t>B</w:t>
      </w:r>
      <w:r w:rsidRPr="0072600F">
        <w:rPr>
          <w:rFonts w:ascii="Times New Roman" w:hAnsi="Times New Roman" w:cs="Times New Roman"/>
          <w:color w:val="000000"/>
          <w:sz w:val="26"/>
          <w:szCs w:val="26"/>
        </w:rPr>
        <w:t xml:space="preserve">reaching Party and to any other person representing a Party to this Agreement identified in writing to the other Party in advance.  Such notice shall set forth, in reasonable detail, the nature of the Breach, and where known and applicable, the steps necessary to cure such Breach.  </w:t>
      </w:r>
    </w:p>
    <w:p w:rsidR="00911580" w:rsidRPr="0072600F" w14:paraId="31F262C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AC37E73" w14:textId="77777777">
      <w:pPr>
        <w:ind w:left="1440" w:hanging="720"/>
        <w:rPr>
          <w:rFonts w:ascii="Times New Roman" w:hAnsi="Times New Roman" w:cs="Times New Roman"/>
          <w:sz w:val="26"/>
          <w:szCs w:val="26"/>
        </w:rPr>
      </w:pPr>
      <w:r w:rsidRPr="0072600F">
        <w:rPr>
          <w:rFonts w:ascii="Times New Roman" w:hAnsi="Times New Roman" w:cs="Times New Roman"/>
          <w:b/>
          <w:bCs/>
          <w:color w:val="000000"/>
          <w:sz w:val="26"/>
          <w:szCs w:val="26"/>
        </w:rPr>
        <w:t>5.2.1</w:t>
      </w:r>
      <w:r w:rsidRPr="0072600F">
        <w:rPr>
          <w:rFonts w:ascii="Times New Roman" w:hAnsi="Times New Roman" w:cs="Times New Roman"/>
          <w:b/>
          <w:bCs/>
          <w:color w:val="000000"/>
          <w:sz w:val="26"/>
          <w:szCs w:val="26"/>
        </w:rPr>
        <w:tab/>
      </w:r>
      <w:r w:rsidRPr="0072600F">
        <w:rPr>
          <w:rFonts w:ascii="Times New Roman" w:hAnsi="Times New Roman" w:cs="Times New Roman"/>
          <w:color w:val="000000"/>
          <w:sz w:val="26"/>
          <w:szCs w:val="26"/>
        </w:rPr>
        <w:t xml:space="preserve">Upon receiving written notice of the Breach hereunder, the </w:t>
      </w:r>
      <w:r w:rsidRPr="0072600F">
        <w:rPr>
          <w:rFonts w:ascii="Times New Roman" w:hAnsi="Times New Roman" w:cs="Times New Roman"/>
          <w:sz w:val="26"/>
          <w:szCs w:val="26"/>
        </w:rPr>
        <w:t>B</w:t>
      </w:r>
      <w:r w:rsidRPr="0072600F">
        <w:rPr>
          <w:rFonts w:ascii="Times New Roman" w:hAnsi="Times New Roman" w:cs="Times New Roman"/>
          <w:color w:val="000000"/>
          <w:sz w:val="26"/>
          <w:szCs w:val="26"/>
        </w:rPr>
        <w:t xml:space="preserve">reaching Party shall have a period to cure such Breach (hereinafter </w:t>
      </w:r>
      <w:r w:rsidRPr="0072600F">
        <w:rPr>
          <w:rFonts w:ascii="Times New Roman" w:hAnsi="Times New Roman" w:cs="Times New Roman"/>
          <w:sz w:val="26"/>
          <w:szCs w:val="26"/>
        </w:rPr>
        <w:t xml:space="preserve">referred to </w:t>
      </w:r>
      <w:r w:rsidRPr="0072600F">
        <w:rPr>
          <w:rFonts w:ascii="Times New Roman" w:hAnsi="Times New Roman" w:cs="Times New Roman"/>
          <w:color w:val="000000"/>
          <w:sz w:val="26"/>
          <w:szCs w:val="26"/>
        </w:rPr>
        <w:t xml:space="preserve">as the “Cure Period”) which shall be sixty (60) Calendar Days.  If an Affected System Interconnection Customer is the Breaching Party and the Breach results from a failure to provide payments or security under Article 4.1 of this Agreement, the other Affected System Interconnection Customers, either individually or in concert, may cure the Breach by paying the amounts owed or by providing adequate security, without waiver of contribution rights against the breaching Affected System Interconnection Customer.  Such cure for the Breach of an Affected System Interconnection Customer is subject to the reasonable consent of Transmission Provider.  Transmission Provider may also cure such Breach by funding the proportionate share of the Affected System Network Upgrade costs related to the Breach of Affected System Interconnection Customer.  Transmission Provider must notify all Parties that it will exercise this option within thirty (30) Calendar Days of notification that an Affected System Interconnection Customer has failed to provide payments or security under Article 4.1.  </w:t>
      </w:r>
    </w:p>
    <w:p w:rsidR="00911580" w:rsidRPr="0072600F" w14:paraId="78D6D0AC"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41060F3"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5.2.2</w:t>
      </w:r>
      <w:r w:rsidRPr="0072600F">
        <w:rPr>
          <w:rFonts w:ascii="Times New Roman" w:hAnsi="Times New Roman" w:cs="Times New Roman"/>
          <w:b/>
          <w:bCs/>
          <w:color w:val="000000"/>
          <w:sz w:val="26"/>
          <w:szCs w:val="26"/>
        </w:rPr>
        <w:tab/>
      </w:r>
      <w:r w:rsidRPr="0072600F">
        <w:rPr>
          <w:rFonts w:ascii="Times New Roman" w:hAnsi="Times New Roman" w:cs="Times New Roman"/>
          <w:color w:val="000000"/>
          <w:sz w:val="26"/>
          <w:szCs w:val="26"/>
        </w:rPr>
        <w:t xml:space="preserve">In the event the </w:t>
      </w:r>
      <w:r w:rsidRPr="0072600F">
        <w:rPr>
          <w:rFonts w:ascii="Times New Roman" w:hAnsi="Times New Roman" w:cs="Times New Roman"/>
          <w:sz w:val="26"/>
          <w:szCs w:val="26"/>
        </w:rPr>
        <w:t>B</w:t>
      </w:r>
      <w:r w:rsidRPr="0072600F">
        <w:rPr>
          <w:rFonts w:ascii="Times New Roman" w:hAnsi="Times New Roman" w:cs="Times New Roman"/>
          <w:color w:val="000000"/>
          <w:sz w:val="26"/>
          <w:szCs w:val="26"/>
        </w:rPr>
        <w:t xml:space="preserve">reach is not cured within the Cure Period, the Breaching Party will be in Default of this Agreement, and the </w:t>
      </w:r>
      <w:r w:rsidRPr="0072600F">
        <w:rPr>
          <w:rFonts w:ascii="Times New Roman" w:hAnsi="Times New Roman" w:cs="Times New Roman"/>
          <w:sz w:val="26"/>
          <w:szCs w:val="26"/>
        </w:rPr>
        <w:t>non</w:t>
      </w:r>
      <w:r w:rsidRPr="0072600F">
        <w:rPr>
          <w:rFonts w:ascii="Times New Roman" w:hAnsi="Times New Roman" w:cs="Times New Roman"/>
          <w:color w:val="000000"/>
          <w:sz w:val="26"/>
          <w:szCs w:val="26"/>
        </w:rPr>
        <w:t xml:space="preserve">-Defaulting Parties may (1) act in concert to amend the Agreement to remove an Affected System Interconnection Customer that is in Default from this Agreement for cause and to make other changes as necessary, or (2) either in concert or individually take whatever action at law or in equity as may appear necessary or desirable to enforce the performance or observance of any rights, remedies, obligations, agreement, or covenants under this Agreement. </w:t>
      </w:r>
    </w:p>
    <w:p w:rsidR="00911580" w:rsidRPr="0072600F" w14:paraId="63643DE4" w14:textId="77777777">
      <w:pPr>
        <w:rPr>
          <w:rFonts w:ascii="Times New Roman" w:hAnsi="Times New Roman" w:cs="Times New Roman"/>
          <w:color w:val="000000"/>
          <w:sz w:val="26"/>
          <w:szCs w:val="26"/>
        </w:rPr>
      </w:pPr>
    </w:p>
    <w:p w:rsidR="00911580" w:rsidRPr="0072600F" w14:paraId="17A73816"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5.3</w:t>
      </w:r>
      <w:r w:rsidRPr="0072600F">
        <w:rPr>
          <w:rFonts w:ascii="Times New Roman" w:hAnsi="Times New Roman" w:cs="Times New Roman"/>
          <w:b/>
          <w:bCs/>
          <w:color w:val="000000"/>
          <w:sz w:val="26"/>
          <w:szCs w:val="26"/>
        </w:rPr>
        <w:tab/>
        <w:t xml:space="preserve">Rights in the Event of Default.  </w:t>
      </w:r>
      <w:r w:rsidRPr="0072600F">
        <w:rPr>
          <w:rFonts w:ascii="Times New Roman" w:hAnsi="Times New Roman" w:cs="Times New Roman"/>
          <w:color w:val="000000"/>
          <w:sz w:val="26"/>
          <w:szCs w:val="26"/>
        </w:rPr>
        <w:t>Notwithstanding the foregoing, upon the occurrence of Default, the non-Defaulting Parties shall be entitled to exercise all rights and remedies it may have in equity or at law.</w:t>
      </w:r>
    </w:p>
    <w:p w:rsidR="00911580" w:rsidRPr="0072600F" w14:paraId="051F58D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E9F25F1"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6</w:t>
      </w:r>
    </w:p>
    <w:p w:rsidR="00911580" w:rsidRPr="0072600F" w:rsidP="007A3E78" w14:paraId="5A7F4420" w14:textId="77777777">
      <w:pPr>
        <w:jc w:val="center"/>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TERMINATION OF AGREEMENT</w:t>
      </w:r>
    </w:p>
    <w:p w:rsidR="00911580" w:rsidRPr="0072600F" w:rsidP="00504E7C" w14:paraId="5F655498"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6.1</w:t>
      </w:r>
      <w:r w:rsidRPr="0072600F">
        <w:rPr>
          <w:rFonts w:ascii="Times New Roman" w:hAnsi="Times New Roman" w:cs="Times New Roman"/>
          <w:b/>
          <w:color w:val="000000"/>
          <w:sz w:val="26"/>
          <w:szCs w:val="26"/>
        </w:rPr>
        <w:tab/>
        <w:t>Expiration of Term.</w:t>
      </w:r>
      <w:r w:rsidRPr="0072600F">
        <w:rPr>
          <w:rFonts w:ascii="Times New Roman" w:hAnsi="Times New Roman" w:cs="Times New Roman"/>
          <w:color w:val="000000"/>
          <w:sz w:val="26"/>
          <w:szCs w:val="26"/>
        </w:rPr>
        <w:t xml:space="preserve">  Except as otherwise specified in this Article 6, the Parties’ obligations under this Agreement shall terminate at the conclusion of the term of this Agreement.</w:t>
      </w:r>
    </w:p>
    <w:p w:rsidR="00911580" w:rsidRPr="0072600F" w14:paraId="4D6B244F"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color w:val="000000"/>
          <w:sz w:val="26"/>
          <w:szCs w:val="26"/>
        </w:rPr>
        <w:t>6.2</w:t>
      </w:r>
      <w:r w:rsidRPr="0072600F">
        <w:rPr>
          <w:rFonts w:ascii="Times New Roman" w:hAnsi="Times New Roman" w:cs="Times New Roman"/>
          <w:b/>
          <w:color w:val="000000"/>
          <w:sz w:val="26"/>
          <w:szCs w:val="26"/>
        </w:rPr>
        <w:tab/>
        <w:t>Termination and Removal.</w:t>
      </w:r>
      <w:r w:rsidRPr="0072600F">
        <w:rPr>
          <w:rFonts w:ascii="Times New Roman" w:hAnsi="Times New Roman" w:cs="Times New Roman"/>
          <w:color w:val="000000"/>
          <w:sz w:val="26"/>
          <w:szCs w:val="26"/>
        </w:rPr>
        <w:t xml:space="preserve">  Subject to the limitations set forth in Article 6.3, in the event of a Default, termination of this Agreement, as to a given Affected System Interconnection Customer or in its entirety, shall require a filing at FERC of a notice of termination, which filing must be accepted for filing by FERC.</w:t>
      </w:r>
    </w:p>
    <w:p w:rsidR="00911580" w:rsidRPr="0072600F" w:rsidP="001B155D" w14:paraId="225CC36B"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6.3</w:t>
      </w:r>
      <w:r w:rsidRPr="0072600F">
        <w:rPr>
          <w:rFonts w:ascii="Times New Roman" w:hAnsi="Times New Roman" w:cs="Times New Roman"/>
          <w:b/>
          <w:color w:val="000000"/>
          <w:sz w:val="26"/>
          <w:szCs w:val="26"/>
        </w:rPr>
        <w:tab/>
        <w:t>Disposition of Facilities Upon Termination of Agreement.</w:t>
      </w:r>
    </w:p>
    <w:p w:rsidR="00911580" w:rsidRPr="0072600F" w14:paraId="5BC195BE" w14:textId="77777777">
      <w:pP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rsidP="001B155D" w14:paraId="2C9A8ADE"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6.3.1</w:t>
      </w:r>
      <w:r w:rsidRPr="0072600F">
        <w:rPr>
          <w:rFonts w:ascii="Times New Roman" w:hAnsi="Times New Roman" w:cs="Times New Roman"/>
          <w:b/>
          <w:color w:val="000000"/>
          <w:sz w:val="26"/>
          <w:szCs w:val="26"/>
        </w:rPr>
        <w:tab/>
        <w:t>Transmission Provider Obligations.</w:t>
      </w:r>
      <w:r w:rsidRPr="0072600F">
        <w:rPr>
          <w:rFonts w:ascii="Times New Roman" w:hAnsi="Times New Roman" w:cs="Times New Roman"/>
          <w:color w:val="000000"/>
          <w:sz w:val="26"/>
          <w:szCs w:val="26"/>
        </w:rPr>
        <w:t xml:space="preserve">  Upon termination of this Agreement, unless otherwise agreed to by the Parties in writing, Transmission Provider:</w:t>
      </w:r>
    </w:p>
    <w:p w:rsidR="00911580" w:rsidRPr="0072600F" w14:paraId="3FCE2F41"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FF0F67" w14:paraId="63F7AAD3" w14:textId="77777777">
      <w:pPr>
        <w:pStyle w:val="ListParagraph"/>
        <w:widowControl/>
        <w:numPr>
          <w:ilvl w:val="4"/>
          <w:numId w:val="6"/>
        </w:numPr>
        <w:rPr>
          <w:szCs w:val="26"/>
        </w:rPr>
      </w:pPr>
      <w:r w:rsidRPr="0072600F">
        <w:rPr>
          <w:color w:val="000000"/>
          <w:szCs w:val="26"/>
        </w:rPr>
        <w:t>shall, prior to the construction and installation of any portion of the</w:t>
      </w:r>
    </w:p>
    <w:p w:rsidR="00911580" w:rsidRPr="0072600F" w14:paraId="2F61552B" w14:textId="77777777">
      <w:pPr>
        <w:ind w:left="1440"/>
        <w:rPr>
          <w:rFonts w:ascii="Times New Roman" w:hAnsi="Times New Roman" w:cs="Times New Roman"/>
          <w:sz w:val="26"/>
          <w:szCs w:val="26"/>
        </w:rPr>
      </w:pP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and to the extent possible, cancel any pending orders of, or return, such equipment or material for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Upgrade(s);</w:t>
      </w:r>
    </w:p>
    <w:p w:rsidR="00911580" w:rsidRPr="0072600F" w14:paraId="440D1768" w14:textId="77777777">
      <w:pPr>
        <w:ind w:left="216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FF0F67" w14:paraId="4547C0E1" w14:textId="77777777">
      <w:pPr>
        <w:pStyle w:val="ListParagraph"/>
        <w:widowControl/>
        <w:numPr>
          <w:ilvl w:val="4"/>
          <w:numId w:val="6"/>
        </w:numPr>
        <w:rPr>
          <w:szCs w:val="26"/>
        </w:rPr>
      </w:pPr>
      <w:r w:rsidRPr="0072600F">
        <w:rPr>
          <w:color w:val="000000"/>
          <w:szCs w:val="26"/>
        </w:rPr>
        <w:t xml:space="preserve">may keep in place any portion of the </w:t>
      </w:r>
      <w:r w:rsidRPr="0072600F">
        <w:rPr>
          <w:rFonts w:eastAsia="Calibri"/>
          <w:szCs w:val="26"/>
        </w:rPr>
        <w:t xml:space="preserve">Affected System </w:t>
      </w:r>
      <w:r w:rsidRPr="0072600F">
        <w:rPr>
          <w:color w:val="000000"/>
          <w:szCs w:val="26"/>
        </w:rPr>
        <w:t>Network</w:t>
      </w:r>
    </w:p>
    <w:p w:rsidR="00911580" w:rsidRPr="0072600F" w14:paraId="6CBF583E" w14:textId="77777777">
      <w:pPr>
        <w:ind w:left="720" w:firstLine="720"/>
        <w:rPr>
          <w:rFonts w:ascii="Times New Roman" w:hAnsi="Times New Roman" w:cs="Times New Roman"/>
          <w:sz w:val="26"/>
          <w:szCs w:val="26"/>
        </w:rPr>
      </w:pPr>
      <w:r w:rsidRPr="0072600F">
        <w:rPr>
          <w:rFonts w:ascii="Times New Roman" w:hAnsi="Times New Roman" w:cs="Times New Roman"/>
          <w:color w:val="000000"/>
          <w:sz w:val="26"/>
          <w:szCs w:val="26"/>
        </w:rPr>
        <w:t xml:space="preserve"> Upgrade(s) already constructed and installed; and, </w:t>
      </w:r>
    </w:p>
    <w:p w:rsidR="00911580" w:rsidRPr="0072600F" w14:paraId="03A940EE" w14:textId="77777777">
      <w:pPr>
        <w:ind w:left="216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FF0F67" w14:paraId="0F2CAE6D" w14:textId="77777777">
      <w:pPr>
        <w:pStyle w:val="ListParagraph"/>
        <w:widowControl/>
        <w:numPr>
          <w:ilvl w:val="4"/>
          <w:numId w:val="6"/>
        </w:numPr>
        <w:rPr>
          <w:szCs w:val="26"/>
        </w:rPr>
      </w:pPr>
      <w:r w:rsidRPr="0072600F">
        <w:rPr>
          <w:color w:val="000000"/>
          <w:szCs w:val="26"/>
        </w:rPr>
        <w:t>shall perform such work as may be necessary to ensure the safety of</w:t>
      </w:r>
    </w:p>
    <w:p w:rsidR="00911580" w:rsidRPr="0072600F" w:rsidP="007A3E78" w14:paraId="402C3568" w14:textId="77777777">
      <w:pPr>
        <w:ind w:left="1440"/>
        <w:rPr>
          <w:rFonts w:ascii="Times New Roman" w:hAnsi="Times New Roman" w:cs="Times New Roman"/>
          <w:color w:val="000000"/>
          <w:sz w:val="26"/>
          <w:szCs w:val="26"/>
        </w:rPr>
      </w:pPr>
      <w:r w:rsidRPr="0072600F">
        <w:rPr>
          <w:rFonts w:ascii="Times New Roman" w:hAnsi="Times New Roman" w:cs="Times New Roman"/>
          <w:color w:val="000000"/>
          <w:sz w:val="26"/>
          <w:szCs w:val="26"/>
        </w:rPr>
        <w:t>persons and property and to preserve the integrity of Transmission</w:t>
      </w:r>
      <w:r w:rsidRPr="0072600F" w:rsidR="001B155D">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Provider’s Transmission System (e.g., construction demobilization to return the system to its original state, wind-up work).</w:t>
      </w:r>
    </w:p>
    <w:p w:rsidR="00911580" w:rsidRPr="0072600F" w14:paraId="7B09BE41" w14:textId="77777777">
      <w:pPr>
        <w:ind w:left="1440" w:hanging="720"/>
        <w:rPr>
          <w:rFonts w:ascii="Times New Roman" w:hAnsi="Times New Roman" w:cs="Times New Roman"/>
          <w:color w:val="000000"/>
          <w:sz w:val="26"/>
          <w:szCs w:val="26"/>
        </w:rPr>
      </w:pPr>
      <w:r w:rsidRPr="0072600F">
        <w:rPr>
          <w:rFonts w:ascii="Times New Roman" w:hAnsi="Times New Roman" w:cs="Times New Roman"/>
          <w:b/>
          <w:color w:val="000000"/>
          <w:sz w:val="26"/>
          <w:szCs w:val="26"/>
        </w:rPr>
        <w:t>6.3.2</w:t>
      </w:r>
      <w:r w:rsidRPr="0072600F">
        <w:rPr>
          <w:rFonts w:ascii="Times New Roman" w:hAnsi="Times New Roman" w:cs="Times New Roman"/>
          <w:b/>
          <w:color w:val="000000"/>
          <w:sz w:val="26"/>
          <w:szCs w:val="26"/>
        </w:rPr>
        <w:tab/>
        <w:t xml:space="preserve">Affected System Interconnection Customer Obligations. </w:t>
      </w:r>
      <w:r w:rsidRPr="0072600F">
        <w:rPr>
          <w:rFonts w:ascii="Times New Roman" w:hAnsi="Times New Roman" w:cs="Times New Roman"/>
          <w:color w:val="000000"/>
          <w:sz w:val="26"/>
          <w:szCs w:val="26"/>
        </w:rPr>
        <w:t xml:space="preserve"> Upon billing by Transmission Provider,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 shall reimburse Transmission Provider for its share of any costs incurred by Transmission Provider</w:t>
      </w:r>
      <w:r w:rsidRPr="0072600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in performance of the actions required or permitted by Article 6.3.1</w:t>
      </w:r>
      <w:r w:rsidRPr="0072600F">
        <w:rPr>
          <w:rFonts w:ascii="Times New Roman" w:hAnsi="Times New Roman" w:cs="Times New Roman"/>
          <w:color w:val="000000"/>
          <w:sz w:val="26"/>
          <w:szCs w:val="26"/>
        </w:rPr>
        <w:t xml:space="preserve"> and for </w:t>
      </w:r>
      <w:r w:rsidRPr="0072600F">
        <w:rPr>
          <w:rFonts w:ascii="Times New Roman" w:hAnsi="Times New Roman" w:cs="Times New Roman"/>
          <w:color w:val="000000"/>
          <w:sz w:val="26"/>
          <w:szCs w:val="26"/>
        </w:rPr>
        <w:t xml:space="preserve">its share of </w:t>
      </w:r>
      <w:r w:rsidRPr="0072600F">
        <w:rPr>
          <w:rFonts w:ascii="Times New Roman" w:hAnsi="Times New Roman" w:cs="Times New Roman"/>
          <w:color w:val="000000"/>
          <w:sz w:val="26"/>
          <w:szCs w:val="26"/>
        </w:rPr>
        <w:t xml:space="preserve">the cost of any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Network Upgrade</w:t>
      </w: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s</w:t>
      </w: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described in Appendix A</w:t>
      </w:r>
      <w:r w:rsidRPr="0072600F">
        <w:rPr>
          <w:rFonts w:ascii="Times New Roman" w:hAnsi="Times New Roman" w:cs="Times New Roman"/>
          <w:color w:val="000000"/>
          <w:sz w:val="26"/>
          <w:szCs w:val="26"/>
        </w:rPr>
        <w:t xml:space="preserve">.  Transmission Provider shall use </w:t>
      </w:r>
      <w:r w:rsidRPr="0072600F">
        <w:rPr>
          <w:rFonts w:ascii="Times New Roman" w:hAnsi="Times New Roman" w:cs="Times New Roman"/>
          <w:sz w:val="26"/>
          <w:szCs w:val="26"/>
        </w:rPr>
        <w:t xml:space="preserve">Reasonable Efforts </w:t>
      </w:r>
      <w:r w:rsidRPr="0072600F">
        <w:rPr>
          <w:rFonts w:ascii="Times New Roman" w:hAnsi="Times New Roman" w:cs="Times New Roman"/>
          <w:color w:val="000000"/>
          <w:sz w:val="26"/>
          <w:szCs w:val="26"/>
        </w:rPr>
        <w:t xml:space="preserve">to minimize costs and shall offset the amounts owed by any salvage value of facilities, if applicable.  Each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shall pay these costs pursuant to Article 4.3 of this Agreement.  </w:t>
      </w:r>
    </w:p>
    <w:p w:rsidR="00911580" w:rsidRPr="0072600F" w:rsidP="007A3E78" w14:paraId="3FD4BDE6"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6.3.3</w:t>
      </w:r>
      <w:r w:rsidRPr="0072600F">
        <w:rPr>
          <w:rFonts w:ascii="Times New Roman" w:hAnsi="Times New Roman" w:cs="Times New Roman"/>
          <w:b/>
          <w:color w:val="000000"/>
          <w:sz w:val="26"/>
          <w:szCs w:val="26"/>
        </w:rPr>
        <w:tab/>
        <w:t>Pre-construction or Installation.</w:t>
      </w:r>
      <w:r w:rsidRPr="0072600F">
        <w:rPr>
          <w:rFonts w:ascii="Times New Roman" w:hAnsi="Times New Roman" w:cs="Times New Roman"/>
          <w:color w:val="000000"/>
          <w:sz w:val="26"/>
          <w:szCs w:val="26"/>
        </w:rPr>
        <w:t xml:space="preserve">  Upon termination of this Agreement and prior to the construction and installation of any portion of the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Transmission Provider may, at its option, retain any portion of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not cancelled or returned in accordance with Article 6.3.1(a), in which case Transmission Provider shall be responsible for all costs associated with procuring such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Network Upgrade(s).  To the extent that an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 has already paid Transmission Provider for any or all of such costs, Transmission Provider shall refund Affected System Interconnection Customer for those payments.  If Transmission Provider elects to not retain any portion of such facilities, and one or more of Affected System Interconnection Customers wish to purchase such facilities, Transmission Provider shall convey and make available to the applicable Affected System Interconnection Customer(s) such facilities as soon as practicable after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payment for such facilities.</w:t>
      </w:r>
    </w:p>
    <w:p w:rsidR="00911580" w:rsidRPr="0072600F" w:rsidP="001B155D" w14:paraId="5F85E4D0"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6.4</w:t>
      </w:r>
      <w:r w:rsidRPr="0072600F">
        <w:rPr>
          <w:rFonts w:ascii="Times New Roman" w:hAnsi="Times New Roman" w:cs="Times New Roman"/>
          <w:b/>
          <w:color w:val="000000"/>
          <w:sz w:val="26"/>
          <w:szCs w:val="26"/>
        </w:rPr>
        <w:tab/>
      </w:r>
      <w:r w:rsidRPr="0072600F">
        <w:rPr>
          <w:rFonts w:ascii="Times New Roman" w:hAnsi="Times New Roman" w:cs="Times New Roman"/>
          <w:b/>
          <w:sz w:val="26"/>
          <w:szCs w:val="26"/>
        </w:rPr>
        <w:t>Survival of Rights.</w:t>
      </w:r>
      <w:r w:rsidRPr="0072600F">
        <w:rPr>
          <w:rFonts w:ascii="Times New Roman" w:hAnsi="Times New Roman" w:cs="Times New Roman"/>
          <w:sz w:val="26"/>
          <w:szCs w:val="26"/>
        </w:rPr>
        <w:t xml:space="preserve">  Termination or expiration of this Agreement shall not relieve any Party of any of its liabilities and obligations arising hereunder prior to the date termination becomes effective, and each Party may take whatever judicial or administrative actions as appear necessary or desirable to enforce its rights hereunder.  The applicable provisions of this Agreement will continue in effect after expiration, or early termination hereof, to the extent necessary to provide for (1) final billings, billing adjustments, and other billing procedures set forth in this Agreement; (2) the determination and enforcement of liability and indemnification obligations arising from acts or events that occurred while this Agreement was in effect; and (3) the confidentiality provisions set forth in Article 8.</w:t>
      </w:r>
    </w:p>
    <w:p w:rsidR="00911580" w:rsidRPr="0072600F" w14:paraId="2EA7EB9C"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7B0696A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7</w:t>
      </w:r>
    </w:p>
    <w:p w:rsidR="00911580" w:rsidRPr="0072600F" w:rsidP="00A67733" w14:paraId="46CECD2D" w14:textId="77777777">
      <w:pPr>
        <w:jc w:val="center"/>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SUBCONTRACTORS</w:t>
      </w:r>
    </w:p>
    <w:p w:rsidR="00911580" w:rsidRPr="0072600F" w:rsidP="001B155D" w14:paraId="06A213E3"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7.1</w:t>
      </w:r>
      <w:r w:rsidRPr="0072600F">
        <w:rPr>
          <w:rFonts w:ascii="Times New Roman" w:hAnsi="Times New Roman" w:cs="Times New Roman"/>
          <w:b/>
          <w:color w:val="000000"/>
          <w:sz w:val="26"/>
          <w:szCs w:val="26"/>
        </w:rPr>
        <w:tab/>
        <w:t>Subcontractors.</w:t>
      </w:r>
      <w:r w:rsidRPr="0072600F">
        <w:rPr>
          <w:rFonts w:ascii="Times New Roman" w:hAnsi="Times New Roman" w:cs="Times New Roman"/>
          <w:color w:val="000000"/>
          <w:sz w:val="26"/>
          <w:szCs w:val="26"/>
        </w:rPr>
        <w:t xml:space="preserve">  Nothing in this Agreement shall prevent a Party from utilizing the services of subcontractors,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911580" w:rsidRPr="0072600F" w14:paraId="12E1AB75"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1B155D" w14:paraId="767B5F9F"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7.1.1</w:t>
      </w:r>
      <w:r w:rsidRPr="0072600F">
        <w:rPr>
          <w:rFonts w:ascii="Times New Roman" w:hAnsi="Times New Roman" w:cs="Times New Roman"/>
          <w:b/>
          <w:color w:val="000000"/>
          <w:sz w:val="26"/>
          <w:szCs w:val="26"/>
        </w:rPr>
        <w:tab/>
        <w:t>Responsibility of Principal.</w:t>
      </w:r>
      <w:r w:rsidRPr="0072600F">
        <w:rPr>
          <w:rFonts w:ascii="Times New Roman" w:hAnsi="Times New Roman" w:cs="Times New Roman"/>
          <w:color w:val="000000"/>
          <w:sz w:val="26"/>
          <w:szCs w:val="26"/>
        </w:rPr>
        <w:t xml:space="preserve">  The creation of any subcontract relationship shall not relieve the hiring Party of any of its obligations under this Agreement.  In accordance with the provisions of this Agreement, each Party shall be fully responsible to the other Parties for the acts or omissions of any subcontractor it hires as if no subcontract had been made.  Any applicable obligation imposed by this Agreement upon a Party shall be equally binding upon, and shall be construed as having application to, any subcontractor of such Party.</w:t>
      </w:r>
    </w:p>
    <w:p w:rsidR="00911580" w:rsidRPr="0072600F" w14:paraId="761058D6"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1B155D" w14:paraId="6C2CF02B"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7.1.2</w:t>
      </w:r>
      <w:r w:rsidRPr="0072600F">
        <w:rPr>
          <w:rFonts w:ascii="Times New Roman" w:hAnsi="Times New Roman" w:cs="Times New Roman"/>
          <w:b/>
          <w:color w:val="000000"/>
          <w:sz w:val="26"/>
          <w:szCs w:val="26"/>
        </w:rPr>
        <w:tab/>
        <w:t>No Third-Party Beneficiary.</w:t>
      </w:r>
      <w:r w:rsidRPr="0072600F">
        <w:rPr>
          <w:rFonts w:ascii="Times New Roman" w:hAnsi="Times New Roman" w:cs="Times New Roman"/>
          <w:color w:val="000000"/>
          <w:sz w:val="26"/>
          <w:szCs w:val="26"/>
        </w:rPr>
        <w:t xml:space="preserve">  Except as may be specifically set forth to the contrary herein, no subcontractor or any other party is intended to be, nor will it be deemed to be, a third-party beneficiary of this Agreement.</w:t>
      </w:r>
    </w:p>
    <w:p w:rsidR="00911580" w:rsidRPr="0072600F" w14:paraId="13068727"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1B155D" w14:paraId="7C7B9B70" w14:textId="77777777">
      <w:pPr>
        <w:ind w:left="1440" w:hanging="720"/>
        <w:rPr>
          <w:rFonts w:ascii="Times New Roman" w:hAnsi="Times New Roman" w:cs="Times New Roman"/>
          <w:sz w:val="26"/>
          <w:szCs w:val="26"/>
        </w:rPr>
      </w:pPr>
      <w:r w:rsidRPr="0072600F">
        <w:rPr>
          <w:rFonts w:ascii="Times New Roman" w:hAnsi="Times New Roman" w:cs="Times New Roman"/>
          <w:b/>
          <w:color w:val="000000"/>
          <w:sz w:val="26"/>
          <w:szCs w:val="26"/>
        </w:rPr>
        <w:t>7.1.3</w:t>
      </w:r>
      <w:r w:rsidRPr="0072600F">
        <w:rPr>
          <w:rFonts w:ascii="Times New Roman" w:hAnsi="Times New Roman" w:cs="Times New Roman"/>
          <w:b/>
          <w:color w:val="000000"/>
          <w:sz w:val="26"/>
          <w:szCs w:val="26"/>
        </w:rPr>
        <w:tab/>
      </w:r>
      <w:r w:rsidRPr="0072600F">
        <w:rPr>
          <w:rFonts w:ascii="Times New Roman" w:hAnsi="Times New Roman" w:cs="Times New Roman"/>
          <w:b/>
          <w:bCs/>
          <w:color w:val="000000"/>
          <w:sz w:val="26"/>
          <w:szCs w:val="26"/>
        </w:rPr>
        <w:t xml:space="preserve">No Limitation by Insurance.  </w:t>
      </w:r>
      <w:r w:rsidRPr="0072600F">
        <w:rPr>
          <w:rFonts w:ascii="Times New Roman" w:hAnsi="Times New Roman" w:cs="Times New Roman"/>
          <w:color w:val="000000"/>
          <w:sz w:val="26"/>
          <w:szCs w:val="26"/>
        </w:rPr>
        <w:t>The obligations under this Article 7 will not be limited in any way by any limitation of any insurance policies or coverages, including any subcontractor’s insurance.</w:t>
      </w:r>
    </w:p>
    <w:p w:rsidR="00911580" w:rsidRPr="0072600F" w14:paraId="2D070156" w14:textId="77777777">
      <w:pPr>
        <w:jc w:val="center"/>
        <w:rPr>
          <w:rFonts w:ascii="Times New Roman" w:hAnsi="Times New Roman" w:cs="Times New Roman"/>
          <w:b/>
          <w:color w:val="000000"/>
          <w:sz w:val="26"/>
          <w:szCs w:val="26"/>
        </w:rPr>
      </w:pPr>
    </w:p>
    <w:p w:rsidR="00911580" w:rsidRPr="0072600F" w14:paraId="00CB1E95"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8</w:t>
      </w:r>
    </w:p>
    <w:p w:rsidR="00911580" w:rsidRPr="0072600F" w14:paraId="0B60E18B"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CONFIDENTIALITY</w:t>
      </w:r>
    </w:p>
    <w:p w:rsidR="00911580" w:rsidRPr="0072600F" w14:paraId="1EB959C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47B6FDAD" w14:textId="77777777">
      <w:pPr>
        <w:ind w:left="720" w:hanging="720"/>
        <w:rPr>
          <w:rFonts w:ascii="Times New Roman" w:hAnsi="Times New Roman" w:cs="Times New Roman"/>
          <w:sz w:val="26"/>
          <w:szCs w:val="26"/>
        </w:rPr>
      </w:pPr>
      <w:r w:rsidRPr="0072600F">
        <w:rPr>
          <w:rFonts w:ascii="Times New Roman" w:hAnsi="Times New Roman" w:cs="Times New Roman"/>
          <w:b/>
          <w:color w:val="000000"/>
          <w:sz w:val="26"/>
          <w:szCs w:val="26"/>
        </w:rPr>
        <w:t>8.1</w:t>
      </w:r>
      <w:r w:rsidRPr="0072600F">
        <w:rPr>
          <w:rFonts w:ascii="Times New Roman" w:hAnsi="Times New Roman" w:cs="Times New Roman"/>
          <w:b/>
          <w:color w:val="000000"/>
          <w:sz w:val="26"/>
          <w:szCs w:val="26"/>
        </w:rPr>
        <w:tab/>
        <w:t>Confidentiality.</w:t>
      </w:r>
      <w:r w:rsidRPr="0072600F">
        <w:rPr>
          <w:rFonts w:ascii="Times New Roman" w:hAnsi="Times New Roman" w:cs="Times New Roman"/>
          <w:color w:val="000000"/>
          <w:sz w:val="26"/>
          <w:szCs w:val="26"/>
        </w:rPr>
        <w:t xml:space="preserve">  Confidential Information shall include, without limitation, all information relating to a Party’s technology, research and development, business affairs, and pricing, and any information supplied to the other Parties prior to the execution of this Agreement.  </w:t>
      </w:r>
    </w:p>
    <w:p w:rsidR="00911580" w:rsidRPr="0072600F" w14:paraId="522EC321"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700B316"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 xml:space="preserve">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  The Parties shall maintain as confidential any information that is provided and identified by a Party as Critical Energy Infrastructure Information (CEII), as that term is defined in 18 CFR 388.113(c).  </w:t>
      </w:r>
    </w:p>
    <w:p w:rsidR="00911580" w:rsidRPr="0072600F" w14:paraId="20E334A0"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766AB9A"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Such confidentiality will be maintained in accordance with this Article 8.  If requested by the receiving Party, the disclosing Party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911580" w:rsidRPr="0072600F" w14:paraId="48D205B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3C3318D9"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8.1.1</w:t>
      </w:r>
      <w:r w:rsidRPr="0072600F">
        <w:rPr>
          <w:rFonts w:ascii="Times New Roman" w:hAnsi="Times New Roman" w:cs="Times New Roman"/>
          <w:b/>
          <w:color w:val="000000"/>
          <w:sz w:val="26"/>
          <w:szCs w:val="26"/>
        </w:rPr>
        <w:tab/>
      </w:r>
      <w:r w:rsidRPr="0072600F">
        <w:rPr>
          <w:rFonts w:ascii="Times New Roman" w:hAnsi="Times New Roman" w:cs="Times New Roman"/>
          <w:b/>
          <w:bCs/>
          <w:color w:val="000000"/>
          <w:sz w:val="26"/>
          <w:szCs w:val="26"/>
        </w:rPr>
        <w:t>Term.</w:t>
      </w:r>
      <w:r w:rsidRPr="0072600F">
        <w:rPr>
          <w:rFonts w:ascii="Times New Roman" w:hAnsi="Times New Roman" w:cs="Times New Roman"/>
          <w:color w:val="000000"/>
          <w:sz w:val="26"/>
          <w:szCs w:val="26"/>
        </w:rPr>
        <w:t xml:space="preserve">  During the term of this Agreement, and for a period of three (3) years after the expiration or termination of this Agreement, except as otherwise provided in this Article 8 or with regard to CEII, each Party shall hold in confidence and shall not disclose to any person Confidential Information.  CEII shall be treated in accordance with FERC policies and regulations.</w:t>
      </w:r>
    </w:p>
    <w:p w:rsidR="00911580" w:rsidRPr="0072600F" w14:paraId="0F4D19F9"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1BEA1078"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8.1.2</w:t>
      </w:r>
      <w:r w:rsidRPr="0072600F">
        <w:rPr>
          <w:rFonts w:ascii="Times New Roman" w:hAnsi="Times New Roman" w:cs="Times New Roman"/>
          <w:b/>
          <w:color w:val="000000"/>
          <w:sz w:val="26"/>
          <w:szCs w:val="26"/>
        </w:rPr>
        <w:tab/>
        <w:t>Scope.</w:t>
      </w:r>
      <w:r w:rsidRPr="0072600F">
        <w:rPr>
          <w:rFonts w:ascii="Times New Roman" w:hAnsi="Times New Roman" w:cs="Times New Roman"/>
          <w:color w:val="000000"/>
          <w:sz w:val="26"/>
          <w:szCs w:val="26"/>
        </w:rPr>
        <w:t xml:space="preserve">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non-Party,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8.1.6 of this Agreement,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receiving Party that it no longer is confidential.</w:t>
      </w:r>
    </w:p>
    <w:p w:rsidR="00911580" w:rsidRPr="0072600F" w14:paraId="7D86891B"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2D46D5E2"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8.1.3</w:t>
      </w:r>
      <w:r w:rsidRPr="0072600F">
        <w:rPr>
          <w:rFonts w:ascii="Times New Roman" w:hAnsi="Times New Roman" w:cs="Times New Roman"/>
          <w:b/>
          <w:color w:val="000000"/>
          <w:sz w:val="26"/>
          <w:szCs w:val="26"/>
        </w:rPr>
        <w:tab/>
        <w:t>Release of Confidential Information.</w:t>
      </w:r>
      <w:r w:rsidRPr="0072600F">
        <w:rPr>
          <w:rFonts w:ascii="Times New Roman" w:hAnsi="Times New Roman" w:cs="Times New Roman"/>
          <w:color w:val="000000"/>
          <w:sz w:val="26"/>
          <w:szCs w:val="26"/>
        </w:rPr>
        <w:t xml:space="preserve">  No Party shall release or disclose Confidential Information to any other person, except to its Affiliates (limited by the Standards of Conduct requirements), subcontractors, employees, agents, consultants, or to non-Parties that may be or are considering providing financing to or equity participation with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 xml:space="preserve">Interconnection Customer(s), or to potential purchasers or assignees of </w:t>
      </w:r>
      <w:r w:rsidRPr="0072600F">
        <w:rPr>
          <w:rFonts w:ascii="Times New Roman" w:eastAsia="Calibri" w:hAnsi="Times New Roman" w:cs="Times New Roman"/>
          <w:sz w:val="26"/>
          <w:szCs w:val="26"/>
        </w:rPr>
        <w:t xml:space="preserve">Affected System </w:t>
      </w:r>
      <w:r w:rsidRPr="0072600F">
        <w:rPr>
          <w:rFonts w:ascii="Times New Roman" w:hAnsi="Times New Roman" w:cs="Times New Roman"/>
          <w:color w:val="000000"/>
          <w:sz w:val="26"/>
          <w:szCs w:val="26"/>
        </w:rPr>
        <w:t>Interconnection Customer(s), on a need-to-know basis in connection with this Agreement, unless such person has first been advised of the confidentiality provisions of this Article 8 and has agreed to comply with such provisions.  Notwithstanding the foregoing, a Party providing Confidential Information to any person shall remain primarily responsible for any release of Confidential Information in contravention of this Article 8.</w:t>
      </w:r>
    </w:p>
    <w:p w:rsidR="00911580" w:rsidRPr="0072600F" w14:paraId="1188095C"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2ADBC220"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8.1.4</w:t>
      </w:r>
      <w:r w:rsidRPr="0072600F">
        <w:rPr>
          <w:rFonts w:ascii="Times New Roman" w:hAnsi="Times New Roman" w:cs="Times New Roman"/>
          <w:b/>
          <w:color w:val="000000"/>
          <w:sz w:val="26"/>
          <w:szCs w:val="26"/>
        </w:rPr>
        <w:tab/>
        <w:t>Rights.</w:t>
      </w:r>
      <w:r w:rsidRPr="0072600F">
        <w:rPr>
          <w:rFonts w:ascii="Times New Roman" w:hAnsi="Times New Roman" w:cs="Times New Roman"/>
          <w:color w:val="000000"/>
          <w:sz w:val="26"/>
          <w:szCs w:val="26"/>
        </w:rPr>
        <w:t xml:space="preserve">  Each Party shall retain all rights, title, and interest in the Confidential Information that it discloses to the receiving Party.  The disclosure by a Party to the receiving Party of Confidential Information shall not be deemed a waiver by the disclosing Party or any other person or entity of the right to protect the Confidential Information from public disclosure.</w:t>
      </w:r>
    </w:p>
    <w:p w:rsidR="00911580" w:rsidRPr="0072600F" w14:paraId="4BB305D7"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2DF3D622"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8.1.5</w:t>
      </w:r>
      <w:r w:rsidRPr="0072600F">
        <w:rPr>
          <w:rFonts w:ascii="Times New Roman" w:hAnsi="Times New Roman" w:cs="Times New Roman"/>
          <w:b/>
          <w:color w:val="000000"/>
          <w:sz w:val="26"/>
          <w:szCs w:val="26"/>
        </w:rPr>
        <w:tab/>
        <w:t>Standard of Care.</w:t>
      </w:r>
      <w:r w:rsidRPr="0072600F">
        <w:rPr>
          <w:rFonts w:ascii="Times New Roman" w:hAnsi="Times New Roman" w:cs="Times New Roman"/>
          <w:color w:val="000000"/>
          <w:sz w:val="26"/>
          <w:szCs w:val="26"/>
        </w:rPr>
        <w:t xml:space="preserve">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w:t>
      </w:r>
    </w:p>
    <w:p w:rsidR="00911580" w:rsidRPr="0072600F" w14:paraId="7E6AA5B2"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5C63AB94"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8.1.6</w:t>
      </w:r>
      <w:r w:rsidRPr="0072600F">
        <w:rPr>
          <w:rFonts w:ascii="Times New Roman" w:hAnsi="Times New Roman" w:cs="Times New Roman"/>
          <w:b/>
          <w:color w:val="000000"/>
          <w:sz w:val="26"/>
          <w:szCs w:val="26"/>
        </w:rPr>
        <w:tab/>
        <w:t>Order of Disclosure.</w:t>
      </w:r>
      <w:r w:rsidRPr="0072600F">
        <w:rPr>
          <w:rFonts w:ascii="Times New Roman" w:hAnsi="Times New Roman" w:cs="Times New Roman"/>
          <w:color w:val="000000"/>
          <w:sz w:val="26"/>
          <w:szCs w:val="26"/>
        </w:rPr>
        <w:t xml:space="preserve">  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disclosing Party with prompt notice of such request(s) or requirement(s) so that the disclosing Party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911580" w:rsidRPr="0072600F" w14:paraId="76BA27CD"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5E95D7E9"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8.1.7</w:t>
      </w:r>
      <w:r w:rsidRPr="0072600F">
        <w:rPr>
          <w:rFonts w:ascii="Times New Roman" w:hAnsi="Times New Roman" w:cs="Times New Roman"/>
          <w:b/>
          <w:color w:val="000000"/>
          <w:sz w:val="26"/>
          <w:szCs w:val="26"/>
        </w:rPr>
        <w:tab/>
        <w:t>Termination of Agreement.</w:t>
      </w:r>
      <w:r w:rsidRPr="0072600F">
        <w:rPr>
          <w:rFonts w:ascii="Times New Roman" w:hAnsi="Times New Roman" w:cs="Times New Roman"/>
          <w:color w:val="000000"/>
          <w:sz w:val="26"/>
          <w:szCs w:val="26"/>
        </w:rPr>
        <w:t xml:space="preserve">  Upon termination of this Agreement for any reason, each Party shall, within ten (10) Business Days of receipt of a written request from the other Party, use </w:t>
      </w:r>
      <w:r w:rsidRPr="0072600F">
        <w:rPr>
          <w:rFonts w:ascii="Times New Roman" w:hAnsi="Times New Roman" w:cs="Times New Roman"/>
          <w:sz w:val="26"/>
          <w:szCs w:val="26"/>
        </w:rPr>
        <w:t xml:space="preserve">Reasonable Efforts </w:t>
      </w:r>
      <w:r w:rsidRPr="0072600F">
        <w:rPr>
          <w:rFonts w:ascii="Times New Roman" w:hAnsi="Times New Roman" w:cs="Times New Roman"/>
          <w:color w:val="000000"/>
          <w:sz w:val="26"/>
          <w:szCs w:val="26"/>
        </w:rPr>
        <w:t>to destroy, erase, or delete (with such destruction, erasure, and deletion certified in writing to the requesting Party) or return to the requesting Party any and all written or electronic Confidential Information received from the requesting Party, except that each Party may keep one copy for archival purposes, provided that the obligation to treat it as Confidential Information in accordance with this Article 8 shall survive such termination.</w:t>
      </w:r>
    </w:p>
    <w:p w:rsidR="00911580" w:rsidRPr="0072600F" w14:paraId="3588E9F9"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6084D79D"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8.1.8</w:t>
      </w:r>
      <w:r w:rsidRPr="0072600F">
        <w:rPr>
          <w:rFonts w:ascii="Times New Roman" w:hAnsi="Times New Roman" w:cs="Times New Roman"/>
          <w:b/>
          <w:color w:val="000000"/>
          <w:sz w:val="26"/>
          <w:szCs w:val="26"/>
        </w:rPr>
        <w:tab/>
        <w:t>Remedies.</w:t>
      </w:r>
      <w:r w:rsidRPr="0072600F">
        <w:rPr>
          <w:rFonts w:ascii="Times New Roman" w:hAnsi="Times New Roman" w:cs="Times New Roman"/>
          <w:color w:val="000000"/>
          <w:sz w:val="26"/>
          <w:szCs w:val="26"/>
        </w:rPr>
        <w:t xml:space="preserve">  The Parties agree that monetary damages would be inadequate to compensate a Party for another Party’s Breach of its obligations under this Article 8.  Each Party accordingly agrees that the disclosing Party shall be entitled to equitable relief, by way of injunction or otherwise, if the receiving Party Breaches or threatens to Breach its obligations under this Article 8, which equitable relief shall be granted without bond or proof of damages, and the Breaching Party shall not plead in defense that there would be an adequate remedy at law.  Such remedy shall not be deemed an exclusive remedy for the Breach of this Article 8, but it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8.</w:t>
      </w:r>
    </w:p>
    <w:p w:rsidR="00911580" w:rsidRPr="0072600F" w14:paraId="635079ED"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21625569"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8.1.9</w:t>
      </w:r>
      <w:r w:rsidRPr="0072600F">
        <w:rPr>
          <w:rFonts w:ascii="Times New Roman" w:hAnsi="Times New Roman" w:cs="Times New Roman"/>
          <w:b/>
          <w:color w:val="000000"/>
          <w:sz w:val="26"/>
          <w:szCs w:val="26"/>
        </w:rPr>
        <w:tab/>
        <w:t>Disclosure to FERC, its Staff, or a State Regulatory Body.</w:t>
      </w:r>
      <w:r w:rsidRPr="0072600F">
        <w:rPr>
          <w:rFonts w:ascii="Times New Roman" w:hAnsi="Times New Roman" w:cs="Times New Roman"/>
          <w:color w:val="000000"/>
          <w:sz w:val="26"/>
          <w:szCs w:val="26"/>
        </w:rPr>
        <w:t xml:space="preserve">  Notwithstanding anything in this Article 8 to the contrary, and pursuant to 18 CFR 1b.20, if FERC or its staff, during the course of an investigation or otherwise, requests information from a Party that is otherwise required to be maintained in confidence pursuant to this Agreement, the Party shall provide the requested information to FERC or its staff, within the time provided for in the request for information.  In providing the information to FERC or its staff, the Party must, consistent with 18 CFR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FERC or its staff.  The Party shall notify the other Parties to the Agreement when it is notified by FERC or its staff that a request to release Confidential Information has been received by FERC, at which time either of the Parties may respond before such information would be made public, pursuant to 18 CFR 388.112.  Requests from a state regulatory body conducting a confidential investigation shall be treated in a similar manner if consistent with the applicable state rules and regulations.</w:t>
      </w:r>
    </w:p>
    <w:p w:rsidR="00911580" w:rsidRPr="0072600F" w14:paraId="54736E97" w14:textId="77777777">
      <w:pPr>
        <w:ind w:left="2880" w:hanging="144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6B6681B3" w14:textId="77777777">
      <w:pPr>
        <w:ind w:left="2160" w:hanging="720"/>
        <w:rPr>
          <w:rFonts w:ascii="Times New Roman" w:hAnsi="Times New Roman" w:cs="Times New Roman"/>
          <w:sz w:val="26"/>
          <w:szCs w:val="26"/>
        </w:rPr>
      </w:pPr>
      <w:r w:rsidRPr="0072600F">
        <w:rPr>
          <w:rFonts w:ascii="Times New Roman" w:hAnsi="Times New Roman" w:cs="Times New Roman"/>
          <w:b/>
          <w:color w:val="000000"/>
          <w:sz w:val="26"/>
          <w:szCs w:val="26"/>
        </w:rPr>
        <w:t>8.1.10</w:t>
      </w:r>
      <w:r w:rsidRPr="0072600F">
        <w:rPr>
          <w:rFonts w:ascii="Times New Roman" w:hAnsi="Times New Roman" w:cs="Times New Roman"/>
          <w:b/>
          <w:color w:val="000000"/>
          <w:sz w:val="26"/>
          <w:szCs w:val="26"/>
        </w:rPr>
        <w:tab/>
      </w:r>
      <w:r w:rsidRPr="0072600F">
        <w:rPr>
          <w:rFonts w:ascii="Times New Roman" w:hAnsi="Times New Roman" w:cs="Times New Roman"/>
          <w:color w:val="000000"/>
          <w:sz w:val="26"/>
          <w:szCs w:val="26"/>
        </w:rPr>
        <w:t xml:space="preserve">Subject to the exception in Article 8.1.9, any information that a disclosing Party claims is competitively sensitive, commercial, or financial information under this Agreement shall not be disclosed by the receiving Party to any person not employed or retained by the receiving Party, except to the extent disclosure is (1) required by law; (2) reasonably deemed by the disclosing Party to be required to be disclosed in connection with a dispute between or among the Parties, or the defense of litigation or dispute; (3) otherwise permitted by consent of the disclosing Party, such consent not to be unreasonably withheld; or (4) necessary to fulfill its obligations under this Agreement or as Transmission Provider or a balancing authority, </w:t>
      </w:r>
      <w:r w:rsidRPr="0072600F">
        <w:rPr>
          <w:rFonts w:ascii="Times New Roman" w:hAnsi="Times New Roman" w:cs="Times New Roman"/>
          <w:sz w:val="26"/>
          <w:szCs w:val="26"/>
        </w:rPr>
        <w:t>including</w:t>
      </w:r>
      <w:r w:rsidRPr="0072600F">
        <w:rPr>
          <w:rFonts w:ascii="Times New Roman" w:hAnsi="Times New Roman" w:cs="Times New Roman"/>
          <w:color w:val="000000"/>
          <w:sz w:val="26"/>
          <w:szCs w:val="26"/>
        </w:rPr>
        <w:t xml:space="preserve"> disclosing the Confidential Information to a regional or national reliability organization.  The Party asserting confidentiality shall notify the receiving Party in writing of the information that Party claims is confidential.  Prior to any disclosures of that Party’s Confidential Information under this subparagraph, or if any non-Party or Governmental Authority makes any request or demand for any of the information described in this subparagraph, the Party that received the Confidential Information from the disclosing Party agrees to promptly notify the disclosing Party in writing and agrees to assert confidentiality and cooperate with the disclosing Party in seeking to protect the Confidential Information from public disclosure by confidentiality agreement, protective order, or other reasonable measures.</w:t>
      </w:r>
    </w:p>
    <w:p w:rsidR="00911580" w:rsidRPr="0072600F" w14:paraId="568AB0FA"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1B457E4"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9</w:t>
      </w:r>
    </w:p>
    <w:p w:rsidR="00911580" w:rsidRPr="0072600F" w14:paraId="1E9C7CFA"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INFORMATION ACCESS AND AUDIT RIGHTS</w:t>
      </w:r>
    </w:p>
    <w:p w:rsidR="00911580" w:rsidRPr="0072600F" w14:paraId="747350A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6EAA5C3"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9.1</w:t>
      </w:r>
      <w:r w:rsidRPr="0072600F">
        <w:rPr>
          <w:rFonts w:ascii="Times New Roman" w:hAnsi="Times New Roman" w:cs="Times New Roman"/>
          <w:b/>
          <w:bCs/>
          <w:color w:val="000000"/>
          <w:sz w:val="26"/>
          <w:szCs w:val="26"/>
        </w:rPr>
        <w:tab/>
        <w:t xml:space="preserve">Information Access.  </w:t>
      </w:r>
      <w:r w:rsidRPr="0072600F">
        <w:rPr>
          <w:rFonts w:ascii="Times New Roman" w:hAnsi="Times New Roman" w:cs="Times New Roman"/>
          <w:color w:val="000000"/>
          <w:sz w:val="26"/>
          <w:szCs w:val="26"/>
        </w:rPr>
        <w:t>Each Party shall make available to the other Parties information necessary to verify the costs incurred by the other Parties for which the requesting Party is responsible under this Agreement and carry out obligations and responsibilities under this Agreement, provided that the Parties shall not use such information for purposes other than those set forth in this Article 9.1 and to enforce their rights under this Agreement.</w:t>
      </w:r>
    </w:p>
    <w:p w:rsidR="00911580" w:rsidRPr="0072600F" w14:paraId="72E5E435"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7870B232"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9.2</w:t>
      </w:r>
      <w:r w:rsidRPr="0072600F">
        <w:rPr>
          <w:rFonts w:ascii="Times New Roman" w:hAnsi="Times New Roman" w:cs="Times New Roman"/>
          <w:b/>
          <w:bCs/>
          <w:color w:val="000000"/>
          <w:sz w:val="26"/>
          <w:szCs w:val="26"/>
        </w:rPr>
        <w:tab/>
        <w:t xml:space="preserve">Audit Rights.  </w:t>
      </w:r>
      <w:r w:rsidRPr="0072600F">
        <w:rPr>
          <w:rFonts w:ascii="Times New Roman" w:hAnsi="Times New Roman" w:cs="Times New Roman"/>
          <w:color w:val="000000"/>
          <w:sz w:val="26"/>
          <w:szCs w:val="26"/>
        </w:rPr>
        <w:t>Subject to the requirements of confidentiality under Article 8 of this Agreement, the accounts and records related to the design, engineering, procurement, and construction of the Affected System Network Upgrade(s) shall be subject to audit during the period of this Agreement and for a period of twenty-four (24) months following Transmission Provider’s issuance of a final invoice in accordance with Article 4.4.  Affected System Interconnection Customers may, jointly or individually, at the expense of the requesting Party(</w:t>
      </w:r>
      <w:r w:rsidRPr="0072600F">
        <w:rPr>
          <w:rFonts w:ascii="Times New Roman" w:hAnsi="Times New Roman" w:cs="Times New Roman"/>
          <w:color w:val="000000"/>
          <w:sz w:val="26"/>
          <w:szCs w:val="26"/>
        </w:rPr>
        <w:t>ies</w:t>
      </w:r>
      <w:r w:rsidRPr="0072600F">
        <w:rPr>
          <w:rFonts w:ascii="Times New Roman" w:hAnsi="Times New Roman" w:cs="Times New Roman"/>
          <w:color w:val="000000"/>
          <w:sz w:val="26"/>
          <w:szCs w:val="26"/>
        </w:rPr>
        <w:t>), during normal business hours, and upon prior reasonable notice to Transmission Provider, audit such accounts and records.  Any audit authorized by this Article 9.2 shall be performed at the offices where such accounts and records are maintained and shall be limited to those portions of such accounts and records that relate to obligations under this Agreement.</w:t>
      </w:r>
    </w:p>
    <w:p w:rsidR="00911580" w:rsidRPr="0072600F" w14:paraId="16712C91" w14:textId="77777777">
      <w:pPr>
        <w:rPr>
          <w:rFonts w:ascii="Times New Roman" w:hAnsi="Times New Roman" w:cs="Times New Roman"/>
          <w:b/>
          <w:bCs/>
          <w:color w:val="000000"/>
          <w:sz w:val="26"/>
          <w:szCs w:val="26"/>
        </w:rPr>
      </w:pPr>
      <w:r w:rsidRPr="0072600F">
        <w:rPr>
          <w:rFonts w:ascii="Times New Roman" w:hAnsi="Times New Roman" w:cs="Times New Roman"/>
          <w:color w:val="000000"/>
          <w:sz w:val="26"/>
          <w:szCs w:val="26"/>
        </w:rPr>
        <w:t> </w:t>
      </w:r>
      <w:r w:rsidRPr="0072600F">
        <w:rPr>
          <w:rFonts w:ascii="Times New Roman" w:hAnsi="Times New Roman" w:cs="Times New Roman"/>
          <w:b/>
          <w:bCs/>
          <w:color w:val="000000"/>
          <w:sz w:val="26"/>
          <w:szCs w:val="26"/>
        </w:rPr>
        <w:t> </w:t>
      </w:r>
    </w:p>
    <w:p w:rsidR="00911580" w:rsidRPr="0072600F" w14:paraId="0EC768A8"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10</w:t>
      </w:r>
    </w:p>
    <w:p w:rsidR="00911580" w:rsidRPr="0072600F" w14:paraId="1306AE6E"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NOTICES</w:t>
      </w:r>
    </w:p>
    <w:p w:rsidR="00911580" w:rsidRPr="0072600F" w14:paraId="025E6AB0"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B2F824E" w14:textId="77777777">
      <w:pPr>
        <w:ind w:left="720" w:hanging="810"/>
        <w:rPr>
          <w:rFonts w:ascii="Times New Roman" w:hAnsi="Times New Roman" w:cs="Times New Roman"/>
          <w:sz w:val="26"/>
          <w:szCs w:val="26"/>
        </w:rPr>
      </w:pPr>
      <w:r w:rsidRPr="0072600F">
        <w:rPr>
          <w:rFonts w:ascii="Times New Roman" w:hAnsi="Times New Roman" w:cs="Times New Roman"/>
          <w:b/>
          <w:bCs/>
          <w:color w:val="000000"/>
          <w:sz w:val="26"/>
          <w:szCs w:val="26"/>
        </w:rPr>
        <w:t>10.1</w:t>
      </w:r>
      <w:r w:rsidRPr="0072600F">
        <w:rPr>
          <w:rFonts w:ascii="Times New Roman" w:hAnsi="Times New Roman" w:cs="Times New Roman"/>
          <w:b/>
          <w:bCs/>
          <w:color w:val="000000"/>
          <w:sz w:val="26"/>
          <w:szCs w:val="26"/>
        </w:rPr>
        <w:tab/>
        <w:t>General.</w:t>
      </w:r>
      <w:r w:rsidRPr="0072600F">
        <w:rPr>
          <w:rFonts w:ascii="Times New Roman" w:hAnsi="Times New Roman" w:cs="Times New Roman"/>
          <w:color w:val="000000"/>
          <w:sz w:val="26"/>
          <w:szCs w:val="26"/>
        </w:rPr>
        <w:t xml:space="preserve">  Any notice, demand, or request required or permitted to be given by a Party to the other Parties, and any instrument required or permitted to be tendered or delivered by a Party in writing to another Party, may be so given, tendered, or delivered, as the case may be, by depositing the same with the United States Postal Service with postage prepaid, for transmission by certified or registered mail, addressed to the Parties, or personally delivered to the Parties, at the address set out below:</w:t>
      </w:r>
    </w:p>
    <w:p w:rsidR="00911580" w:rsidRPr="0072600F" w14:paraId="68A6D628"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372BBFC" w14:textId="77777777">
      <w:pPr>
        <w:ind w:left="720" w:firstLine="720"/>
        <w:rPr>
          <w:rFonts w:ascii="Times New Roman" w:hAnsi="Times New Roman" w:cs="Times New Roman"/>
          <w:sz w:val="26"/>
          <w:szCs w:val="26"/>
        </w:rPr>
      </w:pPr>
      <w:r w:rsidRPr="0072600F">
        <w:rPr>
          <w:rFonts w:ascii="Times New Roman" w:hAnsi="Times New Roman" w:cs="Times New Roman"/>
          <w:color w:val="000000"/>
          <w:sz w:val="26"/>
          <w:szCs w:val="26"/>
          <w:u w:val="single"/>
        </w:rPr>
        <w:t>To Transmission Provider</w:t>
      </w:r>
      <w:r w:rsidRPr="0072600F">
        <w:rPr>
          <w:rFonts w:ascii="Times New Roman" w:hAnsi="Times New Roman" w:cs="Times New Roman"/>
          <w:color w:val="000000"/>
          <w:sz w:val="26"/>
          <w:szCs w:val="26"/>
        </w:rPr>
        <w:t>:</w:t>
      </w:r>
    </w:p>
    <w:p w:rsidR="00911580" w:rsidRPr="0072600F" w14:paraId="43A28B43"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DC56593" w14:textId="77777777">
      <w:pPr>
        <w:rPr>
          <w:rFonts w:ascii="Times New Roman" w:hAnsi="Times New Roman" w:cs="Times New Roman"/>
          <w:color w:val="000000"/>
          <w:sz w:val="26"/>
          <w:szCs w:val="26"/>
        </w:rPr>
      </w:pPr>
    </w:p>
    <w:p w:rsidR="00911580" w:rsidRPr="0072600F" w14:paraId="28D6A93F" w14:textId="77777777">
      <w:pPr>
        <w:rPr>
          <w:rFonts w:ascii="Times New Roman" w:hAnsi="Times New Roman" w:cs="Times New Roman"/>
          <w:color w:val="000000"/>
          <w:sz w:val="26"/>
          <w:szCs w:val="26"/>
        </w:rPr>
      </w:pPr>
    </w:p>
    <w:p w:rsidR="00911580" w:rsidRPr="0072600F" w14:paraId="4E279E7E" w14:textId="77777777">
      <w:pPr>
        <w:ind w:left="720" w:firstLine="720"/>
        <w:rPr>
          <w:rFonts w:ascii="Times New Roman" w:hAnsi="Times New Roman" w:cs="Times New Roman"/>
          <w:color w:val="000000"/>
          <w:sz w:val="26"/>
          <w:szCs w:val="26"/>
        </w:rPr>
      </w:pPr>
      <w:r w:rsidRPr="0072600F">
        <w:rPr>
          <w:rFonts w:ascii="Times New Roman" w:hAnsi="Times New Roman" w:cs="Times New Roman"/>
          <w:color w:val="000000"/>
          <w:sz w:val="26"/>
          <w:szCs w:val="26"/>
          <w:u w:val="single"/>
        </w:rPr>
        <w:t>To Affected System Interconnection Customers</w:t>
      </w:r>
      <w:r w:rsidRPr="0072600F">
        <w:rPr>
          <w:rFonts w:ascii="Times New Roman" w:hAnsi="Times New Roman" w:cs="Times New Roman"/>
          <w:color w:val="000000"/>
          <w:sz w:val="26"/>
          <w:szCs w:val="26"/>
        </w:rPr>
        <w:t>:</w:t>
      </w:r>
    </w:p>
    <w:p w:rsidR="00911580" w:rsidRPr="0072600F" w14:paraId="60F821FC" w14:textId="77777777">
      <w:pPr>
        <w:rPr>
          <w:rFonts w:ascii="Times New Roman" w:hAnsi="Times New Roman" w:cs="Times New Roman"/>
          <w:color w:val="000000"/>
          <w:sz w:val="26"/>
          <w:szCs w:val="26"/>
        </w:rPr>
      </w:pPr>
    </w:p>
    <w:p w:rsidR="00911580" w:rsidRPr="0072600F" w14:paraId="2A3CB510" w14:textId="77777777">
      <w:pPr>
        <w:rPr>
          <w:rFonts w:ascii="Times New Roman" w:hAnsi="Times New Roman" w:cs="Times New Roman"/>
          <w:sz w:val="26"/>
          <w:szCs w:val="26"/>
        </w:rPr>
      </w:pPr>
    </w:p>
    <w:p w:rsidR="00911580" w:rsidRPr="0072600F" w14:paraId="75FAEB98"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62D1CAE"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10.2</w:t>
      </w:r>
      <w:r w:rsidRPr="0072600F">
        <w:rPr>
          <w:rFonts w:ascii="Times New Roman" w:hAnsi="Times New Roman" w:cs="Times New Roman"/>
          <w:b/>
          <w:bCs/>
          <w:color w:val="000000"/>
          <w:sz w:val="26"/>
          <w:szCs w:val="26"/>
        </w:rPr>
        <w:tab/>
        <w:t>Billings and Payments.</w:t>
      </w:r>
      <w:r w:rsidRPr="0072600F">
        <w:rPr>
          <w:rFonts w:ascii="Times New Roman" w:hAnsi="Times New Roman" w:cs="Times New Roman"/>
          <w:color w:val="000000"/>
          <w:sz w:val="26"/>
          <w:szCs w:val="26"/>
        </w:rPr>
        <w:t xml:space="preserve">  Billings and payments shall be sent to the addresses shown in Article 10.1 unless otherwise agreed to by the Parties.</w:t>
      </w:r>
    </w:p>
    <w:p w:rsidR="00911580" w:rsidRPr="0072600F" w14:paraId="7BB21FCA"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7B7A8DC0"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10.3</w:t>
      </w:r>
      <w:r w:rsidRPr="0072600F">
        <w:rPr>
          <w:rFonts w:ascii="Times New Roman" w:hAnsi="Times New Roman" w:cs="Times New Roman"/>
          <w:b/>
          <w:bCs/>
          <w:color w:val="000000"/>
          <w:sz w:val="26"/>
          <w:szCs w:val="26"/>
        </w:rPr>
        <w:tab/>
        <w:t>Alternative Forms of Notice.</w:t>
      </w:r>
      <w:r w:rsidRPr="0072600F">
        <w:rPr>
          <w:rFonts w:ascii="Times New Roman" w:hAnsi="Times New Roman" w:cs="Times New Roman"/>
          <w:color w:val="000000"/>
          <w:sz w:val="26"/>
          <w:szCs w:val="26"/>
        </w:rPr>
        <w:t xml:space="preserve">  Any notice or request required or permitted to be given by a Party to the other Parties and not required by this Agreement to be given in writing may be so given by telephone, facsimile, or email to the telephone numbers and email addresses set out below:</w:t>
      </w:r>
    </w:p>
    <w:p w:rsidR="00911580" w:rsidRPr="0072600F" w14:paraId="279D0B3E"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EC5132D" w14:textId="77777777">
      <w:pPr>
        <w:ind w:left="720" w:firstLine="720"/>
        <w:rPr>
          <w:rFonts w:ascii="Times New Roman" w:hAnsi="Times New Roman" w:cs="Times New Roman"/>
          <w:sz w:val="26"/>
          <w:szCs w:val="26"/>
        </w:rPr>
      </w:pPr>
      <w:r w:rsidRPr="0072600F">
        <w:rPr>
          <w:rFonts w:ascii="Times New Roman" w:hAnsi="Times New Roman" w:cs="Times New Roman"/>
          <w:color w:val="000000"/>
          <w:sz w:val="26"/>
          <w:szCs w:val="26"/>
          <w:u w:val="single"/>
        </w:rPr>
        <w:t>To Transmission Provider</w:t>
      </w:r>
      <w:r w:rsidRPr="0072600F">
        <w:rPr>
          <w:rFonts w:ascii="Times New Roman" w:hAnsi="Times New Roman" w:cs="Times New Roman"/>
          <w:color w:val="000000"/>
          <w:sz w:val="26"/>
          <w:szCs w:val="26"/>
        </w:rPr>
        <w:t>:</w:t>
      </w:r>
    </w:p>
    <w:p w:rsidR="00911580" w:rsidRPr="0072600F" w14:paraId="797D9463"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1B2A182"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CEAE8B2" w14:textId="77777777">
      <w:pPr>
        <w:ind w:left="720" w:hanging="720"/>
        <w:rPr>
          <w:rFonts w:ascii="Times New Roman" w:hAnsi="Times New Roman" w:cs="Times New Roman"/>
          <w:color w:val="000000"/>
          <w:sz w:val="26"/>
          <w:szCs w:val="26"/>
          <w:u w:val="single"/>
        </w:rPr>
      </w:pPr>
      <w:r w:rsidRPr="0072600F">
        <w:rPr>
          <w:rFonts w:ascii="Times New Roman" w:hAnsi="Times New Roman" w:cs="Times New Roman"/>
          <w:color w:val="000000"/>
          <w:sz w:val="26"/>
          <w:szCs w:val="26"/>
        </w:rPr>
        <w:t> </w:t>
      </w:r>
    </w:p>
    <w:p w:rsidR="00911580" w:rsidRPr="0072600F" w14:paraId="7AEDC0CA" w14:textId="77777777">
      <w:pPr>
        <w:ind w:left="720" w:firstLine="720"/>
        <w:rPr>
          <w:rFonts w:ascii="Times New Roman" w:hAnsi="Times New Roman" w:cs="Times New Roman"/>
          <w:color w:val="000000"/>
          <w:sz w:val="26"/>
          <w:szCs w:val="26"/>
        </w:rPr>
      </w:pPr>
      <w:r w:rsidRPr="0072600F">
        <w:rPr>
          <w:rFonts w:ascii="Times New Roman" w:hAnsi="Times New Roman" w:cs="Times New Roman"/>
          <w:color w:val="000000"/>
          <w:sz w:val="26"/>
          <w:szCs w:val="26"/>
          <w:u w:val="single"/>
        </w:rPr>
        <w:t>To Affected System Interconnection Customers</w:t>
      </w:r>
      <w:r w:rsidRPr="0072600F">
        <w:rPr>
          <w:rFonts w:ascii="Times New Roman" w:hAnsi="Times New Roman" w:cs="Times New Roman"/>
          <w:color w:val="000000"/>
          <w:sz w:val="26"/>
          <w:szCs w:val="26"/>
        </w:rPr>
        <w:t>:</w:t>
      </w:r>
    </w:p>
    <w:p w:rsidR="00911580" w:rsidRPr="0072600F" w14:paraId="0E09F435" w14:textId="77777777">
      <w:pPr>
        <w:ind w:left="720" w:hanging="720"/>
        <w:rPr>
          <w:rFonts w:ascii="Times New Roman" w:hAnsi="Times New Roman" w:cs="Times New Roman"/>
          <w:color w:val="000000"/>
          <w:sz w:val="26"/>
          <w:szCs w:val="26"/>
        </w:rPr>
      </w:pPr>
    </w:p>
    <w:p w:rsidR="00911580" w:rsidRPr="0072600F" w14:paraId="2EEA3B3E" w14:textId="77777777">
      <w:pPr>
        <w:ind w:left="720" w:hanging="720"/>
        <w:rPr>
          <w:rFonts w:ascii="Times New Roman" w:hAnsi="Times New Roman" w:cs="Times New Roman"/>
          <w:color w:val="000000"/>
          <w:sz w:val="26"/>
          <w:szCs w:val="26"/>
        </w:rPr>
      </w:pPr>
    </w:p>
    <w:p w:rsidR="00911580" w:rsidRPr="0072600F" w14:paraId="6AEF96E2" w14:textId="77777777">
      <w:pPr>
        <w:ind w:left="720" w:hanging="720"/>
        <w:rPr>
          <w:rFonts w:ascii="Times New Roman" w:hAnsi="Times New Roman" w:cs="Times New Roman"/>
          <w:color w:val="000000"/>
          <w:sz w:val="26"/>
          <w:szCs w:val="26"/>
        </w:rPr>
      </w:pPr>
    </w:p>
    <w:p w:rsidR="00911580" w:rsidRPr="0072600F" w14:paraId="047C4262" w14:textId="77777777">
      <w:pPr>
        <w:ind w:left="720" w:hanging="720"/>
        <w:rPr>
          <w:rFonts w:ascii="Times New Roman" w:eastAsia="Calibri" w:hAnsi="Times New Roman" w:cs="Times New Roman"/>
          <w:sz w:val="26"/>
          <w:szCs w:val="26"/>
        </w:rPr>
      </w:pPr>
      <w:r w:rsidRPr="0072600F">
        <w:rPr>
          <w:rFonts w:ascii="Times New Roman" w:hAnsi="Times New Roman" w:cs="Times New Roman"/>
          <w:b/>
          <w:bCs/>
          <w:color w:val="000000"/>
          <w:sz w:val="26"/>
          <w:szCs w:val="26"/>
        </w:rPr>
        <w:t>10.4</w:t>
      </w:r>
      <w:r w:rsidRPr="0072600F">
        <w:rPr>
          <w:rFonts w:ascii="Times New Roman" w:hAnsi="Times New Roman" w:cs="Times New Roman"/>
          <w:b/>
          <w:bCs/>
          <w:color w:val="000000"/>
          <w:sz w:val="26"/>
          <w:szCs w:val="26"/>
        </w:rPr>
        <w:tab/>
        <w:t>Execution and Filing.</w:t>
      </w:r>
      <w:r w:rsidRPr="0072600F">
        <w:rPr>
          <w:rFonts w:ascii="Times New Roman" w:hAnsi="Times New Roman" w:cs="Times New Roman"/>
          <w:color w:val="000000"/>
          <w:sz w:val="26"/>
          <w:szCs w:val="26"/>
        </w:rPr>
        <w:t xml:space="preserve">  Affected System </w:t>
      </w:r>
      <w:r w:rsidRPr="0072600F">
        <w:rPr>
          <w:rFonts w:ascii="Times New Roman" w:eastAsia="Calibri" w:hAnsi="Times New Roman" w:cs="Times New Roman"/>
          <w:sz w:val="26"/>
          <w:szCs w:val="26"/>
        </w:rPr>
        <w:t xml:space="preserve">Interconnection Customers shall either: </w:t>
      </w:r>
      <w:r w:rsidRPr="0072600F" w:rsidR="00D46245">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w:t>
      </w:r>
      <w:r w:rsidRPr="0072600F">
        <w:rPr>
          <w:rFonts w:ascii="Times New Roman" w:eastAsia="Calibri" w:hAnsi="Times New Roman" w:cs="Times New Roman"/>
          <w:sz w:val="26"/>
          <w:szCs w:val="26"/>
        </w:rPr>
        <w:t>) execute two originals of this tendered Agreement and return them to Transmission Provider; or (ii) request in writing that Transmission Provider file with FERC this Agreement in unexecuted form.  As soon as practicable, but not later than ten (10) Business Days after receiving either the two executed originals of this tendered Agreement (if it does not conform with a FERC-approved standard form of this Agreement) or the request to file this Agreement unexecuted, Transmission Provider shall file this Agreement with FERC, together with its explanation of any matters as to which Affected System Interconnection Customers and Transmission Provider disagree and support for the costs that Transmission Provider proposes to charge to Affected System Interconnection Customers under this Agreement.  An unexecuted version of this Agreement should contain terms and conditions deemed appropriate by Transmission Provider for the Affected System Interconnection Customers’ generating facilities.  If the Parties agree to proceed with design, procurement, and construction of facilities and upgrades under the agreed-upon terms of the unexecuted version of this Agreement, they may proceed pending FERC action.</w:t>
      </w:r>
    </w:p>
    <w:p w:rsidR="00911580" w:rsidRPr="0072600F" w14:paraId="2E0B5AD5"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4A85DD2" w14:textId="77777777">
      <w:pPr>
        <w:jc w:val="center"/>
        <w:rPr>
          <w:rFonts w:ascii="Times New Roman" w:hAnsi="Times New Roman" w:cs="Times New Roman"/>
          <w:b/>
          <w:bCs/>
          <w:color w:val="000000"/>
          <w:sz w:val="26"/>
          <w:szCs w:val="26"/>
        </w:rPr>
      </w:pPr>
    </w:p>
    <w:p w:rsidR="00911580" w:rsidRPr="0072600F" w14:paraId="4A23FCDB"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ARTICLE 11</w:t>
      </w:r>
    </w:p>
    <w:p w:rsidR="00911580" w:rsidRPr="0072600F" w14:paraId="61A846E8" w14:textId="77777777">
      <w:pPr>
        <w:jc w:val="center"/>
        <w:rPr>
          <w:rFonts w:ascii="Times New Roman" w:hAnsi="Times New Roman" w:cs="Times New Roman"/>
          <w:b/>
          <w:color w:val="000000"/>
          <w:sz w:val="26"/>
          <w:szCs w:val="26"/>
        </w:rPr>
      </w:pPr>
      <w:r w:rsidRPr="0072600F">
        <w:rPr>
          <w:rFonts w:ascii="Times New Roman" w:hAnsi="Times New Roman" w:cs="Times New Roman"/>
          <w:b/>
          <w:bCs/>
          <w:color w:val="000000"/>
          <w:sz w:val="26"/>
          <w:szCs w:val="26"/>
        </w:rPr>
        <w:t>MISCELLANEOUS</w:t>
      </w:r>
    </w:p>
    <w:p w:rsidR="00911580" w:rsidRPr="0072600F" w14:paraId="0FB51AF6" w14:textId="77777777">
      <w:pPr>
        <w:rPr>
          <w:rFonts w:ascii="Times New Roman" w:hAnsi="Times New Roman" w:cs="Times New Roman"/>
          <w:b/>
          <w:bCs/>
          <w:color w:val="000000"/>
          <w:sz w:val="26"/>
          <w:szCs w:val="26"/>
        </w:rPr>
      </w:pPr>
    </w:p>
    <w:p w:rsidR="00911580" w:rsidRPr="0072600F" w14:paraId="31D7F954" w14:textId="77777777">
      <w:pPr>
        <w:ind w:left="720" w:hanging="720"/>
        <w:rPr>
          <w:rFonts w:ascii="Times New Roman" w:hAnsi="Times New Roman" w:cs="Times New Roman"/>
          <w:color w:val="000000"/>
          <w:sz w:val="26"/>
          <w:szCs w:val="26"/>
        </w:rPr>
      </w:pPr>
      <w:r w:rsidRPr="0072600F">
        <w:rPr>
          <w:rFonts w:ascii="Times New Roman" w:hAnsi="Times New Roman" w:cs="Times New Roman"/>
          <w:b/>
          <w:color w:val="000000"/>
          <w:sz w:val="26"/>
          <w:szCs w:val="26"/>
        </w:rPr>
        <w:t xml:space="preserve">11.1 </w:t>
      </w:r>
      <w:r w:rsidRPr="0072600F">
        <w:rPr>
          <w:rFonts w:ascii="Times New Roman" w:hAnsi="Times New Roman" w:cs="Times New Roman"/>
          <w:b/>
          <w:color w:val="000000"/>
          <w:sz w:val="26"/>
          <w:szCs w:val="26"/>
        </w:rPr>
        <w:tab/>
      </w:r>
      <w:r w:rsidRPr="0072600F">
        <w:rPr>
          <w:rFonts w:ascii="Times New Roman" w:hAnsi="Times New Roman" w:cs="Times New Roman"/>
          <w:color w:val="000000"/>
          <w:sz w:val="26"/>
          <w:szCs w:val="26"/>
        </w:rPr>
        <w:t>This Agreement shall include standard miscellaneous terms including, but not limited to, indemnities, representations, disclaimers, warranties, governing law, amendment, execution, waiver, enforceability, and assignment, which reflect best practices in the electric industry, that are consistent with regional practices, Applicable Laws and Regulations, and the organizational nature of each Party.  All of these provisions, to the extent practicable, shall be consistent with the provisions of this LGIP.</w:t>
      </w:r>
    </w:p>
    <w:p w:rsidR="00911580" w:rsidRPr="0072600F" w14:paraId="4584DA91" w14:textId="77777777">
      <w:pPr>
        <w:rPr>
          <w:rFonts w:ascii="Times New Roman" w:hAnsi="Times New Roman" w:cs="Times New Roman"/>
          <w:sz w:val="26"/>
          <w:szCs w:val="26"/>
        </w:rPr>
      </w:pPr>
    </w:p>
    <w:p w:rsidR="00911580" w:rsidRPr="0072600F" w14:paraId="14C1B85B"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6CA4011" w14:textId="77777777">
      <w:pPr>
        <w:jc w:val="center"/>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Signature Page to Follow</w:t>
      </w:r>
      <w:r w:rsidRPr="0072600F">
        <w:rPr>
          <w:rFonts w:ascii="Times New Roman" w:hAnsi="Times New Roman" w:cs="Times New Roman"/>
          <w:sz w:val="26"/>
          <w:szCs w:val="26"/>
        </w:rPr>
        <w:t>}</w:t>
      </w:r>
    </w:p>
    <w:p w:rsidR="00911580" w:rsidRPr="0072600F" w14:paraId="7808B12D" w14:textId="77777777">
      <w:pPr>
        <w:jc w:val="center"/>
        <w:rPr>
          <w:rFonts w:ascii="Times New Roman" w:hAnsi="Times New Roman" w:cs="Times New Roman"/>
          <w:i/>
          <w:iCs/>
          <w:sz w:val="26"/>
          <w:szCs w:val="26"/>
        </w:rPr>
      </w:pPr>
      <w:r w:rsidRPr="0072600F">
        <w:rPr>
          <w:rFonts w:ascii="Times New Roman" w:hAnsi="Times New Roman" w:cs="Times New Roman"/>
          <w:i/>
          <w:iCs/>
          <w:sz w:val="26"/>
          <w:szCs w:val="26"/>
        </w:rPr>
        <w:br w:type="page"/>
      </w:r>
    </w:p>
    <w:p w:rsidR="00911580" w:rsidRPr="0072600F" w14:paraId="008205DC" w14:textId="77777777">
      <w:pPr>
        <w:ind w:firstLine="720"/>
        <w:rPr>
          <w:rFonts w:ascii="Times New Roman" w:hAnsi="Times New Roman" w:cs="Times New Roman"/>
          <w:sz w:val="26"/>
          <w:szCs w:val="26"/>
        </w:rPr>
      </w:pPr>
      <w:r w:rsidRPr="0072600F">
        <w:rPr>
          <w:rFonts w:ascii="Times New Roman" w:hAnsi="Times New Roman" w:cs="Times New Roman"/>
          <w:b/>
          <w:bCs/>
          <w:color w:val="000000"/>
          <w:sz w:val="26"/>
          <w:szCs w:val="26"/>
        </w:rPr>
        <w:t>IN WITNESS WHEREOF,</w:t>
      </w:r>
      <w:r w:rsidRPr="0072600F">
        <w:rPr>
          <w:rFonts w:ascii="Times New Roman" w:hAnsi="Times New Roman" w:cs="Times New Roman"/>
          <w:color w:val="000000"/>
          <w:sz w:val="26"/>
          <w:szCs w:val="26"/>
        </w:rPr>
        <w:t xml:space="preserve"> the Parties have executed this Agreement in multiple originals, each of which shall constitute and be an original Agreement among the Parties.</w:t>
      </w:r>
    </w:p>
    <w:p w:rsidR="00911580" w:rsidRPr="0072600F" w14:paraId="17277BCD"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0C527C3"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Transmission Provider</w:t>
      </w:r>
      <w:r w:rsidRPr="0072600F">
        <w:rPr>
          <w:rFonts w:ascii="Times New Roman" w:hAnsi="Times New Roman" w:cs="Times New Roman"/>
          <w:sz w:val="26"/>
          <w:szCs w:val="26"/>
        </w:rPr>
        <w:t xml:space="preserve"> </w:t>
      </w:r>
    </w:p>
    <w:p w:rsidR="00911580" w:rsidRPr="0072600F" w14:paraId="06934357"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Transmission Provider</w:t>
      </w:r>
      <w:r w:rsidRPr="0072600F">
        <w:rPr>
          <w:rFonts w:ascii="Times New Roman" w:hAnsi="Times New Roman" w:cs="Times New Roman"/>
          <w:b/>
          <w:bCs/>
          <w:color w:val="000000"/>
          <w:sz w:val="26"/>
          <w:szCs w:val="26"/>
        </w:rPr>
        <w:t>}</w:t>
      </w:r>
    </w:p>
    <w:p w:rsidR="00911580" w:rsidRPr="0072600F" w14:paraId="5A8B1428"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By: </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24911B2C" w14:textId="77777777">
      <w:pPr>
        <w:rPr>
          <w:rFonts w:ascii="Times New Roman" w:hAnsi="Times New Roman" w:cs="Times New Roman"/>
          <w:sz w:val="26"/>
          <w:szCs w:val="26"/>
        </w:rPr>
      </w:pPr>
      <w:r w:rsidRPr="0072600F">
        <w:rPr>
          <w:rFonts w:ascii="Times New Roman" w:hAnsi="Times New Roman" w:cs="Times New Roman"/>
          <w:color w:val="000000"/>
          <w:sz w:val="26"/>
          <w:szCs w:val="26"/>
        </w:rPr>
        <w:t>Name: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6DCC3C40"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Title: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4F305836"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CB4FE4A"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68C1B3A"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Affected System Interconnection Customer</w:t>
      </w:r>
    </w:p>
    <w:p w:rsidR="00911580" w:rsidRPr="0072600F" w14:paraId="17FD3858"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Interconnection Customer</w:t>
      </w:r>
      <w:r w:rsidRPr="0072600F">
        <w:rPr>
          <w:rFonts w:ascii="Times New Roman" w:hAnsi="Times New Roman" w:cs="Times New Roman"/>
          <w:b/>
          <w:bCs/>
          <w:color w:val="000000"/>
          <w:sz w:val="26"/>
          <w:szCs w:val="26"/>
        </w:rPr>
        <w:t>}</w:t>
      </w:r>
    </w:p>
    <w:p w:rsidR="00911580" w:rsidRPr="0072600F" w14:paraId="68674B41"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By: </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5DBEDACC" w14:textId="77777777">
      <w:pPr>
        <w:rPr>
          <w:rFonts w:ascii="Times New Roman" w:hAnsi="Times New Roman" w:cs="Times New Roman"/>
          <w:sz w:val="26"/>
          <w:szCs w:val="26"/>
        </w:rPr>
      </w:pPr>
      <w:r w:rsidRPr="0072600F">
        <w:rPr>
          <w:rFonts w:ascii="Times New Roman" w:hAnsi="Times New Roman" w:cs="Times New Roman"/>
          <w:color w:val="000000"/>
          <w:sz w:val="26"/>
          <w:szCs w:val="26"/>
        </w:rPr>
        <w:t>Name: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7DDCAA4F"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Title: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157E8F9D"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35837B4"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A5DBAAC" w14:textId="77777777">
      <w:pPr>
        <w:jc w:val="center"/>
        <w:rPr>
          <w:rFonts w:ascii="Times New Roman" w:hAnsi="Times New Roman" w:cs="Times New Roman"/>
          <w:sz w:val="26"/>
          <w:szCs w:val="26"/>
        </w:rPr>
      </w:pPr>
      <w:r w:rsidRPr="0072600F">
        <w:rPr>
          <w:rFonts w:ascii="Times New Roman" w:hAnsi="Times New Roman" w:cs="Times New Roman"/>
          <w:color w:val="000000"/>
          <w:sz w:val="26"/>
          <w:szCs w:val="26"/>
        </w:rPr>
        <w:t>Project No. ____</w:t>
      </w:r>
    </w:p>
    <w:p w:rsidR="00911580" w:rsidRPr="0072600F" w14:paraId="58CF40DC" w14:textId="77777777">
      <w:pPr>
        <w:rPr>
          <w:rFonts w:ascii="Times New Roman" w:hAnsi="Times New Roman" w:cs="Times New Roman"/>
          <w:color w:val="000000"/>
          <w:sz w:val="26"/>
          <w:szCs w:val="26"/>
        </w:rPr>
      </w:pPr>
    </w:p>
    <w:p w:rsidR="00911580" w:rsidRPr="0072600F" w14:paraId="21F812BD"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Affected System Interconnection Customer</w:t>
      </w:r>
    </w:p>
    <w:p w:rsidR="00911580" w:rsidRPr="0072600F" w14:paraId="44F395D5" w14:textId="77777777">
      <w:pPr>
        <w:rPr>
          <w:rFonts w:ascii="Times New Roman" w:hAnsi="Times New Roman" w:cs="Times New Roman"/>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Interconnection Customer</w:t>
      </w:r>
      <w:r w:rsidRPr="0072600F">
        <w:rPr>
          <w:rFonts w:ascii="Times New Roman" w:hAnsi="Times New Roman" w:cs="Times New Roman"/>
          <w:b/>
          <w:bCs/>
          <w:color w:val="000000"/>
          <w:sz w:val="26"/>
          <w:szCs w:val="26"/>
        </w:rPr>
        <w:t>}</w:t>
      </w:r>
    </w:p>
    <w:p w:rsidR="00911580" w:rsidRPr="0072600F" w14:paraId="4FC7D68F"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By: </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407EFF0C" w14:textId="77777777">
      <w:pPr>
        <w:rPr>
          <w:rFonts w:ascii="Times New Roman" w:hAnsi="Times New Roman" w:cs="Times New Roman"/>
          <w:sz w:val="26"/>
          <w:szCs w:val="26"/>
        </w:rPr>
      </w:pPr>
      <w:r w:rsidRPr="0072600F">
        <w:rPr>
          <w:rFonts w:ascii="Times New Roman" w:hAnsi="Times New Roman" w:cs="Times New Roman"/>
          <w:color w:val="000000"/>
          <w:sz w:val="26"/>
          <w:szCs w:val="26"/>
        </w:rPr>
        <w:t>Name: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630B33B1"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Title:</w:t>
      </w:r>
      <w:r w:rsidRPr="0072600F">
        <w:rPr>
          <w:rFonts w:ascii="Times New Roman" w:hAnsi="Times New Roman" w:cs="Times New Roman"/>
          <w:color w:val="000000"/>
          <w:sz w:val="26"/>
          <w:szCs w:val="26"/>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r w:rsidRPr="0072600F">
        <w:rPr>
          <w:rFonts w:ascii="Times New Roman" w:hAnsi="Times New Roman" w:cs="Times New Roman"/>
          <w:color w:val="000000"/>
          <w:sz w:val="26"/>
          <w:szCs w:val="26"/>
          <w:u w:val="single"/>
        </w:rPr>
        <w:tab/>
      </w:r>
    </w:p>
    <w:p w:rsidR="00911580" w:rsidRPr="0072600F" w14:paraId="3FCB0051"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9D7F64B"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6933F2" w14:paraId="1D109768" w14:textId="77777777">
      <w:pPr>
        <w:jc w:val="center"/>
        <w:rPr>
          <w:rFonts w:ascii="Times New Roman" w:hAnsi="Times New Roman" w:cs="Times New Roman"/>
          <w:b/>
          <w:bCs/>
          <w:i/>
          <w:iCs/>
          <w:color w:val="000000"/>
          <w:sz w:val="26"/>
          <w:szCs w:val="26"/>
        </w:rPr>
      </w:pPr>
      <w:r w:rsidRPr="0072600F">
        <w:rPr>
          <w:rFonts w:ascii="Times New Roman" w:hAnsi="Times New Roman" w:cs="Times New Roman"/>
          <w:color w:val="000000"/>
          <w:sz w:val="26"/>
          <w:szCs w:val="26"/>
        </w:rPr>
        <w:t>Project No. ____</w:t>
      </w:r>
    </w:p>
    <w:p w:rsidR="00911580" w:rsidRPr="0072600F" w14:paraId="208D236F"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xml:space="preserve">Attachment A to Appendix 12 </w:t>
      </w:r>
    </w:p>
    <w:p w:rsidR="00911580" w:rsidRPr="0072600F" w14:paraId="61952B12"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Multiparty Affected System Facilities Construction Agreement</w:t>
      </w:r>
    </w:p>
    <w:p w:rsidR="00911580" w:rsidRPr="0072600F" w14:paraId="32A231E6" w14:textId="77777777">
      <w:pPr>
        <w:rPr>
          <w:rFonts w:ascii="Times New Roman" w:hAnsi="Times New Roman" w:cs="Times New Roman"/>
          <w:sz w:val="26"/>
          <w:szCs w:val="26"/>
        </w:rPr>
      </w:pPr>
    </w:p>
    <w:p w:rsidR="00911580" w:rsidRPr="0072600F" w14:paraId="13610EA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AFFECTED SYSTEM NETWORK UPGRADE(S), COST ESTIMATES AND RESPONSIBILITY, CONSTRUCTION SCHEDULE, AND MONTHLY PAYMENT SCHEDULE</w:t>
      </w:r>
    </w:p>
    <w:p w:rsidR="00911580" w:rsidRPr="0072600F" w14:paraId="0D7C3586"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11E1E22" w14:textId="77777777">
      <w:pPr>
        <w:rPr>
          <w:rFonts w:ascii="Times New Roman" w:hAnsi="Times New Roman" w:cs="Times New Roman"/>
          <w:sz w:val="26"/>
          <w:szCs w:val="26"/>
        </w:rPr>
      </w:pPr>
      <w:r w:rsidRPr="0072600F">
        <w:rPr>
          <w:rFonts w:ascii="Times New Roman" w:hAnsi="Times New Roman" w:cs="Times New Roman"/>
          <w:color w:val="000000"/>
          <w:sz w:val="26"/>
          <w:szCs w:val="26"/>
        </w:rPr>
        <w:t xml:space="preserve">This Appendix A is a part of the Multiparty Affected System Facilities Construction Agreement </w:t>
      </w:r>
      <w:r w:rsidRPr="0072600F" w:rsidR="004909DA">
        <w:rPr>
          <w:rFonts w:ascii="Times New Roman" w:hAnsi="Times New Roman" w:cs="Times New Roman"/>
          <w:color w:val="000000"/>
          <w:sz w:val="26"/>
          <w:szCs w:val="26"/>
        </w:rPr>
        <w:t>[</w:t>
      </w:r>
      <w:r w:rsidRPr="0072600F">
        <w:rPr>
          <w:rFonts w:ascii="Times New Roman" w:hAnsi="Times New Roman" w:cs="Times New Roman"/>
          <w:color w:val="000000"/>
          <w:sz w:val="26"/>
          <w:szCs w:val="26"/>
        </w:rPr>
        <w:t>between</w:t>
      </w:r>
      <w:r w:rsidRPr="0072600F" w:rsidR="004909DA">
        <w:rPr>
          <w:rFonts w:ascii="Times New Roman" w:hAnsi="Times New Roman" w:cs="Times New Roman"/>
          <w:color w:val="000000"/>
          <w:sz w:val="26"/>
          <w:szCs w:val="26"/>
        </w:rPr>
        <w:t xml:space="preserve">] </w:t>
      </w:r>
      <w:r w:rsidRPr="0072600F" w:rsidR="004909DA">
        <w:rPr>
          <w:rFonts w:ascii="Times New Roman" w:hAnsi="Times New Roman" w:cs="Times New Roman"/>
          <w:i/>
          <w:iCs/>
          <w:color w:val="000000"/>
          <w:sz w:val="26"/>
          <w:szCs w:val="26"/>
        </w:rPr>
        <w:t>among</w:t>
      </w:r>
      <w:r w:rsidRPr="0072600F">
        <w:rPr>
          <w:rFonts w:ascii="Times New Roman" w:hAnsi="Times New Roman" w:cs="Times New Roman"/>
          <w:color w:val="000000"/>
          <w:sz w:val="26"/>
          <w:szCs w:val="26"/>
        </w:rPr>
        <w:t xml:space="preserve"> Affected System Interconnection Customers and Transmission Provider.</w:t>
      </w:r>
    </w:p>
    <w:p w:rsidR="00911580" w:rsidRPr="0072600F" w14:paraId="2B76F0F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rsidP="00BD1C5F" w14:paraId="0D0816D2" w14:textId="77777777">
      <w:pPr>
        <w:ind w:left="720" w:hanging="720"/>
        <w:rPr>
          <w:rFonts w:ascii="Times New Roman" w:hAnsi="Times New Roman" w:cs="Times New Roman"/>
          <w:b/>
          <w:color w:val="000000"/>
          <w:sz w:val="26"/>
          <w:szCs w:val="26"/>
        </w:rPr>
      </w:pPr>
      <w:r w:rsidRPr="0072600F">
        <w:rPr>
          <w:rFonts w:ascii="Times New Roman" w:hAnsi="Times New Roman" w:cs="Times New Roman"/>
          <w:b/>
          <w:color w:val="000000"/>
          <w:sz w:val="26"/>
          <w:szCs w:val="26"/>
        </w:rPr>
        <w:t> 1.1</w:t>
      </w:r>
      <w:r w:rsidRPr="0072600F">
        <w:rPr>
          <w:rFonts w:ascii="Times New Roman" w:hAnsi="Times New Roman" w:cs="Times New Roman"/>
          <w:b/>
          <w:color w:val="000000"/>
          <w:sz w:val="26"/>
          <w:szCs w:val="26"/>
        </w:rPr>
        <w:tab/>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color w:val="000000"/>
          <w:sz w:val="26"/>
          <w:szCs w:val="26"/>
        </w:rPr>
        <w:t xml:space="preserve">Network Upgrade(s) to be installed by Transmission Provider.  </w:t>
      </w:r>
    </w:p>
    <w:p w:rsidR="00911580" w:rsidRPr="0072600F" w14:paraId="0A6021E7" w14:textId="77777777">
      <w:pPr>
        <w:ind w:left="720" w:hanging="720"/>
        <w:rPr>
          <w:rFonts w:ascii="Times New Roman" w:hAnsi="Times New Roman" w:cs="Times New Roman"/>
          <w:b/>
          <w:bCs/>
          <w:color w:val="000000"/>
          <w:sz w:val="26"/>
          <w:szCs w:val="26"/>
        </w:rPr>
      </w:pPr>
      <w:r w:rsidRPr="0072600F">
        <w:rPr>
          <w:rFonts w:ascii="Times New Roman" w:hAnsi="Times New Roman" w:cs="Times New Roman"/>
          <w:color w:val="000000"/>
          <w:sz w:val="26"/>
          <w:szCs w:val="26"/>
        </w:rPr>
        <w:t> </w:t>
      </w:r>
      <w:r w:rsidRPr="0072600F">
        <w:rPr>
          <w:rFonts w:ascii="Times New Roman" w:hAnsi="Times New Roman" w:cs="Times New Roman"/>
          <w:b/>
          <w:bCs/>
          <w:color w:val="000000"/>
          <w:sz w:val="26"/>
          <w:szCs w:val="26"/>
        </w:rPr>
        <w:t> </w:t>
      </w:r>
      <w:r w:rsidRPr="0072600F" w:rsidR="00BD1C5F">
        <w:rPr>
          <w:rFonts w:ascii="Times New Roman" w:hAnsi="Times New Roman" w:cs="Times New Roman"/>
          <w:b/>
          <w:bCs/>
          <w:color w:val="000000"/>
          <w:sz w:val="26"/>
          <w:szCs w:val="26"/>
        </w:rPr>
        <w:t xml:space="preserve">  </w:t>
      </w:r>
    </w:p>
    <w:p w:rsidR="00911580" w:rsidRPr="0072600F" w14:paraId="25014375" w14:textId="77777777">
      <w:pPr>
        <w:ind w:left="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description</w:t>
      </w:r>
      <w:r w:rsidRPr="0072600F">
        <w:rPr>
          <w:rFonts w:ascii="Times New Roman" w:hAnsi="Times New Roman" w:cs="Times New Roman"/>
          <w:b/>
          <w:bCs/>
          <w:color w:val="000000"/>
          <w:sz w:val="26"/>
          <w:szCs w:val="26"/>
        </w:rPr>
        <w:t>}</w:t>
      </w:r>
    </w:p>
    <w:p w:rsidR="00911580" w:rsidRPr="0072600F" w14:paraId="3C859D3F" w14:textId="77777777">
      <w:pPr>
        <w:ind w:left="720" w:hanging="720"/>
        <w:rPr>
          <w:rFonts w:ascii="Times New Roman" w:hAnsi="Times New Roman" w:cs="Times New Roman"/>
          <w:b/>
          <w:bCs/>
          <w:color w:val="000000"/>
          <w:sz w:val="26"/>
          <w:szCs w:val="26"/>
        </w:rPr>
      </w:pPr>
    </w:p>
    <w:p w:rsidR="00911580" w:rsidRPr="0072600F" w14:paraId="6CEE4723" w14:textId="77777777">
      <w:pPr>
        <w:ind w:left="720" w:hanging="720"/>
        <w:rPr>
          <w:rFonts w:ascii="Times New Roman" w:hAnsi="Times New Roman" w:cs="Times New Roman"/>
          <w:b/>
          <w:bCs/>
          <w:color w:val="000000"/>
          <w:sz w:val="26"/>
          <w:szCs w:val="26"/>
        </w:rPr>
      </w:pPr>
    </w:p>
    <w:p w:rsidR="00911580" w:rsidRPr="0072600F" w14:paraId="0C2BEDF9" w14:textId="77777777">
      <w:pPr>
        <w:ind w:left="72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1.2</w:t>
      </w:r>
      <w:r w:rsidRPr="0072600F">
        <w:rPr>
          <w:rFonts w:ascii="Times New Roman" w:hAnsi="Times New Roman" w:cs="Times New Roman"/>
          <w:b/>
          <w:bCs/>
          <w:color w:val="000000"/>
          <w:sz w:val="26"/>
          <w:szCs w:val="26"/>
        </w:rPr>
        <w:tab/>
        <w:t>First Equipment Order (including permitting).</w:t>
      </w:r>
      <w:r w:rsidRPr="0072600F">
        <w:rPr>
          <w:rFonts w:ascii="Times New Roman" w:hAnsi="Times New Roman" w:cs="Times New Roman"/>
          <w:color w:val="000000"/>
          <w:sz w:val="26"/>
          <w:szCs w:val="26"/>
        </w:rPr>
        <w:t xml:space="preserve">  </w:t>
      </w:r>
    </w:p>
    <w:p w:rsidR="00911580" w:rsidRPr="0072600F" w14:paraId="0C551E6F" w14:textId="77777777">
      <w:pPr>
        <w:ind w:left="720" w:hanging="720"/>
        <w:rPr>
          <w:rFonts w:ascii="Times New Roman" w:hAnsi="Times New Roman" w:cs="Times New Roman"/>
          <w:b/>
          <w:bCs/>
          <w:color w:val="000000"/>
          <w:sz w:val="26"/>
          <w:szCs w:val="26"/>
        </w:rPr>
      </w:pPr>
    </w:p>
    <w:p w:rsidR="00911580" w:rsidRPr="0072600F" w14:paraId="387D4BE9" w14:textId="77777777">
      <w:pPr>
        <w:ind w:left="720"/>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w:t>
      </w:r>
      <w:r w:rsidRPr="0072600F">
        <w:rPr>
          <w:rFonts w:ascii="Times New Roman" w:hAnsi="Times New Roman" w:cs="Times New Roman"/>
          <w:b/>
          <w:bCs/>
          <w:color w:val="000000"/>
          <w:sz w:val="26"/>
          <w:szCs w:val="26"/>
        </w:rPr>
        <w:t>description</w:t>
      </w:r>
      <w:r w:rsidRPr="0072600F">
        <w:rPr>
          <w:rFonts w:ascii="Times New Roman" w:hAnsi="Times New Roman" w:cs="Times New Roman"/>
          <w:b/>
          <w:bCs/>
          <w:color w:val="000000"/>
          <w:sz w:val="26"/>
          <w:szCs w:val="26"/>
        </w:rPr>
        <w:t>}</w:t>
      </w:r>
    </w:p>
    <w:p w:rsidR="00911580" w:rsidRPr="0072600F" w14:paraId="39D5FD57" w14:textId="77777777">
      <w:pPr>
        <w:ind w:left="720" w:hanging="720"/>
        <w:rPr>
          <w:rFonts w:ascii="Times New Roman" w:hAnsi="Times New Roman" w:cs="Times New Roman"/>
          <w:b/>
          <w:bCs/>
          <w:color w:val="000000"/>
          <w:sz w:val="26"/>
          <w:szCs w:val="26"/>
        </w:rPr>
      </w:pPr>
    </w:p>
    <w:p w:rsidR="00911580" w:rsidRPr="0072600F" w14:paraId="6164C852"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265EA32" w14:textId="77777777">
      <w:pPr>
        <w:ind w:left="1440" w:hanging="720"/>
        <w:rPr>
          <w:rFonts w:ascii="Times New Roman" w:hAnsi="Times New Roman" w:cs="Times New Roman"/>
          <w:b/>
          <w:color w:val="000000"/>
          <w:sz w:val="26"/>
          <w:szCs w:val="26"/>
        </w:rPr>
      </w:pPr>
      <w:r w:rsidRPr="0072600F">
        <w:rPr>
          <w:rFonts w:ascii="Times New Roman" w:hAnsi="Times New Roman" w:cs="Times New Roman"/>
          <w:b/>
          <w:bCs/>
          <w:color w:val="000000"/>
          <w:sz w:val="26"/>
          <w:szCs w:val="26"/>
        </w:rPr>
        <w:t>1.2.1.</w:t>
      </w:r>
      <w:r w:rsidRPr="0072600F">
        <w:rPr>
          <w:rFonts w:ascii="Times New Roman" w:hAnsi="Times New Roman" w:cs="Times New Roman"/>
          <w:b/>
          <w:bCs/>
          <w:color w:val="000000"/>
          <w:sz w:val="26"/>
          <w:szCs w:val="26"/>
        </w:rPr>
        <w:tab/>
        <w:t xml:space="preserve">Permitting and Land Rights – </w:t>
      </w:r>
      <w:r w:rsidRPr="0072600F">
        <w:rPr>
          <w:rFonts w:ascii="Times New Roman" w:hAnsi="Times New Roman" w:cs="Times New Roman"/>
          <w:b/>
          <w:color w:val="000000"/>
          <w:sz w:val="26"/>
          <w:szCs w:val="26"/>
        </w:rPr>
        <w:t>Transmission Provider</w:t>
      </w:r>
      <w:r w:rsidRPr="0072600F">
        <w:rPr>
          <w:rFonts w:ascii="Times New Roman" w:hAnsi="Times New Roman" w:cs="Times New Roman"/>
          <w:b/>
          <w:bCs/>
          <w:color w:val="000000"/>
          <w:sz w:val="26"/>
          <w:szCs w:val="26"/>
        </w:rPr>
        <w:t xml:space="preserve"> </w:t>
      </w:r>
      <w:r w:rsidRPr="0072600F">
        <w:rPr>
          <w:rFonts w:ascii="Times New Roman" w:hAnsi="Times New Roman" w:cs="Times New Roman"/>
          <w:b/>
          <w:bCs/>
          <w:color w:val="000000"/>
          <w:sz w:val="26"/>
          <w:szCs w:val="26"/>
        </w:rPr>
        <w:t>Affected System Network Upgrade(s)</w:t>
      </w:r>
    </w:p>
    <w:p w:rsidR="00911580" w:rsidRPr="0072600F" w14:paraId="4AD67C65" w14:textId="77777777">
      <w:pPr>
        <w:ind w:left="1440" w:hanging="720"/>
        <w:rPr>
          <w:rFonts w:ascii="Times New Roman" w:hAnsi="Times New Roman" w:cs="Times New Roman"/>
          <w:b/>
          <w:bCs/>
          <w:sz w:val="26"/>
          <w:szCs w:val="26"/>
        </w:rPr>
      </w:pPr>
    </w:p>
    <w:p w:rsidR="00911580" w:rsidRPr="0072600F" w14:paraId="216F0ED4"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3C989037"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3E16679"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1.3</w:t>
      </w:r>
      <w:r w:rsidRPr="0072600F">
        <w:rPr>
          <w:rFonts w:ascii="Times New Roman" w:hAnsi="Times New Roman" w:cs="Times New Roman"/>
          <w:b/>
          <w:bCs/>
          <w:color w:val="000000"/>
          <w:sz w:val="26"/>
          <w:szCs w:val="26"/>
        </w:rPr>
        <w:tab/>
        <w:t>Construction Schedule.</w:t>
      </w:r>
      <w:r w:rsidRPr="0072600F">
        <w:rPr>
          <w:rFonts w:ascii="Times New Roman" w:hAnsi="Times New Roman" w:cs="Times New Roman"/>
          <w:color w:val="000000"/>
          <w:sz w:val="26"/>
          <w:szCs w:val="26"/>
        </w:rPr>
        <w:t xml:space="preserve">  Where applicable, construction of the Affected System Network Upgrade(s) is scheduled as follows and will be periodically updated as necessary:  </w:t>
      </w:r>
    </w:p>
    <w:p w:rsidR="00911580" w:rsidRPr="0072600F" w14:paraId="3924F74A"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A2FA8B9" w14:textId="77777777">
      <w:pPr>
        <w:ind w:left="720"/>
        <w:rPr>
          <w:rFonts w:ascii="Times New Roman" w:hAnsi="Times New Roman" w:cs="Times New Roman"/>
          <w:sz w:val="26"/>
          <w:szCs w:val="26"/>
        </w:rPr>
      </w:pPr>
      <w:r w:rsidRPr="0072600F">
        <w:rPr>
          <w:rFonts w:ascii="Times New Roman" w:hAnsi="Times New Roman" w:cs="Times New Roman"/>
          <w:b/>
          <w:bCs/>
          <w:color w:val="000000"/>
          <w:sz w:val="26"/>
          <w:szCs w:val="26"/>
        </w:rPr>
        <w:t>Table 3:  Transmission Provider Construction Activities</w:t>
      </w:r>
    </w:p>
    <w:tbl>
      <w:tblPr>
        <w:tblW w:w="0" w:type="auto"/>
        <w:tblInd w:w="612" w:type="dxa"/>
        <w:tblCellMar>
          <w:top w:w="15" w:type="dxa"/>
          <w:left w:w="15" w:type="dxa"/>
          <w:bottom w:w="15" w:type="dxa"/>
          <w:right w:w="15" w:type="dxa"/>
        </w:tblCellMar>
        <w:tblLook w:val="04A0"/>
      </w:tblPr>
      <w:tblGrid>
        <w:gridCol w:w="2076"/>
        <w:gridCol w:w="2625"/>
        <w:gridCol w:w="1643"/>
        <w:gridCol w:w="923"/>
      </w:tblGrid>
      <w:tr w14:paraId="212C6757" w14:textId="77777777">
        <w:tblPrEx>
          <w:tblW w:w="0" w:type="auto"/>
          <w:tblInd w:w="612" w:type="dxa"/>
          <w:tblCellMar>
            <w:top w:w="15" w:type="dxa"/>
            <w:left w:w="15" w:type="dxa"/>
            <w:bottom w:w="15" w:type="dxa"/>
            <w:right w:w="15" w:type="dxa"/>
          </w:tblCellMar>
          <w:tblLook w:val="04A0"/>
        </w:tblPrEx>
        <w:tc>
          <w:tcPr>
            <w:tcW w:w="207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7168AF0D" w14:textId="77777777">
            <w:pPr>
              <w:ind w:left="720" w:hanging="720"/>
              <w:jc w:val="center"/>
              <w:rPr>
                <w:rFonts w:ascii="Times New Roman" w:hAnsi="Times New Roman" w:cs="Times New Roman"/>
                <w:sz w:val="26"/>
                <w:szCs w:val="26"/>
              </w:rPr>
            </w:pPr>
            <w:r w:rsidRPr="0072600F">
              <w:rPr>
                <w:rFonts w:ascii="Times New Roman" w:hAnsi="Times New Roman" w:cs="Times New Roman"/>
                <w:b/>
                <w:bCs/>
                <w:color w:val="000000"/>
                <w:sz w:val="26"/>
                <w:szCs w:val="26"/>
              </w:rPr>
              <w:t>MILESTONE NUMBER</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58106A80" w14:textId="77777777">
            <w:pPr>
              <w:ind w:left="720" w:hanging="720"/>
              <w:jc w:val="center"/>
              <w:rPr>
                <w:rFonts w:ascii="Times New Roman" w:hAnsi="Times New Roman" w:cs="Times New Roman"/>
                <w:sz w:val="26"/>
                <w:szCs w:val="26"/>
              </w:rPr>
            </w:pPr>
            <w:r w:rsidRPr="0072600F">
              <w:rPr>
                <w:rFonts w:ascii="Times New Roman" w:hAnsi="Times New Roman" w:cs="Times New Roman"/>
                <w:b/>
                <w:bCs/>
                <w:caps/>
                <w:color w:val="000000"/>
                <w:sz w:val="26"/>
                <w:szCs w:val="26"/>
              </w:rPr>
              <w:t>DESCRIPTION</w:t>
            </w:r>
          </w:p>
        </w:tc>
        <w:tc>
          <w:tcPr>
            <w:tcW w:w="164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08D2962E" w14:textId="77777777">
            <w:pPr>
              <w:ind w:left="720" w:hanging="720"/>
              <w:jc w:val="center"/>
              <w:rPr>
                <w:rFonts w:ascii="Times New Roman" w:hAnsi="Times New Roman" w:cs="Times New Roman"/>
                <w:sz w:val="26"/>
                <w:szCs w:val="26"/>
              </w:rPr>
            </w:pPr>
            <w:r w:rsidRPr="0072600F">
              <w:rPr>
                <w:rFonts w:ascii="Times New Roman" w:hAnsi="Times New Roman" w:cs="Times New Roman"/>
                <w:b/>
                <w:bCs/>
                <w:color w:val="000000"/>
                <w:sz w:val="26"/>
                <w:szCs w:val="26"/>
              </w:rPr>
              <w:t>START DATE</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11D828D9" w14:textId="77777777">
            <w:pPr>
              <w:ind w:left="720" w:hanging="720"/>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END</w:t>
            </w:r>
          </w:p>
          <w:p w:rsidR="00911580" w:rsidRPr="0072600F" w14:paraId="2CA3C0E9" w14:textId="77777777">
            <w:pPr>
              <w:ind w:left="720" w:hanging="720"/>
              <w:jc w:val="center"/>
              <w:rPr>
                <w:rFonts w:ascii="Times New Roman" w:hAnsi="Times New Roman" w:cs="Times New Roman"/>
                <w:sz w:val="26"/>
                <w:szCs w:val="26"/>
              </w:rPr>
            </w:pPr>
            <w:r w:rsidRPr="0072600F">
              <w:rPr>
                <w:rFonts w:ascii="Times New Roman" w:hAnsi="Times New Roman" w:cs="Times New Roman"/>
                <w:b/>
                <w:bCs/>
                <w:color w:val="000000"/>
                <w:sz w:val="26"/>
                <w:szCs w:val="26"/>
              </w:rPr>
              <w:t>DATE</w:t>
            </w:r>
          </w:p>
        </w:tc>
      </w:tr>
      <w:tr w14:paraId="49C4E111" w14:textId="77777777">
        <w:tblPrEx>
          <w:tblW w:w="0" w:type="auto"/>
          <w:tblInd w:w="612" w:type="dxa"/>
          <w:tblCellMar>
            <w:top w:w="15" w:type="dxa"/>
            <w:left w:w="15" w:type="dxa"/>
            <w:bottom w:w="15" w:type="dxa"/>
            <w:right w:w="15" w:type="dxa"/>
          </w:tblCellMar>
          <w:tblLook w:val="04A0"/>
        </w:tblPrEx>
        <w:tc>
          <w:tcPr>
            <w:tcW w:w="207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F852D07" w14:textId="77777777">
            <w:pPr>
              <w:ind w:left="720" w:hanging="720"/>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31D36C3"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2CAD325"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A131977"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7E978532" w14:textId="77777777">
        <w:tblPrEx>
          <w:tblW w:w="0" w:type="auto"/>
          <w:tblInd w:w="612" w:type="dxa"/>
          <w:tblCellMar>
            <w:top w:w="15" w:type="dxa"/>
            <w:left w:w="15" w:type="dxa"/>
            <w:bottom w:w="15" w:type="dxa"/>
            <w:right w:w="15" w:type="dxa"/>
          </w:tblCellMar>
          <w:tblLook w:val="04A0"/>
        </w:tblPrEx>
        <w:tc>
          <w:tcPr>
            <w:tcW w:w="207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0FB2650" w14:textId="77777777">
            <w:pPr>
              <w:ind w:left="720" w:hanging="720"/>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5DF99C6F"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BF33234"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BD9D399"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3E1A52B2" w14:textId="77777777">
        <w:tblPrEx>
          <w:tblW w:w="0" w:type="auto"/>
          <w:tblInd w:w="612" w:type="dxa"/>
          <w:tblCellMar>
            <w:top w:w="15" w:type="dxa"/>
            <w:left w:w="15" w:type="dxa"/>
            <w:bottom w:w="15" w:type="dxa"/>
            <w:right w:w="15" w:type="dxa"/>
          </w:tblCellMar>
          <w:tblLook w:val="04A0"/>
        </w:tblPrEx>
        <w:tc>
          <w:tcPr>
            <w:tcW w:w="207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5DDCF98" w14:textId="77777777">
            <w:pPr>
              <w:ind w:left="720" w:hanging="720"/>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971BA94"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B0FC118"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66F7CFA"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7E8D16E7" w14:textId="77777777">
        <w:tblPrEx>
          <w:tblW w:w="0" w:type="auto"/>
          <w:tblInd w:w="612" w:type="dxa"/>
          <w:tblCellMar>
            <w:top w:w="15" w:type="dxa"/>
            <w:left w:w="15" w:type="dxa"/>
            <w:bottom w:w="15" w:type="dxa"/>
            <w:right w:w="15" w:type="dxa"/>
          </w:tblCellMar>
          <w:tblLook w:val="04A0"/>
        </w:tblPrEx>
        <w:tc>
          <w:tcPr>
            <w:tcW w:w="207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2E34245" w14:textId="77777777">
            <w:pPr>
              <w:ind w:left="720" w:hanging="720"/>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3720F1C"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9BA67EF"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F320F98"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51183914" w14:textId="77777777">
        <w:tblPrEx>
          <w:tblW w:w="0" w:type="auto"/>
          <w:tblInd w:w="612" w:type="dxa"/>
          <w:tblCellMar>
            <w:top w:w="15" w:type="dxa"/>
            <w:left w:w="15" w:type="dxa"/>
            <w:bottom w:w="15" w:type="dxa"/>
            <w:right w:w="15" w:type="dxa"/>
          </w:tblCellMar>
          <w:tblLook w:val="04A0"/>
        </w:tblPrEx>
        <w:tc>
          <w:tcPr>
            <w:tcW w:w="207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5B49036" w14:textId="77777777">
            <w:pPr>
              <w:ind w:left="720" w:hanging="720"/>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625"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B0D177E"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64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04B3F99"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92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1D3B01E"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bl>
    <w:p w:rsidR="00911580" w:rsidRPr="0072600F" w14:paraId="2952875D"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Note:  Construction schedule assumes that Transmission Provider has obtained final authorizations and security from Affected System Interconnection Customers and all necessary permits from Governmental Authorities as necessary prerequisites to commence construction of any of the Affected System Network Upgrade(s).</w:t>
      </w:r>
    </w:p>
    <w:p w:rsidR="00911580" w:rsidRPr="0072600F" w14:paraId="5E1FBF1E"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02F3D4EB" w14:textId="77777777">
      <w:pPr>
        <w:ind w:left="720" w:hanging="720"/>
        <w:rPr>
          <w:rFonts w:ascii="Times New Roman" w:hAnsi="Times New Roman" w:cs="Times New Roman"/>
          <w:sz w:val="26"/>
          <w:szCs w:val="26"/>
        </w:rPr>
      </w:pPr>
      <w:r w:rsidRPr="0072600F">
        <w:rPr>
          <w:rFonts w:ascii="Times New Roman" w:hAnsi="Times New Roman" w:cs="Times New Roman"/>
          <w:b/>
          <w:bCs/>
          <w:color w:val="000000"/>
          <w:sz w:val="26"/>
          <w:szCs w:val="26"/>
        </w:rPr>
        <w:t>1.4</w:t>
      </w:r>
      <w:r w:rsidRPr="0072600F">
        <w:rPr>
          <w:rFonts w:ascii="Times New Roman" w:hAnsi="Times New Roman" w:cs="Times New Roman"/>
          <w:b/>
          <w:bCs/>
          <w:color w:val="000000"/>
          <w:sz w:val="26"/>
          <w:szCs w:val="26"/>
        </w:rPr>
        <w:tab/>
        <w:t xml:space="preserve">Payment Schedule.  </w:t>
      </w:r>
    </w:p>
    <w:p w:rsidR="00911580" w:rsidRPr="0072600F" w14:paraId="5F3BE7E0" w14:textId="77777777">
      <w:pPr>
        <w:ind w:left="72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83B7889"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1.4.1</w:t>
      </w:r>
      <w:r w:rsidRPr="0072600F">
        <w:rPr>
          <w:rFonts w:ascii="Times New Roman" w:hAnsi="Times New Roman" w:cs="Times New Roman"/>
          <w:b/>
          <w:bCs/>
          <w:color w:val="000000"/>
          <w:sz w:val="26"/>
          <w:szCs w:val="26"/>
        </w:rPr>
        <w:tab/>
        <w:t xml:space="preserve">Timing of and Adjustments to </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Interconnection Customers’ Payments and Security.  </w:t>
      </w:r>
    </w:p>
    <w:p w:rsidR="00911580" w:rsidRPr="0072600F" w14:paraId="3C8BE96D" w14:textId="77777777">
      <w:pPr>
        <w:ind w:left="1440" w:hanging="720"/>
        <w:rPr>
          <w:rFonts w:ascii="Times New Roman" w:hAnsi="Times New Roman" w:cs="Times New Roman"/>
          <w:b/>
          <w:bCs/>
          <w:sz w:val="26"/>
          <w:szCs w:val="26"/>
        </w:rPr>
      </w:pPr>
    </w:p>
    <w:p w:rsidR="00911580" w:rsidRPr="0072600F" w14:paraId="5E86C347"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72FE5BF9" w14:textId="77777777">
      <w:pPr>
        <w:ind w:left="1440" w:hanging="720"/>
        <w:rPr>
          <w:rFonts w:ascii="Times New Roman" w:hAnsi="Times New Roman" w:cs="Times New Roman"/>
          <w:sz w:val="26"/>
          <w:szCs w:val="26"/>
        </w:rPr>
      </w:pPr>
    </w:p>
    <w:p w:rsidR="00911580" w:rsidRPr="0072600F" w14:paraId="231B4FDA" w14:textId="77777777">
      <w:pPr>
        <w:ind w:left="1440" w:hanging="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9D3235A" w14:textId="77777777">
      <w:pPr>
        <w:ind w:left="1440" w:hanging="720"/>
        <w:rPr>
          <w:rFonts w:ascii="Times New Roman" w:hAnsi="Times New Roman" w:cs="Times New Roman"/>
          <w:color w:val="000000"/>
          <w:sz w:val="26"/>
          <w:szCs w:val="26"/>
        </w:rPr>
      </w:pPr>
      <w:r w:rsidRPr="0072600F">
        <w:rPr>
          <w:rFonts w:ascii="Times New Roman" w:hAnsi="Times New Roman" w:cs="Times New Roman"/>
          <w:b/>
          <w:bCs/>
          <w:color w:val="000000"/>
          <w:sz w:val="26"/>
          <w:szCs w:val="26"/>
        </w:rPr>
        <w:t>1.4.2</w:t>
      </w:r>
      <w:r w:rsidRPr="0072600F">
        <w:rPr>
          <w:rFonts w:ascii="Times New Roman" w:hAnsi="Times New Roman" w:cs="Times New Roman"/>
          <w:b/>
          <w:bCs/>
          <w:color w:val="000000"/>
          <w:sz w:val="26"/>
          <w:szCs w:val="26"/>
        </w:rPr>
        <w:tab/>
        <w:t>Monthly Payment Schedule.</w:t>
      </w:r>
      <w:r w:rsidRPr="0072600F">
        <w:rPr>
          <w:rFonts w:ascii="Times New Roman" w:hAnsi="Times New Roman" w:cs="Times New Roman"/>
          <w:color w:val="000000"/>
          <w:sz w:val="26"/>
          <w:szCs w:val="26"/>
        </w:rPr>
        <w:t xml:space="preserve">  Affected System Interconnection Customers’ payment schedule is as follows.</w:t>
      </w:r>
    </w:p>
    <w:p w:rsidR="00911580" w:rsidRPr="0072600F" w14:paraId="640026A2" w14:textId="77777777">
      <w:pPr>
        <w:ind w:left="1440" w:hanging="720"/>
        <w:rPr>
          <w:rFonts w:ascii="Times New Roman" w:hAnsi="Times New Roman" w:cs="Times New Roman"/>
          <w:sz w:val="26"/>
          <w:szCs w:val="26"/>
        </w:rPr>
      </w:pPr>
    </w:p>
    <w:p w:rsidR="00911580" w:rsidRPr="0072600F" w14:paraId="74D7071D" w14:textId="77777777">
      <w:pPr>
        <w:ind w:left="1440"/>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description</w:t>
      </w:r>
      <w:r w:rsidRPr="0072600F">
        <w:rPr>
          <w:rFonts w:ascii="Times New Roman" w:hAnsi="Times New Roman" w:cs="Times New Roman"/>
          <w:b/>
          <w:bCs/>
          <w:sz w:val="26"/>
          <w:szCs w:val="26"/>
        </w:rPr>
        <w:t>}</w:t>
      </w:r>
    </w:p>
    <w:p w:rsidR="00911580" w:rsidRPr="0072600F" w14:paraId="7838E3CF" w14:textId="77777777">
      <w:pPr>
        <w:ind w:left="720" w:hanging="720"/>
        <w:rPr>
          <w:rFonts w:ascii="Times New Roman" w:hAnsi="Times New Roman" w:cs="Times New Roman"/>
          <w:sz w:val="26"/>
          <w:szCs w:val="26"/>
        </w:rPr>
      </w:pPr>
    </w:p>
    <w:p w:rsidR="00911580" w:rsidRPr="0072600F" w14:paraId="39887B34" w14:textId="77777777">
      <w:pPr>
        <w:ind w:left="720" w:hanging="720"/>
        <w:rPr>
          <w:rFonts w:ascii="Times New Roman" w:hAnsi="Times New Roman" w:cs="Times New Roman"/>
          <w:b/>
          <w:bCs/>
          <w:color w:val="000000"/>
          <w:sz w:val="26"/>
          <w:szCs w:val="26"/>
        </w:rPr>
      </w:pPr>
    </w:p>
    <w:p w:rsidR="00911580" w:rsidRPr="0072600F" w14:paraId="43EB4F3C" w14:textId="77777777">
      <w:pPr>
        <w:ind w:left="1440"/>
        <w:rPr>
          <w:rFonts w:ascii="Times New Roman" w:hAnsi="Times New Roman" w:cs="Times New Roman"/>
          <w:sz w:val="26"/>
          <w:szCs w:val="26"/>
        </w:rPr>
      </w:pPr>
      <w:r w:rsidRPr="0072600F">
        <w:rPr>
          <w:rFonts w:ascii="Times New Roman" w:hAnsi="Times New Roman" w:cs="Times New Roman"/>
          <w:b/>
          <w:bCs/>
          <w:color w:val="000000"/>
          <w:sz w:val="26"/>
          <w:szCs w:val="26"/>
        </w:rPr>
        <w:t xml:space="preserve">Table 4:  </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Interconnection Customers’ Payment/Security Obligations for </w:t>
      </w:r>
      <w:r w:rsidRPr="0072600F">
        <w:rPr>
          <w:rFonts w:ascii="Times New Roman" w:hAnsi="Times New Roman" w:cs="Times New Roman"/>
          <w:b/>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Network Upgrade(s). </w:t>
      </w:r>
    </w:p>
    <w:p w:rsidR="00911580" w:rsidRPr="0072600F" w14:paraId="354B865E" w14:textId="77777777">
      <w:pPr>
        <w:ind w:left="720" w:hanging="720"/>
        <w:rPr>
          <w:rFonts w:ascii="Times New Roman" w:hAnsi="Times New Roman" w:cs="Times New Roman"/>
          <w:sz w:val="26"/>
          <w:szCs w:val="26"/>
        </w:rPr>
      </w:pPr>
      <w:r w:rsidRPr="0072600F">
        <w:rPr>
          <w:rFonts w:ascii="Times New Roman" w:hAnsi="Times New Roman" w:cs="Times New Roman"/>
          <w:color w:val="000000"/>
          <w:sz w:val="26"/>
          <w:szCs w:val="26"/>
        </w:rPr>
        <w:tab/>
      </w:r>
    </w:p>
    <w:tbl>
      <w:tblPr>
        <w:tblW w:w="0" w:type="auto"/>
        <w:tblInd w:w="1332" w:type="dxa"/>
        <w:tblCellMar>
          <w:top w:w="15" w:type="dxa"/>
          <w:left w:w="15" w:type="dxa"/>
          <w:bottom w:w="15" w:type="dxa"/>
          <w:right w:w="15" w:type="dxa"/>
        </w:tblCellMar>
        <w:tblLook w:val="04A0"/>
      </w:tblPr>
      <w:tblGrid>
        <w:gridCol w:w="2047"/>
        <w:gridCol w:w="2250"/>
        <w:gridCol w:w="960"/>
      </w:tblGrid>
      <w:tr w14:paraId="7BD81EBC"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2D6E8842" w14:textId="77777777">
            <w:pPr>
              <w:ind w:left="720" w:hanging="720"/>
              <w:jc w:val="center"/>
              <w:rPr>
                <w:rFonts w:ascii="Times New Roman" w:hAnsi="Times New Roman" w:cs="Times New Roman"/>
                <w:i/>
                <w:iCs/>
                <w:sz w:val="26"/>
                <w:szCs w:val="26"/>
              </w:rPr>
            </w:pPr>
            <w:r w:rsidRPr="0072600F">
              <w:rPr>
                <w:rFonts w:ascii="Times New Roman" w:hAnsi="Times New Roman" w:cs="Times New Roman"/>
                <w:b/>
                <w:bCs/>
                <w:i/>
                <w:iCs/>
                <w:color w:val="000000"/>
                <w:sz w:val="26"/>
                <w:szCs w:val="26"/>
              </w:rPr>
              <w:t>MILESTONE NUMBER</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046E2A17" w14:textId="77777777">
            <w:pPr>
              <w:ind w:left="720" w:hanging="720"/>
              <w:jc w:val="center"/>
              <w:rPr>
                <w:rFonts w:ascii="Times New Roman" w:hAnsi="Times New Roman" w:cs="Times New Roman"/>
                <w:i/>
                <w:iCs/>
                <w:sz w:val="26"/>
                <w:szCs w:val="26"/>
              </w:rPr>
            </w:pPr>
            <w:r w:rsidRPr="0072600F">
              <w:rPr>
                <w:rFonts w:ascii="Times New Roman" w:hAnsi="Times New Roman" w:cs="Times New Roman"/>
                <w:b/>
                <w:bCs/>
                <w:i/>
                <w:iCs/>
                <w:caps/>
                <w:color w:val="000000"/>
                <w:sz w:val="26"/>
                <w:szCs w:val="26"/>
              </w:rPr>
              <w:t>DESCRIPTION</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center"/>
            <w:hideMark/>
          </w:tcPr>
          <w:p w:rsidR="00911580" w:rsidRPr="0072600F" w14:paraId="11516D3B" w14:textId="77777777">
            <w:pPr>
              <w:ind w:left="720" w:hanging="720"/>
              <w:jc w:val="center"/>
              <w:rPr>
                <w:rFonts w:ascii="Times New Roman" w:hAnsi="Times New Roman" w:cs="Times New Roman"/>
                <w:i/>
                <w:iCs/>
                <w:sz w:val="26"/>
                <w:szCs w:val="26"/>
              </w:rPr>
            </w:pPr>
            <w:r w:rsidRPr="0072600F">
              <w:rPr>
                <w:rFonts w:ascii="Times New Roman" w:hAnsi="Times New Roman" w:cs="Times New Roman"/>
                <w:b/>
                <w:bCs/>
                <w:i/>
                <w:iCs/>
                <w:color w:val="000000"/>
                <w:sz w:val="26"/>
                <w:szCs w:val="26"/>
              </w:rPr>
              <w:t>DATE</w:t>
            </w:r>
          </w:p>
        </w:tc>
      </w:tr>
      <w:tr w14:paraId="20C8BC5A"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D201C3E" w14:textId="77777777">
            <w:pPr>
              <w:ind w:left="720" w:hanging="720"/>
              <w:jc w:val="center"/>
              <w:rPr>
                <w:rFonts w:ascii="Times New Roman" w:hAnsi="Times New Roman" w:cs="Times New Roman"/>
                <w:i/>
                <w:iCs/>
                <w:sz w:val="26"/>
                <w:szCs w:val="26"/>
              </w:rPr>
            </w:pP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3E8396F"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EF03908"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4C51C210"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FEE975F" w14:textId="77777777">
            <w:pPr>
              <w:ind w:left="720" w:hanging="720"/>
              <w:jc w:val="cente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F31E6B7"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86CADBC"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120F03FA"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78EC590" w14:textId="77777777">
            <w:pPr>
              <w:ind w:left="720" w:hanging="720"/>
              <w:jc w:val="cente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B3E18C7"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584960AF"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2D929ADC"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5183E99" w14:textId="77777777">
            <w:pPr>
              <w:ind w:left="720" w:hanging="720"/>
              <w:jc w:val="cente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E2656EF"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4FE2097B"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6B8362A5"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6C4BC854" w14:textId="77777777">
            <w:pPr>
              <w:ind w:left="720" w:hanging="720"/>
              <w:jc w:val="cente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25139A0"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11C7362"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5A11EAEA"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A6C5173" w14:textId="77777777">
            <w:pPr>
              <w:ind w:left="720" w:hanging="720"/>
              <w:jc w:val="cente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87D65D9"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DB8EABC"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2F2DCE3C"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7C6DEAD2" w14:textId="77777777">
            <w:pPr>
              <w:ind w:left="720" w:hanging="720"/>
              <w:jc w:val="center"/>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1FD675FF" w14:textId="77777777">
            <w:pPr>
              <w:ind w:left="720" w:hanging="720"/>
              <w:rPr>
                <w:rFonts w:ascii="Times New Roman" w:hAnsi="Times New Roman" w:cs="Times New Roman"/>
                <w:i/>
                <w:iCs/>
                <w:sz w:val="26"/>
                <w:szCs w:val="26"/>
              </w:rPr>
            </w:pPr>
            <w:r w:rsidRPr="0072600F">
              <w:rPr>
                <w:rFonts w:ascii="Times New Roman" w:hAnsi="Times New Roman" w:cs="Times New Roman"/>
                <w:i/>
                <w:iCs/>
                <w:color w:val="000000"/>
                <w:sz w:val="26"/>
                <w:szCs w:val="26"/>
              </w:rPr>
              <w:t xml:space="preserve">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1798D49"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tc>
      </w:tr>
      <w:tr w14:paraId="25831672" w14:textId="77777777">
        <w:tblPrEx>
          <w:tblW w:w="0" w:type="auto"/>
          <w:tblInd w:w="1332" w:type="dxa"/>
          <w:tblCellMar>
            <w:top w:w="15" w:type="dxa"/>
            <w:left w:w="15" w:type="dxa"/>
            <w:bottom w:w="15" w:type="dxa"/>
            <w:right w:w="15" w:type="dxa"/>
          </w:tblCellMar>
          <w:tblLook w:val="04A0"/>
        </w:tblPrEx>
        <w:tc>
          <w:tcPr>
            <w:tcW w:w="2047"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0B4DADCA" w14:textId="77777777">
            <w:pPr>
              <w:ind w:left="720" w:hanging="720"/>
              <w:jc w:val="center"/>
              <w:rPr>
                <w:rFonts w:ascii="Times New Roman" w:hAnsi="Times New Roman" w:cs="Times New Roman"/>
                <w:i/>
                <w:iCs/>
                <w:sz w:val="26"/>
                <w:szCs w:val="26"/>
              </w:rPr>
            </w:pPr>
            <w:r w:rsidRPr="0072600F">
              <w:rPr>
                <w:rFonts w:ascii="Times New Roman" w:hAnsi="Times New Roman" w:cs="Times New Roman"/>
                <w:i/>
                <w:iCs/>
                <w:sz w:val="26"/>
                <w:szCs w:val="26"/>
              </w:rPr>
              <w:t> </w:t>
            </w:r>
          </w:p>
        </w:tc>
        <w:tc>
          <w:tcPr>
            <w:tcW w:w="225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3E10E321" w14:textId="77777777">
            <w:pPr>
              <w:ind w:left="720" w:hanging="720"/>
              <w:rPr>
                <w:rFonts w:ascii="Times New Roman" w:hAnsi="Times New Roman" w:cs="Times New Roman"/>
                <w:i/>
                <w:iCs/>
                <w:sz w:val="26"/>
                <w:szCs w:val="26"/>
              </w:rPr>
            </w:pPr>
            <w:r w:rsidRPr="0072600F">
              <w:rPr>
                <w:rFonts w:ascii="Times New Roman" w:hAnsi="Times New Roman" w:cs="Times New Roman"/>
                <w:i/>
                <w:iCs/>
                <w:sz w:val="26"/>
                <w:szCs w:val="26"/>
              </w:rPr>
              <w:t xml:space="preserve"> </w:t>
            </w:r>
          </w:p>
        </w:tc>
        <w:tc>
          <w:tcPr>
            <w:tcW w:w="96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hideMark/>
          </w:tcPr>
          <w:p w:rsidR="00911580" w:rsidRPr="0072600F" w14:paraId="28E648C9" w14:textId="77777777">
            <w:pPr>
              <w:ind w:left="720" w:hanging="720"/>
              <w:rPr>
                <w:rFonts w:ascii="Times New Roman" w:hAnsi="Times New Roman" w:cs="Times New Roman"/>
                <w:i/>
                <w:iCs/>
                <w:sz w:val="26"/>
                <w:szCs w:val="26"/>
              </w:rPr>
            </w:pPr>
            <w:r w:rsidRPr="0072600F">
              <w:rPr>
                <w:rFonts w:ascii="Times New Roman" w:hAnsi="Times New Roman" w:cs="Times New Roman"/>
                <w:i/>
                <w:iCs/>
                <w:sz w:val="26"/>
                <w:szCs w:val="26"/>
              </w:rPr>
              <w:t> </w:t>
            </w:r>
          </w:p>
        </w:tc>
      </w:tr>
    </w:tbl>
    <w:p w:rsidR="00911580" w:rsidRPr="0072600F" w14:paraId="3100DB92"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p w:rsidR="00911580" w:rsidRPr="0072600F" w14:paraId="08F446CF" w14:textId="77777777">
      <w:pPr>
        <w:ind w:left="720" w:hanging="720"/>
        <w:rPr>
          <w:rFonts w:ascii="Times New Roman" w:hAnsi="Times New Roman" w:cs="Times New Roman"/>
          <w:i/>
          <w:iCs/>
          <w:color w:val="000000"/>
          <w:sz w:val="26"/>
          <w:szCs w:val="26"/>
        </w:rPr>
      </w:pPr>
      <w:r w:rsidRPr="0072600F">
        <w:rPr>
          <w:rFonts w:ascii="Times New Roman" w:hAnsi="Times New Roman" w:cs="Times New Roman"/>
          <w:i/>
          <w:iCs/>
          <w:color w:val="000000"/>
          <w:sz w:val="26"/>
          <w:szCs w:val="26"/>
        </w:rPr>
        <w:t> </w:t>
      </w:r>
    </w:p>
    <w:p w:rsidR="00911580" w:rsidRPr="0072600F" w14:paraId="1E4D33B7"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14:paraId="12C5B605" w14:textId="77777777">
      <w:pPr>
        <w:ind w:left="720"/>
        <w:rPr>
          <w:rFonts w:ascii="Times New Roman" w:hAnsi="Times New Roman" w:cs="Times New Roman"/>
          <w:sz w:val="26"/>
          <w:szCs w:val="26"/>
        </w:rPr>
      </w:pPr>
      <w:r w:rsidRPr="0072600F">
        <w:rPr>
          <w:rFonts w:ascii="Times New Roman" w:hAnsi="Times New Roman" w:cs="Times New Roman"/>
          <w:sz w:val="26"/>
          <w:szCs w:val="26"/>
        </w:rPr>
        <w:t>* Affected System Interconnection Customers’ proportionate responsibility for each payment is as follows:</w:t>
      </w:r>
    </w:p>
    <w:p w:rsidR="00911580" w:rsidRPr="0072600F" w14:paraId="45E49CAE" w14:textId="77777777">
      <w:pPr>
        <w:ind w:left="720" w:hanging="720"/>
        <w:rPr>
          <w:rFonts w:ascii="Times New Roman" w:hAnsi="Times New Roman" w:cs="Times New Roman"/>
          <w:sz w:val="26"/>
          <w:szCs w:val="26"/>
        </w:rPr>
      </w:pPr>
    </w:p>
    <w:p w:rsidR="00911580" w:rsidRPr="0072600F" w14:paraId="6E5BA842" w14:textId="77777777">
      <w:pPr>
        <w:ind w:left="720"/>
        <w:rPr>
          <w:rFonts w:ascii="Times New Roman" w:hAnsi="Times New Roman" w:cs="Times New Roman"/>
          <w:sz w:val="26"/>
          <w:szCs w:val="26"/>
        </w:rPr>
      </w:pPr>
      <w:r w:rsidRPr="0072600F">
        <w:rPr>
          <w:rFonts w:ascii="Times New Roman" w:hAnsi="Times New Roman" w:cs="Times New Roman"/>
          <w:sz w:val="26"/>
          <w:szCs w:val="26"/>
        </w:rPr>
        <w:t>Affected System Interconnection Customer 1 ___._%</w:t>
      </w:r>
    </w:p>
    <w:p w:rsidR="00911580" w:rsidRPr="0072600F" w14:paraId="4D52DF24" w14:textId="77777777">
      <w:pPr>
        <w:ind w:left="720"/>
        <w:rPr>
          <w:rFonts w:ascii="Times New Roman" w:hAnsi="Times New Roman" w:cs="Times New Roman"/>
          <w:sz w:val="26"/>
          <w:szCs w:val="26"/>
        </w:rPr>
      </w:pPr>
      <w:r w:rsidRPr="0072600F">
        <w:rPr>
          <w:rFonts w:ascii="Times New Roman" w:hAnsi="Times New Roman" w:cs="Times New Roman"/>
          <w:sz w:val="26"/>
          <w:szCs w:val="26"/>
        </w:rPr>
        <w:t>Affected System Interconnection Customer 2 ___._%</w:t>
      </w:r>
    </w:p>
    <w:p w:rsidR="00911580" w:rsidRPr="0072600F" w14:paraId="7F4748F5" w14:textId="77777777">
      <w:pPr>
        <w:ind w:left="720"/>
        <w:rPr>
          <w:rFonts w:ascii="Times New Roman" w:hAnsi="Times New Roman" w:cs="Times New Roman"/>
          <w:sz w:val="26"/>
          <w:szCs w:val="26"/>
        </w:rPr>
      </w:pPr>
      <w:r w:rsidRPr="0072600F">
        <w:rPr>
          <w:rFonts w:ascii="Times New Roman" w:hAnsi="Times New Roman" w:cs="Times New Roman"/>
          <w:sz w:val="26"/>
          <w:szCs w:val="26"/>
        </w:rPr>
        <w:t>Affected System Interconnection Customer N ___._%</w:t>
      </w:r>
    </w:p>
    <w:p w:rsidR="00911580" w:rsidRPr="0072600F" w14:paraId="6CC6D9E2" w14:textId="77777777">
      <w:pPr>
        <w:ind w:left="720" w:hanging="720"/>
        <w:rPr>
          <w:rFonts w:ascii="Times New Roman" w:hAnsi="Times New Roman" w:cs="Times New Roman"/>
          <w:sz w:val="26"/>
          <w:szCs w:val="26"/>
        </w:rPr>
      </w:pPr>
    </w:p>
    <w:p w:rsidR="00911580" w:rsidRPr="0072600F" w14:paraId="23A1AF1C" w14:textId="77777777">
      <w:pPr>
        <w:ind w:left="720"/>
        <w:rPr>
          <w:rFonts w:ascii="Times New Roman" w:hAnsi="Times New Roman" w:cs="Times New Roman"/>
          <w:i/>
          <w:iCs/>
          <w:color w:val="000000"/>
          <w:sz w:val="26"/>
          <w:szCs w:val="26"/>
        </w:rPr>
      </w:pPr>
      <w:r w:rsidRPr="0072600F">
        <w:rPr>
          <w:rFonts w:ascii="Times New Roman" w:hAnsi="Times New Roman" w:cs="Times New Roman"/>
          <w:color w:val="000000"/>
          <w:sz w:val="26"/>
          <w:szCs w:val="26"/>
        </w:rPr>
        <w:t>Note:  Affected System Interconnection Customers’ payment or provision of security as provided in this Agreement operates as a condition precedent to Transmission Provider’s obligations to construct any Affected System Network Upgrade(s), and failure to meet this schedule will constitute a Breach pursuant to Article 5.1 of this Agreement.</w:t>
      </w:r>
    </w:p>
    <w:p w:rsidR="00911580" w:rsidRPr="0072600F" w14:paraId="0CC79054" w14:textId="77777777">
      <w:pPr>
        <w:ind w:left="720" w:hanging="720"/>
        <w:rPr>
          <w:rFonts w:ascii="Times New Roman" w:hAnsi="Times New Roman" w:cs="Times New Roman"/>
          <w:i/>
          <w:iCs/>
          <w:sz w:val="26"/>
          <w:szCs w:val="26"/>
        </w:rPr>
      </w:pPr>
      <w:r w:rsidRPr="0072600F">
        <w:rPr>
          <w:rFonts w:ascii="Times New Roman" w:hAnsi="Times New Roman" w:cs="Times New Roman"/>
          <w:i/>
          <w:iCs/>
          <w:color w:val="000000"/>
          <w:sz w:val="26"/>
          <w:szCs w:val="26"/>
        </w:rPr>
        <w:t xml:space="preserve"> </w:t>
      </w:r>
    </w:p>
    <w:p w:rsidR="00911580" w:rsidRPr="0072600F" w14:paraId="5EF8A11C" w14:textId="77777777">
      <w:pPr>
        <w:ind w:left="720" w:hanging="720"/>
        <w:rPr>
          <w:rFonts w:ascii="Times New Roman" w:hAnsi="Times New Roman" w:cs="Times New Roman"/>
          <w:iCs/>
          <w:color w:val="000000"/>
          <w:sz w:val="26"/>
          <w:szCs w:val="26"/>
        </w:rPr>
      </w:pPr>
      <w:r w:rsidRPr="0072600F">
        <w:rPr>
          <w:rFonts w:ascii="Times New Roman" w:hAnsi="Times New Roman" w:cs="Times New Roman"/>
          <w:b/>
          <w:iCs/>
          <w:color w:val="000000"/>
          <w:sz w:val="26"/>
          <w:szCs w:val="26"/>
        </w:rPr>
        <w:t>1.5</w:t>
      </w:r>
      <w:r w:rsidRPr="0072600F">
        <w:rPr>
          <w:rFonts w:ascii="Times New Roman" w:hAnsi="Times New Roman" w:cs="Times New Roman"/>
          <w:b/>
          <w:iCs/>
          <w:color w:val="000000"/>
          <w:sz w:val="26"/>
          <w:szCs w:val="26"/>
        </w:rPr>
        <w:tab/>
        <w:t>Permits, Licenses, and Authorizations.</w:t>
      </w:r>
      <w:r w:rsidRPr="0072600F">
        <w:rPr>
          <w:rFonts w:ascii="Times New Roman" w:hAnsi="Times New Roman" w:cs="Times New Roman"/>
          <w:iCs/>
          <w:color w:val="000000"/>
          <w:sz w:val="26"/>
          <w:szCs w:val="26"/>
        </w:rPr>
        <w:t xml:space="preserve">  </w:t>
      </w:r>
    </w:p>
    <w:p w:rsidR="00911580" w:rsidRPr="0072600F" w14:paraId="03498AAA" w14:textId="77777777">
      <w:pPr>
        <w:ind w:left="720" w:hanging="720"/>
        <w:rPr>
          <w:rFonts w:ascii="Times New Roman" w:hAnsi="Times New Roman" w:cs="Times New Roman"/>
          <w:iCs/>
          <w:color w:val="000000"/>
          <w:sz w:val="26"/>
          <w:szCs w:val="26"/>
        </w:rPr>
      </w:pPr>
    </w:p>
    <w:p w:rsidR="00911580" w:rsidRPr="0072600F" w14:paraId="375946EB" w14:textId="77777777">
      <w:pPr>
        <w:ind w:left="720"/>
        <w:rPr>
          <w:rFonts w:ascii="Times New Roman" w:hAnsi="Times New Roman" w:cs="Times New Roman"/>
          <w:iCs/>
          <w:color w:val="000000"/>
          <w:sz w:val="26"/>
          <w:szCs w:val="26"/>
        </w:rPr>
      </w:pPr>
      <w:r w:rsidRPr="0072600F">
        <w:rPr>
          <w:rFonts w:ascii="Times New Roman" w:hAnsi="Times New Roman" w:cs="Times New Roman"/>
          <w:b/>
          <w:bCs/>
          <w:iCs/>
          <w:color w:val="000000"/>
          <w:sz w:val="26"/>
          <w:szCs w:val="26"/>
        </w:rPr>
        <w:t>{</w:t>
      </w:r>
      <w:r w:rsidRPr="0072600F">
        <w:rPr>
          <w:rFonts w:ascii="Times New Roman" w:hAnsi="Times New Roman" w:cs="Times New Roman"/>
          <w:b/>
          <w:bCs/>
          <w:iCs/>
          <w:color w:val="000000"/>
          <w:sz w:val="26"/>
          <w:szCs w:val="26"/>
        </w:rPr>
        <w:t>description</w:t>
      </w:r>
      <w:r w:rsidRPr="0072600F">
        <w:rPr>
          <w:rFonts w:ascii="Times New Roman" w:hAnsi="Times New Roman" w:cs="Times New Roman"/>
          <w:b/>
          <w:bCs/>
          <w:iCs/>
          <w:color w:val="000000"/>
          <w:sz w:val="26"/>
          <w:szCs w:val="26"/>
        </w:rPr>
        <w:t>}</w:t>
      </w:r>
    </w:p>
    <w:p w:rsidR="00911580" w:rsidRPr="0072600F" w14:paraId="770270D3" w14:textId="77777777">
      <w:pPr>
        <w:rPr>
          <w:rFonts w:ascii="Times New Roman" w:hAnsi="Times New Roman" w:cs="Times New Roman"/>
          <w:iCs/>
          <w:color w:val="000000"/>
          <w:sz w:val="26"/>
          <w:szCs w:val="26"/>
        </w:rPr>
      </w:pPr>
      <w:r w:rsidRPr="0072600F">
        <w:rPr>
          <w:rFonts w:ascii="Times New Roman" w:hAnsi="Times New Roman" w:cs="Times New Roman"/>
          <w:iCs/>
          <w:color w:val="000000"/>
          <w:sz w:val="26"/>
          <w:szCs w:val="26"/>
        </w:rPr>
        <w:t xml:space="preserve"> </w:t>
      </w:r>
    </w:p>
    <w:p w:rsidR="00911580" w:rsidRPr="0072600F" w14:paraId="33AF3C20" w14:textId="77777777">
      <w:pPr>
        <w:contextualSpacing/>
        <w:rPr>
          <w:rFonts w:ascii="Times New Roman" w:hAnsi="Times New Roman" w:cs="Times New Roman"/>
          <w:i/>
          <w:iCs/>
          <w:color w:val="000000"/>
          <w:sz w:val="26"/>
          <w:szCs w:val="26"/>
        </w:rPr>
      </w:pPr>
    </w:p>
    <w:p w:rsidR="00911580" w:rsidRPr="0072600F" w14:paraId="64A259A3" w14:textId="77777777">
      <w:pPr>
        <w:contextualSpacing/>
        <w:rPr>
          <w:rFonts w:ascii="Times New Roman" w:hAnsi="Times New Roman" w:cs="Times New Roman"/>
          <w:i/>
          <w:iCs/>
          <w:color w:val="000000"/>
          <w:sz w:val="26"/>
          <w:szCs w:val="26"/>
        </w:rPr>
      </w:pPr>
    </w:p>
    <w:p w:rsidR="00911580" w:rsidRPr="0072600F" w14:paraId="43559D07" w14:textId="77777777">
      <w:pPr>
        <w:rPr>
          <w:rFonts w:ascii="Times New Roman" w:hAnsi="Times New Roman" w:cs="Times New Roman"/>
          <w:b/>
          <w:bCs/>
          <w:i/>
          <w:iCs/>
          <w:color w:val="000000"/>
          <w:sz w:val="26"/>
          <w:szCs w:val="26"/>
        </w:rPr>
      </w:pPr>
      <w:r w:rsidRPr="0072600F">
        <w:rPr>
          <w:rFonts w:ascii="Times New Roman" w:hAnsi="Times New Roman" w:cs="Times New Roman"/>
          <w:b/>
          <w:bCs/>
          <w:i/>
          <w:iCs/>
          <w:color w:val="000000"/>
          <w:sz w:val="26"/>
          <w:szCs w:val="26"/>
        </w:rPr>
        <w:br w:type="page"/>
      </w:r>
    </w:p>
    <w:p w:rsidR="00911580" w:rsidRPr="0072600F" w14:paraId="4675F514"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xml:space="preserve">Attachment B to Appendix 12 </w:t>
      </w:r>
    </w:p>
    <w:p w:rsidR="00911580" w:rsidRPr="0072600F" w14:paraId="3647CA72" w14:textId="77777777">
      <w:pPr>
        <w:jc w:val="right"/>
        <w:rPr>
          <w:rFonts w:ascii="Times New Roman" w:hAnsi="Times New Roman" w:cs="Times New Roman"/>
          <w:sz w:val="26"/>
          <w:szCs w:val="26"/>
        </w:rPr>
      </w:pPr>
      <w:r w:rsidRPr="0072600F">
        <w:rPr>
          <w:rFonts w:ascii="Times New Roman" w:hAnsi="Times New Roman" w:cs="Times New Roman"/>
          <w:b/>
          <w:bCs/>
          <w:color w:val="000000"/>
          <w:sz w:val="26"/>
          <w:szCs w:val="26"/>
        </w:rPr>
        <w:t>Multiparty Affected System Facilities Construction Agreement</w:t>
      </w:r>
    </w:p>
    <w:p w:rsidR="00911580" w:rsidRPr="0072600F" w14:paraId="7B2E4A82" w14:textId="77777777">
      <w:pPr>
        <w:jc w:val="center"/>
        <w:rPr>
          <w:rFonts w:ascii="Times New Roman" w:hAnsi="Times New Roman" w:cs="Times New Roman"/>
          <w:sz w:val="26"/>
          <w:szCs w:val="26"/>
        </w:rPr>
      </w:pPr>
    </w:p>
    <w:p w:rsidR="00911580" w:rsidRPr="0072600F" w14:paraId="39ED47E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NOTIFICATION OF COMPLETED CONSTRUCTION</w:t>
      </w:r>
    </w:p>
    <w:p w:rsidR="00911580" w:rsidRPr="0072600F" w14:paraId="5EED1BBF"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94E679F" w14:textId="77777777">
      <w:pPr>
        <w:rPr>
          <w:rFonts w:ascii="Times New Roman" w:hAnsi="Times New Roman" w:cs="Times New Roman"/>
          <w:sz w:val="26"/>
          <w:szCs w:val="26"/>
        </w:rPr>
      </w:pPr>
      <w:r w:rsidRPr="0072600F">
        <w:rPr>
          <w:rFonts w:ascii="Times New Roman" w:hAnsi="Times New Roman" w:cs="Times New Roman"/>
          <w:color w:val="000000"/>
          <w:sz w:val="26"/>
          <w:szCs w:val="26"/>
        </w:rPr>
        <w:t>This Appendix B is a part of the Multiparty Affected System Facilities Construction Agreement among Affected System Interconnection Customers and Transmission Provider.  Where applicable, when Transmission Provider has completed construction of the Affected System Network Upgrade(s), Transmission Provider shall send notice to Affected System Interconnection Customers in substantially the form following:</w:t>
      </w:r>
    </w:p>
    <w:p w:rsidR="00911580" w:rsidRPr="0072600F" w14:paraId="5FEA148E"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223649A" w14:textId="77777777">
      <w:pPr>
        <w:ind w:firstLine="720"/>
        <w:rPr>
          <w:rFonts w:ascii="Times New Roman" w:hAnsi="Times New Roman" w:cs="Times New Roman"/>
          <w:color w:val="000000"/>
          <w:sz w:val="26"/>
          <w:szCs w:val="26"/>
        </w:rPr>
      </w:pP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Date</w:t>
      </w: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 </w:t>
      </w:r>
    </w:p>
    <w:p w:rsidR="00911580" w:rsidRPr="0072600F" w14:paraId="12D739B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5CD1BA8" w14:textId="77777777">
      <w:pPr>
        <w:ind w:firstLine="720"/>
        <w:rPr>
          <w:rFonts w:ascii="Times New Roman" w:hAnsi="Times New Roman" w:cs="Times New Roman"/>
          <w:sz w:val="26"/>
          <w:szCs w:val="26"/>
        </w:rPr>
      </w:pP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Affected System Interconnection Customers Addresses</w:t>
      </w:r>
      <w:r w:rsidRPr="0072600F">
        <w:rPr>
          <w:rFonts w:ascii="Times New Roman" w:hAnsi="Times New Roman" w:cs="Times New Roman"/>
          <w:color w:val="000000"/>
          <w:sz w:val="26"/>
          <w:szCs w:val="26"/>
        </w:rPr>
        <w:t>}</w:t>
      </w:r>
    </w:p>
    <w:p w:rsidR="00911580" w:rsidRPr="0072600F" w14:paraId="08AAEC8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203FB6A1" w14:textId="77777777">
      <w:pPr>
        <w:ind w:firstLine="720"/>
        <w:rPr>
          <w:rFonts w:ascii="Times New Roman" w:hAnsi="Times New Roman" w:cs="Times New Roman"/>
          <w:sz w:val="26"/>
          <w:szCs w:val="26"/>
        </w:rPr>
      </w:pPr>
      <w:r w:rsidRPr="0072600F">
        <w:rPr>
          <w:rFonts w:ascii="Times New Roman" w:hAnsi="Times New Roman" w:cs="Times New Roman"/>
          <w:color w:val="000000"/>
          <w:sz w:val="26"/>
          <w:szCs w:val="26"/>
        </w:rPr>
        <w:t>Re:</w:t>
      </w:r>
      <w:r w:rsidRPr="0072600F">
        <w:rPr>
          <w:rFonts w:ascii="Times New Roman" w:hAnsi="Times New Roman" w:cs="Times New Roman"/>
          <w:color w:val="000000"/>
          <w:sz w:val="26"/>
          <w:szCs w:val="26"/>
        </w:rPr>
        <w:tab/>
        <w:t>Completion of Affected System Network Upgrade(s)</w:t>
      </w:r>
    </w:p>
    <w:p w:rsidR="00911580" w:rsidRPr="0072600F" w14:paraId="474E06F2"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176D3E32" w14:textId="77777777">
      <w:pPr>
        <w:ind w:firstLine="720"/>
        <w:rPr>
          <w:rFonts w:ascii="Times New Roman" w:hAnsi="Times New Roman" w:cs="Times New Roman"/>
          <w:sz w:val="26"/>
          <w:szCs w:val="26"/>
        </w:rPr>
      </w:pPr>
      <w:r w:rsidRPr="0072600F">
        <w:rPr>
          <w:rFonts w:ascii="Times New Roman" w:hAnsi="Times New Roman" w:cs="Times New Roman"/>
          <w:color w:val="000000"/>
          <w:sz w:val="26"/>
          <w:szCs w:val="26"/>
        </w:rPr>
        <w:t xml:space="preserve">Dear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Name or Title</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w:t>
      </w:r>
    </w:p>
    <w:p w:rsidR="00911580" w:rsidRPr="0072600F" w14:paraId="54F7B431" w14:textId="77777777">
      <w:pP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3DC8A633"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 xml:space="preserve">This letter is sent pursuant to the Multiparty Affected System Facilities Construction Agreement among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Transmission Provider</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and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Affected System Interconnection Customers</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dated ____________, 20___.</w:t>
      </w:r>
    </w:p>
    <w:p w:rsidR="00911580" w:rsidRPr="0072600F" w14:paraId="559CC9AB" w14:textId="77777777">
      <w:pPr>
        <w:ind w:left="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7AF18879"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 xml:space="preserve">On </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Date</w:t>
      </w:r>
      <w:r w:rsidRPr="0072600F" w:rsidR="0042166D">
        <w:rPr>
          <w:rFonts w:ascii="Times New Roman" w:hAnsi="Times New Roman" w:cs="Times New Roman"/>
          <w:color w:val="000000"/>
          <w:sz w:val="26"/>
          <w:szCs w:val="26"/>
        </w:rPr>
        <w:t>}</w:t>
      </w:r>
      <w:r w:rsidRPr="0072600F">
        <w:rPr>
          <w:rFonts w:ascii="Times New Roman" w:hAnsi="Times New Roman" w:cs="Times New Roman"/>
          <w:color w:val="000000"/>
          <w:sz w:val="26"/>
          <w:szCs w:val="26"/>
        </w:rPr>
        <w:t>, Transmission Provider completed to its satisfaction all work on the Affected System Network Upgrade(s) required to facilitate the safe and reliable interconnection and operation of Affected System Interconnection Customer’s generating facilities.  Transmission Provider</w:t>
      </w:r>
      <w:r w:rsidRPr="0072600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confirms that the Affected System Network Upgrade(s) are in place.</w:t>
      </w:r>
    </w:p>
    <w:p w:rsidR="00911580" w:rsidRPr="0072600F" w14:paraId="1F0D849E" w14:textId="77777777">
      <w:pPr>
        <w:ind w:left="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64A56236"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Thank you.</w:t>
      </w:r>
    </w:p>
    <w:p w:rsidR="00911580" w:rsidRPr="0072600F" w14:paraId="37B59007" w14:textId="77777777">
      <w:pPr>
        <w:ind w:left="720"/>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4B633149"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Signature</w:t>
      </w:r>
      <w:r w:rsidRPr="0072600F">
        <w:rPr>
          <w:rFonts w:ascii="Times New Roman" w:hAnsi="Times New Roman" w:cs="Times New Roman"/>
          <w:color w:val="000000"/>
          <w:sz w:val="26"/>
          <w:szCs w:val="26"/>
        </w:rPr>
        <w:t>}</w:t>
      </w:r>
    </w:p>
    <w:p w:rsidR="00911580" w:rsidRPr="0072600F" w14:paraId="3766A812" w14:textId="77777777">
      <w:pPr>
        <w:ind w:left="720"/>
        <w:rPr>
          <w:rFonts w:ascii="Times New Roman" w:hAnsi="Times New Roman" w:cs="Times New Roman"/>
          <w:sz w:val="26"/>
          <w:szCs w:val="26"/>
        </w:rPr>
      </w:pPr>
      <w:r w:rsidRPr="0072600F">
        <w:rPr>
          <w:rFonts w:ascii="Times New Roman" w:hAnsi="Times New Roman" w:cs="Times New Roman"/>
          <w:color w:val="000000"/>
          <w:sz w:val="26"/>
          <w:szCs w:val="26"/>
        </w:rPr>
        <w:t>{</w:t>
      </w:r>
      <w:r w:rsidRPr="0072600F">
        <w:rPr>
          <w:rFonts w:ascii="Times New Roman" w:hAnsi="Times New Roman" w:cs="Times New Roman"/>
          <w:color w:val="000000"/>
          <w:sz w:val="26"/>
          <w:szCs w:val="26"/>
        </w:rPr>
        <w:t>Transmission Provider Representative</w:t>
      </w:r>
      <w:r w:rsidRPr="0072600F">
        <w:rPr>
          <w:rFonts w:ascii="Times New Roman" w:hAnsi="Times New Roman" w:cs="Times New Roman"/>
          <w:color w:val="000000"/>
          <w:sz w:val="26"/>
          <w:szCs w:val="26"/>
        </w:rPr>
        <w:t>}</w:t>
      </w:r>
    </w:p>
    <w:p w:rsidR="00911580" w:rsidRPr="0072600F" w14:paraId="784A7940" w14:textId="77777777">
      <w:pP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br w:type="page"/>
      </w:r>
    </w:p>
    <w:p w:rsidR="00911580" w:rsidRPr="0072600F" w14:paraId="5C1A8DBA"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xml:space="preserve">Attachment C to Appendix 12 </w:t>
      </w:r>
    </w:p>
    <w:p w:rsidR="00911580" w:rsidRPr="0072600F" w14:paraId="01BBED9E" w14:textId="77777777">
      <w:pPr>
        <w:jc w:val="right"/>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Multiparty Affected System Facilities Construction Agreement</w:t>
      </w:r>
    </w:p>
    <w:p w:rsidR="00911580" w:rsidRPr="0072600F" w14:paraId="21978018" w14:textId="77777777">
      <w:pPr>
        <w:jc w:val="center"/>
        <w:rPr>
          <w:rFonts w:ascii="Times New Roman" w:hAnsi="Times New Roman" w:cs="Times New Roman"/>
          <w:sz w:val="26"/>
          <w:szCs w:val="26"/>
        </w:rPr>
      </w:pPr>
    </w:p>
    <w:p w:rsidR="00911580" w:rsidRPr="0072600F" w14:paraId="4C19ED51"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EXHIBITS</w:t>
      </w:r>
    </w:p>
    <w:p w:rsidR="00911580" w:rsidRPr="0072600F" w14:paraId="19B209AE" w14:textId="77777777">
      <w:pPr>
        <w:jc w:val="center"/>
        <w:rPr>
          <w:rFonts w:ascii="Times New Roman" w:hAnsi="Times New Roman" w:cs="Times New Roman"/>
          <w:sz w:val="26"/>
          <w:szCs w:val="26"/>
        </w:rPr>
      </w:pPr>
    </w:p>
    <w:p w:rsidR="00911580" w:rsidRPr="0072600F" w14:paraId="5E2A161A" w14:textId="77777777">
      <w:pPr>
        <w:jc w:val="center"/>
        <w:rPr>
          <w:rFonts w:ascii="Times New Roman" w:hAnsi="Times New Roman" w:cs="Times New Roman"/>
          <w:sz w:val="26"/>
          <w:szCs w:val="26"/>
        </w:rPr>
      </w:pPr>
      <w:r w:rsidRPr="0072600F">
        <w:rPr>
          <w:rFonts w:ascii="Times New Roman" w:hAnsi="Times New Roman" w:cs="Times New Roman"/>
          <w:color w:val="000000"/>
          <w:sz w:val="26"/>
          <w:szCs w:val="26"/>
        </w:rPr>
        <w:t>This Appendix C is a part of the Multiparty Affected System Facilities Construction Agreement among Affected System Interconnection Customers and Transmission Provider.</w:t>
      </w:r>
    </w:p>
    <w:p w:rsidR="00911580" w:rsidRPr="0072600F" w14:paraId="0F9EBEA3"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p w:rsidR="00911580" w:rsidRPr="0072600F" w14:paraId="580428D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A1</w:t>
      </w:r>
    </w:p>
    <w:p w:rsidR="00911580" w:rsidRPr="0072600F" w14:paraId="32A08239"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Transmission Provider Site Map</w:t>
      </w:r>
    </w:p>
    <w:p w:rsidR="00911580" w:rsidRPr="0072600F" w14:paraId="52B099AD"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5C045AF0"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A2</w:t>
      </w:r>
    </w:p>
    <w:p w:rsidR="00911580" w:rsidRPr="0072600F" w14:paraId="2E2181E7"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Site Plan</w:t>
      </w:r>
    </w:p>
    <w:p w:rsidR="00911580" w:rsidRPr="0072600F" w14:paraId="56815727"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3AF96403"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A3</w:t>
      </w:r>
    </w:p>
    <w:p w:rsidR="00911580" w:rsidRPr="0072600F" w14:paraId="0C7E8FB3"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Network Upgrade(s) Plan &amp; Profile</w:t>
      </w:r>
    </w:p>
    <w:p w:rsidR="00911580" w:rsidRPr="0072600F" w14:paraId="6E5B79E0"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465F7AE3"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Exhibit A4</w:t>
      </w:r>
    </w:p>
    <w:p w:rsidR="00911580" w:rsidRPr="0072600F" w14:paraId="57FA41B0"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Estimated Cost of Affected System</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 xml:space="preserve">Network Upgrade(s) </w:t>
      </w:r>
    </w:p>
    <w:p w:rsidR="00911580" w:rsidRPr="0072600F" w14:paraId="36B6D401"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p w:rsidR="00911580" w:rsidRPr="0072600F" w14:paraId="1EF006C1"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bl>
      <w:tblPr>
        <w:tblW w:w="0" w:type="auto"/>
        <w:tblCellMar>
          <w:top w:w="15" w:type="dxa"/>
          <w:left w:w="15" w:type="dxa"/>
          <w:bottom w:w="15" w:type="dxa"/>
          <w:right w:w="15" w:type="dxa"/>
        </w:tblCellMar>
        <w:tblLook w:val="04A0"/>
      </w:tblPr>
      <w:tblGrid>
        <w:gridCol w:w="720"/>
        <w:gridCol w:w="1230"/>
        <w:gridCol w:w="2400"/>
        <w:gridCol w:w="1182"/>
      </w:tblGrid>
      <w:tr w14:paraId="5FD955DA" w14:textId="77777777">
        <w:tblPrEx>
          <w:tblW w:w="0" w:type="auto"/>
          <w:tblCellMar>
            <w:top w:w="15" w:type="dxa"/>
            <w:left w:w="15" w:type="dxa"/>
            <w:bottom w:w="15" w:type="dxa"/>
            <w:right w:w="15" w:type="dxa"/>
          </w:tblCellMar>
          <w:tblLook w:val="04A0"/>
        </w:tblPrEx>
        <w:tc>
          <w:tcPr>
            <w:tcW w:w="720"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vAlign w:val="bottom"/>
            <w:hideMark/>
          </w:tcPr>
          <w:p w:rsidR="00911580" w:rsidRPr="0072600F" w14:paraId="793FCC2A"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c>
        <w:tc>
          <w:tcPr>
            <w:tcW w:w="1230" w:type="dxa"/>
            <w:tcBorders>
              <w:top w:val="single" w:sz="6" w:space="0" w:color="000000"/>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1F884DFD"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Location</w:t>
            </w:r>
          </w:p>
        </w:tc>
        <w:tc>
          <w:tcPr>
            <w:tcW w:w="2400" w:type="dxa"/>
            <w:tcBorders>
              <w:top w:val="single" w:sz="6" w:space="0" w:color="000000"/>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4B249796"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Facilities to Be Constructed by</w:t>
            </w:r>
            <w:r w:rsidRPr="0072600F">
              <w:rPr>
                <w:rFonts w:ascii="Times New Roman" w:hAnsi="Times New Roman" w:cs="Times New Roman"/>
                <w:color w:val="000000"/>
                <w:sz w:val="26"/>
                <w:szCs w:val="26"/>
              </w:rPr>
              <w:t xml:space="preserve"> </w:t>
            </w:r>
            <w:r w:rsidRPr="0072600F">
              <w:rPr>
                <w:rFonts w:ascii="Times New Roman" w:hAnsi="Times New Roman" w:cs="Times New Roman"/>
                <w:b/>
                <w:bCs/>
                <w:color w:val="000000"/>
                <w:sz w:val="26"/>
                <w:szCs w:val="26"/>
              </w:rPr>
              <w:t>Transmission Provider</w:t>
            </w:r>
          </w:p>
        </w:tc>
        <w:tc>
          <w:tcPr>
            <w:tcW w:w="645" w:type="dxa"/>
            <w:tcBorders>
              <w:top w:val="single" w:sz="6" w:space="0" w:color="000000"/>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55D82391" w14:textId="77777777">
            <w:pPr>
              <w:jc w:val="center"/>
              <w:rPr>
                <w:rFonts w:ascii="Times New Roman" w:hAnsi="Times New Roman" w:cs="Times New Roman"/>
                <w:sz w:val="26"/>
                <w:szCs w:val="26"/>
              </w:rPr>
            </w:pPr>
            <w:r w:rsidRPr="0072600F">
              <w:rPr>
                <w:rFonts w:ascii="Times New Roman" w:hAnsi="Times New Roman" w:cs="Times New Roman"/>
                <w:b/>
                <w:bCs/>
                <w:color w:val="000000"/>
                <w:sz w:val="26"/>
                <w:szCs w:val="26"/>
              </w:rPr>
              <w:t>Estimate in Dollars</w:t>
            </w:r>
          </w:p>
        </w:tc>
      </w:tr>
      <w:tr w14:paraId="0BD3DF4D" w14:textId="77777777">
        <w:tblPrEx>
          <w:tblW w:w="0" w:type="auto"/>
          <w:tblCellMar>
            <w:top w:w="15" w:type="dxa"/>
            <w:left w:w="15" w:type="dxa"/>
            <w:bottom w:w="15" w:type="dxa"/>
            <w:right w:w="15" w:type="dxa"/>
          </w:tblCellMar>
          <w:tblLook w:val="04A0"/>
        </w:tblPrEx>
        <w:tc>
          <w:tcPr>
            <w:tcW w:w="720" w:type="dxa"/>
            <w:tcBorders>
              <w:top w:val="nil"/>
              <w:left w:val="single" w:sz="6" w:space="0" w:color="000000"/>
              <w:bottom w:val="single" w:sz="6" w:space="0" w:color="000000"/>
              <w:right w:val="single" w:sz="6" w:space="0" w:color="000000"/>
            </w:tcBorders>
            <w:tcMar>
              <w:top w:w="15" w:type="dxa"/>
              <w:left w:w="100" w:type="dxa"/>
              <w:bottom w:w="15" w:type="dxa"/>
              <w:right w:w="100" w:type="dxa"/>
            </w:tcMar>
            <w:vAlign w:val="bottom"/>
            <w:hideMark/>
          </w:tcPr>
          <w:p w:rsidR="00911580" w:rsidRPr="0072600F" w14:paraId="2FBF86C8"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c>
        <w:tc>
          <w:tcPr>
            <w:tcW w:w="123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61A2606D" w14:textId="77777777">
            <w:pPr>
              <w:jc w:val="center"/>
              <w:rPr>
                <w:rFonts w:ascii="Times New Roman" w:hAnsi="Times New Roman" w:cs="Times New Roman"/>
                <w:b/>
                <w:bCs/>
                <w:color w:val="000000"/>
                <w:sz w:val="26"/>
                <w:szCs w:val="26"/>
              </w:rPr>
            </w:pPr>
            <w:r w:rsidRPr="0072600F">
              <w:rPr>
                <w:rFonts w:ascii="Times New Roman" w:hAnsi="Times New Roman" w:cs="Times New Roman"/>
                <w:b/>
                <w:bCs/>
                <w:color w:val="000000"/>
                <w:sz w:val="26"/>
                <w:szCs w:val="26"/>
              </w:rPr>
              <w:t> </w:t>
            </w:r>
          </w:p>
        </w:tc>
        <w:tc>
          <w:tcPr>
            <w:tcW w:w="240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2D5A1129"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645" w:type="dxa"/>
            <w:tcBorders>
              <w:top w:val="nil"/>
              <w:left w:val="nil"/>
              <w:bottom w:val="single" w:sz="6" w:space="0" w:color="000000"/>
              <w:right w:val="single" w:sz="6" w:space="0" w:color="000000"/>
            </w:tcBorders>
            <w:tcMar>
              <w:top w:w="15" w:type="dxa"/>
              <w:left w:w="100" w:type="dxa"/>
              <w:bottom w:w="15" w:type="dxa"/>
              <w:right w:w="100" w:type="dxa"/>
            </w:tcMar>
            <w:vAlign w:val="center"/>
            <w:hideMark/>
          </w:tcPr>
          <w:p w:rsidR="00911580" w:rsidRPr="0072600F" w14:paraId="73512A62"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r w14:paraId="437F8AD3" w14:textId="77777777">
        <w:tblPrEx>
          <w:tblW w:w="0" w:type="auto"/>
          <w:tblCellMar>
            <w:top w:w="15" w:type="dxa"/>
            <w:left w:w="15" w:type="dxa"/>
            <w:bottom w:w="15" w:type="dxa"/>
            <w:right w:w="15" w:type="dxa"/>
          </w:tblCellMar>
          <w:tblLook w:val="04A0"/>
        </w:tblPrEx>
        <w:tc>
          <w:tcPr>
            <w:tcW w:w="720" w:type="dxa"/>
            <w:tcBorders>
              <w:top w:val="nil"/>
              <w:left w:val="single" w:sz="6" w:space="0" w:color="000000"/>
              <w:bottom w:val="single" w:sz="6" w:space="0" w:color="000000"/>
              <w:right w:val="single" w:sz="6" w:space="0" w:color="000000"/>
            </w:tcBorders>
            <w:tcMar>
              <w:top w:w="15" w:type="dxa"/>
              <w:left w:w="100" w:type="dxa"/>
              <w:bottom w:w="15" w:type="dxa"/>
              <w:right w:w="100" w:type="dxa"/>
            </w:tcMar>
            <w:vAlign w:val="bottom"/>
            <w:hideMark/>
          </w:tcPr>
          <w:p w:rsidR="00911580" w:rsidRPr="0072600F" w14:paraId="5A2A3D73"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123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218452A0"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c>
          <w:tcPr>
            <w:tcW w:w="2400" w:type="dxa"/>
            <w:tcBorders>
              <w:top w:val="nil"/>
              <w:left w:val="nil"/>
              <w:bottom w:val="single" w:sz="6" w:space="0" w:color="000000"/>
              <w:right w:val="single" w:sz="6" w:space="0" w:color="000000"/>
            </w:tcBorders>
            <w:tcMar>
              <w:top w:w="15" w:type="dxa"/>
              <w:left w:w="100" w:type="dxa"/>
              <w:bottom w:w="15" w:type="dxa"/>
              <w:right w:w="100" w:type="dxa"/>
            </w:tcMar>
            <w:vAlign w:val="bottom"/>
            <w:hideMark/>
          </w:tcPr>
          <w:p w:rsidR="00911580" w:rsidRPr="0072600F" w14:paraId="6C62828A" w14:textId="77777777">
            <w:pPr>
              <w:jc w:val="right"/>
              <w:rPr>
                <w:rFonts w:ascii="Times New Roman" w:hAnsi="Times New Roman" w:cs="Times New Roman"/>
                <w:sz w:val="26"/>
                <w:szCs w:val="26"/>
              </w:rPr>
            </w:pPr>
            <w:r w:rsidRPr="0072600F">
              <w:rPr>
                <w:rFonts w:ascii="Times New Roman" w:hAnsi="Times New Roman" w:cs="Times New Roman"/>
                <w:b/>
                <w:bCs/>
                <w:color w:val="000000"/>
                <w:sz w:val="26"/>
                <w:szCs w:val="26"/>
              </w:rPr>
              <w:t>Total:</w:t>
            </w:r>
          </w:p>
        </w:tc>
        <w:tc>
          <w:tcPr>
            <w:tcW w:w="645" w:type="dxa"/>
            <w:tcBorders>
              <w:top w:val="nil"/>
              <w:left w:val="nil"/>
              <w:bottom w:val="single" w:sz="6" w:space="0" w:color="000000"/>
              <w:right w:val="single" w:sz="6" w:space="0" w:color="000000"/>
            </w:tcBorders>
            <w:tcMar>
              <w:top w:w="15" w:type="dxa"/>
              <w:left w:w="100" w:type="dxa"/>
              <w:bottom w:w="15" w:type="dxa"/>
              <w:right w:w="100" w:type="dxa"/>
            </w:tcMar>
            <w:vAlign w:val="center"/>
            <w:hideMark/>
          </w:tcPr>
          <w:p w:rsidR="00911580" w:rsidRPr="0072600F" w14:paraId="1A36CDBD" w14:textId="77777777">
            <w:pPr>
              <w:jc w:val="center"/>
              <w:rPr>
                <w:rFonts w:ascii="Times New Roman" w:hAnsi="Times New Roman" w:cs="Times New Roman"/>
                <w:color w:val="000000"/>
                <w:sz w:val="26"/>
                <w:szCs w:val="26"/>
              </w:rPr>
            </w:pPr>
            <w:r w:rsidRPr="0072600F">
              <w:rPr>
                <w:rFonts w:ascii="Times New Roman" w:hAnsi="Times New Roman" w:cs="Times New Roman"/>
                <w:color w:val="000000"/>
                <w:sz w:val="26"/>
                <w:szCs w:val="26"/>
              </w:rPr>
              <w:t> </w:t>
            </w:r>
          </w:p>
        </w:tc>
      </w:tr>
    </w:tbl>
    <w:p w:rsidR="00911580" w:rsidRPr="0072600F" w14:paraId="0EFD9F37" w14:textId="77777777">
      <w:pPr>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124231" w:rsidRPr="0072600F" w:rsidP="00124231" w14:paraId="32D1BD4D" w14:textId="77777777">
      <w:pPr>
        <w:pStyle w:val="Heading1"/>
        <w:rPr>
          <w:rFonts w:eastAsia="Calibri"/>
          <w:sz w:val="26"/>
          <w:szCs w:val="26"/>
        </w:rPr>
      </w:pPr>
      <w:r w:rsidRPr="0072600F">
        <w:rPr>
          <w:rFonts w:eastAsia="Calibri"/>
          <w:sz w:val="26"/>
          <w:szCs w:val="26"/>
        </w:rPr>
        <w:t xml:space="preserve">Appendix D:  </w:t>
      </w:r>
      <w:r w:rsidRPr="0072600F" w:rsidR="00F3594B">
        <w:rPr>
          <w:rFonts w:eastAsia="Calibri"/>
          <w:sz w:val="26"/>
          <w:szCs w:val="26"/>
        </w:rPr>
        <w:t xml:space="preserve">Changes to </w:t>
      </w:r>
      <w:r w:rsidRPr="0072600F" w:rsidR="00F3594B">
        <w:rPr>
          <w:rFonts w:eastAsia="Calibri"/>
          <w:i/>
          <w:iCs/>
          <w:sz w:val="26"/>
          <w:szCs w:val="26"/>
        </w:rPr>
        <w:t xml:space="preserve">pro forma </w:t>
      </w:r>
      <w:r w:rsidRPr="0072600F" w:rsidR="00F3594B">
        <w:rPr>
          <w:rFonts w:eastAsia="Calibri"/>
          <w:sz w:val="26"/>
          <w:szCs w:val="26"/>
        </w:rPr>
        <w:t xml:space="preserve">LGIA </w:t>
      </w:r>
    </w:p>
    <w:p w:rsidR="00F3594B" w:rsidRPr="0072600F" w14:paraId="3357EEEB" w14:textId="77777777">
      <w:pPr>
        <w:jc w:val="right"/>
        <w:rPr>
          <w:rFonts w:ascii="Times New Roman" w:hAnsi="Times New Roman" w:cs="Times New Roman"/>
          <w:b/>
          <w:bCs/>
          <w:sz w:val="26"/>
          <w:szCs w:val="26"/>
        </w:rPr>
      </w:pPr>
    </w:p>
    <w:p w:rsidR="00F3594B" w:rsidRPr="0072600F" w14:paraId="4F756CD6" w14:textId="77777777">
      <w:pPr>
        <w:jc w:val="right"/>
        <w:rPr>
          <w:rFonts w:ascii="Times New Roman" w:hAnsi="Times New Roman" w:cs="Times New Roman"/>
          <w:b/>
          <w:bCs/>
          <w:sz w:val="26"/>
          <w:szCs w:val="26"/>
        </w:rPr>
      </w:pPr>
      <w:r w:rsidRPr="0072600F">
        <w:rPr>
          <w:rFonts w:ascii="Times New Roman" w:hAnsi="Times New Roman" w:cs="Times New Roman"/>
          <w:b/>
          <w:bCs/>
          <w:sz w:val="26"/>
          <w:szCs w:val="26"/>
        </w:rPr>
        <w:t>Appendix 5 to the Standard Large</w:t>
      </w:r>
    </w:p>
    <w:p w:rsidR="00F3594B" w:rsidRPr="0072600F" w14:paraId="66DD21CF" w14:textId="77777777">
      <w:pPr>
        <w:jc w:val="right"/>
        <w:rPr>
          <w:rFonts w:ascii="Times New Roman" w:hAnsi="Times New Roman" w:cs="Times New Roman"/>
          <w:sz w:val="26"/>
          <w:szCs w:val="26"/>
        </w:rPr>
      </w:pPr>
      <w:r w:rsidRPr="0072600F">
        <w:rPr>
          <w:rFonts w:ascii="Times New Roman" w:hAnsi="Times New Roman" w:cs="Times New Roman"/>
          <w:b/>
          <w:bCs/>
          <w:sz w:val="26"/>
          <w:szCs w:val="26"/>
        </w:rPr>
        <w:t>Generator Interconnection Procedures</w:t>
      </w:r>
    </w:p>
    <w:p w:rsidR="00F3594B" w:rsidRPr="0072600F" w14:paraId="4C66FAC2" w14:textId="77777777">
      <w:pPr>
        <w:rPr>
          <w:rFonts w:ascii="Times New Roman" w:hAnsi="Times New Roman" w:cs="Times New Roman"/>
          <w:sz w:val="26"/>
          <w:szCs w:val="26"/>
        </w:rPr>
      </w:pPr>
    </w:p>
    <w:p w:rsidR="00F3594B" w:rsidRPr="0072600F" w14:paraId="25AEC848" w14:textId="77777777">
      <w:pPr>
        <w:rPr>
          <w:rFonts w:ascii="Times New Roman" w:hAnsi="Times New Roman" w:cs="Times New Roman"/>
          <w:sz w:val="26"/>
          <w:szCs w:val="26"/>
        </w:rPr>
      </w:pPr>
    </w:p>
    <w:p w:rsidR="00F3594B" w:rsidRPr="0072600F" w14:paraId="3D4649E6" w14:textId="77777777">
      <w:pPr>
        <w:rPr>
          <w:rFonts w:ascii="Times New Roman" w:hAnsi="Times New Roman" w:cs="Times New Roman"/>
          <w:sz w:val="26"/>
          <w:szCs w:val="26"/>
        </w:rPr>
      </w:pPr>
    </w:p>
    <w:p w:rsidR="00F3594B" w:rsidRPr="0072600F" w14:paraId="4C8DCAEE" w14:textId="77777777">
      <w:pPr>
        <w:rPr>
          <w:rFonts w:ascii="Times New Roman" w:hAnsi="Times New Roman" w:cs="Times New Roman"/>
          <w:sz w:val="26"/>
          <w:szCs w:val="26"/>
        </w:rPr>
      </w:pPr>
    </w:p>
    <w:p w:rsidR="00F3594B" w:rsidRPr="0072600F" w14:paraId="76AEE626" w14:textId="77777777">
      <w:pPr>
        <w:rPr>
          <w:rFonts w:ascii="Times New Roman" w:hAnsi="Times New Roman" w:cs="Times New Roman"/>
          <w:sz w:val="26"/>
          <w:szCs w:val="26"/>
        </w:rPr>
      </w:pPr>
    </w:p>
    <w:p w:rsidR="00F3594B" w:rsidRPr="0072600F" w14:paraId="2EC029E8" w14:textId="77777777">
      <w:pPr>
        <w:rPr>
          <w:rFonts w:ascii="Times New Roman" w:hAnsi="Times New Roman" w:cs="Times New Roman"/>
          <w:sz w:val="26"/>
          <w:szCs w:val="26"/>
        </w:rPr>
      </w:pPr>
    </w:p>
    <w:p w:rsidR="00F3594B" w:rsidRPr="0072600F" w14:paraId="1D14648D" w14:textId="77777777">
      <w:pPr>
        <w:rPr>
          <w:rFonts w:ascii="Times New Roman" w:hAnsi="Times New Roman" w:cs="Times New Roman"/>
          <w:sz w:val="26"/>
          <w:szCs w:val="26"/>
        </w:rPr>
      </w:pPr>
    </w:p>
    <w:p w:rsidR="00F3594B" w:rsidRPr="0072600F" w14:paraId="326242B3" w14:textId="77777777">
      <w:pPr>
        <w:rPr>
          <w:rFonts w:ascii="Times New Roman" w:hAnsi="Times New Roman" w:cs="Times New Roman"/>
          <w:sz w:val="26"/>
          <w:szCs w:val="26"/>
        </w:rPr>
      </w:pPr>
    </w:p>
    <w:p w:rsidR="00F3594B" w:rsidRPr="0072600F" w14:paraId="7EA59FD2" w14:textId="77777777">
      <w:pPr>
        <w:rPr>
          <w:rFonts w:ascii="Times New Roman" w:hAnsi="Times New Roman" w:cs="Times New Roman"/>
          <w:sz w:val="26"/>
          <w:szCs w:val="26"/>
        </w:rPr>
      </w:pPr>
    </w:p>
    <w:p w:rsidR="00F3594B" w:rsidRPr="0072600F" w14:paraId="32F1307A" w14:textId="77777777">
      <w:pPr>
        <w:rPr>
          <w:rFonts w:ascii="Times New Roman" w:hAnsi="Times New Roman" w:cs="Times New Roman"/>
          <w:sz w:val="26"/>
          <w:szCs w:val="26"/>
        </w:rPr>
      </w:pPr>
    </w:p>
    <w:p w:rsidR="00F3594B" w:rsidRPr="0072600F" w14:paraId="69DD9574" w14:textId="77777777">
      <w:pPr>
        <w:rPr>
          <w:rFonts w:ascii="Times New Roman" w:hAnsi="Times New Roman" w:cs="Times New Roman"/>
          <w:b/>
          <w:bCs/>
          <w:sz w:val="26"/>
          <w:szCs w:val="26"/>
        </w:rPr>
      </w:pPr>
    </w:p>
    <w:p w:rsidR="00F3594B" w:rsidRPr="0072600F" w14:paraId="74BB7AE0"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STANDARD LARGE GENERATOR</w:t>
      </w:r>
    </w:p>
    <w:p w:rsidR="00F3594B" w:rsidRPr="0072600F" w14:paraId="5765C741"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 xml:space="preserve"> </w:t>
      </w:r>
    </w:p>
    <w:p w:rsidR="00F3594B" w:rsidRPr="0072600F" w14:paraId="7699E765" w14:textId="77777777">
      <w:pPr>
        <w:jc w:val="center"/>
        <w:rPr>
          <w:rFonts w:ascii="Times New Roman" w:hAnsi="Times New Roman" w:cs="Times New Roman"/>
          <w:b/>
          <w:color w:val="FF0000"/>
          <w:sz w:val="26"/>
          <w:szCs w:val="26"/>
        </w:rPr>
        <w:sectPr w:rsidSect="00004189">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1440" w:footer="1440" w:gutter="0"/>
          <w:pgNumType w:fmt="lowerRoman" w:start="1"/>
          <w:cols w:space="720"/>
        </w:sectPr>
      </w:pPr>
      <w:r w:rsidRPr="0072600F">
        <w:rPr>
          <w:rFonts w:ascii="Times New Roman" w:hAnsi="Times New Roman" w:cs="Times New Roman"/>
          <w:b/>
          <w:bCs/>
          <w:sz w:val="26"/>
          <w:szCs w:val="26"/>
        </w:rPr>
        <w:t>INTERCONNECTION AGREEMENT (LGIA)</w:t>
      </w:r>
    </w:p>
    <w:p w:rsidR="00F3594B" w:rsidRPr="0072600F" w14:paraId="094F0548"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TABLE OF CONTENTS</w:t>
      </w:r>
    </w:p>
    <w:p w:rsidR="00F3594B" w:rsidRPr="0072600F" w14:paraId="378A4ABD" w14:textId="77777777">
      <w:pPr>
        <w:rPr>
          <w:rFonts w:ascii="Times New Roman" w:hAnsi="Times New Roman" w:cs="Times New Roman"/>
          <w:sz w:val="26"/>
          <w:szCs w:val="26"/>
        </w:rPr>
      </w:pPr>
    </w:p>
    <w:p w:rsidR="00F3594B" w:rsidRPr="0072600F" w14:paraId="4F61F53F" w14:textId="77777777">
      <w:pPr>
        <w:jc w:val="right"/>
        <w:rPr>
          <w:rFonts w:ascii="Times New Roman" w:hAnsi="Times New Roman" w:cs="Times New Roman"/>
          <w:b/>
          <w:sz w:val="26"/>
          <w:szCs w:val="26"/>
        </w:rPr>
      </w:pPr>
      <w:r w:rsidRPr="0072600F">
        <w:rPr>
          <w:rFonts w:ascii="Times New Roman" w:hAnsi="Times New Roman" w:cs="Times New Roman"/>
          <w:b/>
          <w:sz w:val="26"/>
          <w:szCs w:val="26"/>
        </w:rPr>
        <w:t>Page</w:t>
      </w:r>
    </w:p>
    <w:sdt>
      <w:sdtPr>
        <w:rPr>
          <w:rFonts w:asciiTheme="minorHAnsi" w:eastAsiaTheme="minorEastAsia" w:hAnsiTheme="minorHAnsi" w:cstheme="minorBidi"/>
          <w:b w:val="0"/>
          <w:bCs w:val="0"/>
          <w:noProof w:val="0"/>
          <w:sz w:val="26"/>
          <w:szCs w:val="26"/>
        </w:rPr>
        <w:id w:val="1677157445"/>
        <w:docPartObj>
          <w:docPartGallery w:val="Table of Contents"/>
          <w:docPartUnique/>
        </w:docPartObj>
      </w:sdtPr>
      <w:sdtContent>
        <w:p w:rsidR="00F3594B" w:rsidRPr="0072600F" w14:paraId="7C0A61C0" w14:textId="77777777">
          <w:pPr>
            <w:pStyle w:val="TOC1"/>
            <w:rPr>
              <w:rFonts w:eastAsiaTheme="minorEastAsia"/>
              <w:b w:val="0"/>
              <w:bCs w:val="0"/>
              <w:sz w:val="26"/>
              <w:szCs w:val="26"/>
            </w:rPr>
          </w:pPr>
          <w:r w:rsidRPr="0072600F">
            <w:rPr>
              <w:b w:val="0"/>
              <w:bCs w:val="0"/>
              <w:sz w:val="26"/>
              <w:szCs w:val="26"/>
            </w:rPr>
            <w:fldChar w:fldCharType="begin"/>
          </w:r>
          <w:r w:rsidRPr="0072600F">
            <w:rPr>
              <w:b w:val="0"/>
              <w:bCs w:val="0"/>
              <w:sz w:val="26"/>
              <w:szCs w:val="26"/>
            </w:rPr>
            <w:instrText xml:space="preserve"> TOC \o "1-3" \h \z \u </w:instrText>
          </w:r>
          <w:r w:rsidRPr="0072600F">
            <w:rPr>
              <w:b w:val="0"/>
              <w:bCs w:val="0"/>
              <w:sz w:val="26"/>
              <w:szCs w:val="26"/>
            </w:rPr>
            <w:fldChar w:fldCharType="separate"/>
          </w:r>
          <w:hyperlink w:anchor="_Toc148703278" w:history="1">
            <w:r w:rsidRPr="0072600F">
              <w:rPr>
                <w:rStyle w:val="Hyperlink"/>
                <w:sz w:val="26"/>
                <w:szCs w:val="26"/>
              </w:rPr>
              <w:t>Recitals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_Toc148703278 \h </w:instrText>
            </w:r>
            <w:r w:rsidRPr="0072600F">
              <w:rPr>
                <w:webHidden/>
                <w:sz w:val="26"/>
                <w:szCs w:val="26"/>
              </w:rPr>
              <w:fldChar w:fldCharType="separate"/>
            </w:r>
            <w:r w:rsidR="00C46123">
              <w:rPr>
                <w:webHidden/>
                <w:sz w:val="26"/>
                <w:szCs w:val="26"/>
              </w:rPr>
              <w:t>- 1 -</w:t>
            </w:r>
            <w:r w:rsidRPr="0072600F">
              <w:rPr>
                <w:webHidden/>
                <w:sz w:val="26"/>
                <w:szCs w:val="26"/>
              </w:rPr>
              <w:fldChar w:fldCharType="end"/>
            </w:r>
          </w:hyperlink>
        </w:p>
        <w:p w:rsidR="00F3594B" w:rsidRPr="0072600F" w14:paraId="35550A39" w14:textId="77777777">
          <w:pPr>
            <w:pStyle w:val="TOC1"/>
            <w:tabs>
              <w:tab w:val="left" w:pos="1000"/>
            </w:tabs>
            <w:rPr>
              <w:rFonts w:eastAsiaTheme="minorEastAsia"/>
              <w:sz w:val="26"/>
              <w:szCs w:val="26"/>
            </w:rPr>
          </w:pPr>
          <w:hyperlink w:anchor="_Toc148703279" w:history="1">
            <w:r w:rsidRPr="0072600F">
              <w:rPr>
                <w:rStyle w:val="Hyperlink"/>
                <w:sz w:val="26"/>
                <w:szCs w:val="26"/>
              </w:rPr>
              <w:t>Article 1.</w:t>
            </w:r>
            <w:r w:rsidRPr="0072600F">
              <w:rPr>
                <w:rFonts w:eastAsiaTheme="minorEastAsia"/>
                <w:sz w:val="26"/>
                <w:szCs w:val="26"/>
              </w:rPr>
              <w:t xml:space="preserve"> </w:t>
            </w:r>
            <w:r w:rsidRPr="0072600F">
              <w:rPr>
                <w:rStyle w:val="Hyperlink"/>
                <w:sz w:val="26"/>
                <w:szCs w:val="26"/>
              </w:rPr>
              <w:t>Definitions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_Toc148703279 \h </w:instrText>
            </w:r>
            <w:r w:rsidRPr="0072600F">
              <w:rPr>
                <w:webHidden/>
                <w:sz w:val="26"/>
                <w:szCs w:val="26"/>
              </w:rPr>
              <w:fldChar w:fldCharType="separate"/>
            </w:r>
            <w:r w:rsidR="00C46123">
              <w:rPr>
                <w:webHidden/>
                <w:sz w:val="26"/>
                <w:szCs w:val="26"/>
              </w:rPr>
              <w:t>- 3 -</w:t>
            </w:r>
            <w:r w:rsidRPr="0072600F">
              <w:rPr>
                <w:webHidden/>
                <w:sz w:val="26"/>
                <w:szCs w:val="26"/>
              </w:rPr>
              <w:fldChar w:fldCharType="end"/>
            </w:r>
          </w:hyperlink>
        </w:p>
        <w:p w:rsidR="00F3594B" w:rsidRPr="0072600F" w14:paraId="1A75EFC5" w14:textId="77777777">
          <w:pPr>
            <w:pStyle w:val="TOC1"/>
            <w:tabs>
              <w:tab w:val="left" w:pos="1000"/>
            </w:tabs>
            <w:rPr>
              <w:rFonts w:eastAsiaTheme="minorEastAsia"/>
              <w:sz w:val="26"/>
              <w:szCs w:val="26"/>
            </w:rPr>
          </w:pPr>
          <w:hyperlink w:anchor="_Toc148703280" w:history="1">
            <w:r w:rsidRPr="0072600F">
              <w:rPr>
                <w:rStyle w:val="Hyperlink"/>
                <w:sz w:val="26"/>
                <w:szCs w:val="26"/>
              </w:rPr>
              <w:t>Article 2.</w:t>
            </w:r>
            <w:r w:rsidRPr="0072600F">
              <w:rPr>
                <w:rFonts w:eastAsiaTheme="minorEastAsia"/>
                <w:sz w:val="26"/>
                <w:szCs w:val="26"/>
              </w:rPr>
              <w:t xml:space="preserve"> </w:t>
            </w:r>
            <w:r w:rsidRPr="0072600F">
              <w:rPr>
                <w:rStyle w:val="Hyperlink"/>
                <w:sz w:val="26"/>
                <w:szCs w:val="26"/>
              </w:rPr>
              <w:t>Effective Date, Term, and Termination</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_Toc148703280 \h </w:instrText>
            </w:r>
            <w:r w:rsidRPr="0072600F">
              <w:rPr>
                <w:webHidden/>
                <w:sz w:val="26"/>
                <w:szCs w:val="26"/>
              </w:rPr>
              <w:fldChar w:fldCharType="separate"/>
            </w:r>
            <w:r w:rsidR="00C46123">
              <w:rPr>
                <w:webHidden/>
                <w:sz w:val="26"/>
                <w:szCs w:val="26"/>
              </w:rPr>
              <w:t>- 14 -</w:t>
            </w:r>
            <w:r w:rsidRPr="0072600F">
              <w:rPr>
                <w:webHidden/>
                <w:sz w:val="26"/>
                <w:szCs w:val="26"/>
              </w:rPr>
              <w:fldChar w:fldCharType="end"/>
            </w:r>
          </w:hyperlink>
        </w:p>
        <w:p w:rsidR="00F3594B" w:rsidRPr="0072600F" w14:paraId="397C21D9" w14:textId="77777777">
          <w:pPr>
            <w:pStyle w:val="TOC2"/>
            <w:rPr>
              <w:rFonts w:eastAsiaTheme="minorEastAsia"/>
              <w:b/>
              <w:bCs/>
              <w:i/>
              <w:iCs/>
              <w:noProof/>
              <w:sz w:val="26"/>
              <w:szCs w:val="26"/>
            </w:rPr>
          </w:pPr>
          <w:hyperlink w:anchor="_Toc148703281" w:history="1">
            <w:r w:rsidRPr="0072600F">
              <w:rPr>
                <w:rStyle w:val="Hyperlink"/>
                <w:noProof/>
                <w:sz w:val="26"/>
                <w:szCs w:val="26"/>
              </w:rPr>
              <w:t>2.1</w:t>
            </w:r>
            <w:r w:rsidRPr="0072600F">
              <w:rPr>
                <w:rFonts w:eastAsiaTheme="minorEastAsia"/>
                <w:noProof/>
                <w:sz w:val="26"/>
                <w:szCs w:val="26"/>
              </w:rPr>
              <w:tab/>
            </w:r>
            <w:r w:rsidRPr="0072600F">
              <w:rPr>
                <w:rStyle w:val="Hyperlink"/>
                <w:noProof/>
                <w:sz w:val="26"/>
                <w:szCs w:val="26"/>
              </w:rPr>
              <w:t>Effective Date.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_Toc148703281 \h </w:instrText>
            </w:r>
            <w:r w:rsidRPr="0072600F">
              <w:rPr>
                <w:b/>
                <w:bCs/>
                <w:i/>
                <w:iCs/>
                <w:noProof/>
                <w:webHidden/>
                <w:sz w:val="26"/>
                <w:szCs w:val="26"/>
              </w:rPr>
              <w:fldChar w:fldCharType="separate"/>
            </w:r>
            <w:r w:rsidR="00C46123">
              <w:rPr>
                <w:noProof/>
                <w:webHidden/>
                <w:sz w:val="26"/>
                <w:szCs w:val="26"/>
              </w:rPr>
              <w:t>- 14 -</w:t>
            </w:r>
            <w:r w:rsidRPr="0072600F">
              <w:rPr>
                <w:b/>
                <w:bCs/>
                <w:i/>
                <w:iCs/>
                <w:noProof/>
                <w:webHidden/>
                <w:sz w:val="26"/>
                <w:szCs w:val="26"/>
              </w:rPr>
              <w:fldChar w:fldCharType="end"/>
            </w:r>
          </w:hyperlink>
        </w:p>
        <w:p w:rsidR="00F3594B" w:rsidRPr="0072600F" w14:paraId="6A2B4E08" w14:textId="77777777">
          <w:pPr>
            <w:pStyle w:val="TOC2"/>
            <w:rPr>
              <w:rFonts w:eastAsiaTheme="minorEastAsia"/>
              <w:b/>
              <w:bCs/>
              <w:i/>
              <w:iCs/>
              <w:noProof/>
              <w:sz w:val="26"/>
              <w:szCs w:val="26"/>
            </w:rPr>
          </w:pPr>
          <w:hyperlink w:anchor="_Toc148703282" w:history="1">
            <w:r w:rsidRPr="0072600F">
              <w:rPr>
                <w:rStyle w:val="Hyperlink"/>
                <w:noProof/>
                <w:sz w:val="26"/>
                <w:szCs w:val="26"/>
              </w:rPr>
              <w:t>2.2</w:t>
            </w:r>
            <w:r w:rsidRPr="0072600F">
              <w:rPr>
                <w:rFonts w:eastAsiaTheme="minorEastAsia"/>
                <w:noProof/>
                <w:sz w:val="26"/>
                <w:szCs w:val="26"/>
              </w:rPr>
              <w:tab/>
            </w:r>
            <w:r w:rsidRPr="0072600F">
              <w:rPr>
                <w:rStyle w:val="Hyperlink"/>
                <w:noProof/>
                <w:sz w:val="26"/>
                <w:szCs w:val="26"/>
              </w:rPr>
              <w:t>Term of Agreement.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_Toc148703282 \h </w:instrText>
            </w:r>
            <w:r w:rsidRPr="0072600F">
              <w:rPr>
                <w:b/>
                <w:bCs/>
                <w:i/>
                <w:iCs/>
                <w:noProof/>
                <w:webHidden/>
                <w:sz w:val="26"/>
                <w:szCs w:val="26"/>
              </w:rPr>
              <w:fldChar w:fldCharType="separate"/>
            </w:r>
            <w:r w:rsidR="00C46123">
              <w:rPr>
                <w:noProof/>
                <w:webHidden/>
                <w:sz w:val="26"/>
                <w:szCs w:val="26"/>
              </w:rPr>
              <w:t>- 14 -</w:t>
            </w:r>
            <w:r w:rsidRPr="0072600F">
              <w:rPr>
                <w:b/>
                <w:bCs/>
                <w:i/>
                <w:iCs/>
                <w:noProof/>
                <w:webHidden/>
                <w:sz w:val="26"/>
                <w:szCs w:val="26"/>
              </w:rPr>
              <w:fldChar w:fldCharType="end"/>
            </w:r>
          </w:hyperlink>
        </w:p>
        <w:p w:rsidR="00F3594B" w:rsidRPr="0072600F" w14:paraId="1A5D7EB2" w14:textId="77777777">
          <w:pPr>
            <w:pStyle w:val="TOC2"/>
            <w:rPr>
              <w:rFonts w:eastAsiaTheme="minorEastAsia"/>
              <w:b/>
              <w:bCs/>
              <w:i/>
              <w:iCs/>
              <w:noProof/>
              <w:sz w:val="26"/>
              <w:szCs w:val="26"/>
            </w:rPr>
          </w:pPr>
          <w:hyperlink w:anchor="_Toc148703283" w:history="1">
            <w:r w:rsidRPr="0072600F">
              <w:rPr>
                <w:rStyle w:val="Hyperlink"/>
                <w:noProof/>
                <w:sz w:val="26"/>
                <w:szCs w:val="26"/>
              </w:rPr>
              <w:t>2.3</w:t>
            </w:r>
            <w:r w:rsidRPr="0072600F">
              <w:rPr>
                <w:rFonts w:eastAsiaTheme="minorEastAsia"/>
                <w:noProof/>
                <w:sz w:val="26"/>
                <w:szCs w:val="26"/>
              </w:rPr>
              <w:tab/>
            </w:r>
            <w:r w:rsidRPr="0072600F">
              <w:rPr>
                <w:rStyle w:val="Hyperlink"/>
                <w:noProof/>
                <w:sz w:val="26"/>
                <w:szCs w:val="26"/>
              </w:rPr>
              <w:t>Termination Procedures.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_Toc148703283 \h </w:instrText>
            </w:r>
            <w:r w:rsidRPr="0072600F">
              <w:rPr>
                <w:b/>
                <w:bCs/>
                <w:i/>
                <w:iCs/>
                <w:noProof/>
                <w:webHidden/>
                <w:sz w:val="26"/>
                <w:szCs w:val="26"/>
              </w:rPr>
              <w:fldChar w:fldCharType="separate"/>
            </w:r>
            <w:r w:rsidR="00C46123">
              <w:rPr>
                <w:noProof/>
                <w:webHidden/>
                <w:sz w:val="26"/>
                <w:szCs w:val="26"/>
              </w:rPr>
              <w:t>- 14 -</w:t>
            </w:r>
            <w:r w:rsidRPr="0072600F">
              <w:rPr>
                <w:b/>
                <w:bCs/>
                <w:i/>
                <w:iCs/>
                <w:noProof/>
                <w:webHidden/>
                <w:sz w:val="26"/>
                <w:szCs w:val="26"/>
              </w:rPr>
              <w:fldChar w:fldCharType="end"/>
            </w:r>
          </w:hyperlink>
        </w:p>
        <w:p w:rsidR="00F3594B" w:rsidRPr="0072600F" w14:paraId="0FD23AD3" w14:textId="77777777">
          <w:pPr>
            <w:pStyle w:val="TOC3"/>
            <w:tabs>
              <w:tab w:val="left" w:pos="1200"/>
              <w:tab w:val="right" w:leader="dot" w:pos="9350"/>
            </w:tabs>
            <w:rPr>
              <w:rFonts w:eastAsiaTheme="minorEastAsia"/>
              <w:noProof/>
              <w:sz w:val="26"/>
              <w:szCs w:val="26"/>
            </w:rPr>
          </w:pPr>
          <w:hyperlink w:anchor="_Toc148703284" w:history="1">
            <w:r w:rsidRPr="0072600F">
              <w:rPr>
                <w:rStyle w:val="Hyperlink"/>
                <w:noProof/>
                <w:sz w:val="26"/>
                <w:szCs w:val="26"/>
              </w:rPr>
              <w:t>2.3.1</w:t>
            </w:r>
            <w:r w:rsidRPr="0072600F">
              <w:rPr>
                <w:rFonts w:eastAsiaTheme="minorEastAsia"/>
                <w:noProof/>
                <w:sz w:val="26"/>
                <w:szCs w:val="26"/>
              </w:rPr>
              <w:tab/>
            </w:r>
            <w:r w:rsidRPr="0072600F">
              <w:rPr>
                <w:rStyle w:val="Hyperlink"/>
                <w:noProof/>
                <w:sz w:val="26"/>
                <w:szCs w:val="26"/>
              </w:rPr>
              <w:t>Written Notice.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_Toc148703284 \h </w:instrText>
            </w:r>
            <w:r w:rsidRPr="0072600F">
              <w:rPr>
                <w:noProof/>
                <w:webHidden/>
                <w:sz w:val="26"/>
                <w:szCs w:val="26"/>
              </w:rPr>
              <w:fldChar w:fldCharType="separate"/>
            </w:r>
            <w:r w:rsidR="00C46123">
              <w:rPr>
                <w:noProof/>
                <w:webHidden/>
                <w:sz w:val="26"/>
                <w:szCs w:val="26"/>
              </w:rPr>
              <w:t>- 14 -</w:t>
            </w:r>
            <w:r w:rsidRPr="0072600F">
              <w:rPr>
                <w:noProof/>
                <w:webHidden/>
                <w:sz w:val="26"/>
                <w:szCs w:val="26"/>
              </w:rPr>
              <w:fldChar w:fldCharType="end"/>
            </w:r>
          </w:hyperlink>
        </w:p>
        <w:p w:rsidR="00F3594B" w:rsidRPr="0072600F" w14:paraId="0F27610F" w14:textId="77777777">
          <w:pPr>
            <w:pStyle w:val="TOC3"/>
            <w:tabs>
              <w:tab w:val="left" w:pos="1200"/>
              <w:tab w:val="right" w:leader="dot" w:pos="9350"/>
            </w:tabs>
            <w:rPr>
              <w:rFonts w:eastAsiaTheme="minorEastAsia"/>
              <w:noProof/>
              <w:sz w:val="26"/>
              <w:szCs w:val="26"/>
            </w:rPr>
          </w:pPr>
          <w:hyperlink w:anchor="_Toc148703285" w:history="1">
            <w:r w:rsidRPr="0072600F">
              <w:rPr>
                <w:rStyle w:val="Hyperlink"/>
                <w:noProof/>
                <w:sz w:val="26"/>
                <w:szCs w:val="26"/>
              </w:rPr>
              <w:t>2.3.2</w:t>
            </w:r>
            <w:r w:rsidRPr="0072600F">
              <w:rPr>
                <w:rFonts w:eastAsiaTheme="minorEastAsia"/>
                <w:noProof/>
                <w:sz w:val="26"/>
                <w:szCs w:val="26"/>
              </w:rPr>
              <w:tab/>
            </w:r>
            <w:r w:rsidRPr="0072600F">
              <w:rPr>
                <w:rStyle w:val="Hyperlink"/>
                <w:noProof/>
                <w:sz w:val="26"/>
                <w:szCs w:val="26"/>
              </w:rPr>
              <w:t>Default.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_Toc148703285 \h </w:instrText>
            </w:r>
            <w:r w:rsidRPr="0072600F">
              <w:rPr>
                <w:noProof/>
                <w:webHidden/>
                <w:sz w:val="26"/>
                <w:szCs w:val="26"/>
              </w:rPr>
              <w:fldChar w:fldCharType="separate"/>
            </w:r>
            <w:r w:rsidR="00C46123">
              <w:rPr>
                <w:noProof/>
                <w:webHidden/>
                <w:sz w:val="26"/>
                <w:szCs w:val="26"/>
              </w:rPr>
              <w:t>- 14 -</w:t>
            </w:r>
            <w:r w:rsidRPr="0072600F">
              <w:rPr>
                <w:noProof/>
                <w:webHidden/>
                <w:sz w:val="26"/>
                <w:szCs w:val="26"/>
              </w:rPr>
              <w:fldChar w:fldCharType="end"/>
            </w:r>
          </w:hyperlink>
        </w:p>
        <w:p w:rsidR="00F3594B" w:rsidRPr="0072600F" w14:paraId="74C33CF6" w14:textId="77777777">
          <w:pPr>
            <w:pStyle w:val="TOC2"/>
            <w:rPr>
              <w:rFonts w:eastAsiaTheme="minorEastAsia"/>
              <w:b/>
              <w:bCs/>
              <w:i/>
              <w:iCs/>
              <w:noProof/>
              <w:sz w:val="26"/>
              <w:szCs w:val="26"/>
            </w:rPr>
          </w:pPr>
          <w:hyperlink w:anchor="_Toc148703286" w:history="1">
            <w:r w:rsidRPr="0072600F">
              <w:rPr>
                <w:rStyle w:val="Hyperlink"/>
                <w:noProof/>
                <w:sz w:val="26"/>
                <w:szCs w:val="26"/>
              </w:rPr>
              <w:t>2.4</w:t>
            </w:r>
            <w:r w:rsidRPr="0072600F">
              <w:rPr>
                <w:rFonts w:eastAsiaTheme="minorEastAsia"/>
                <w:noProof/>
                <w:sz w:val="26"/>
                <w:szCs w:val="26"/>
              </w:rPr>
              <w:tab/>
            </w:r>
            <w:r w:rsidRPr="0072600F">
              <w:rPr>
                <w:rStyle w:val="Hyperlink"/>
                <w:noProof/>
                <w:sz w:val="26"/>
                <w:szCs w:val="26"/>
              </w:rPr>
              <w:t>Termination Costs.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_Toc148703286 \h </w:instrText>
            </w:r>
            <w:r w:rsidRPr="0072600F">
              <w:rPr>
                <w:b/>
                <w:bCs/>
                <w:i/>
                <w:iCs/>
                <w:noProof/>
                <w:webHidden/>
                <w:sz w:val="26"/>
                <w:szCs w:val="26"/>
              </w:rPr>
              <w:fldChar w:fldCharType="separate"/>
            </w:r>
            <w:r w:rsidR="00C46123">
              <w:rPr>
                <w:noProof/>
                <w:webHidden/>
                <w:sz w:val="26"/>
                <w:szCs w:val="26"/>
              </w:rPr>
              <w:t>- 15 -</w:t>
            </w:r>
            <w:r w:rsidRPr="0072600F">
              <w:rPr>
                <w:b/>
                <w:bCs/>
                <w:i/>
                <w:iCs/>
                <w:noProof/>
                <w:webHidden/>
                <w:sz w:val="26"/>
                <w:szCs w:val="26"/>
              </w:rPr>
              <w:fldChar w:fldCharType="end"/>
            </w:r>
          </w:hyperlink>
        </w:p>
        <w:p w:rsidR="00F3594B" w:rsidRPr="0072600F" w14:paraId="01069245" w14:textId="77777777">
          <w:pPr>
            <w:pStyle w:val="TOC2"/>
            <w:rPr>
              <w:rFonts w:eastAsiaTheme="minorEastAsia"/>
              <w:b/>
              <w:bCs/>
              <w:i/>
              <w:iCs/>
              <w:noProof/>
              <w:sz w:val="26"/>
              <w:szCs w:val="26"/>
            </w:rPr>
          </w:pPr>
          <w:hyperlink w:anchor="_Toc148703287" w:history="1">
            <w:r w:rsidRPr="0072600F">
              <w:rPr>
                <w:rStyle w:val="Hyperlink"/>
                <w:noProof/>
                <w:sz w:val="26"/>
                <w:szCs w:val="26"/>
              </w:rPr>
              <w:t>2.5</w:t>
            </w:r>
            <w:r w:rsidRPr="0072600F">
              <w:rPr>
                <w:rFonts w:eastAsiaTheme="minorEastAsia"/>
                <w:noProof/>
                <w:sz w:val="26"/>
                <w:szCs w:val="26"/>
              </w:rPr>
              <w:tab/>
            </w:r>
            <w:r w:rsidRPr="0072600F">
              <w:rPr>
                <w:rStyle w:val="Hyperlink"/>
                <w:noProof/>
                <w:sz w:val="26"/>
                <w:szCs w:val="26"/>
              </w:rPr>
              <w:t>Disconnection.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_Toc148703287 \h </w:instrText>
            </w:r>
            <w:r w:rsidRPr="0072600F">
              <w:rPr>
                <w:b/>
                <w:bCs/>
                <w:i/>
                <w:iCs/>
                <w:noProof/>
                <w:webHidden/>
                <w:sz w:val="26"/>
                <w:szCs w:val="26"/>
              </w:rPr>
              <w:fldChar w:fldCharType="separate"/>
            </w:r>
            <w:r w:rsidR="00C46123">
              <w:rPr>
                <w:noProof/>
                <w:webHidden/>
                <w:sz w:val="26"/>
                <w:szCs w:val="26"/>
              </w:rPr>
              <w:t>- 16 -</w:t>
            </w:r>
            <w:r w:rsidRPr="0072600F">
              <w:rPr>
                <w:b/>
                <w:bCs/>
                <w:i/>
                <w:iCs/>
                <w:noProof/>
                <w:webHidden/>
                <w:sz w:val="26"/>
                <w:szCs w:val="26"/>
              </w:rPr>
              <w:fldChar w:fldCharType="end"/>
            </w:r>
          </w:hyperlink>
        </w:p>
        <w:p w:rsidR="00F3594B" w:rsidRPr="0072600F" w14:paraId="74261FEE" w14:textId="77777777">
          <w:pPr>
            <w:pStyle w:val="TOC2"/>
            <w:rPr>
              <w:rFonts w:eastAsiaTheme="minorEastAsia"/>
              <w:b/>
              <w:bCs/>
              <w:i/>
              <w:iCs/>
              <w:noProof/>
              <w:sz w:val="26"/>
              <w:szCs w:val="26"/>
            </w:rPr>
          </w:pPr>
          <w:hyperlink w:anchor="_Toc148703288" w:history="1">
            <w:r w:rsidRPr="0072600F">
              <w:rPr>
                <w:rStyle w:val="Hyperlink"/>
                <w:noProof/>
                <w:sz w:val="26"/>
                <w:szCs w:val="26"/>
              </w:rPr>
              <w:t>2.6</w:t>
            </w:r>
            <w:r w:rsidRPr="0072600F">
              <w:rPr>
                <w:rFonts w:eastAsiaTheme="minorEastAsia"/>
                <w:noProof/>
                <w:sz w:val="26"/>
                <w:szCs w:val="26"/>
              </w:rPr>
              <w:tab/>
            </w:r>
            <w:r w:rsidRPr="0072600F">
              <w:rPr>
                <w:rStyle w:val="Hyperlink"/>
                <w:noProof/>
                <w:sz w:val="26"/>
                <w:szCs w:val="26"/>
              </w:rPr>
              <w:t>Survival.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_Toc148703288 \h </w:instrText>
            </w:r>
            <w:r w:rsidRPr="0072600F">
              <w:rPr>
                <w:b/>
                <w:bCs/>
                <w:i/>
                <w:iCs/>
                <w:noProof/>
                <w:webHidden/>
                <w:sz w:val="26"/>
                <w:szCs w:val="26"/>
              </w:rPr>
              <w:fldChar w:fldCharType="separate"/>
            </w:r>
            <w:r w:rsidR="00C46123">
              <w:rPr>
                <w:noProof/>
                <w:webHidden/>
                <w:sz w:val="26"/>
                <w:szCs w:val="26"/>
              </w:rPr>
              <w:t>- 16 -</w:t>
            </w:r>
            <w:r w:rsidRPr="0072600F">
              <w:rPr>
                <w:b/>
                <w:bCs/>
                <w:i/>
                <w:iCs/>
                <w:noProof/>
                <w:webHidden/>
                <w:sz w:val="26"/>
                <w:szCs w:val="26"/>
              </w:rPr>
              <w:fldChar w:fldCharType="end"/>
            </w:r>
          </w:hyperlink>
        </w:p>
        <w:p w:rsidR="00F3594B" w:rsidRPr="0072600F" w14:paraId="75A3D682" w14:textId="77777777">
          <w:pPr>
            <w:pStyle w:val="TOC1"/>
            <w:tabs>
              <w:tab w:val="left" w:pos="1000"/>
            </w:tabs>
            <w:rPr>
              <w:rFonts w:eastAsiaTheme="minorEastAsia"/>
              <w:sz w:val="26"/>
              <w:szCs w:val="26"/>
            </w:rPr>
          </w:pPr>
          <w:hyperlink w:anchor="_Toc148703289" w:history="1">
            <w:r w:rsidRPr="0072600F">
              <w:rPr>
                <w:rStyle w:val="Hyperlink"/>
                <w:sz w:val="26"/>
                <w:szCs w:val="26"/>
              </w:rPr>
              <w:t>Article 3.</w:t>
            </w:r>
            <w:r w:rsidRPr="0072600F">
              <w:rPr>
                <w:rFonts w:eastAsiaTheme="minorEastAsia"/>
                <w:sz w:val="26"/>
                <w:szCs w:val="26"/>
              </w:rPr>
              <w:t xml:space="preserve"> </w:t>
            </w:r>
            <w:r w:rsidRPr="0072600F">
              <w:rPr>
                <w:rStyle w:val="Hyperlink"/>
                <w:sz w:val="26"/>
                <w:szCs w:val="26"/>
              </w:rPr>
              <w:t>Regulatory Filings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_Toc148703289 \h </w:instrText>
            </w:r>
            <w:r w:rsidRPr="0072600F">
              <w:rPr>
                <w:webHidden/>
                <w:sz w:val="26"/>
                <w:szCs w:val="26"/>
              </w:rPr>
              <w:fldChar w:fldCharType="separate"/>
            </w:r>
            <w:r w:rsidR="00C46123">
              <w:rPr>
                <w:webHidden/>
                <w:sz w:val="26"/>
                <w:szCs w:val="26"/>
              </w:rPr>
              <w:t>- 16 -</w:t>
            </w:r>
            <w:r w:rsidRPr="0072600F">
              <w:rPr>
                <w:webHidden/>
                <w:sz w:val="26"/>
                <w:szCs w:val="26"/>
              </w:rPr>
              <w:fldChar w:fldCharType="end"/>
            </w:r>
          </w:hyperlink>
        </w:p>
        <w:p w:rsidR="00F3594B" w:rsidRPr="0072600F" w14:paraId="296937EF" w14:textId="77777777">
          <w:pPr>
            <w:pStyle w:val="TOC2"/>
            <w:rPr>
              <w:rFonts w:eastAsiaTheme="minorEastAsia"/>
              <w:b/>
              <w:bCs/>
              <w:i/>
              <w:iCs/>
              <w:noProof/>
              <w:sz w:val="26"/>
              <w:szCs w:val="26"/>
            </w:rPr>
          </w:pPr>
          <w:hyperlink w:anchor="_Toc148703290" w:history="1">
            <w:r w:rsidRPr="0072600F">
              <w:rPr>
                <w:rStyle w:val="Hyperlink"/>
                <w:noProof/>
                <w:sz w:val="26"/>
                <w:szCs w:val="26"/>
              </w:rPr>
              <w:t>3.1</w:t>
            </w:r>
            <w:r w:rsidRPr="0072600F">
              <w:rPr>
                <w:rFonts w:eastAsiaTheme="minorEastAsia"/>
                <w:noProof/>
                <w:sz w:val="26"/>
                <w:szCs w:val="26"/>
              </w:rPr>
              <w:tab/>
            </w:r>
            <w:r w:rsidRPr="0072600F">
              <w:rPr>
                <w:rStyle w:val="Hyperlink"/>
                <w:noProof/>
                <w:sz w:val="26"/>
                <w:szCs w:val="26"/>
              </w:rPr>
              <w:t>Filing.</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_Toc148703290 \h </w:instrText>
            </w:r>
            <w:r w:rsidRPr="0072600F">
              <w:rPr>
                <w:b/>
                <w:bCs/>
                <w:i/>
                <w:iCs/>
                <w:noProof/>
                <w:webHidden/>
                <w:sz w:val="26"/>
                <w:szCs w:val="26"/>
              </w:rPr>
              <w:fldChar w:fldCharType="separate"/>
            </w:r>
            <w:r w:rsidR="00C46123">
              <w:rPr>
                <w:noProof/>
                <w:webHidden/>
                <w:sz w:val="26"/>
                <w:szCs w:val="26"/>
              </w:rPr>
              <w:t>- 17 -</w:t>
            </w:r>
            <w:r w:rsidRPr="0072600F">
              <w:rPr>
                <w:b/>
                <w:bCs/>
                <w:i/>
                <w:iCs/>
                <w:noProof/>
                <w:webHidden/>
                <w:sz w:val="26"/>
                <w:szCs w:val="26"/>
              </w:rPr>
              <w:fldChar w:fldCharType="end"/>
            </w:r>
          </w:hyperlink>
        </w:p>
        <w:p w:rsidR="00F3594B" w:rsidRPr="0072600F" w14:paraId="4493854B" w14:textId="77777777">
          <w:pPr>
            <w:pStyle w:val="TOC1"/>
            <w:tabs>
              <w:tab w:val="left" w:pos="1000"/>
            </w:tabs>
            <w:rPr>
              <w:rFonts w:eastAsiaTheme="minorEastAsia"/>
              <w:sz w:val="26"/>
              <w:szCs w:val="26"/>
            </w:rPr>
          </w:pPr>
          <w:hyperlink w:anchor="_Toc148703291" w:history="1">
            <w:r w:rsidRPr="0072600F">
              <w:rPr>
                <w:rStyle w:val="Hyperlink"/>
                <w:sz w:val="26"/>
                <w:szCs w:val="26"/>
              </w:rPr>
              <w:t>Article 4.</w:t>
            </w:r>
            <w:r w:rsidRPr="0072600F">
              <w:rPr>
                <w:rFonts w:eastAsiaTheme="minorEastAsia"/>
                <w:sz w:val="26"/>
                <w:szCs w:val="26"/>
              </w:rPr>
              <w:t xml:space="preserve"> </w:t>
            </w:r>
            <w:r w:rsidRPr="0072600F">
              <w:rPr>
                <w:rStyle w:val="Hyperlink"/>
                <w:sz w:val="26"/>
                <w:szCs w:val="26"/>
              </w:rPr>
              <w:t>Scope of Service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_Toc148703291 \h </w:instrText>
            </w:r>
            <w:r w:rsidRPr="0072600F">
              <w:rPr>
                <w:webHidden/>
                <w:sz w:val="26"/>
                <w:szCs w:val="26"/>
              </w:rPr>
              <w:fldChar w:fldCharType="separate"/>
            </w:r>
            <w:r w:rsidR="00C46123">
              <w:rPr>
                <w:webHidden/>
                <w:sz w:val="26"/>
                <w:szCs w:val="26"/>
              </w:rPr>
              <w:t>- 17 -</w:t>
            </w:r>
            <w:r w:rsidRPr="0072600F">
              <w:rPr>
                <w:webHidden/>
                <w:sz w:val="26"/>
                <w:szCs w:val="26"/>
              </w:rPr>
              <w:fldChar w:fldCharType="end"/>
            </w:r>
          </w:hyperlink>
        </w:p>
        <w:p w:rsidR="00F3594B" w:rsidRPr="0072600F" w14:paraId="6A6D744C" w14:textId="77777777">
          <w:pPr>
            <w:pStyle w:val="TOC2"/>
            <w:rPr>
              <w:rFonts w:eastAsiaTheme="minorEastAsia"/>
              <w:b/>
              <w:bCs/>
              <w:i/>
              <w:iCs/>
              <w:noProof/>
              <w:sz w:val="26"/>
              <w:szCs w:val="26"/>
            </w:rPr>
          </w:pPr>
          <w:hyperlink w:anchor="_Toc148703292" w:history="1">
            <w:r w:rsidRPr="0072600F">
              <w:rPr>
                <w:rStyle w:val="Hyperlink"/>
                <w:noProof/>
                <w:sz w:val="26"/>
                <w:szCs w:val="26"/>
              </w:rPr>
              <w:t>4.1</w:t>
            </w:r>
            <w:r w:rsidRPr="0072600F">
              <w:rPr>
                <w:rFonts w:eastAsiaTheme="minorEastAsia"/>
                <w:noProof/>
                <w:sz w:val="26"/>
                <w:szCs w:val="26"/>
              </w:rPr>
              <w:tab/>
            </w:r>
            <w:r w:rsidRPr="0072600F">
              <w:rPr>
                <w:rStyle w:val="Hyperlink"/>
                <w:noProof/>
                <w:sz w:val="26"/>
                <w:szCs w:val="26"/>
              </w:rPr>
              <w:t>Interconnection Product Options.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_Toc148703292 \h </w:instrText>
            </w:r>
            <w:r w:rsidRPr="0072600F">
              <w:rPr>
                <w:b/>
                <w:bCs/>
                <w:i/>
                <w:iCs/>
                <w:noProof/>
                <w:webHidden/>
                <w:sz w:val="26"/>
                <w:szCs w:val="26"/>
              </w:rPr>
              <w:fldChar w:fldCharType="separate"/>
            </w:r>
            <w:r w:rsidR="00C46123">
              <w:rPr>
                <w:noProof/>
                <w:webHidden/>
                <w:sz w:val="26"/>
                <w:szCs w:val="26"/>
              </w:rPr>
              <w:t>- 17 -</w:t>
            </w:r>
            <w:r w:rsidRPr="0072600F">
              <w:rPr>
                <w:b/>
                <w:bCs/>
                <w:i/>
                <w:iCs/>
                <w:noProof/>
                <w:webHidden/>
                <w:sz w:val="26"/>
                <w:szCs w:val="26"/>
              </w:rPr>
              <w:fldChar w:fldCharType="end"/>
            </w:r>
          </w:hyperlink>
        </w:p>
        <w:p w:rsidR="00F3594B" w:rsidRPr="0072600F" w14:paraId="04137097" w14:textId="77777777">
          <w:pPr>
            <w:pStyle w:val="TOC3"/>
            <w:tabs>
              <w:tab w:val="left" w:pos="1200"/>
              <w:tab w:val="right" w:leader="dot" w:pos="9350"/>
            </w:tabs>
            <w:rPr>
              <w:rFonts w:eastAsiaTheme="minorEastAsia"/>
              <w:noProof/>
              <w:sz w:val="26"/>
              <w:szCs w:val="26"/>
            </w:rPr>
          </w:pPr>
          <w:hyperlink w:anchor="_Toc148703293" w:history="1">
            <w:r w:rsidRPr="0072600F">
              <w:rPr>
                <w:rStyle w:val="Hyperlink"/>
                <w:noProof/>
                <w:sz w:val="26"/>
                <w:szCs w:val="26"/>
              </w:rPr>
              <w:t>4.1.1</w:t>
            </w:r>
            <w:r w:rsidRPr="0072600F">
              <w:rPr>
                <w:rFonts w:eastAsiaTheme="minorEastAsia"/>
                <w:noProof/>
                <w:sz w:val="26"/>
                <w:szCs w:val="26"/>
              </w:rPr>
              <w:tab/>
            </w:r>
            <w:r w:rsidRPr="0072600F">
              <w:rPr>
                <w:rStyle w:val="Hyperlink"/>
                <w:noProof/>
                <w:sz w:val="26"/>
                <w:szCs w:val="26"/>
              </w:rPr>
              <w:t>Energy Resource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_Toc148703293 \h </w:instrText>
            </w:r>
            <w:r w:rsidRPr="0072600F">
              <w:rPr>
                <w:noProof/>
                <w:webHidden/>
                <w:sz w:val="26"/>
                <w:szCs w:val="26"/>
              </w:rPr>
              <w:fldChar w:fldCharType="separate"/>
            </w:r>
            <w:r w:rsidR="00C46123">
              <w:rPr>
                <w:noProof/>
                <w:webHidden/>
                <w:sz w:val="26"/>
                <w:szCs w:val="26"/>
              </w:rPr>
              <w:t>- 17 -</w:t>
            </w:r>
            <w:r w:rsidRPr="0072600F">
              <w:rPr>
                <w:noProof/>
                <w:webHidden/>
                <w:sz w:val="26"/>
                <w:szCs w:val="26"/>
              </w:rPr>
              <w:fldChar w:fldCharType="end"/>
            </w:r>
          </w:hyperlink>
        </w:p>
        <w:p w:rsidR="00F3594B" w:rsidRPr="0072600F" w14:paraId="78D2F052" w14:textId="77777777">
          <w:pPr>
            <w:pStyle w:val="TOC3"/>
            <w:tabs>
              <w:tab w:val="left" w:pos="1200"/>
              <w:tab w:val="right" w:leader="dot" w:pos="9350"/>
            </w:tabs>
            <w:rPr>
              <w:rFonts w:eastAsiaTheme="minorEastAsia"/>
              <w:noProof/>
              <w:sz w:val="26"/>
              <w:szCs w:val="26"/>
            </w:rPr>
          </w:pPr>
          <w:hyperlink w:anchor="_Toc148703294" w:history="1">
            <w:r w:rsidRPr="0072600F">
              <w:rPr>
                <w:rStyle w:val="Hyperlink"/>
                <w:noProof/>
                <w:sz w:val="26"/>
                <w:szCs w:val="26"/>
              </w:rPr>
              <w:t>4.1.2</w:t>
            </w:r>
            <w:r w:rsidRPr="0072600F">
              <w:rPr>
                <w:rFonts w:eastAsiaTheme="minorEastAsia"/>
                <w:noProof/>
                <w:sz w:val="26"/>
                <w:szCs w:val="26"/>
              </w:rPr>
              <w:tab/>
            </w:r>
            <w:r w:rsidRPr="0072600F">
              <w:rPr>
                <w:rStyle w:val="Hyperlink"/>
                <w:noProof/>
                <w:sz w:val="26"/>
                <w:szCs w:val="26"/>
              </w:rPr>
              <w:t>Network Resource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_Toc148703294 \h </w:instrText>
            </w:r>
            <w:r w:rsidRPr="0072600F">
              <w:rPr>
                <w:noProof/>
                <w:webHidden/>
                <w:sz w:val="26"/>
                <w:szCs w:val="26"/>
              </w:rPr>
              <w:fldChar w:fldCharType="separate"/>
            </w:r>
            <w:r w:rsidR="00C46123">
              <w:rPr>
                <w:noProof/>
                <w:webHidden/>
                <w:sz w:val="26"/>
                <w:szCs w:val="26"/>
              </w:rPr>
              <w:t>- 18 -</w:t>
            </w:r>
            <w:r w:rsidRPr="0072600F">
              <w:rPr>
                <w:noProof/>
                <w:webHidden/>
                <w:sz w:val="26"/>
                <w:szCs w:val="26"/>
              </w:rPr>
              <w:fldChar w:fldCharType="end"/>
            </w:r>
          </w:hyperlink>
        </w:p>
        <w:p w:rsidR="00F3594B" w:rsidRPr="0072600F" w14:paraId="4F5A8515" w14:textId="77777777">
          <w:pPr>
            <w:pStyle w:val="TOC2"/>
            <w:rPr>
              <w:rFonts w:eastAsiaTheme="minorEastAsia"/>
              <w:b/>
              <w:bCs/>
              <w:i/>
              <w:iCs/>
              <w:noProof/>
              <w:sz w:val="26"/>
              <w:szCs w:val="26"/>
            </w:rPr>
          </w:pPr>
          <w:hyperlink w:anchor="_Toc148703295" w:history="1">
            <w:r w:rsidRPr="0072600F">
              <w:rPr>
                <w:rStyle w:val="Hyperlink"/>
                <w:noProof/>
                <w:sz w:val="26"/>
                <w:szCs w:val="26"/>
              </w:rPr>
              <w:t>4.2</w:t>
            </w:r>
            <w:r w:rsidRPr="0072600F">
              <w:rPr>
                <w:rFonts w:eastAsiaTheme="minorEastAsia"/>
                <w:noProof/>
                <w:sz w:val="26"/>
                <w:szCs w:val="26"/>
              </w:rPr>
              <w:tab/>
            </w:r>
            <w:r w:rsidRPr="0072600F">
              <w:rPr>
                <w:rStyle w:val="Hyperlink"/>
                <w:noProof/>
                <w:sz w:val="26"/>
                <w:szCs w:val="26"/>
              </w:rPr>
              <w:t>Provision of Service.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_Toc148703295 \h </w:instrText>
            </w:r>
            <w:r w:rsidRPr="0072600F">
              <w:rPr>
                <w:b/>
                <w:bCs/>
                <w:i/>
                <w:iCs/>
                <w:noProof/>
                <w:webHidden/>
                <w:sz w:val="26"/>
                <w:szCs w:val="26"/>
              </w:rPr>
              <w:fldChar w:fldCharType="separate"/>
            </w:r>
            <w:r w:rsidR="00C46123">
              <w:rPr>
                <w:noProof/>
                <w:webHidden/>
                <w:sz w:val="26"/>
                <w:szCs w:val="26"/>
              </w:rPr>
              <w:t>- 21 -</w:t>
            </w:r>
            <w:r w:rsidRPr="0072600F">
              <w:rPr>
                <w:b/>
                <w:bCs/>
                <w:i/>
                <w:iCs/>
                <w:noProof/>
                <w:webHidden/>
                <w:sz w:val="26"/>
                <w:szCs w:val="26"/>
              </w:rPr>
              <w:fldChar w:fldCharType="end"/>
            </w:r>
          </w:hyperlink>
        </w:p>
        <w:p w:rsidR="00F3594B" w:rsidRPr="0072600F" w14:paraId="5EB043E1" w14:textId="77777777">
          <w:pPr>
            <w:pStyle w:val="TOC2"/>
            <w:rPr>
              <w:rFonts w:eastAsiaTheme="minorEastAsia"/>
              <w:b/>
              <w:bCs/>
              <w:i/>
              <w:iCs/>
              <w:noProof/>
              <w:sz w:val="26"/>
              <w:szCs w:val="26"/>
            </w:rPr>
          </w:pPr>
          <w:hyperlink w:anchor="_Toc148703296" w:history="1">
            <w:r w:rsidRPr="0072600F">
              <w:rPr>
                <w:rStyle w:val="Hyperlink"/>
                <w:noProof/>
                <w:sz w:val="26"/>
                <w:szCs w:val="26"/>
              </w:rPr>
              <w:t>4.3</w:t>
            </w:r>
            <w:r w:rsidRPr="0072600F">
              <w:rPr>
                <w:rFonts w:eastAsiaTheme="minorEastAsia"/>
                <w:noProof/>
                <w:sz w:val="26"/>
                <w:szCs w:val="26"/>
              </w:rPr>
              <w:tab/>
            </w:r>
            <w:r w:rsidRPr="0072600F">
              <w:rPr>
                <w:rStyle w:val="Hyperlink"/>
                <w:noProof/>
                <w:sz w:val="26"/>
                <w:szCs w:val="26"/>
              </w:rPr>
              <w:t>Performance Standards.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_Toc148703296 \h </w:instrText>
            </w:r>
            <w:r w:rsidRPr="0072600F">
              <w:rPr>
                <w:b/>
                <w:bCs/>
                <w:i/>
                <w:iCs/>
                <w:noProof/>
                <w:webHidden/>
                <w:sz w:val="26"/>
                <w:szCs w:val="26"/>
              </w:rPr>
              <w:fldChar w:fldCharType="separate"/>
            </w:r>
            <w:r w:rsidR="00C46123">
              <w:rPr>
                <w:noProof/>
                <w:webHidden/>
                <w:sz w:val="26"/>
                <w:szCs w:val="26"/>
              </w:rPr>
              <w:t>- 21 -</w:t>
            </w:r>
            <w:r w:rsidRPr="0072600F">
              <w:rPr>
                <w:b/>
                <w:bCs/>
                <w:i/>
                <w:iCs/>
                <w:noProof/>
                <w:webHidden/>
                <w:sz w:val="26"/>
                <w:szCs w:val="26"/>
              </w:rPr>
              <w:fldChar w:fldCharType="end"/>
            </w:r>
          </w:hyperlink>
        </w:p>
        <w:p w:rsidR="00F3594B" w:rsidRPr="0072600F" w14:paraId="2B28F2FE" w14:textId="77777777">
          <w:pPr>
            <w:pStyle w:val="TOC2"/>
            <w:rPr>
              <w:rFonts w:eastAsiaTheme="minorEastAsia"/>
              <w:b/>
              <w:bCs/>
              <w:i/>
              <w:iCs/>
              <w:noProof/>
              <w:sz w:val="26"/>
              <w:szCs w:val="26"/>
            </w:rPr>
          </w:pPr>
          <w:hyperlink w:anchor="_Toc148703297" w:history="1">
            <w:r w:rsidRPr="0072600F">
              <w:rPr>
                <w:rStyle w:val="Hyperlink"/>
                <w:noProof/>
                <w:sz w:val="26"/>
                <w:szCs w:val="26"/>
              </w:rPr>
              <w:t>4.4</w:t>
            </w:r>
            <w:r w:rsidRPr="0072600F">
              <w:rPr>
                <w:rFonts w:eastAsiaTheme="minorEastAsia"/>
                <w:noProof/>
                <w:sz w:val="26"/>
                <w:szCs w:val="26"/>
              </w:rPr>
              <w:tab/>
            </w:r>
            <w:r w:rsidRPr="0072600F">
              <w:rPr>
                <w:rStyle w:val="Hyperlink"/>
                <w:noProof/>
                <w:sz w:val="26"/>
                <w:szCs w:val="26"/>
              </w:rPr>
              <w:t>No Transmission Delivery Service.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_Toc148703297 \h </w:instrText>
            </w:r>
            <w:r w:rsidRPr="0072600F">
              <w:rPr>
                <w:b/>
                <w:bCs/>
                <w:i/>
                <w:iCs/>
                <w:noProof/>
                <w:webHidden/>
                <w:sz w:val="26"/>
                <w:szCs w:val="26"/>
              </w:rPr>
              <w:fldChar w:fldCharType="separate"/>
            </w:r>
            <w:r w:rsidR="00C46123">
              <w:rPr>
                <w:noProof/>
                <w:webHidden/>
                <w:sz w:val="26"/>
                <w:szCs w:val="26"/>
              </w:rPr>
              <w:t>- 22 -</w:t>
            </w:r>
            <w:r w:rsidRPr="0072600F">
              <w:rPr>
                <w:b/>
                <w:bCs/>
                <w:i/>
                <w:iCs/>
                <w:noProof/>
                <w:webHidden/>
                <w:sz w:val="26"/>
                <w:szCs w:val="26"/>
              </w:rPr>
              <w:fldChar w:fldCharType="end"/>
            </w:r>
          </w:hyperlink>
        </w:p>
        <w:p w:rsidR="00F3594B" w:rsidRPr="0072600F" w14:paraId="5CFED576" w14:textId="77777777">
          <w:pPr>
            <w:pStyle w:val="TOC2"/>
            <w:rPr>
              <w:rFonts w:eastAsiaTheme="minorEastAsia"/>
              <w:b/>
              <w:bCs/>
              <w:i/>
              <w:iCs/>
              <w:noProof/>
              <w:sz w:val="26"/>
              <w:szCs w:val="26"/>
            </w:rPr>
          </w:pPr>
          <w:hyperlink w:anchor="_Toc148703298" w:history="1">
            <w:r w:rsidRPr="0072600F">
              <w:rPr>
                <w:rStyle w:val="Hyperlink"/>
                <w:noProof/>
                <w:sz w:val="26"/>
                <w:szCs w:val="26"/>
              </w:rPr>
              <w:t>4.5</w:t>
            </w:r>
            <w:r w:rsidRPr="0072600F">
              <w:rPr>
                <w:rFonts w:eastAsiaTheme="minorEastAsia"/>
                <w:noProof/>
                <w:sz w:val="26"/>
                <w:szCs w:val="26"/>
              </w:rPr>
              <w:tab/>
            </w:r>
            <w:r w:rsidRPr="0072600F">
              <w:rPr>
                <w:rStyle w:val="Hyperlink"/>
                <w:noProof/>
                <w:sz w:val="26"/>
                <w:szCs w:val="26"/>
              </w:rPr>
              <w:t>Interconnection Customer Provided Services.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_Toc148703298 \h </w:instrText>
            </w:r>
            <w:r w:rsidRPr="0072600F">
              <w:rPr>
                <w:b/>
                <w:bCs/>
                <w:i/>
                <w:iCs/>
                <w:noProof/>
                <w:webHidden/>
                <w:sz w:val="26"/>
                <w:szCs w:val="26"/>
              </w:rPr>
              <w:fldChar w:fldCharType="separate"/>
            </w:r>
            <w:r w:rsidR="00C46123">
              <w:rPr>
                <w:noProof/>
                <w:webHidden/>
                <w:sz w:val="26"/>
                <w:szCs w:val="26"/>
              </w:rPr>
              <w:t>- 22 -</w:t>
            </w:r>
            <w:r w:rsidRPr="0072600F">
              <w:rPr>
                <w:b/>
                <w:bCs/>
                <w:i/>
                <w:iCs/>
                <w:noProof/>
                <w:webHidden/>
                <w:sz w:val="26"/>
                <w:szCs w:val="26"/>
              </w:rPr>
              <w:fldChar w:fldCharType="end"/>
            </w:r>
          </w:hyperlink>
        </w:p>
        <w:p w:rsidR="00F3594B" w:rsidRPr="0072600F" w14:paraId="374FEBE1" w14:textId="77777777">
          <w:pPr>
            <w:pStyle w:val="TOC1"/>
            <w:tabs>
              <w:tab w:val="left" w:pos="1000"/>
            </w:tabs>
            <w:rPr>
              <w:rFonts w:eastAsiaTheme="minorEastAsia"/>
              <w:sz w:val="26"/>
              <w:szCs w:val="26"/>
            </w:rPr>
          </w:pPr>
          <w:hyperlink w:anchor="_Toc148703299" w:history="1">
            <w:r w:rsidRPr="0072600F">
              <w:rPr>
                <w:rStyle w:val="Hyperlink"/>
                <w:sz w:val="26"/>
                <w:szCs w:val="26"/>
              </w:rPr>
              <w:t>Article 5.</w:t>
            </w:r>
            <w:r w:rsidRPr="0072600F">
              <w:rPr>
                <w:rFonts w:eastAsiaTheme="minorEastAsia"/>
                <w:sz w:val="26"/>
                <w:szCs w:val="26"/>
              </w:rPr>
              <w:t xml:space="preserve"> </w:t>
            </w:r>
            <w:r w:rsidRPr="0072600F">
              <w:rPr>
                <w:rStyle w:val="Hyperlink"/>
                <w:sz w:val="26"/>
                <w:szCs w:val="26"/>
              </w:rPr>
              <w:t xml:space="preserve">Interconnection Facilities Engineering, Procurement, and Construction         </w:t>
            </w:r>
            <w:r w:rsidRPr="0072600F">
              <w:rPr>
                <w:rStyle w:val="Hyperlink"/>
                <w:sz w:val="26"/>
                <w:szCs w:val="26"/>
              </w:rPr>
              <w:tab/>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_Toc148703299 \h </w:instrText>
            </w:r>
            <w:r w:rsidRPr="0072600F">
              <w:rPr>
                <w:webHidden/>
                <w:sz w:val="26"/>
                <w:szCs w:val="26"/>
              </w:rPr>
              <w:fldChar w:fldCharType="separate"/>
            </w:r>
            <w:r w:rsidR="00C46123">
              <w:rPr>
                <w:webHidden/>
                <w:sz w:val="26"/>
                <w:szCs w:val="26"/>
              </w:rPr>
              <w:t>- 22 -</w:t>
            </w:r>
            <w:r w:rsidRPr="0072600F">
              <w:rPr>
                <w:webHidden/>
                <w:sz w:val="26"/>
                <w:szCs w:val="26"/>
              </w:rPr>
              <w:fldChar w:fldCharType="end"/>
            </w:r>
          </w:hyperlink>
        </w:p>
        <w:p w:rsidR="00F3594B" w:rsidRPr="0072600F" w14:paraId="1018F2AE" w14:textId="77777777">
          <w:pPr>
            <w:pStyle w:val="TOC2"/>
            <w:rPr>
              <w:rFonts w:eastAsiaTheme="minorEastAsia"/>
              <w:b/>
              <w:bCs/>
              <w:i/>
              <w:iCs/>
              <w:noProof/>
              <w:sz w:val="26"/>
              <w:szCs w:val="26"/>
            </w:rPr>
          </w:pPr>
          <w:hyperlink w:anchor="_Toc148703300" w:history="1">
            <w:r w:rsidRPr="0072600F">
              <w:rPr>
                <w:rStyle w:val="Hyperlink"/>
                <w:noProof/>
                <w:sz w:val="26"/>
                <w:szCs w:val="26"/>
              </w:rPr>
              <w:t>5.1</w:t>
            </w:r>
            <w:r w:rsidRPr="0072600F">
              <w:rPr>
                <w:rFonts w:eastAsiaTheme="minorEastAsia"/>
                <w:noProof/>
                <w:sz w:val="26"/>
                <w:szCs w:val="26"/>
              </w:rPr>
              <w:tab/>
            </w:r>
            <w:r w:rsidRPr="0072600F">
              <w:rPr>
                <w:rStyle w:val="Hyperlink"/>
                <w:noProof/>
                <w:sz w:val="26"/>
                <w:szCs w:val="26"/>
              </w:rPr>
              <w:t>Options.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_Toc148703300 \h </w:instrText>
            </w:r>
            <w:r w:rsidRPr="0072600F">
              <w:rPr>
                <w:b/>
                <w:bCs/>
                <w:i/>
                <w:iCs/>
                <w:noProof/>
                <w:webHidden/>
                <w:sz w:val="26"/>
                <w:szCs w:val="26"/>
              </w:rPr>
              <w:fldChar w:fldCharType="separate"/>
            </w:r>
            <w:r w:rsidR="00C46123">
              <w:rPr>
                <w:noProof/>
                <w:webHidden/>
                <w:sz w:val="26"/>
                <w:szCs w:val="26"/>
              </w:rPr>
              <w:t>- 22 -</w:t>
            </w:r>
            <w:r w:rsidRPr="0072600F">
              <w:rPr>
                <w:b/>
                <w:bCs/>
                <w:i/>
                <w:iCs/>
                <w:noProof/>
                <w:webHidden/>
                <w:sz w:val="26"/>
                <w:szCs w:val="26"/>
              </w:rPr>
              <w:fldChar w:fldCharType="end"/>
            </w:r>
          </w:hyperlink>
        </w:p>
        <w:p w:rsidR="00F3594B" w:rsidRPr="0072600F" w14:paraId="2822ABD1" w14:textId="77777777">
          <w:pPr>
            <w:pStyle w:val="TOC3"/>
            <w:tabs>
              <w:tab w:val="left" w:pos="1200"/>
              <w:tab w:val="right" w:leader="dot" w:pos="9350"/>
            </w:tabs>
            <w:rPr>
              <w:rFonts w:eastAsiaTheme="minorEastAsia"/>
              <w:noProof/>
              <w:sz w:val="26"/>
              <w:szCs w:val="26"/>
            </w:rPr>
          </w:pPr>
          <w:hyperlink w:anchor="_Toc148703301" w:history="1">
            <w:r w:rsidRPr="0072600F">
              <w:rPr>
                <w:rStyle w:val="Hyperlink"/>
                <w:noProof/>
                <w:sz w:val="26"/>
                <w:szCs w:val="26"/>
              </w:rPr>
              <w:t>5.1.1</w:t>
            </w:r>
            <w:r w:rsidRPr="0072600F">
              <w:rPr>
                <w:rFonts w:eastAsiaTheme="minorEastAsia"/>
                <w:noProof/>
                <w:sz w:val="26"/>
                <w:szCs w:val="26"/>
              </w:rPr>
              <w:tab/>
            </w:r>
            <w:r w:rsidRPr="0072600F">
              <w:rPr>
                <w:rStyle w:val="Hyperlink"/>
                <w:noProof/>
                <w:sz w:val="26"/>
                <w:szCs w:val="26"/>
              </w:rPr>
              <w:t>Standard Option.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_Toc148703301 \h </w:instrText>
            </w:r>
            <w:r w:rsidRPr="0072600F">
              <w:rPr>
                <w:noProof/>
                <w:webHidden/>
                <w:sz w:val="26"/>
                <w:szCs w:val="26"/>
              </w:rPr>
              <w:fldChar w:fldCharType="separate"/>
            </w:r>
            <w:r w:rsidR="00C46123">
              <w:rPr>
                <w:noProof/>
                <w:webHidden/>
                <w:sz w:val="26"/>
                <w:szCs w:val="26"/>
              </w:rPr>
              <w:t>- 22 -</w:t>
            </w:r>
            <w:r w:rsidRPr="0072600F">
              <w:rPr>
                <w:noProof/>
                <w:webHidden/>
                <w:sz w:val="26"/>
                <w:szCs w:val="26"/>
              </w:rPr>
              <w:fldChar w:fldCharType="end"/>
            </w:r>
          </w:hyperlink>
        </w:p>
        <w:p w:rsidR="00F3594B" w:rsidRPr="0072600F" w14:paraId="55264A04" w14:textId="77777777">
          <w:pPr>
            <w:pStyle w:val="TOC3"/>
            <w:tabs>
              <w:tab w:val="left" w:pos="1200"/>
              <w:tab w:val="right" w:leader="dot" w:pos="9350"/>
            </w:tabs>
            <w:rPr>
              <w:rFonts w:eastAsiaTheme="minorEastAsia"/>
              <w:noProof/>
              <w:sz w:val="26"/>
              <w:szCs w:val="26"/>
            </w:rPr>
          </w:pPr>
          <w:hyperlink w:anchor="_Toc148703302" w:history="1">
            <w:r w:rsidRPr="0072600F">
              <w:rPr>
                <w:rStyle w:val="Hyperlink"/>
                <w:noProof/>
                <w:sz w:val="26"/>
                <w:szCs w:val="26"/>
              </w:rPr>
              <w:t>5.1.2</w:t>
            </w:r>
            <w:r w:rsidRPr="0072600F">
              <w:rPr>
                <w:rFonts w:eastAsiaTheme="minorEastAsia"/>
                <w:noProof/>
                <w:sz w:val="26"/>
                <w:szCs w:val="26"/>
              </w:rPr>
              <w:tab/>
            </w:r>
            <w:r w:rsidRPr="0072600F">
              <w:rPr>
                <w:rStyle w:val="Hyperlink"/>
                <w:noProof/>
                <w:sz w:val="26"/>
                <w:szCs w:val="26"/>
              </w:rPr>
              <w:t>Alternate Option.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_Toc148703302 \h </w:instrText>
            </w:r>
            <w:r w:rsidRPr="0072600F">
              <w:rPr>
                <w:noProof/>
                <w:webHidden/>
                <w:sz w:val="26"/>
                <w:szCs w:val="26"/>
              </w:rPr>
              <w:fldChar w:fldCharType="separate"/>
            </w:r>
            <w:r w:rsidR="00C46123">
              <w:rPr>
                <w:noProof/>
                <w:webHidden/>
                <w:sz w:val="26"/>
                <w:szCs w:val="26"/>
              </w:rPr>
              <w:t>- 23 -</w:t>
            </w:r>
            <w:r w:rsidRPr="0072600F">
              <w:rPr>
                <w:noProof/>
                <w:webHidden/>
                <w:sz w:val="26"/>
                <w:szCs w:val="26"/>
              </w:rPr>
              <w:fldChar w:fldCharType="end"/>
            </w:r>
          </w:hyperlink>
        </w:p>
        <w:p w:rsidR="00F3594B" w:rsidRPr="0072600F" w14:paraId="38F2542B" w14:textId="77777777">
          <w:pPr>
            <w:pStyle w:val="TOC3"/>
            <w:tabs>
              <w:tab w:val="left" w:pos="1200"/>
              <w:tab w:val="right" w:leader="dot" w:pos="9350"/>
            </w:tabs>
            <w:rPr>
              <w:rFonts w:eastAsiaTheme="minorEastAsia"/>
              <w:noProof/>
              <w:sz w:val="26"/>
              <w:szCs w:val="26"/>
            </w:rPr>
          </w:pPr>
          <w:hyperlink w:anchor="_Toc148703303" w:history="1">
            <w:r w:rsidRPr="0072600F">
              <w:rPr>
                <w:rStyle w:val="Hyperlink"/>
                <w:noProof/>
                <w:sz w:val="26"/>
                <w:szCs w:val="26"/>
              </w:rPr>
              <w:t>5.1.3</w:t>
            </w:r>
            <w:r w:rsidRPr="0072600F">
              <w:rPr>
                <w:rFonts w:eastAsiaTheme="minorEastAsia"/>
                <w:noProof/>
                <w:sz w:val="26"/>
                <w:szCs w:val="26"/>
              </w:rPr>
              <w:tab/>
            </w:r>
            <w:r w:rsidRPr="0072600F">
              <w:rPr>
                <w:rStyle w:val="Hyperlink"/>
                <w:noProof/>
                <w:sz w:val="26"/>
                <w:szCs w:val="26"/>
              </w:rPr>
              <w:t>Option to Build.</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_Toc148703303 \h </w:instrText>
            </w:r>
            <w:r w:rsidRPr="0072600F">
              <w:rPr>
                <w:noProof/>
                <w:webHidden/>
                <w:sz w:val="26"/>
                <w:szCs w:val="26"/>
              </w:rPr>
              <w:fldChar w:fldCharType="separate"/>
            </w:r>
            <w:r w:rsidR="00C46123">
              <w:rPr>
                <w:noProof/>
                <w:webHidden/>
                <w:sz w:val="26"/>
                <w:szCs w:val="26"/>
              </w:rPr>
              <w:t>- 23 -</w:t>
            </w:r>
            <w:r w:rsidRPr="0072600F">
              <w:rPr>
                <w:noProof/>
                <w:webHidden/>
                <w:sz w:val="26"/>
                <w:szCs w:val="26"/>
              </w:rPr>
              <w:fldChar w:fldCharType="end"/>
            </w:r>
          </w:hyperlink>
        </w:p>
        <w:p w:rsidR="00F3594B" w:rsidRPr="0072600F" w14:paraId="4393D1DC" w14:textId="77777777">
          <w:pPr>
            <w:pStyle w:val="TOC3"/>
            <w:tabs>
              <w:tab w:val="left" w:pos="1200"/>
              <w:tab w:val="right" w:leader="dot" w:pos="9350"/>
            </w:tabs>
            <w:rPr>
              <w:rFonts w:eastAsiaTheme="minorEastAsia"/>
              <w:noProof/>
              <w:sz w:val="26"/>
              <w:szCs w:val="26"/>
            </w:rPr>
          </w:pPr>
          <w:hyperlink w:anchor="_Toc148703304" w:history="1">
            <w:r w:rsidRPr="0072600F">
              <w:rPr>
                <w:rStyle w:val="Hyperlink"/>
                <w:noProof/>
                <w:sz w:val="26"/>
                <w:szCs w:val="26"/>
              </w:rPr>
              <w:t>5.1.4</w:t>
            </w:r>
            <w:r w:rsidRPr="0072600F">
              <w:rPr>
                <w:rFonts w:eastAsiaTheme="minorEastAsia"/>
                <w:noProof/>
                <w:sz w:val="26"/>
                <w:szCs w:val="26"/>
              </w:rPr>
              <w:tab/>
            </w:r>
            <w:r w:rsidRPr="0072600F">
              <w:rPr>
                <w:rStyle w:val="Hyperlink"/>
                <w:noProof/>
                <w:sz w:val="26"/>
                <w:szCs w:val="26"/>
              </w:rPr>
              <w:t>Negotiated Option.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_Toc148703304 \h </w:instrText>
            </w:r>
            <w:r w:rsidRPr="0072600F">
              <w:rPr>
                <w:noProof/>
                <w:webHidden/>
                <w:sz w:val="26"/>
                <w:szCs w:val="26"/>
              </w:rPr>
              <w:fldChar w:fldCharType="separate"/>
            </w:r>
            <w:r w:rsidR="00C46123">
              <w:rPr>
                <w:noProof/>
                <w:webHidden/>
                <w:sz w:val="26"/>
                <w:szCs w:val="26"/>
              </w:rPr>
              <w:t>- 24 -</w:t>
            </w:r>
            <w:r w:rsidRPr="0072600F">
              <w:rPr>
                <w:noProof/>
                <w:webHidden/>
                <w:sz w:val="26"/>
                <w:szCs w:val="26"/>
              </w:rPr>
              <w:fldChar w:fldCharType="end"/>
            </w:r>
          </w:hyperlink>
        </w:p>
        <w:p w:rsidR="00F3594B" w:rsidRPr="0072600F" w14:paraId="18E6AF67" w14:textId="77777777">
          <w:pPr>
            <w:pStyle w:val="TOC2"/>
            <w:rPr>
              <w:rFonts w:eastAsiaTheme="minorEastAsia"/>
              <w:b/>
              <w:bCs/>
              <w:i/>
              <w:iCs/>
              <w:noProof/>
              <w:sz w:val="26"/>
              <w:szCs w:val="26"/>
            </w:rPr>
          </w:pPr>
          <w:hyperlink w:anchor="_Toc148703305" w:history="1">
            <w:r w:rsidRPr="0072600F">
              <w:rPr>
                <w:rStyle w:val="Hyperlink"/>
                <w:noProof/>
                <w:sz w:val="26"/>
                <w:szCs w:val="26"/>
              </w:rPr>
              <w:t>5.2</w:t>
            </w:r>
            <w:r w:rsidRPr="0072600F">
              <w:rPr>
                <w:rFonts w:eastAsiaTheme="minorEastAsia"/>
                <w:noProof/>
                <w:sz w:val="26"/>
                <w:szCs w:val="26"/>
              </w:rPr>
              <w:tab/>
            </w:r>
            <w:r w:rsidRPr="0072600F">
              <w:rPr>
                <w:rStyle w:val="Hyperlink"/>
                <w:noProof/>
                <w:sz w:val="26"/>
                <w:szCs w:val="26"/>
              </w:rPr>
              <w:t>General Conditions Applicable to Option to Build.</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_Toc148703305 \h </w:instrText>
            </w:r>
            <w:r w:rsidRPr="0072600F">
              <w:rPr>
                <w:b/>
                <w:bCs/>
                <w:i/>
                <w:iCs/>
                <w:noProof/>
                <w:webHidden/>
                <w:sz w:val="26"/>
                <w:szCs w:val="26"/>
              </w:rPr>
              <w:fldChar w:fldCharType="separate"/>
            </w:r>
            <w:r w:rsidR="00C46123">
              <w:rPr>
                <w:noProof/>
                <w:webHidden/>
                <w:sz w:val="26"/>
                <w:szCs w:val="26"/>
              </w:rPr>
              <w:t>- 24 -</w:t>
            </w:r>
            <w:r w:rsidRPr="0072600F">
              <w:rPr>
                <w:b/>
                <w:bCs/>
                <w:i/>
                <w:iCs/>
                <w:noProof/>
                <w:webHidden/>
                <w:sz w:val="26"/>
                <w:szCs w:val="26"/>
              </w:rPr>
              <w:fldChar w:fldCharType="end"/>
            </w:r>
          </w:hyperlink>
        </w:p>
        <w:p w:rsidR="00F3594B" w:rsidRPr="0072600F" w14:paraId="64E3CB06" w14:textId="77777777">
          <w:pPr>
            <w:pStyle w:val="TOC2"/>
            <w:rPr>
              <w:rFonts w:eastAsiaTheme="minorEastAsia"/>
              <w:b/>
              <w:bCs/>
              <w:i/>
              <w:iCs/>
              <w:noProof/>
              <w:sz w:val="26"/>
              <w:szCs w:val="26"/>
            </w:rPr>
          </w:pPr>
          <w:hyperlink w:anchor="_Toc148703306" w:history="1">
            <w:r w:rsidRPr="0072600F">
              <w:rPr>
                <w:rStyle w:val="Hyperlink"/>
                <w:noProof/>
                <w:sz w:val="26"/>
                <w:szCs w:val="26"/>
              </w:rPr>
              <w:t>5.3</w:t>
            </w:r>
            <w:r w:rsidRPr="0072600F">
              <w:rPr>
                <w:rFonts w:eastAsiaTheme="minorEastAsia"/>
                <w:noProof/>
                <w:sz w:val="26"/>
                <w:szCs w:val="26"/>
              </w:rPr>
              <w:tab/>
            </w:r>
            <w:r w:rsidRPr="0072600F">
              <w:rPr>
                <w:rStyle w:val="Hyperlink"/>
                <w:noProof/>
                <w:sz w:val="26"/>
                <w:szCs w:val="26"/>
              </w:rPr>
              <w:t>Liquidated Damages.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_Toc148703306 \h </w:instrText>
            </w:r>
            <w:r w:rsidRPr="0072600F">
              <w:rPr>
                <w:b/>
                <w:bCs/>
                <w:i/>
                <w:iCs/>
                <w:noProof/>
                <w:webHidden/>
                <w:sz w:val="26"/>
                <w:szCs w:val="26"/>
              </w:rPr>
              <w:fldChar w:fldCharType="separate"/>
            </w:r>
            <w:r w:rsidR="00C46123">
              <w:rPr>
                <w:noProof/>
                <w:webHidden/>
                <w:sz w:val="26"/>
                <w:szCs w:val="26"/>
              </w:rPr>
              <w:t>- 27 -</w:t>
            </w:r>
            <w:r w:rsidRPr="0072600F">
              <w:rPr>
                <w:b/>
                <w:bCs/>
                <w:i/>
                <w:iCs/>
                <w:noProof/>
                <w:webHidden/>
                <w:sz w:val="26"/>
                <w:szCs w:val="26"/>
              </w:rPr>
              <w:fldChar w:fldCharType="end"/>
            </w:r>
          </w:hyperlink>
        </w:p>
        <w:p w:rsidR="00F3594B" w:rsidRPr="0072600F" w14:paraId="11F07F66" w14:textId="77777777">
          <w:pPr>
            <w:pStyle w:val="TOC2"/>
            <w:rPr>
              <w:rFonts w:eastAsiaTheme="minorEastAsia"/>
              <w:b/>
              <w:bCs/>
              <w:i/>
              <w:iCs/>
              <w:noProof/>
              <w:sz w:val="26"/>
              <w:szCs w:val="26"/>
            </w:rPr>
          </w:pPr>
          <w:hyperlink w:anchor="_Toc148703307" w:history="1">
            <w:r w:rsidRPr="0072600F">
              <w:rPr>
                <w:rStyle w:val="Hyperlink"/>
                <w:noProof/>
                <w:sz w:val="26"/>
                <w:szCs w:val="26"/>
              </w:rPr>
              <w:t>5.4</w:t>
            </w:r>
            <w:r w:rsidRPr="0072600F">
              <w:rPr>
                <w:rFonts w:eastAsiaTheme="minorEastAsia"/>
                <w:noProof/>
                <w:sz w:val="26"/>
                <w:szCs w:val="26"/>
              </w:rPr>
              <w:tab/>
            </w:r>
            <w:r w:rsidRPr="0072600F">
              <w:rPr>
                <w:rStyle w:val="Hyperlink"/>
                <w:noProof/>
                <w:sz w:val="26"/>
                <w:szCs w:val="26"/>
              </w:rPr>
              <w:t>Power System Stabilizers.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_Toc148703307 \h </w:instrText>
            </w:r>
            <w:r w:rsidRPr="0072600F">
              <w:rPr>
                <w:b/>
                <w:bCs/>
                <w:i/>
                <w:iCs/>
                <w:noProof/>
                <w:webHidden/>
                <w:sz w:val="26"/>
                <w:szCs w:val="26"/>
              </w:rPr>
              <w:fldChar w:fldCharType="separate"/>
            </w:r>
            <w:r w:rsidR="00C46123">
              <w:rPr>
                <w:noProof/>
                <w:webHidden/>
                <w:sz w:val="26"/>
                <w:szCs w:val="26"/>
              </w:rPr>
              <w:t>- 28 -</w:t>
            </w:r>
            <w:r w:rsidRPr="0072600F">
              <w:rPr>
                <w:b/>
                <w:bCs/>
                <w:i/>
                <w:iCs/>
                <w:noProof/>
                <w:webHidden/>
                <w:sz w:val="26"/>
                <w:szCs w:val="26"/>
              </w:rPr>
              <w:fldChar w:fldCharType="end"/>
            </w:r>
          </w:hyperlink>
        </w:p>
        <w:p w:rsidR="00F3594B" w:rsidRPr="0072600F" w14:paraId="525413D7" w14:textId="77777777">
          <w:pPr>
            <w:pStyle w:val="TOC2"/>
            <w:rPr>
              <w:rFonts w:eastAsiaTheme="minorEastAsia"/>
              <w:b/>
              <w:bCs/>
              <w:i/>
              <w:iCs/>
              <w:noProof/>
              <w:sz w:val="26"/>
              <w:szCs w:val="26"/>
            </w:rPr>
          </w:pPr>
          <w:hyperlink w:anchor="_Toc148703308" w:history="1">
            <w:r w:rsidRPr="0072600F">
              <w:rPr>
                <w:rStyle w:val="Hyperlink"/>
                <w:noProof/>
                <w:sz w:val="26"/>
                <w:szCs w:val="26"/>
              </w:rPr>
              <w:t>5.5</w:t>
            </w:r>
            <w:r w:rsidRPr="0072600F">
              <w:rPr>
                <w:rFonts w:eastAsiaTheme="minorEastAsia"/>
                <w:noProof/>
                <w:sz w:val="26"/>
                <w:szCs w:val="26"/>
              </w:rPr>
              <w:tab/>
            </w:r>
            <w:r w:rsidRPr="0072600F">
              <w:rPr>
                <w:rStyle w:val="Hyperlink"/>
                <w:noProof/>
                <w:sz w:val="26"/>
                <w:szCs w:val="26"/>
              </w:rPr>
              <w:t>Equipment Procurement.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_Toc148703308 \h </w:instrText>
            </w:r>
            <w:r w:rsidRPr="0072600F">
              <w:rPr>
                <w:b/>
                <w:bCs/>
                <w:i/>
                <w:iCs/>
                <w:noProof/>
                <w:webHidden/>
                <w:sz w:val="26"/>
                <w:szCs w:val="26"/>
              </w:rPr>
              <w:fldChar w:fldCharType="separate"/>
            </w:r>
            <w:r w:rsidR="00C46123">
              <w:rPr>
                <w:noProof/>
                <w:webHidden/>
                <w:sz w:val="26"/>
                <w:szCs w:val="26"/>
              </w:rPr>
              <w:t>- 28 -</w:t>
            </w:r>
            <w:r w:rsidRPr="0072600F">
              <w:rPr>
                <w:b/>
                <w:bCs/>
                <w:i/>
                <w:iCs/>
                <w:noProof/>
                <w:webHidden/>
                <w:sz w:val="26"/>
                <w:szCs w:val="26"/>
              </w:rPr>
              <w:fldChar w:fldCharType="end"/>
            </w:r>
          </w:hyperlink>
        </w:p>
        <w:p w:rsidR="00F3594B" w:rsidRPr="0072600F" w14:paraId="7E8A0A40" w14:textId="77777777">
          <w:pPr>
            <w:pStyle w:val="TOC2"/>
            <w:rPr>
              <w:rFonts w:eastAsiaTheme="minorEastAsia"/>
              <w:b/>
              <w:bCs/>
              <w:i/>
              <w:iCs/>
              <w:noProof/>
              <w:sz w:val="26"/>
              <w:szCs w:val="26"/>
            </w:rPr>
          </w:pPr>
          <w:hyperlink w:anchor="_Toc148703309" w:history="1">
            <w:r w:rsidRPr="0072600F">
              <w:rPr>
                <w:rStyle w:val="Hyperlink"/>
                <w:noProof/>
                <w:sz w:val="26"/>
                <w:szCs w:val="26"/>
              </w:rPr>
              <w:t>5.6</w:t>
            </w:r>
            <w:r w:rsidRPr="0072600F">
              <w:rPr>
                <w:rFonts w:eastAsiaTheme="minorEastAsia"/>
                <w:noProof/>
                <w:sz w:val="26"/>
                <w:szCs w:val="26"/>
              </w:rPr>
              <w:tab/>
            </w:r>
            <w:r w:rsidRPr="0072600F">
              <w:rPr>
                <w:rStyle w:val="Hyperlink"/>
                <w:noProof/>
                <w:sz w:val="26"/>
                <w:szCs w:val="26"/>
              </w:rPr>
              <w:t>Construction Commencement.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_Toc148703309 \h </w:instrText>
            </w:r>
            <w:r w:rsidRPr="0072600F">
              <w:rPr>
                <w:b/>
                <w:bCs/>
                <w:i/>
                <w:iCs/>
                <w:noProof/>
                <w:webHidden/>
                <w:sz w:val="26"/>
                <w:szCs w:val="26"/>
              </w:rPr>
              <w:fldChar w:fldCharType="separate"/>
            </w:r>
            <w:r w:rsidR="00C46123">
              <w:rPr>
                <w:noProof/>
                <w:webHidden/>
                <w:sz w:val="26"/>
                <w:szCs w:val="26"/>
              </w:rPr>
              <w:t>- 29 -</w:t>
            </w:r>
            <w:r w:rsidRPr="0072600F">
              <w:rPr>
                <w:b/>
                <w:bCs/>
                <w:i/>
                <w:iCs/>
                <w:noProof/>
                <w:webHidden/>
                <w:sz w:val="26"/>
                <w:szCs w:val="26"/>
              </w:rPr>
              <w:fldChar w:fldCharType="end"/>
            </w:r>
          </w:hyperlink>
        </w:p>
        <w:p w:rsidR="00F3594B" w:rsidRPr="0072600F" w14:paraId="10B82FB7" w14:textId="77777777">
          <w:pPr>
            <w:pStyle w:val="TOC2"/>
            <w:rPr>
              <w:rFonts w:eastAsiaTheme="minorEastAsia"/>
              <w:b/>
              <w:bCs/>
              <w:i/>
              <w:iCs/>
              <w:noProof/>
              <w:sz w:val="26"/>
              <w:szCs w:val="26"/>
            </w:rPr>
          </w:pPr>
          <w:hyperlink w:anchor="_Toc148703310" w:history="1">
            <w:r w:rsidRPr="0072600F">
              <w:rPr>
                <w:rStyle w:val="Hyperlink"/>
                <w:noProof/>
                <w:sz w:val="26"/>
                <w:szCs w:val="26"/>
              </w:rPr>
              <w:t>5.7</w:t>
            </w:r>
            <w:r w:rsidRPr="0072600F">
              <w:rPr>
                <w:rFonts w:eastAsiaTheme="minorEastAsia"/>
                <w:noProof/>
                <w:sz w:val="26"/>
                <w:szCs w:val="26"/>
              </w:rPr>
              <w:tab/>
            </w:r>
            <w:r w:rsidRPr="0072600F">
              <w:rPr>
                <w:rStyle w:val="Hyperlink"/>
                <w:noProof/>
                <w:sz w:val="26"/>
                <w:szCs w:val="26"/>
              </w:rPr>
              <w:t>Work Progress.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_Toc148703310 \h </w:instrText>
            </w:r>
            <w:r w:rsidRPr="0072600F">
              <w:rPr>
                <w:b/>
                <w:bCs/>
                <w:i/>
                <w:iCs/>
                <w:noProof/>
                <w:webHidden/>
                <w:sz w:val="26"/>
                <w:szCs w:val="26"/>
              </w:rPr>
              <w:fldChar w:fldCharType="separate"/>
            </w:r>
            <w:r w:rsidR="00C46123">
              <w:rPr>
                <w:noProof/>
                <w:webHidden/>
                <w:sz w:val="26"/>
                <w:szCs w:val="26"/>
              </w:rPr>
              <w:t>- 29 -</w:t>
            </w:r>
            <w:r w:rsidRPr="0072600F">
              <w:rPr>
                <w:b/>
                <w:bCs/>
                <w:i/>
                <w:iCs/>
                <w:noProof/>
                <w:webHidden/>
                <w:sz w:val="26"/>
                <w:szCs w:val="26"/>
              </w:rPr>
              <w:fldChar w:fldCharType="end"/>
            </w:r>
          </w:hyperlink>
        </w:p>
        <w:p w:rsidR="00F3594B" w:rsidRPr="0072600F" w14:paraId="050B39B4" w14:textId="77777777">
          <w:pPr>
            <w:pStyle w:val="TOC2"/>
            <w:rPr>
              <w:rFonts w:eastAsiaTheme="minorEastAsia"/>
              <w:b/>
              <w:bCs/>
              <w:i/>
              <w:iCs/>
              <w:noProof/>
              <w:sz w:val="26"/>
              <w:szCs w:val="26"/>
            </w:rPr>
          </w:pPr>
          <w:hyperlink w:anchor="_Toc148703311" w:history="1">
            <w:r w:rsidRPr="0072600F">
              <w:rPr>
                <w:rStyle w:val="Hyperlink"/>
                <w:noProof/>
                <w:sz w:val="26"/>
                <w:szCs w:val="26"/>
              </w:rPr>
              <w:t>5.8</w:t>
            </w:r>
            <w:r w:rsidRPr="0072600F">
              <w:rPr>
                <w:rFonts w:eastAsiaTheme="minorEastAsia"/>
                <w:noProof/>
                <w:sz w:val="26"/>
                <w:szCs w:val="26"/>
              </w:rPr>
              <w:tab/>
            </w:r>
            <w:r w:rsidRPr="0072600F">
              <w:rPr>
                <w:rStyle w:val="Hyperlink"/>
                <w:noProof/>
                <w:sz w:val="26"/>
                <w:szCs w:val="26"/>
              </w:rPr>
              <w:t>Information Exchange.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_Toc148703311 \h </w:instrText>
            </w:r>
            <w:r w:rsidRPr="0072600F">
              <w:rPr>
                <w:b/>
                <w:bCs/>
                <w:i/>
                <w:iCs/>
                <w:noProof/>
                <w:webHidden/>
                <w:sz w:val="26"/>
                <w:szCs w:val="26"/>
              </w:rPr>
              <w:fldChar w:fldCharType="separate"/>
            </w:r>
            <w:r w:rsidR="00C46123">
              <w:rPr>
                <w:noProof/>
                <w:webHidden/>
                <w:sz w:val="26"/>
                <w:szCs w:val="26"/>
              </w:rPr>
              <w:t>- 30 -</w:t>
            </w:r>
            <w:r w:rsidRPr="0072600F">
              <w:rPr>
                <w:b/>
                <w:bCs/>
                <w:i/>
                <w:iCs/>
                <w:noProof/>
                <w:webHidden/>
                <w:sz w:val="26"/>
                <w:szCs w:val="26"/>
              </w:rPr>
              <w:fldChar w:fldCharType="end"/>
            </w:r>
          </w:hyperlink>
        </w:p>
        <w:p w:rsidR="00F3594B" w:rsidRPr="0072600F" w14:paraId="1AB1670A" w14:textId="77777777">
          <w:pPr>
            <w:pStyle w:val="TOC2"/>
            <w:rPr>
              <w:rFonts w:eastAsiaTheme="minorEastAsia"/>
              <w:b/>
              <w:bCs/>
              <w:i/>
              <w:iCs/>
              <w:noProof/>
              <w:sz w:val="26"/>
              <w:szCs w:val="26"/>
            </w:rPr>
          </w:pPr>
          <w:hyperlink w:anchor="_Toc148703312" w:history="1">
            <w:r w:rsidRPr="0072600F">
              <w:rPr>
                <w:rStyle w:val="Hyperlink"/>
                <w:noProof/>
                <w:sz w:val="26"/>
                <w:szCs w:val="26"/>
              </w:rPr>
              <w:t>5.9</w:t>
            </w:r>
            <w:r w:rsidRPr="0072600F">
              <w:rPr>
                <w:rFonts w:eastAsiaTheme="minorEastAsia"/>
                <w:noProof/>
                <w:sz w:val="26"/>
                <w:szCs w:val="26"/>
              </w:rPr>
              <w:tab/>
            </w:r>
            <w:r w:rsidRPr="0072600F">
              <w:rPr>
                <w:rStyle w:val="Hyperlink"/>
                <w:noProof/>
                <w:sz w:val="26"/>
                <w:szCs w:val="26"/>
              </w:rPr>
              <w:t>Other Interconnection Options.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_Toc148703312 \h </w:instrText>
            </w:r>
            <w:r w:rsidRPr="0072600F">
              <w:rPr>
                <w:b/>
                <w:bCs/>
                <w:i/>
                <w:iCs/>
                <w:noProof/>
                <w:webHidden/>
                <w:sz w:val="26"/>
                <w:szCs w:val="26"/>
              </w:rPr>
              <w:fldChar w:fldCharType="separate"/>
            </w:r>
            <w:r w:rsidR="00C46123">
              <w:rPr>
                <w:noProof/>
                <w:webHidden/>
                <w:sz w:val="26"/>
                <w:szCs w:val="26"/>
              </w:rPr>
              <w:t>- 30 -</w:t>
            </w:r>
            <w:r w:rsidRPr="0072600F">
              <w:rPr>
                <w:b/>
                <w:bCs/>
                <w:i/>
                <w:iCs/>
                <w:noProof/>
                <w:webHidden/>
                <w:sz w:val="26"/>
                <w:szCs w:val="26"/>
              </w:rPr>
              <w:fldChar w:fldCharType="end"/>
            </w:r>
          </w:hyperlink>
        </w:p>
        <w:p w:rsidR="00F3594B" w:rsidRPr="0072600F" w14:paraId="22CAAA66" w14:textId="77777777">
          <w:pPr>
            <w:pStyle w:val="TOC3"/>
            <w:tabs>
              <w:tab w:val="left" w:pos="1200"/>
              <w:tab w:val="right" w:leader="dot" w:pos="9350"/>
            </w:tabs>
            <w:rPr>
              <w:rFonts w:eastAsiaTheme="minorEastAsia"/>
              <w:noProof/>
              <w:sz w:val="26"/>
              <w:szCs w:val="26"/>
            </w:rPr>
          </w:pPr>
          <w:hyperlink w:anchor="_Toc148703313" w:history="1">
            <w:r w:rsidRPr="0072600F">
              <w:rPr>
                <w:rStyle w:val="Hyperlink"/>
                <w:noProof/>
                <w:sz w:val="26"/>
                <w:szCs w:val="26"/>
              </w:rPr>
              <w:t>5.9.1</w:t>
            </w:r>
            <w:r w:rsidRPr="0072600F">
              <w:rPr>
                <w:rFonts w:eastAsiaTheme="minorEastAsia"/>
                <w:noProof/>
                <w:sz w:val="26"/>
                <w:szCs w:val="26"/>
              </w:rPr>
              <w:tab/>
            </w:r>
            <w:r w:rsidRPr="0072600F">
              <w:rPr>
                <w:rStyle w:val="Hyperlink"/>
                <w:noProof/>
                <w:sz w:val="26"/>
                <w:szCs w:val="26"/>
              </w:rPr>
              <w:t>Limited Operation.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_Toc148703313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F3594B" w:rsidRPr="0072600F" w14:paraId="53F7D4A2" w14:textId="77777777">
          <w:pPr>
            <w:pStyle w:val="TOC3"/>
            <w:tabs>
              <w:tab w:val="left" w:pos="1200"/>
              <w:tab w:val="right" w:leader="dot" w:pos="9350"/>
            </w:tabs>
            <w:rPr>
              <w:rFonts w:eastAsiaTheme="minorEastAsia"/>
              <w:noProof/>
              <w:sz w:val="26"/>
              <w:szCs w:val="26"/>
            </w:rPr>
          </w:pPr>
          <w:hyperlink w:anchor="_Toc148703314" w:history="1">
            <w:r w:rsidRPr="0072600F">
              <w:rPr>
                <w:rStyle w:val="Hyperlink"/>
                <w:noProof/>
                <w:sz w:val="26"/>
                <w:szCs w:val="26"/>
              </w:rPr>
              <w:t>5.9.2</w:t>
            </w:r>
            <w:r w:rsidRPr="0072600F">
              <w:rPr>
                <w:rFonts w:eastAsiaTheme="minorEastAsia"/>
                <w:noProof/>
                <w:sz w:val="26"/>
                <w:szCs w:val="26"/>
              </w:rPr>
              <w:tab/>
            </w:r>
            <w:r w:rsidRPr="0072600F">
              <w:rPr>
                <w:rStyle w:val="Hyperlink"/>
                <w:noProof/>
                <w:sz w:val="26"/>
                <w:szCs w:val="26"/>
              </w:rPr>
              <w:t>Provisional Interconnection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_Toc148703314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F3594B" w:rsidRPr="0072600F" w14:paraId="65A532ED" w14:textId="77777777">
          <w:pPr>
            <w:pStyle w:val="TOC2"/>
            <w:rPr>
              <w:rFonts w:eastAsiaTheme="minorEastAsia"/>
              <w:b/>
              <w:bCs/>
              <w:i/>
              <w:iCs/>
              <w:noProof/>
              <w:sz w:val="26"/>
              <w:szCs w:val="26"/>
            </w:rPr>
          </w:pPr>
          <w:hyperlink w:anchor="_Toc148703315" w:history="1">
            <w:r w:rsidRPr="0072600F">
              <w:rPr>
                <w:rStyle w:val="Hyperlink"/>
                <w:noProof/>
                <w:sz w:val="26"/>
                <w:szCs w:val="26"/>
              </w:rPr>
              <w:t>5.10</w:t>
            </w:r>
            <w:r w:rsidRPr="0072600F">
              <w:rPr>
                <w:rFonts w:eastAsiaTheme="minorEastAsia"/>
                <w:noProof/>
                <w:sz w:val="26"/>
                <w:szCs w:val="26"/>
              </w:rPr>
              <w:tab/>
            </w:r>
            <w:r w:rsidRPr="0072600F">
              <w:rPr>
                <w:rStyle w:val="Hyperlink"/>
                <w:noProof/>
                <w:sz w:val="26"/>
                <w:szCs w:val="26"/>
              </w:rPr>
              <w:t>Interconnection Customer's Interconnection Facilities ('ICIF').</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_Toc148703315 \h </w:instrText>
            </w:r>
            <w:r w:rsidRPr="0072600F">
              <w:rPr>
                <w:b/>
                <w:bCs/>
                <w:i/>
                <w:iCs/>
                <w:noProof/>
                <w:webHidden/>
                <w:sz w:val="26"/>
                <w:szCs w:val="26"/>
              </w:rPr>
              <w:fldChar w:fldCharType="separate"/>
            </w:r>
            <w:r w:rsidR="00C46123">
              <w:rPr>
                <w:noProof/>
                <w:webHidden/>
                <w:sz w:val="26"/>
                <w:szCs w:val="26"/>
              </w:rPr>
              <w:t>- 31 -</w:t>
            </w:r>
            <w:r w:rsidRPr="0072600F">
              <w:rPr>
                <w:b/>
                <w:bCs/>
                <w:i/>
                <w:iCs/>
                <w:noProof/>
                <w:webHidden/>
                <w:sz w:val="26"/>
                <w:szCs w:val="26"/>
              </w:rPr>
              <w:fldChar w:fldCharType="end"/>
            </w:r>
          </w:hyperlink>
        </w:p>
        <w:p w:rsidR="00F3594B" w:rsidRPr="0072600F" w14:paraId="0D9F9367" w14:textId="77777777">
          <w:pPr>
            <w:pStyle w:val="TOC3"/>
            <w:tabs>
              <w:tab w:val="left" w:pos="1200"/>
              <w:tab w:val="right" w:leader="dot" w:pos="9350"/>
            </w:tabs>
            <w:rPr>
              <w:rFonts w:eastAsiaTheme="minorEastAsia"/>
              <w:noProof/>
              <w:sz w:val="26"/>
              <w:szCs w:val="26"/>
            </w:rPr>
          </w:pPr>
          <w:hyperlink w:anchor="_Toc148703316" w:history="1">
            <w:r w:rsidRPr="0072600F">
              <w:rPr>
                <w:rStyle w:val="Hyperlink"/>
                <w:noProof/>
                <w:sz w:val="26"/>
                <w:szCs w:val="26"/>
              </w:rPr>
              <w:t>5.10.1</w:t>
            </w:r>
            <w:r w:rsidRPr="0072600F">
              <w:rPr>
                <w:rFonts w:eastAsiaTheme="minorEastAsia"/>
                <w:noProof/>
                <w:sz w:val="26"/>
                <w:szCs w:val="26"/>
              </w:rPr>
              <w:tab/>
            </w:r>
            <w:r w:rsidRPr="0072600F">
              <w:rPr>
                <w:rStyle w:val="Hyperlink"/>
                <w:noProof/>
                <w:sz w:val="26"/>
                <w:szCs w:val="26"/>
              </w:rPr>
              <w:t xml:space="preserve"> Interconnection Customer's Interconnection Facility Specifications.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_Toc148703316 \h </w:instrText>
            </w:r>
            <w:r w:rsidRPr="0072600F">
              <w:rPr>
                <w:noProof/>
                <w:webHidden/>
                <w:sz w:val="26"/>
                <w:szCs w:val="26"/>
              </w:rPr>
              <w:fldChar w:fldCharType="separate"/>
            </w:r>
            <w:r w:rsidR="00C46123">
              <w:rPr>
                <w:noProof/>
                <w:webHidden/>
                <w:sz w:val="26"/>
                <w:szCs w:val="26"/>
              </w:rPr>
              <w:t>- 32 -</w:t>
            </w:r>
            <w:r w:rsidRPr="0072600F">
              <w:rPr>
                <w:noProof/>
                <w:webHidden/>
                <w:sz w:val="26"/>
                <w:szCs w:val="26"/>
              </w:rPr>
              <w:fldChar w:fldCharType="end"/>
            </w:r>
          </w:hyperlink>
        </w:p>
        <w:p w:rsidR="00F3594B" w:rsidRPr="0072600F" w14:paraId="3DE6A013" w14:textId="77777777">
          <w:pPr>
            <w:pStyle w:val="TOC3"/>
            <w:tabs>
              <w:tab w:val="left" w:pos="1200"/>
              <w:tab w:val="right" w:leader="dot" w:pos="9350"/>
            </w:tabs>
            <w:rPr>
              <w:rFonts w:eastAsiaTheme="minorEastAsia"/>
              <w:noProof/>
              <w:sz w:val="26"/>
              <w:szCs w:val="26"/>
            </w:rPr>
          </w:pPr>
          <w:hyperlink w:anchor="_Toc148703317" w:history="1">
            <w:r w:rsidRPr="0072600F">
              <w:rPr>
                <w:rStyle w:val="Hyperlink"/>
                <w:noProof/>
                <w:sz w:val="26"/>
                <w:szCs w:val="26"/>
              </w:rPr>
              <w:t>5.10.2</w:t>
            </w:r>
            <w:r w:rsidRPr="0072600F">
              <w:rPr>
                <w:rFonts w:eastAsiaTheme="minorEastAsia"/>
                <w:noProof/>
                <w:sz w:val="26"/>
                <w:szCs w:val="26"/>
              </w:rPr>
              <w:tab/>
            </w:r>
            <w:r w:rsidRPr="0072600F">
              <w:rPr>
                <w:rStyle w:val="Hyperlink"/>
                <w:noProof/>
                <w:sz w:val="26"/>
                <w:szCs w:val="26"/>
              </w:rPr>
              <w:t xml:space="preserve"> Transmission Provider</w:t>
            </w:r>
            <w:r w:rsidRPr="0072600F" w:rsidR="00BD11B3">
              <w:rPr>
                <w:rStyle w:val="Hyperlink"/>
                <w:noProof/>
                <w:sz w:val="26"/>
                <w:szCs w:val="26"/>
              </w:rPr>
              <w:t>’</w:t>
            </w:r>
            <w:r w:rsidRPr="0072600F">
              <w:rPr>
                <w:rStyle w:val="Hyperlink"/>
                <w:noProof/>
                <w:sz w:val="26"/>
                <w:szCs w:val="26"/>
              </w:rPr>
              <w:t>s Review.</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_Toc148703317 \h </w:instrText>
            </w:r>
            <w:r w:rsidRPr="0072600F">
              <w:rPr>
                <w:noProof/>
                <w:webHidden/>
                <w:sz w:val="26"/>
                <w:szCs w:val="26"/>
              </w:rPr>
              <w:fldChar w:fldCharType="separate"/>
            </w:r>
            <w:r w:rsidR="00C46123">
              <w:rPr>
                <w:noProof/>
                <w:webHidden/>
                <w:sz w:val="26"/>
                <w:szCs w:val="26"/>
              </w:rPr>
              <w:t>- 32 -</w:t>
            </w:r>
            <w:r w:rsidRPr="0072600F">
              <w:rPr>
                <w:noProof/>
                <w:webHidden/>
                <w:sz w:val="26"/>
                <w:szCs w:val="26"/>
              </w:rPr>
              <w:fldChar w:fldCharType="end"/>
            </w:r>
          </w:hyperlink>
        </w:p>
        <w:p w:rsidR="00F3594B" w:rsidRPr="0072600F" w14:paraId="5397C195" w14:textId="77777777">
          <w:pPr>
            <w:pStyle w:val="TOC3"/>
            <w:tabs>
              <w:tab w:val="left" w:pos="1200"/>
              <w:tab w:val="right" w:leader="dot" w:pos="9350"/>
            </w:tabs>
            <w:rPr>
              <w:rFonts w:eastAsiaTheme="minorEastAsia"/>
              <w:noProof/>
              <w:sz w:val="26"/>
              <w:szCs w:val="26"/>
            </w:rPr>
          </w:pPr>
          <w:hyperlink w:anchor="_Toc148703318" w:history="1">
            <w:r w:rsidRPr="0072600F">
              <w:rPr>
                <w:rStyle w:val="Hyperlink"/>
                <w:noProof/>
                <w:sz w:val="26"/>
                <w:szCs w:val="26"/>
              </w:rPr>
              <w:t>5.10.3</w:t>
            </w:r>
            <w:r w:rsidRPr="0072600F">
              <w:rPr>
                <w:rFonts w:eastAsiaTheme="minorEastAsia"/>
                <w:noProof/>
                <w:sz w:val="26"/>
                <w:szCs w:val="26"/>
              </w:rPr>
              <w:tab/>
            </w:r>
            <w:r w:rsidRPr="0072600F">
              <w:rPr>
                <w:rStyle w:val="Hyperlink"/>
                <w:noProof/>
                <w:sz w:val="26"/>
                <w:szCs w:val="26"/>
              </w:rPr>
              <w:t xml:space="preserve"> ICIF Construction.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_Toc148703318 \h </w:instrText>
            </w:r>
            <w:r w:rsidRPr="0072600F">
              <w:rPr>
                <w:noProof/>
                <w:webHidden/>
                <w:sz w:val="26"/>
                <w:szCs w:val="26"/>
              </w:rPr>
              <w:fldChar w:fldCharType="separate"/>
            </w:r>
            <w:r w:rsidR="00C46123">
              <w:rPr>
                <w:noProof/>
                <w:webHidden/>
                <w:sz w:val="26"/>
                <w:szCs w:val="26"/>
              </w:rPr>
              <w:t>- 32 -</w:t>
            </w:r>
            <w:r w:rsidRPr="0072600F">
              <w:rPr>
                <w:noProof/>
                <w:webHidden/>
                <w:sz w:val="26"/>
                <w:szCs w:val="26"/>
              </w:rPr>
              <w:fldChar w:fldCharType="end"/>
            </w:r>
          </w:hyperlink>
        </w:p>
        <w:p w:rsidR="00F3594B" w:rsidRPr="0072600F" w14:paraId="7FEA524F" w14:textId="77777777">
          <w:pPr>
            <w:pStyle w:val="TOC2"/>
            <w:rPr>
              <w:rFonts w:eastAsiaTheme="minorEastAsia"/>
              <w:b/>
              <w:bCs/>
              <w:i/>
              <w:iCs/>
              <w:noProof/>
              <w:sz w:val="26"/>
              <w:szCs w:val="26"/>
            </w:rPr>
          </w:pPr>
          <w:hyperlink w:anchor="_Toc148703319" w:history="1">
            <w:r w:rsidRPr="0072600F">
              <w:rPr>
                <w:rStyle w:val="Hyperlink"/>
                <w:noProof/>
                <w:sz w:val="26"/>
                <w:szCs w:val="26"/>
              </w:rPr>
              <w:t>5.11</w:t>
            </w:r>
            <w:r w:rsidRPr="0072600F">
              <w:rPr>
                <w:rFonts w:eastAsiaTheme="minorEastAsia"/>
                <w:noProof/>
                <w:sz w:val="26"/>
                <w:szCs w:val="26"/>
              </w:rPr>
              <w:tab/>
            </w:r>
            <w:r w:rsidRPr="0072600F">
              <w:rPr>
                <w:rStyle w:val="Hyperlink"/>
                <w:noProof/>
                <w:sz w:val="26"/>
                <w:szCs w:val="26"/>
              </w:rPr>
              <w:t>Transmission Provider</w:t>
            </w:r>
            <w:r w:rsidRPr="0072600F" w:rsidR="00BD11B3">
              <w:rPr>
                <w:rStyle w:val="Hyperlink"/>
                <w:noProof/>
                <w:sz w:val="26"/>
                <w:szCs w:val="26"/>
              </w:rPr>
              <w:t>’</w:t>
            </w:r>
            <w:r w:rsidRPr="0072600F">
              <w:rPr>
                <w:rStyle w:val="Hyperlink"/>
                <w:noProof/>
                <w:sz w:val="26"/>
                <w:szCs w:val="26"/>
              </w:rPr>
              <w:t>s Interconnection Facilities Construction.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_Toc148703319 \h </w:instrText>
            </w:r>
            <w:r w:rsidRPr="0072600F">
              <w:rPr>
                <w:b/>
                <w:bCs/>
                <w:i/>
                <w:iCs/>
                <w:noProof/>
                <w:webHidden/>
                <w:sz w:val="26"/>
                <w:szCs w:val="26"/>
              </w:rPr>
              <w:fldChar w:fldCharType="separate"/>
            </w:r>
            <w:r w:rsidR="00C46123">
              <w:rPr>
                <w:noProof/>
                <w:webHidden/>
                <w:sz w:val="26"/>
                <w:szCs w:val="26"/>
              </w:rPr>
              <w:t>- 33 -</w:t>
            </w:r>
            <w:r w:rsidRPr="0072600F">
              <w:rPr>
                <w:b/>
                <w:bCs/>
                <w:i/>
                <w:iCs/>
                <w:noProof/>
                <w:webHidden/>
                <w:sz w:val="26"/>
                <w:szCs w:val="26"/>
              </w:rPr>
              <w:fldChar w:fldCharType="end"/>
            </w:r>
          </w:hyperlink>
        </w:p>
        <w:p w:rsidR="00F3594B" w:rsidRPr="0072600F" w14:paraId="5B649117" w14:textId="77777777">
          <w:pPr>
            <w:pStyle w:val="TOC2"/>
            <w:rPr>
              <w:rFonts w:eastAsiaTheme="minorEastAsia"/>
              <w:b/>
              <w:bCs/>
              <w:i/>
              <w:iCs/>
              <w:noProof/>
              <w:sz w:val="26"/>
              <w:szCs w:val="26"/>
            </w:rPr>
          </w:pPr>
          <w:hyperlink w:anchor="_Toc148703320" w:history="1">
            <w:r w:rsidRPr="0072600F">
              <w:rPr>
                <w:rStyle w:val="Hyperlink"/>
                <w:noProof/>
                <w:sz w:val="26"/>
                <w:szCs w:val="26"/>
              </w:rPr>
              <w:t>5.12</w:t>
            </w:r>
            <w:r w:rsidRPr="0072600F">
              <w:rPr>
                <w:rFonts w:eastAsiaTheme="minorEastAsia"/>
                <w:noProof/>
                <w:sz w:val="26"/>
                <w:szCs w:val="26"/>
              </w:rPr>
              <w:tab/>
            </w:r>
            <w:r w:rsidRPr="0072600F">
              <w:rPr>
                <w:rStyle w:val="Hyperlink"/>
                <w:noProof/>
                <w:sz w:val="26"/>
                <w:szCs w:val="26"/>
              </w:rPr>
              <w:t>Access Rights.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_Toc148703320 \h </w:instrText>
            </w:r>
            <w:r w:rsidRPr="0072600F">
              <w:rPr>
                <w:b/>
                <w:bCs/>
                <w:i/>
                <w:iCs/>
                <w:noProof/>
                <w:webHidden/>
                <w:sz w:val="26"/>
                <w:szCs w:val="26"/>
              </w:rPr>
              <w:fldChar w:fldCharType="separate"/>
            </w:r>
            <w:r w:rsidR="00C46123">
              <w:rPr>
                <w:noProof/>
                <w:webHidden/>
                <w:sz w:val="26"/>
                <w:szCs w:val="26"/>
              </w:rPr>
              <w:t>- 33 -</w:t>
            </w:r>
            <w:r w:rsidRPr="0072600F">
              <w:rPr>
                <w:b/>
                <w:bCs/>
                <w:i/>
                <w:iCs/>
                <w:noProof/>
                <w:webHidden/>
                <w:sz w:val="26"/>
                <w:szCs w:val="26"/>
              </w:rPr>
              <w:fldChar w:fldCharType="end"/>
            </w:r>
          </w:hyperlink>
        </w:p>
        <w:p w:rsidR="00F3594B" w:rsidRPr="0072600F" w14:paraId="3C1F0AE1" w14:textId="77777777">
          <w:pPr>
            <w:pStyle w:val="TOC2"/>
            <w:rPr>
              <w:rFonts w:eastAsiaTheme="minorEastAsia"/>
              <w:b/>
              <w:bCs/>
              <w:i/>
              <w:iCs/>
              <w:noProof/>
              <w:sz w:val="26"/>
              <w:szCs w:val="26"/>
            </w:rPr>
          </w:pPr>
          <w:hyperlink w:anchor="_Toc148703321" w:history="1">
            <w:r w:rsidRPr="0072600F">
              <w:rPr>
                <w:rStyle w:val="Hyperlink"/>
                <w:noProof/>
                <w:sz w:val="26"/>
                <w:szCs w:val="26"/>
              </w:rPr>
              <w:t>5.13</w:t>
            </w:r>
            <w:r w:rsidRPr="0072600F">
              <w:rPr>
                <w:rFonts w:eastAsiaTheme="minorEastAsia"/>
                <w:noProof/>
                <w:sz w:val="26"/>
                <w:szCs w:val="26"/>
              </w:rPr>
              <w:tab/>
            </w:r>
            <w:r w:rsidRPr="0072600F">
              <w:rPr>
                <w:rStyle w:val="Hyperlink"/>
                <w:noProof/>
                <w:sz w:val="26"/>
                <w:szCs w:val="26"/>
              </w:rPr>
              <w:t>Lands of Other Property Owners.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_Toc148703321 \h </w:instrText>
            </w:r>
            <w:r w:rsidRPr="0072600F">
              <w:rPr>
                <w:b/>
                <w:bCs/>
                <w:i/>
                <w:iCs/>
                <w:noProof/>
                <w:webHidden/>
                <w:sz w:val="26"/>
                <w:szCs w:val="26"/>
              </w:rPr>
              <w:fldChar w:fldCharType="separate"/>
            </w:r>
            <w:r w:rsidR="00C46123">
              <w:rPr>
                <w:noProof/>
                <w:webHidden/>
                <w:sz w:val="26"/>
                <w:szCs w:val="26"/>
              </w:rPr>
              <w:t>- 34 -</w:t>
            </w:r>
            <w:r w:rsidRPr="0072600F">
              <w:rPr>
                <w:b/>
                <w:bCs/>
                <w:i/>
                <w:iCs/>
                <w:noProof/>
                <w:webHidden/>
                <w:sz w:val="26"/>
                <w:szCs w:val="26"/>
              </w:rPr>
              <w:fldChar w:fldCharType="end"/>
            </w:r>
          </w:hyperlink>
        </w:p>
        <w:p w:rsidR="00F3594B" w:rsidRPr="0072600F" w14:paraId="0DF12652" w14:textId="77777777">
          <w:pPr>
            <w:pStyle w:val="TOC2"/>
            <w:rPr>
              <w:rFonts w:eastAsiaTheme="minorEastAsia"/>
              <w:b/>
              <w:bCs/>
              <w:i/>
              <w:iCs/>
              <w:noProof/>
              <w:sz w:val="26"/>
              <w:szCs w:val="26"/>
            </w:rPr>
          </w:pPr>
          <w:hyperlink w:anchor="_Toc148703322" w:history="1">
            <w:r w:rsidRPr="0072600F">
              <w:rPr>
                <w:rStyle w:val="Hyperlink"/>
                <w:noProof/>
                <w:sz w:val="26"/>
                <w:szCs w:val="26"/>
              </w:rPr>
              <w:t>5.14</w:t>
            </w:r>
            <w:r w:rsidRPr="0072600F">
              <w:rPr>
                <w:rFonts w:eastAsiaTheme="minorEastAsia"/>
                <w:noProof/>
                <w:sz w:val="26"/>
                <w:szCs w:val="26"/>
              </w:rPr>
              <w:tab/>
            </w:r>
            <w:r w:rsidRPr="0072600F">
              <w:rPr>
                <w:rStyle w:val="Hyperlink"/>
                <w:noProof/>
                <w:sz w:val="26"/>
                <w:szCs w:val="26"/>
              </w:rPr>
              <w:t>Permits.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_Toc148703322 \h </w:instrText>
            </w:r>
            <w:r w:rsidRPr="0072600F">
              <w:rPr>
                <w:b/>
                <w:bCs/>
                <w:i/>
                <w:iCs/>
                <w:noProof/>
                <w:webHidden/>
                <w:sz w:val="26"/>
                <w:szCs w:val="26"/>
              </w:rPr>
              <w:fldChar w:fldCharType="separate"/>
            </w:r>
            <w:r w:rsidR="00C46123">
              <w:rPr>
                <w:noProof/>
                <w:webHidden/>
                <w:sz w:val="26"/>
                <w:szCs w:val="26"/>
              </w:rPr>
              <w:t>- 34 -</w:t>
            </w:r>
            <w:r w:rsidRPr="0072600F">
              <w:rPr>
                <w:b/>
                <w:bCs/>
                <w:i/>
                <w:iCs/>
                <w:noProof/>
                <w:webHidden/>
                <w:sz w:val="26"/>
                <w:szCs w:val="26"/>
              </w:rPr>
              <w:fldChar w:fldCharType="end"/>
            </w:r>
          </w:hyperlink>
        </w:p>
        <w:p w:rsidR="00F3594B" w:rsidRPr="0072600F" w14:paraId="7757BD53" w14:textId="77777777">
          <w:pPr>
            <w:pStyle w:val="TOC2"/>
            <w:rPr>
              <w:rFonts w:eastAsiaTheme="minorEastAsia"/>
              <w:b/>
              <w:bCs/>
              <w:i/>
              <w:iCs/>
              <w:noProof/>
              <w:sz w:val="26"/>
              <w:szCs w:val="26"/>
            </w:rPr>
          </w:pPr>
          <w:hyperlink w:anchor="_Toc148703323" w:history="1">
            <w:r w:rsidRPr="0072600F">
              <w:rPr>
                <w:rStyle w:val="Hyperlink"/>
                <w:noProof/>
                <w:sz w:val="26"/>
                <w:szCs w:val="26"/>
              </w:rPr>
              <w:t>5.15</w:t>
            </w:r>
            <w:r w:rsidRPr="0072600F">
              <w:rPr>
                <w:rFonts w:eastAsiaTheme="minorEastAsia"/>
                <w:noProof/>
                <w:sz w:val="26"/>
                <w:szCs w:val="26"/>
              </w:rPr>
              <w:tab/>
            </w:r>
            <w:r w:rsidRPr="0072600F">
              <w:rPr>
                <w:rStyle w:val="Hyperlink"/>
                <w:noProof/>
                <w:sz w:val="26"/>
                <w:szCs w:val="26"/>
              </w:rPr>
              <w:t>Early Construction of Base Case Facilities.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_Toc148703323 \h </w:instrText>
            </w:r>
            <w:r w:rsidRPr="0072600F">
              <w:rPr>
                <w:b/>
                <w:bCs/>
                <w:i/>
                <w:iCs/>
                <w:noProof/>
                <w:webHidden/>
                <w:sz w:val="26"/>
                <w:szCs w:val="26"/>
              </w:rPr>
              <w:fldChar w:fldCharType="separate"/>
            </w:r>
            <w:r w:rsidR="00C46123">
              <w:rPr>
                <w:noProof/>
                <w:webHidden/>
                <w:sz w:val="26"/>
                <w:szCs w:val="26"/>
              </w:rPr>
              <w:t>- 34 -</w:t>
            </w:r>
            <w:r w:rsidRPr="0072600F">
              <w:rPr>
                <w:b/>
                <w:bCs/>
                <w:i/>
                <w:iCs/>
                <w:noProof/>
                <w:webHidden/>
                <w:sz w:val="26"/>
                <w:szCs w:val="26"/>
              </w:rPr>
              <w:fldChar w:fldCharType="end"/>
            </w:r>
          </w:hyperlink>
        </w:p>
        <w:p w:rsidR="00F3594B" w:rsidRPr="0072600F" w14:paraId="7C07196D" w14:textId="77777777">
          <w:pPr>
            <w:pStyle w:val="TOC2"/>
            <w:rPr>
              <w:rFonts w:eastAsiaTheme="minorEastAsia"/>
              <w:b/>
              <w:bCs/>
              <w:i/>
              <w:iCs/>
              <w:noProof/>
              <w:sz w:val="26"/>
              <w:szCs w:val="26"/>
            </w:rPr>
          </w:pPr>
          <w:hyperlink w:anchor="_Toc148703324" w:history="1">
            <w:r w:rsidRPr="0072600F">
              <w:rPr>
                <w:rStyle w:val="Hyperlink"/>
                <w:noProof/>
                <w:sz w:val="26"/>
                <w:szCs w:val="26"/>
              </w:rPr>
              <w:t>5.16</w:t>
            </w:r>
            <w:r w:rsidRPr="0072600F">
              <w:rPr>
                <w:rFonts w:eastAsiaTheme="minorEastAsia"/>
                <w:noProof/>
                <w:sz w:val="26"/>
                <w:szCs w:val="26"/>
              </w:rPr>
              <w:tab/>
            </w:r>
            <w:r w:rsidRPr="0072600F">
              <w:rPr>
                <w:rStyle w:val="Hyperlink"/>
                <w:noProof/>
                <w:sz w:val="26"/>
                <w:szCs w:val="26"/>
              </w:rPr>
              <w:t>Suspension.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_Toc148703324 \h </w:instrText>
            </w:r>
            <w:r w:rsidRPr="0072600F">
              <w:rPr>
                <w:b/>
                <w:bCs/>
                <w:i/>
                <w:iCs/>
                <w:noProof/>
                <w:webHidden/>
                <w:sz w:val="26"/>
                <w:szCs w:val="26"/>
              </w:rPr>
              <w:fldChar w:fldCharType="separate"/>
            </w:r>
            <w:r w:rsidR="00C46123">
              <w:rPr>
                <w:noProof/>
                <w:webHidden/>
                <w:sz w:val="26"/>
                <w:szCs w:val="26"/>
              </w:rPr>
              <w:t>- 35 -</w:t>
            </w:r>
            <w:r w:rsidRPr="0072600F">
              <w:rPr>
                <w:b/>
                <w:bCs/>
                <w:i/>
                <w:iCs/>
                <w:noProof/>
                <w:webHidden/>
                <w:sz w:val="26"/>
                <w:szCs w:val="26"/>
              </w:rPr>
              <w:fldChar w:fldCharType="end"/>
            </w:r>
          </w:hyperlink>
        </w:p>
        <w:p w:rsidR="00F3594B" w:rsidRPr="0072600F" w14:paraId="3767699A" w14:textId="77777777">
          <w:pPr>
            <w:pStyle w:val="TOC2"/>
            <w:rPr>
              <w:rFonts w:eastAsiaTheme="minorEastAsia"/>
              <w:b/>
              <w:bCs/>
              <w:i/>
              <w:iCs/>
              <w:noProof/>
              <w:sz w:val="26"/>
              <w:szCs w:val="26"/>
            </w:rPr>
          </w:pPr>
          <w:hyperlink w:anchor="_Toc148703325" w:history="1">
            <w:r w:rsidRPr="0072600F">
              <w:rPr>
                <w:rStyle w:val="Hyperlink"/>
                <w:noProof/>
                <w:sz w:val="26"/>
                <w:szCs w:val="26"/>
              </w:rPr>
              <w:t>5.17</w:t>
            </w:r>
            <w:r w:rsidRPr="0072600F">
              <w:rPr>
                <w:rFonts w:eastAsiaTheme="minorEastAsia"/>
                <w:noProof/>
                <w:sz w:val="26"/>
                <w:szCs w:val="26"/>
              </w:rPr>
              <w:tab/>
            </w:r>
            <w:r w:rsidRPr="0072600F">
              <w:rPr>
                <w:rStyle w:val="Hyperlink"/>
                <w:noProof/>
                <w:sz w:val="26"/>
                <w:szCs w:val="26"/>
              </w:rPr>
              <w:t>Taxes.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_Toc148703325 \h </w:instrText>
            </w:r>
            <w:r w:rsidRPr="0072600F">
              <w:rPr>
                <w:b/>
                <w:bCs/>
                <w:i/>
                <w:iCs/>
                <w:noProof/>
                <w:webHidden/>
                <w:sz w:val="26"/>
                <w:szCs w:val="26"/>
              </w:rPr>
              <w:fldChar w:fldCharType="separate"/>
            </w:r>
            <w:r w:rsidR="00C46123">
              <w:rPr>
                <w:noProof/>
                <w:webHidden/>
                <w:sz w:val="26"/>
                <w:szCs w:val="26"/>
              </w:rPr>
              <w:t>- 35 -</w:t>
            </w:r>
            <w:r w:rsidRPr="0072600F">
              <w:rPr>
                <w:b/>
                <w:bCs/>
                <w:i/>
                <w:iCs/>
                <w:noProof/>
                <w:webHidden/>
                <w:sz w:val="26"/>
                <w:szCs w:val="26"/>
              </w:rPr>
              <w:fldChar w:fldCharType="end"/>
            </w:r>
          </w:hyperlink>
        </w:p>
        <w:p w:rsidR="00F3594B" w:rsidRPr="0072600F" w14:paraId="154B0E4B" w14:textId="77777777">
          <w:pPr>
            <w:pStyle w:val="TOC3"/>
            <w:tabs>
              <w:tab w:val="left" w:pos="1200"/>
              <w:tab w:val="right" w:leader="dot" w:pos="9350"/>
            </w:tabs>
            <w:rPr>
              <w:rFonts w:eastAsiaTheme="minorEastAsia"/>
              <w:noProof/>
              <w:sz w:val="26"/>
              <w:szCs w:val="26"/>
            </w:rPr>
          </w:pPr>
          <w:hyperlink w:anchor="_Toc148703326" w:history="1">
            <w:r w:rsidRPr="0072600F">
              <w:rPr>
                <w:rStyle w:val="Hyperlink"/>
                <w:noProof/>
                <w:sz w:val="26"/>
                <w:szCs w:val="26"/>
              </w:rPr>
              <w:t>5.17.1</w:t>
            </w:r>
            <w:r w:rsidRPr="0072600F">
              <w:rPr>
                <w:rFonts w:eastAsiaTheme="minorEastAsia"/>
                <w:noProof/>
                <w:sz w:val="26"/>
                <w:szCs w:val="26"/>
              </w:rPr>
              <w:tab/>
            </w:r>
            <w:r w:rsidRPr="0072600F">
              <w:rPr>
                <w:rStyle w:val="Hyperlink"/>
                <w:noProof/>
                <w:sz w:val="26"/>
                <w:szCs w:val="26"/>
              </w:rPr>
              <w:t xml:space="preserve"> Interconnection Customer Payments Not Taxable.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_Toc148703326 \h </w:instrText>
            </w:r>
            <w:r w:rsidRPr="0072600F">
              <w:rPr>
                <w:noProof/>
                <w:webHidden/>
                <w:sz w:val="26"/>
                <w:szCs w:val="26"/>
              </w:rPr>
              <w:fldChar w:fldCharType="separate"/>
            </w:r>
            <w:r w:rsidR="00C46123">
              <w:rPr>
                <w:noProof/>
                <w:webHidden/>
                <w:sz w:val="26"/>
                <w:szCs w:val="26"/>
              </w:rPr>
              <w:t>- 35 -</w:t>
            </w:r>
            <w:r w:rsidRPr="0072600F">
              <w:rPr>
                <w:noProof/>
                <w:webHidden/>
                <w:sz w:val="26"/>
                <w:szCs w:val="26"/>
              </w:rPr>
              <w:fldChar w:fldCharType="end"/>
            </w:r>
          </w:hyperlink>
        </w:p>
        <w:p w:rsidR="00F3594B" w:rsidRPr="0072600F" w14:paraId="7B700273" w14:textId="77777777">
          <w:pPr>
            <w:pStyle w:val="TOC3"/>
            <w:tabs>
              <w:tab w:val="left" w:pos="1200"/>
              <w:tab w:val="right" w:leader="dot" w:pos="9350"/>
            </w:tabs>
            <w:rPr>
              <w:rFonts w:eastAsiaTheme="minorEastAsia"/>
              <w:noProof/>
              <w:sz w:val="26"/>
              <w:szCs w:val="26"/>
            </w:rPr>
          </w:pPr>
          <w:hyperlink w:anchor="_Toc148703327" w:history="1">
            <w:r w:rsidRPr="0072600F">
              <w:rPr>
                <w:rStyle w:val="Hyperlink"/>
                <w:noProof/>
                <w:sz w:val="26"/>
                <w:szCs w:val="26"/>
              </w:rPr>
              <w:t>5.17.2</w:t>
            </w:r>
            <w:r w:rsidRPr="0072600F">
              <w:rPr>
                <w:rFonts w:eastAsiaTheme="minorEastAsia"/>
                <w:noProof/>
                <w:sz w:val="26"/>
                <w:szCs w:val="26"/>
              </w:rPr>
              <w:tab/>
            </w:r>
            <w:r w:rsidRPr="0072600F">
              <w:rPr>
                <w:rStyle w:val="Hyperlink"/>
                <w:noProof/>
                <w:sz w:val="26"/>
                <w:szCs w:val="26"/>
              </w:rPr>
              <w:t xml:space="preserve"> Representations and Covenants.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_Toc148703327 \h </w:instrText>
            </w:r>
            <w:r w:rsidRPr="0072600F">
              <w:rPr>
                <w:noProof/>
                <w:webHidden/>
                <w:sz w:val="26"/>
                <w:szCs w:val="26"/>
              </w:rPr>
              <w:fldChar w:fldCharType="separate"/>
            </w:r>
            <w:r w:rsidR="00C46123">
              <w:rPr>
                <w:noProof/>
                <w:webHidden/>
                <w:sz w:val="26"/>
                <w:szCs w:val="26"/>
              </w:rPr>
              <w:t>- 36 -</w:t>
            </w:r>
            <w:r w:rsidRPr="0072600F">
              <w:rPr>
                <w:noProof/>
                <w:webHidden/>
                <w:sz w:val="26"/>
                <w:szCs w:val="26"/>
              </w:rPr>
              <w:fldChar w:fldCharType="end"/>
            </w:r>
          </w:hyperlink>
        </w:p>
        <w:p w:rsidR="00F3594B" w:rsidRPr="0072600F" w14:paraId="131AE041" w14:textId="77777777">
          <w:pPr>
            <w:pStyle w:val="TOC3"/>
            <w:tabs>
              <w:tab w:val="left" w:pos="1200"/>
              <w:tab w:val="right" w:leader="dot" w:pos="9350"/>
            </w:tabs>
            <w:rPr>
              <w:rFonts w:eastAsiaTheme="minorEastAsia"/>
              <w:noProof/>
              <w:sz w:val="26"/>
              <w:szCs w:val="26"/>
            </w:rPr>
          </w:pPr>
          <w:hyperlink w:anchor="_Toc148703328" w:history="1">
            <w:r w:rsidRPr="0072600F">
              <w:rPr>
                <w:rStyle w:val="Hyperlink"/>
                <w:noProof/>
                <w:sz w:val="26"/>
                <w:szCs w:val="26"/>
              </w:rPr>
              <w:t>5.17.3</w:t>
            </w:r>
            <w:r w:rsidRPr="0072600F">
              <w:rPr>
                <w:rFonts w:eastAsiaTheme="minorEastAsia"/>
                <w:noProof/>
                <w:sz w:val="26"/>
                <w:szCs w:val="26"/>
              </w:rPr>
              <w:tab/>
            </w:r>
            <w:r w:rsidRPr="0072600F">
              <w:rPr>
                <w:rStyle w:val="Hyperlink"/>
                <w:noProof/>
                <w:sz w:val="26"/>
                <w:szCs w:val="26"/>
              </w:rPr>
              <w:t xml:space="preserve"> Indemnification for the Cost Consequences of Current Tax Liability Imposed Upon </w:t>
            </w:r>
            <w:r w:rsidRPr="0072600F" w:rsidR="002C0896">
              <w:rPr>
                <w:rStyle w:val="Hyperlink"/>
                <w:noProof/>
                <w:sz w:val="26"/>
                <w:szCs w:val="26"/>
              </w:rPr>
              <w:t>[</w:t>
            </w:r>
            <w:r w:rsidRPr="0072600F">
              <w:rPr>
                <w:rStyle w:val="Hyperlink"/>
                <w:noProof/>
                <w:sz w:val="26"/>
                <w:szCs w:val="26"/>
              </w:rPr>
              <w:t>the</w:t>
            </w:r>
            <w:r w:rsidRPr="0072600F" w:rsidR="002C0896">
              <w:rPr>
                <w:rStyle w:val="Hyperlink"/>
                <w:noProof/>
                <w:sz w:val="26"/>
                <w:szCs w:val="26"/>
              </w:rPr>
              <w:t>]</w:t>
            </w:r>
            <w:r w:rsidRPr="0072600F">
              <w:rPr>
                <w:rStyle w:val="Hyperlink"/>
                <w:noProof/>
                <w:sz w:val="26"/>
                <w:szCs w:val="26"/>
              </w:rPr>
              <w:t xml:space="preserve"> Transmission Provider.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_Toc148703328 \h </w:instrText>
            </w:r>
            <w:r w:rsidRPr="0072600F">
              <w:rPr>
                <w:noProof/>
                <w:webHidden/>
                <w:sz w:val="26"/>
                <w:szCs w:val="26"/>
              </w:rPr>
              <w:fldChar w:fldCharType="separate"/>
            </w:r>
            <w:r w:rsidR="00C46123">
              <w:rPr>
                <w:noProof/>
                <w:webHidden/>
                <w:sz w:val="26"/>
                <w:szCs w:val="26"/>
              </w:rPr>
              <w:t>- 37 -</w:t>
            </w:r>
            <w:r w:rsidRPr="0072600F">
              <w:rPr>
                <w:noProof/>
                <w:webHidden/>
                <w:sz w:val="26"/>
                <w:szCs w:val="26"/>
              </w:rPr>
              <w:fldChar w:fldCharType="end"/>
            </w:r>
          </w:hyperlink>
        </w:p>
        <w:p w:rsidR="00F3594B" w:rsidRPr="0072600F" w14:paraId="0919D570" w14:textId="77777777">
          <w:pPr>
            <w:pStyle w:val="TOC3"/>
            <w:tabs>
              <w:tab w:val="left" w:pos="1200"/>
              <w:tab w:val="right" w:leader="dot" w:pos="9350"/>
            </w:tabs>
            <w:rPr>
              <w:rFonts w:eastAsiaTheme="minorEastAsia"/>
              <w:noProof/>
              <w:sz w:val="26"/>
              <w:szCs w:val="26"/>
            </w:rPr>
          </w:pPr>
          <w:hyperlink w:anchor="_Toc148703329" w:history="1">
            <w:r w:rsidRPr="0072600F">
              <w:rPr>
                <w:rStyle w:val="Hyperlink"/>
                <w:noProof/>
                <w:sz w:val="26"/>
                <w:szCs w:val="26"/>
              </w:rPr>
              <w:t>5.17.4</w:t>
            </w:r>
            <w:r w:rsidRPr="0072600F">
              <w:rPr>
                <w:rFonts w:eastAsiaTheme="minorEastAsia"/>
                <w:noProof/>
                <w:sz w:val="26"/>
                <w:szCs w:val="26"/>
              </w:rPr>
              <w:tab/>
            </w:r>
            <w:r w:rsidRPr="0072600F">
              <w:rPr>
                <w:rStyle w:val="Hyperlink"/>
                <w:noProof/>
                <w:sz w:val="26"/>
                <w:szCs w:val="26"/>
              </w:rPr>
              <w:t xml:space="preserve"> Tax Gross-Up Amount.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_Toc148703329 \h </w:instrText>
            </w:r>
            <w:r w:rsidRPr="0072600F">
              <w:rPr>
                <w:noProof/>
                <w:webHidden/>
                <w:sz w:val="26"/>
                <w:szCs w:val="26"/>
              </w:rPr>
              <w:fldChar w:fldCharType="separate"/>
            </w:r>
            <w:r w:rsidR="00C46123">
              <w:rPr>
                <w:noProof/>
                <w:webHidden/>
                <w:sz w:val="26"/>
                <w:szCs w:val="26"/>
              </w:rPr>
              <w:t>- 38 -</w:t>
            </w:r>
            <w:r w:rsidRPr="0072600F">
              <w:rPr>
                <w:noProof/>
                <w:webHidden/>
                <w:sz w:val="26"/>
                <w:szCs w:val="26"/>
              </w:rPr>
              <w:fldChar w:fldCharType="end"/>
            </w:r>
          </w:hyperlink>
        </w:p>
        <w:p w:rsidR="00F3594B" w:rsidRPr="0072600F" w14:paraId="3F1DE987" w14:textId="77777777">
          <w:pPr>
            <w:pStyle w:val="TOC3"/>
            <w:tabs>
              <w:tab w:val="left" w:pos="1200"/>
              <w:tab w:val="right" w:leader="dot" w:pos="9350"/>
            </w:tabs>
            <w:rPr>
              <w:rFonts w:eastAsiaTheme="minorEastAsia"/>
              <w:noProof/>
              <w:sz w:val="26"/>
              <w:szCs w:val="26"/>
            </w:rPr>
          </w:pPr>
          <w:hyperlink w:anchor="_Toc148703330" w:history="1">
            <w:r w:rsidRPr="0072600F">
              <w:rPr>
                <w:rStyle w:val="Hyperlink"/>
                <w:noProof/>
                <w:sz w:val="26"/>
                <w:szCs w:val="26"/>
              </w:rPr>
              <w:t>5.17.5</w:t>
            </w:r>
            <w:r w:rsidRPr="0072600F">
              <w:rPr>
                <w:rFonts w:eastAsiaTheme="minorEastAsia"/>
                <w:noProof/>
                <w:sz w:val="26"/>
                <w:szCs w:val="26"/>
              </w:rPr>
              <w:tab/>
            </w:r>
            <w:r w:rsidRPr="0072600F">
              <w:rPr>
                <w:rStyle w:val="Hyperlink"/>
                <w:noProof/>
                <w:sz w:val="26"/>
                <w:szCs w:val="26"/>
              </w:rPr>
              <w:t xml:space="preserve"> Private Letter Ruling or Change or Clarification of Law.</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_Toc148703330 \h </w:instrText>
            </w:r>
            <w:r w:rsidRPr="0072600F">
              <w:rPr>
                <w:noProof/>
                <w:webHidden/>
                <w:sz w:val="26"/>
                <w:szCs w:val="26"/>
              </w:rPr>
              <w:fldChar w:fldCharType="separate"/>
            </w:r>
            <w:r w:rsidR="00C46123">
              <w:rPr>
                <w:noProof/>
                <w:webHidden/>
                <w:sz w:val="26"/>
                <w:szCs w:val="26"/>
              </w:rPr>
              <w:t>- 39 -</w:t>
            </w:r>
            <w:r w:rsidRPr="0072600F">
              <w:rPr>
                <w:noProof/>
                <w:webHidden/>
                <w:sz w:val="26"/>
                <w:szCs w:val="26"/>
              </w:rPr>
              <w:fldChar w:fldCharType="end"/>
            </w:r>
          </w:hyperlink>
        </w:p>
        <w:p w:rsidR="00F3594B" w:rsidRPr="0072600F" w14:paraId="7994B096" w14:textId="77777777">
          <w:pPr>
            <w:pStyle w:val="TOC3"/>
            <w:tabs>
              <w:tab w:val="left" w:pos="1200"/>
              <w:tab w:val="right" w:leader="dot" w:pos="9350"/>
            </w:tabs>
            <w:rPr>
              <w:rFonts w:eastAsiaTheme="minorEastAsia"/>
              <w:noProof/>
              <w:sz w:val="26"/>
              <w:szCs w:val="26"/>
            </w:rPr>
          </w:pPr>
          <w:hyperlink w:anchor="_Toc148703331" w:history="1">
            <w:r w:rsidRPr="0072600F">
              <w:rPr>
                <w:rStyle w:val="Hyperlink"/>
                <w:noProof/>
                <w:sz w:val="26"/>
                <w:szCs w:val="26"/>
              </w:rPr>
              <w:t>5.17.6</w:t>
            </w:r>
            <w:r w:rsidRPr="0072600F">
              <w:rPr>
                <w:rFonts w:eastAsiaTheme="minorEastAsia"/>
                <w:noProof/>
                <w:sz w:val="26"/>
                <w:szCs w:val="26"/>
              </w:rPr>
              <w:tab/>
            </w:r>
            <w:r w:rsidRPr="0072600F">
              <w:rPr>
                <w:rStyle w:val="Hyperlink"/>
                <w:noProof/>
                <w:sz w:val="26"/>
                <w:szCs w:val="26"/>
              </w:rPr>
              <w:t xml:space="preserve"> Subsequent Taxable Events.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_Toc148703331 \h </w:instrText>
            </w:r>
            <w:r w:rsidRPr="0072600F">
              <w:rPr>
                <w:noProof/>
                <w:webHidden/>
                <w:sz w:val="26"/>
                <w:szCs w:val="26"/>
              </w:rPr>
              <w:fldChar w:fldCharType="separate"/>
            </w:r>
            <w:r w:rsidR="00C46123">
              <w:rPr>
                <w:noProof/>
                <w:webHidden/>
                <w:sz w:val="26"/>
                <w:szCs w:val="26"/>
              </w:rPr>
              <w:t>- 39 -</w:t>
            </w:r>
            <w:r w:rsidRPr="0072600F">
              <w:rPr>
                <w:noProof/>
                <w:webHidden/>
                <w:sz w:val="26"/>
                <w:szCs w:val="26"/>
              </w:rPr>
              <w:fldChar w:fldCharType="end"/>
            </w:r>
          </w:hyperlink>
        </w:p>
        <w:p w:rsidR="00F3594B" w:rsidRPr="0072600F" w14:paraId="584774CF" w14:textId="77777777">
          <w:pPr>
            <w:pStyle w:val="TOC3"/>
            <w:tabs>
              <w:tab w:val="left" w:pos="1200"/>
              <w:tab w:val="right" w:leader="dot" w:pos="9350"/>
            </w:tabs>
            <w:rPr>
              <w:rFonts w:eastAsiaTheme="minorEastAsia"/>
              <w:noProof/>
              <w:sz w:val="26"/>
              <w:szCs w:val="26"/>
            </w:rPr>
          </w:pPr>
          <w:hyperlink w:anchor="_Toc148703332" w:history="1">
            <w:r w:rsidRPr="0072600F">
              <w:rPr>
                <w:rStyle w:val="Hyperlink"/>
                <w:noProof/>
                <w:sz w:val="26"/>
                <w:szCs w:val="26"/>
              </w:rPr>
              <w:t>5.17.7</w:t>
            </w:r>
            <w:r w:rsidRPr="0072600F">
              <w:rPr>
                <w:rFonts w:eastAsiaTheme="minorEastAsia"/>
                <w:noProof/>
                <w:sz w:val="26"/>
                <w:szCs w:val="26"/>
              </w:rPr>
              <w:tab/>
            </w:r>
            <w:r w:rsidRPr="0072600F">
              <w:rPr>
                <w:rStyle w:val="Hyperlink"/>
                <w:noProof/>
                <w:sz w:val="26"/>
                <w:szCs w:val="26"/>
              </w:rPr>
              <w:t xml:space="preserve"> Contests.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_Toc148703332 \h </w:instrText>
            </w:r>
            <w:r w:rsidRPr="0072600F">
              <w:rPr>
                <w:noProof/>
                <w:webHidden/>
                <w:sz w:val="26"/>
                <w:szCs w:val="26"/>
              </w:rPr>
              <w:fldChar w:fldCharType="separate"/>
            </w:r>
            <w:r w:rsidR="00C46123">
              <w:rPr>
                <w:noProof/>
                <w:webHidden/>
                <w:sz w:val="26"/>
                <w:szCs w:val="26"/>
              </w:rPr>
              <w:t>- 40 -</w:t>
            </w:r>
            <w:r w:rsidRPr="0072600F">
              <w:rPr>
                <w:noProof/>
                <w:webHidden/>
                <w:sz w:val="26"/>
                <w:szCs w:val="26"/>
              </w:rPr>
              <w:fldChar w:fldCharType="end"/>
            </w:r>
          </w:hyperlink>
        </w:p>
        <w:p w:rsidR="00F3594B" w:rsidRPr="0072600F" w14:paraId="48590F07" w14:textId="77777777">
          <w:pPr>
            <w:pStyle w:val="TOC3"/>
            <w:tabs>
              <w:tab w:val="left" w:pos="1200"/>
              <w:tab w:val="right" w:leader="dot" w:pos="9350"/>
            </w:tabs>
            <w:rPr>
              <w:rFonts w:eastAsiaTheme="minorEastAsia"/>
              <w:noProof/>
              <w:sz w:val="26"/>
              <w:szCs w:val="26"/>
            </w:rPr>
          </w:pPr>
          <w:hyperlink w:anchor="_Toc148703333" w:history="1">
            <w:r w:rsidRPr="0072600F">
              <w:rPr>
                <w:rStyle w:val="Hyperlink"/>
                <w:noProof/>
                <w:sz w:val="26"/>
                <w:szCs w:val="26"/>
              </w:rPr>
              <w:t>5.17.8</w:t>
            </w:r>
            <w:r w:rsidRPr="0072600F">
              <w:rPr>
                <w:rFonts w:eastAsiaTheme="minorEastAsia"/>
                <w:noProof/>
                <w:sz w:val="26"/>
                <w:szCs w:val="26"/>
              </w:rPr>
              <w:tab/>
            </w:r>
            <w:r w:rsidRPr="0072600F">
              <w:rPr>
                <w:rStyle w:val="Hyperlink"/>
                <w:noProof/>
                <w:sz w:val="26"/>
                <w:szCs w:val="26"/>
              </w:rPr>
              <w:t xml:space="preserve"> Refund.</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_Toc148703333 \h </w:instrText>
            </w:r>
            <w:r w:rsidRPr="0072600F">
              <w:rPr>
                <w:noProof/>
                <w:webHidden/>
                <w:sz w:val="26"/>
                <w:szCs w:val="26"/>
              </w:rPr>
              <w:fldChar w:fldCharType="separate"/>
            </w:r>
            <w:r w:rsidR="00C46123">
              <w:rPr>
                <w:noProof/>
                <w:webHidden/>
                <w:sz w:val="26"/>
                <w:szCs w:val="26"/>
              </w:rPr>
              <w:t>- 41 -</w:t>
            </w:r>
            <w:r w:rsidRPr="0072600F">
              <w:rPr>
                <w:noProof/>
                <w:webHidden/>
                <w:sz w:val="26"/>
                <w:szCs w:val="26"/>
              </w:rPr>
              <w:fldChar w:fldCharType="end"/>
            </w:r>
          </w:hyperlink>
        </w:p>
        <w:p w:rsidR="00F3594B" w:rsidRPr="0072600F" w14:paraId="1BA2539D" w14:textId="77777777">
          <w:pPr>
            <w:pStyle w:val="TOC3"/>
            <w:tabs>
              <w:tab w:val="left" w:pos="1200"/>
              <w:tab w:val="right" w:leader="dot" w:pos="9350"/>
            </w:tabs>
            <w:rPr>
              <w:rFonts w:eastAsiaTheme="minorEastAsia"/>
              <w:noProof/>
              <w:sz w:val="26"/>
              <w:szCs w:val="26"/>
            </w:rPr>
          </w:pPr>
          <w:hyperlink w:anchor="_Toc148703334" w:history="1">
            <w:r w:rsidRPr="0072600F">
              <w:rPr>
                <w:rStyle w:val="Hyperlink"/>
                <w:noProof/>
                <w:sz w:val="26"/>
                <w:szCs w:val="26"/>
              </w:rPr>
              <w:t>5.17.9</w:t>
            </w:r>
            <w:r w:rsidRPr="0072600F">
              <w:rPr>
                <w:rFonts w:eastAsiaTheme="minorEastAsia"/>
                <w:noProof/>
                <w:sz w:val="26"/>
                <w:szCs w:val="26"/>
              </w:rPr>
              <w:tab/>
            </w:r>
            <w:r w:rsidRPr="0072600F">
              <w:rPr>
                <w:rStyle w:val="Hyperlink"/>
                <w:noProof/>
                <w:sz w:val="26"/>
                <w:szCs w:val="26"/>
              </w:rPr>
              <w:t xml:space="preserve"> Taxes Other Than Income Taxes.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_Toc148703334 \h </w:instrText>
            </w:r>
            <w:r w:rsidRPr="0072600F">
              <w:rPr>
                <w:noProof/>
                <w:webHidden/>
                <w:sz w:val="26"/>
                <w:szCs w:val="26"/>
              </w:rPr>
              <w:fldChar w:fldCharType="separate"/>
            </w:r>
            <w:r w:rsidR="00C46123">
              <w:rPr>
                <w:noProof/>
                <w:webHidden/>
                <w:sz w:val="26"/>
                <w:szCs w:val="26"/>
              </w:rPr>
              <w:t>- 42 -</w:t>
            </w:r>
            <w:r w:rsidRPr="0072600F">
              <w:rPr>
                <w:noProof/>
                <w:webHidden/>
                <w:sz w:val="26"/>
                <w:szCs w:val="26"/>
              </w:rPr>
              <w:fldChar w:fldCharType="end"/>
            </w:r>
          </w:hyperlink>
        </w:p>
        <w:p w:rsidR="00F3594B" w:rsidRPr="0072600F" w14:paraId="3D6E803B" w14:textId="77777777">
          <w:pPr>
            <w:pStyle w:val="TOC3"/>
            <w:tabs>
              <w:tab w:val="left" w:pos="1400"/>
              <w:tab w:val="right" w:leader="dot" w:pos="9350"/>
            </w:tabs>
            <w:rPr>
              <w:rFonts w:eastAsiaTheme="minorEastAsia"/>
              <w:noProof/>
              <w:sz w:val="26"/>
              <w:szCs w:val="26"/>
            </w:rPr>
          </w:pPr>
          <w:hyperlink w:anchor="_Toc148703335" w:history="1">
            <w:r w:rsidRPr="0072600F">
              <w:rPr>
                <w:rStyle w:val="Hyperlink"/>
                <w:noProof/>
                <w:sz w:val="26"/>
                <w:szCs w:val="26"/>
              </w:rPr>
              <w:t>5.17.10</w:t>
            </w:r>
            <w:r w:rsidRPr="0072600F">
              <w:rPr>
                <w:rFonts w:eastAsiaTheme="minorEastAsia"/>
                <w:noProof/>
                <w:sz w:val="26"/>
                <w:szCs w:val="26"/>
              </w:rPr>
              <w:tab/>
            </w:r>
            <w:r w:rsidRPr="0072600F">
              <w:rPr>
                <w:rStyle w:val="Hyperlink"/>
                <w:noProof/>
                <w:sz w:val="26"/>
                <w:szCs w:val="26"/>
              </w:rPr>
              <w:t>Transmission Owners Who Are Not Transmission Providers.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_Toc148703335 \h </w:instrText>
            </w:r>
            <w:r w:rsidRPr="0072600F">
              <w:rPr>
                <w:noProof/>
                <w:webHidden/>
                <w:sz w:val="26"/>
                <w:szCs w:val="26"/>
              </w:rPr>
              <w:fldChar w:fldCharType="separate"/>
            </w:r>
            <w:r w:rsidR="00C46123">
              <w:rPr>
                <w:noProof/>
                <w:webHidden/>
                <w:sz w:val="26"/>
                <w:szCs w:val="26"/>
              </w:rPr>
              <w:t>- 43 -</w:t>
            </w:r>
            <w:r w:rsidRPr="0072600F">
              <w:rPr>
                <w:noProof/>
                <w:webHidden/>
                <w:sz w:val="26"/>
                <w:szCs w:val="26"/>
              </w:rPr>
              <w:fldChar w:fldCharType="end"/>
            </w:r>
          </w:hyperlink>
        </w:p>
        <w:p w:rsidR="00F3594B" w:rsidRPr="0072600F" w14:paraId="533A3B3D" w14:textId="77777777">
          <w:pPr>
            <w:pStyle w:val="TOC2"/>
            <w:rPr>
              <w:rFonts w:eastAsiaTheme="minorEastAsia"/>
              <w:b/>
              <w:bCs/>
              <w:i/>
              <w:iCs/>
              <w:noProof/>
              <w:sz w:val="26"/>
              <w:szCs w:val="26"/>
            </w:rPr>
          </w:pPr>
          <w:hyperlink w:anchor="_Toc148703336" w:history="1">
            <w:r w:rsidRPr="0072600F">
              <w:rPr>
                <w:rStyle w:val="Hyperlink"/>
                <w:noProof/>
                <w:sz w:val="26"/>
                <w:szCs w:val="26"/>
              </w:rPr>
              <w:t>5.18</w:t>
            </w:r>
            <w:r w:rsidRPr="0072600F">
              <w:rPr>
                <w:rFonts w:eastAsiaTheme="minorEastAsia"/>
                <w:noProof/>
                <w:sz w:val="26"/>
                <w:szCs w:val="26"/>
              </w:rPr>
              <w:tab/>
            </w:r>
            <w:r w:rsidRPr="0072600F">
              <w:rPr>
                <w:rStyle w:val="Hyperlink"/>
                <w:noProof/>
                <w:sz w:val="26"/>
                <w:szCs w:val="26"/>
              </w:rPr>
              <w:t>Tax Status.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_Toc148703336 \h </w:instrText>
            </w:r>
            <w:r w:rsidRPr="0072600F">
              <w:rPr>
                <w:b/>
                <w:bCs/>
                <w:i/>
                <w:iCs/>
                <w:noProof/>
                <w:webHidden/>
                <w:sz w:val="26"/>
                <w:szCs w:val="26"/>
              </w:rPr>
              <w:fldChar w:fldCharType="separate"/>
            </w:r>
            <w:r w:rsidR="00C46123">
              <w:rPr>
                <w:noProof/>
                <w:webHidden/>
                <w:sz w:val="26"/>
                <w:szCs w:val="26"/>
              </w:rPr>
              <w:t>- 43 -</w:t>
            </w:r>
            <w:r w:rsidRPr="0072600F">
              <w:rPr>
                <w:b/>
                <w:bCs/>
                <w:i/>
                <w:iCs/>
                <w:noProof/>
                <w:webHidden/>
                <w:sz w:val="26"/>
                <w:szCs w:val="26"/>
              </w:rPr>
              <w:fldChar w:fldCharType="end"/>
            </w:r>
          </w:hyperlink>
        </w:p>
        <w:p w:rsidR="00F3594B" w:rsidRPr="0072600F" w14:paraId="7BFF6AE6" w14:textId="77777777">
          <w:pPr>
            <w:pStyle w:val="TOC2"/>
            <w:rPr>
              <w:rFonts w:eastAsiaTheme="minorEastAsia"/>
              <w:b/>
              <w:bCs/>
              <w:i/>
              <w:iCs/>
              <w:noProof/>
              <w:sz w:val="26"/>
              <w:szCs w:val="26"/>
            </w:rPr>
          </w:pPr>
          <w:hyperlink w:anchor="_Toc148703337" w:history="1">
            <w:r w:rsidRPr="0072600F">
              <w:rPr>
                <w:rStyle w:val="Hyperlink"/>
                <w:noProof/>
                <w:sz w:val="26"/>
                <w:szCs w:val="26"/>
              </w:rPr>
              <w:t>5.19</w:t>
            </w:r>
            <w:r w:rsidRPr="0072600F">
              <w:rPr>
                <w:rFonts w:eastAsiaTheme="minorEastAsia"/>
                <w:noProof/>
                <w:sz w:val="26"/>
                <w:szCs w:val="26"/>
              </w:rPr>
              <w:tab/>
            </w:r>
            <w:r w:rsidRPr="0072600F">
              <w:rPr>
                <w:rStyle w:val="Hyperlink"/>
                <w:noProof/>
                <w:sz w:val="26"/>
                <w:szCs w:val="26"/>
              </w:rPr>
              <w:t>Modification.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_Toc148703337 \h </w:instrText>
            </w:r>
            <w:r w:rsidRPr="0072600F">
              <w:rPr>
                <w:b/>
                <w:bCs/>
                <w:i/>
                <w:iCs/>
                <w:noProof/>
                <w:webHidden/>
                <w:sz w:val="26"/>
                <w:szCs w:val="26"/>
              </w:rPr>
              <w:fldChar w:fldCharType="separate"/>
            </w:r>
            <w:r w:rsidR="00C46123">
              <w:rPr>
                <w:noProof/>
                <w:webHidden/>
                <w:sz w:val="26"/>
                <w:szCs w:val="26"/>
              </w:rPr>
              <w:t>- 43 -</w:t>
            </w:r>
            <w:r w:rsidRPr="0072600F">
              <w:rPr>
                <w:b/>
                <w:bCs/>
                <w:i/>
                <w:iCs/>
                <w:noProof/>
                <w:webHidden/>
                <w:sz w:val="26"/>
                <w:szCs w:val="26"/>
              </w:rPr>
              <w:fldChar w:fldCharType="end"/>
            </w:r>
          </w:hyperlink>
        </w:p>
        <w:p w:rsidR="00F3594B" w:rsidRPr="0072600F" w14:paraId="10B4EE4C" w14:textId="77777777">
          <w:pPr>
            <w:pStyle w:val="TOC3"/>
            <w:tabs>
              <w:tab w:val="left" w:pos="1200"/>
              <w:tab w:val="right" w:leader="dot" w:pos="9350"/>
            </w:tabs>
            <w:rPr>
              <w:rFonts w:eastAsiaTheme="minorEastAsia"/>
              <w:noProof/>
              <w:sz w:val="26"/>
              <w:szCs w:val="26"/>
            </w:rPr>
          </w:pPr>
          <w:hyperlink w:anchor="_Toc148703338" w:history="1">
            <w:r w:rsidRPr="0072600F">
              <w:rPr>
                <w:rStyle w:val="Hyperlink"/>
                <w:noProof/>
                <w:sz w:val="26"/>
                <w:szCs w:val="26"/>
              </w:rPr>
              <w:t>5.19.1</w:t>
            </w:r>
            <w:r w:rsidRPr="0072600F">
              <w:rPr>
                <w:rFonts w:eastAsiaTheme="minorEastAsia"/>
                <w:noProof/>
                <w:sz w:val="26"/>
                <w:szCs w:val="26"/>
              </w:rPr>
              <w:tab/>
            </w:r>
            <w:r w:rsidRPr="0072600F">
              <w:rPr>
                <w:rStyle w:val="Hyperlink"/>
                <w:noProof/>
                <w:sz w:val="26"/>
                <w:szCs w:val="26"/>
              </w:rPr>
              <w:t xml:space="preserve"> General.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_Toc148703338 \h </w:instrText>
            </w:r>
            <w:r w:rsidRPr="0072600F">
              <w:rPr>
                <w:noProof/>
                <w:webHidden/>
                <w:sz w:val="26"/>
                <w:szCs w:val="26"/>
              </w:rPr>
              <w:fldChar w:fldCharType="separate"/>
            </w:r>
            <w:r w:rsidR="00C46123">
              <w:rPr>
                <w:noProof/>
                <w:webHidden/>
                <w:sz w:val="26"/>
                <w:szCs w:val="26"/>
              </w:rPr>
              <w:t>- 44 -</w:t>
            </w:r>
            <w:r w:rsidRPr="0072600F">
              <w:rPr>
                <w:noProof/>
                <w:webHidden/>
                <w:sz w:val="26"/>
                <w:szCs w:val="26"/>
              </w:rPr>
              <w:fldChar w:fldCharType="end"/>
            </w:r>
          </w:hyperlink>
        </w:p>
        <w:p w:rsidR="00F3594B" w:rsidRPr="0072600F" w14:paraId="08268D17" w14:textId="77777777">
          <w:pPr>
            <w:pStyle w:val="TOC3"/>
            <w:tabs>
              <w:tab w:val="left" w:pos="1200"/>
              <w:tab w:val="right" w:leader="dot" w:pos="9350"/>
            </w:tabs>
            <w:rPr>
              <w:rFonts w:eastAsiaTheme="minorEastAsia"/>
              <w:noProof/>
              <w:sz w:val="26"/>
              <w:szCs w:val="26"/>
            </w:rPr>
          </w:pPr>
          <w:hyperlink w:anchor="_Toc148703339" w:history="1">
            <w:r w:rsidRPr="0072600F">
              <w:rPr>
                <w:rStyle w:val="Hyperlink"/>
                <w:noProof/>
                <w:sz w:val="26"/>
                <w:szCs w:val="26"/>
              </w:rPr>
              <w:t>5.19.2</w:t>
            </w:r>
            <w:r w:rsidRPr="0072600F">
              <w:rPr>
                <w:rFonts w:eastAsiaTheme="minorEastAsia"/>
                <w:noProof/>
                <w:sz w:val="26"/>
                <w:szCs w:val="26"/>
              </w:rPr>
              <w:tab/>
            </w:r>
            <w:r w:rsidRPr="0072600F">
              <w:rPr>
                <w:rStyle w:val="Hyperlink"/>
                <w:noProof/>
                <w:sz w:val="26"/>
                <w:szCs w:val="26"/>
              </w:rPr>
              <w:t xml:space="preserve"> Standards.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_Toc148703339 \h </w:instrText>
            </w:r>
            <w:r w:rsidRPr="0072600F">
              <w:rPr>
                <w:noProof/>
                <w:webHidden/>
                <w:sz w:val="26"/>
                <w:szCs w:val="26"/>
              </w:rPr>
              <w:fldChar w:fldCharType="separate"/>
            </w:r>
            <w:r w:rsidR="00C46123">
              <w:rPr>
                <w:noProof/>
                <w:webHidden/>
                <w:sz w:val="26"/>
                <w:szCs w:val="26"/>
              </w:rPr>
              <w:t>- 44 -</w:t>
            </w:r>
            <w:r w:rsidRPr="0072600F">
              <w:rPr>
                <w:noProof/>
                <w:webHidden/>
                <w:sz w:val="26"/>
                <w:szCs w:val="26"/>
              </w:rPr>
              <w:fldChar w:fldCharType="end"/>
            </w:r>
          </w:hyperlink>
        </w:p>
        <w:p w:rsidR="00F3594B" w:rsidRPr="0072600F" w14:paraId="49FF56AA" w14:textId="77777777">
          <w:pPr>
            <w:pStyle w:val="TOC3"/>
            <w:tabs>
              <w:tab w:val="left" w:pos="1200"/>
              <w:tab w:val="right" w:leader="dot" w:pos="9350"/>
            </w:tabs>
            <w:rPr>
              <w:rFonts w:eastAsiaTheme="minorEastAsia"/>
              <w:noProof/>
              <w:sz w:val="26"/>
              <w:szCs w:val="26"/>
            </w:rPr>
          </w:pPr>
          <w:hyperlink w:anchor="_Toc148703340" w:history="1">
            <w:r w:rsidRPr="0072600F">
              <w:rPr>
                <w:rStyle w:val="Hyperlink"/>
                <w:noProof/>
                <w:sz w:val="26"/>
                <w:szCs w:val="26"/>
              </w:rPr>
              <w:t>5.19.3</w:t>
            </w:r>
            <w:r w:rsidRPr="0072600F">
              <w:rPr>
                <w:rFonts w:eastAsiaTheme="minorEastAsia"/>
                <w:noProof/>
                <w:sz w:val="26"/>
                <w:szCs w:val="26"/>
              </w:rPr>
              <w:tab/>
            </w:r>
            <w:r w:rsidRPr="0072600F">
              <w:rPr>
                <w:rStyle w:val="Hyperlink"/>
                <w:noProof/>
                <w:sz w:val="26"/>
                <w:szCs w:val="26"/>
              </w:rPr>
              <w:t xml:space="preserve"> Modification Costs.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_Toc148703340 \h </w:instrText>
            </w:r>
            <w:r w:rsidRPr="0072600F">
              <w:rPr>
                <w:noProof/>
                <w:webHidden/>
                <w:sz w:val="26"/>
                <w:szCs w:val="26"/>
              </w:rPr>
              <w:fldChar w:fldCharType="separate"/>
            </w:r>
            <w:r w:rsidR="00C46123">
              <w:rPr>
                <w:noProof/>
                <w:webHidden/>
                <w:sz w:val="26"/>
                <w:szCs w:val="26"/>
              </w:rPr>
              <w:t>- 44 -</w:t>
            </w:r>
            <w:r w:rsidRPr="0072600F">
              <w:rPr>
                <w:noProof/>
                <w:webHidden/>
                <w:sz w:val="26"/>
                <w:szCs w:val="26"/>
              </w:rPr>
              <w:fldChar w:fldCharType="end"/>
            </w:r>
          </w:hyperlink>
        </w:p>
        <w:p w:rsidR="00F3594B" w:rsidRPr="0072600F" w14:paraId="63AC9125" w14:textId="77777777">
          <w:pPr>
            <w:pStyle w:val="TOC1"/>
            <w:tabs>
              <w:tab w:val="left" w:pos="1000"/>
            </w:tabs>
            <w:rPr>
              <w:rFonts w:eastAsiaTheme="minorEastAsia"/>
              <w:sz w:val="26"/>
              <w:szCs w:val="26"/>
            </w:rPr>
          </w:pPr>
          <w:hyperlink w:anchor="_Toc148703341" w:history="1">
            <w:r w:rsidRPr="0072600F">
              <w:rPr>
                <w:rStyle w:val="Hyperlink"/>
                <w:sz w:val="26"/>
                <w:szCs w:val="26"/>
              </w:rPr>
              <w:t>Article 6.</w:t>
            </w:r>
            <w:r w:rsidRPr="0072600F">
              <w:rPr>
                <w:rFonts w:eastAsiaTheme="minorEastAsia"/>
                <w:sz w:val="26"/>
                <w:szCs w:val="26"/>
              </w:rPr>
              <w:t xml:space="preserve"> </w:t>
            </w:r>
            <w:r w:rsidRPr="0072600F">
              <w:rPr>
                <w:rStyle w:val="Hyperlink"/>
                <w:sz w:val="26"/>
                <w:szCs w:val="26"/>
              </w:rPr>
              <w:t>Testing and Inspection</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_Toc148703341 \h </w:instrText>
            </w:r>
            <w:r w:rsidRPr="0072600F">
              <w:rPr>
                <w:webHidden/>
                <w:sz w:val="26"/>
                <w:szCs w:val="26"/>
              </w:rPr>
              <w:fldChar w:fldCharType="separate"/>
            </w:r>
            <w:r w:rsidR="00C46123">
              <w:rPr>
                <w:webHidden/>
                <w:sz w:val="26"/>
                <w:szCs w:val="26"/>
              </w:rPr>
              <w:t>- 45 -</w:t>
            </w:r>
            <w:r w:rsidRPr="0072600F">
              <w:rPr>
                <w:webHidden/>
                <w:sz w:val="26"/>
                <w:szCs w:val="26"/>
              </w:rPr>
              <w:fldChar w:fldCharType="end"/>
            </w:r>
          </w:hyperlink>
        </w:p>
        <w:p w:rsidR="00F3594B" w:rsidRPr="0072600F" w14:paraId="6E492D07" w14:textId="77777777">
          <w:pPr>
            <w:pStyle w:val="TOC2"/>
            <w:rPr>
              <w:rFonts w:eastAsiaTheme="minorEastAsia"/>
              <w:b/>
              <w:bCs/>
              <w:i/>
              <w:iCs/>
              <w:noProof/>
              <w:sz w:val="26"/>
              <w:szCs w:val="26"/>
            </w:rPr>
          </w:pPr>
          <w:hyperlink w:anchor="_Toc148703342" w:history="1">
            <w:r w:rsidRPr="0072600F">
              <w:rPr>
                <w:rStyle w:val="Hyperlink"/>
                <w:noProof/>
                <w:sz w:val="26"/>
                <w:szCs w:val="26"/>
              </w:rPr>
              <w:t>6.1</w:t>
            </w:r>
            <w:r w:rsidRPr="0072600F">
              <w:rPr>
                <w:rFonts w:eastAsiaTheme="minorEastAsia"/>
                <w:noProof/>
                <w:sz w:val="26"/>
                <w:szCs w:val="26"/>
              </w:rPr>
              <w:tab/>
            </w:r>
            <w:r w:rsidRPr="0072600F">
              <w:rPr>
                <w:rStyle w:val="Hyperlink"/>
                <w:noProof/>
                <w:sz w:val="26"/>
                <w:szCs w:val="26"/>
              </w:rPr>
              <w:t>Pre-Commercial Operation Date Testing and Modifications.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_Toc148703342 \h </w:instrText>
            </w:r>
            <w:r w:rsidRPr="0072600F">
              <w:rPr>
                <w:b/>
                <w:bCs/>
                <w:i/>
                <w:iCs/>
                <w:noProof/>
                <w:webHidden/>
                <w:sz w:val="26"/>
                <w:szCs w:val="26"/>
              </w:rPr>
              <w:fldChar w:fldCharType="separate"/>
            </w:r>
            <w:r w:rsidR="00C46123">
              <w:rPr>
                <w:noProof/>
                <w:webHidden/>
                <w:sz w:val="26"/>
                <w:szCs w:val="26"/>
              </w:rPr>
              <w:t>- 45 -</w:t>
            </w:r>
            <w:r w:rsidRPr="0072600F">
              <w:rPr>
                <w:b/>
                <w:bCs/>
                <w:i/>
                <w:iCs/>
                <w:noProof/>
                <w:webHidden/>
                <w:sz w:val="26"/>
                <w:szCs w:val="26"/>
              </w:rPr>
              <w:fldChar w:fldCharType="end"/>
            </w:r>
          </w:hyperlink>
        </w:p>
        <w:p w:rsidR="00F3594B" w:rsidRPr="0072600F" w14:paraId="085157AA" w14:textId="77777777">
          <w:pPr>
            <w:pStyle w:val="TOC2"/>
            <w:rPr>
              <w:rFonts w:eastAsiaTheme="minorEastAsia"/>
              <w:b/>
              <w:bCs/>
              <w:i/>
              <w:iCs/>
              <w:noProof/>
              <w:sz w:val="26"/>
              <w:szCs w:val="26"/>
            </w:rPr>
          </w:pPr>
          <w:hyperlink w:anchor="_Toc148703343" w:history="1">
            <w:r w:rsidRPr="0072600F">
              <w:rPr>
                <w:rStyle w:val="Hyperlink"/>
                <w:noProof/>
                <w:sz w:val="26"/>
                <w:szCs w:val="26"/>
              </w:rPr>
              <w:t>6.2</w:t>
            </w:r>
            <w:r w:rsidRPr="0072600F">
              <w:rPr>
                <w:rFonts w:eastAsiaTheme="minorEastAsia"/>
                <w:noProof/>
                <w:sz w:val="26"/>
                <w:szCs w:val="26"/>
              </w:rPr>
              <w:tab/>
            </w:r>
            <w:r w:rsidRPr="0072600F">
              <w:rPr>
                <w:rStyle w:val="Hyperlink"/>
                <w:noProof/>
                <w:sz w:val="26"/>
                <w:szCs w:val="26"/>
              </w:rPr>
              <w:t>Post-Commercial Operation Date Testing and Modifications.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_Toc148703343 \h </w:instrText>
            </w:r>
            <w:r w:rsidRPr="0072600F">
              <w:rPr>
                <w:b/>
                <w:bCs/>
                <w:i/>
                <w:iCs/>
                <w:noProof/>
                <w:webHidden/>
                <w:sz w:val="26"/>
                <w:szCs w:val="26"/>
              </w:rPr>
              <w:fldChar w:fldCharType="separate"/>
            </w:r>
            <w:r w:rsidR="00C46123">
              <w:rPr>
                <w:noProof/>
                <w:webHidden/>
                <w:sz w:val="26"/>
                <w:szCs w:val="26"/>
              </w:rPr>
              <w:t>- 45 -</w:t>
            </w:r>
            <w:r w:rsidRPr="0072600F">
              <w:rPr>
                <w:b/>
                <w:bCs/>
                <w:i/>
                <w:iCs/>
                <w:noProof/>
                <w:webHidden/>
                <w:sz w:val="26"/>
                <w:szCs w:val="26"/>
              </w:rPr>
              <w:fldChar w:fldCharType="end"/>
            </w:r>
          </w:hyperlink>
        </w:p>
        <w:p w:rsidR="00F3594B" w:rsidRPr="0072600F" w14:paraId="339CBA73" w14:textId="77777777">
          <w:pPr>
            <w:pStyle w:val="TOC2"/>
            <w:rPr>
              <w:rFonts w:eastAsiaTheme="minorEastAsia"/>
              <w:b/>
              <w:bCs/>
              <w:i/>
              <w:iCs/>
              <w:noProof/>
              <w:sz w:val="26"/>
              <w:szCs w:val="26"/>
            </w:rPr>
          </w:pPr>
          <w:hyperlink w:anchor="_Toc148703344" w:history="1">
            <w:r w:rsidRPr="0072600F">
              <w:rPr>
                <w:rStyle w:val="Hyperlink"/>
                <w:noProof/>
                <w:sz w:val="26"/>
                <w:szCs w:val="26"/>
              </w:rPr>
              <w:t>6.3</w:t>
            </w:r>
            <w:r w:rsidRPr="0072600F">
              <w:rPr>
                <w:rFonts w:eastAsiaTheme="minorEastAsia"/>
                <w:noProof/>
                <w:sz w:val="26"/>
                <w:szCs w:val="26"/>
              </w:rPr>
              <w:tab/>
            </w:r>
            <w:r w:rsidRPr="0072600F">
              <w:rPr>
                <w:rStyle w:val="Hyperlink"/>
                <w:noProof/>
                <w:sz w:val="26"/>
                <w:szCs w:val="26"/>
              </w:rPr>
              <w:t>Right to Observe Testing.</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_Toc148703344 \h </w:instrText>
            </w:r>
            <w:r w:rsidRPr="0072600F">
              <w:rPr>
                <w:b/>
                <w:bCs/>
                <w:i/>
                <w:iCs/>
                <w:noProof/>
                <w:webHidden/>
                <w:sz w:val="26"/>
                <w:szCs w:val="26"/>
              </w:rPr>
              <w:fldChar w:fldCharType="separate"/>
            </w:r>
            <w:r w:rsidR="00C46123">
              <w:rPr>
                <w:noProof/>
                <w:webHidden/>
                <w:sz w:val="26"/>
                <w:szCs w:val="26"/>
              </w:rPr>
              <w:t>- 46 -</w:t>
            </w:r>
            <w:r w:rsidRPr="0072600F">
              <w:rPr>
                <w:b/>
                <w:bCs/>
                <w:i/>
                <w:iCs/>
                <w:noProof/>
                <w:webHidden/>
                <w:sz w:val="26"/>
                <w:szCs w:val="26"/>
              </w:rPr>
              <w:fldChar w:fldCharType="end"/>
            </w:r>
          </w:hyperlink>
        </w:p>
        <w:p w:rsidR="00F3594B" w:rsidRPr="0072600F" w14:paraId="1EA98F44" w14:textId="77777777">
          <w:pPr>
            <w:pStyle w:val="TOC2"/>
            <w:rPr>
              <w:rFonts w:eastAsiaTheme="minorEastAsia"/>
              <w:b/>
              <w:bCs/>
              <w:i/>
              <w:iCs/>
              <w:noProof/>
              <w:sz w:val="26"/>
              <w:szCs w:val="26"/>
            </w:rPr>
          </w:pPr>
          <w:hyperlink w:anchor="_Toc148703345" w:history="1">
            <w:r w:rsidRPr="0072600F">
              <w:rPr>
                <w:rStyle w:val="Hyperlink"/>
                <w:noProof/>
                <w:sz w:val="26"/>
                <w:szCs w:val="26"/>
              </w:rPr>
              <w:t>6.4</w:t>
            </w:r>
            <w:r w:rsidRPr="0072600F">
              <w:rPr>
                <w:rFonts w:eastAsiaTheme="minorEastAsia"/>
                <w:noProof/>
                <w:sz w:val="26"/>
                <w:szCs w:val="26"/>
              </w:rPr>
              <w:tab/>
            </w:r>
            <w:r w:rsidRPr="0072600F">
              <w:rPr>
                <w:rStyle w:val="Hyperlink"/>
                <w:noProof/>
                <w:sz w:val="26"/>
                <w:szCs w:val="26"/>
              </w:rPr>
              <w:t>Right to Inspect.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_Toc148703345 \h </w:instrText>
            </w:r>
            <w:r w:rsidRPr="0072600F">
              <w:rPr>
                <w:b/>
                <w:bCs/>
                <w:i/>
                <w:iCs/>
                <w:noProof/>
                <w:webHidden/>
                <w:sz w:val="26"/>
                <w:szCs w:val="26"/>
              </w:rPr>
              <w:fldChar w:fldCharType="separate"/>
            </w:r>
            <w:r w:rsidR="00C46123">
              <w:rPr>
                <w:noProof/>
                <w:webHidden/>
                <w:sz w:val="26"/>
                <w:szCs w:val="26"/>
              </w:rPr>
              <w:t>- 46 -</w:t>
            </w:r>
            <w:r w:rsidRPr="0072600F">
              <w:rPr>
                <w:b/>
                <w:bCs/>
                <w:i/>
                <w:iCs/>
                <w:noProof/>
                <w:webHidden/>
                <w:sz w:val="26"/>
                <w:szCs w:val="26"/>
              </w:rPr>
              <w:fldChar w:fldCharType="end"/>
            </w:r>
          </w:hyperlink>
        </w:p>
        <w:p w:rsidR="00F3594B" w:rsidRPr="0072600F" w14:paraId="69E9F419" w14:textId="77777777">
          <w:pPr>
            <w:pStyle w:val="TOC1"/>
            <w:tabs>
              <w:tab w:val="left" w:pos="1000"/>
            </w:tabs>
            <w:rPr>
              <w:rFonts w:eastAsiaTheme="minorEastAsia"/>
              <w:sz w:val="26"/>
              <w:szCs w:val="26"/>
            </w:rPr>
          </w:pPr>
          <w:hyperlink w:anchor="_Toc148703346" w:history="1">
            <w:r w:rsidRPr="0072600F">
              <w:rPr>
                <w:rStyle w:val="Hyperlink"/>
                <w:sz w:val="26"/>
                <w:szCs w:val="26"/>
              </w:rPr>
              <w:t>Article 7.</w:t>
            </w:r>
            <w:r w:rsidRPr="0072600F">
              <w:rPr>
                <w:rFonts w:eastAsiaTheme="minorEastAsia"/>
                <w:sz w:val="26"/>
                <w:szCs w:val="26"/>
              </w:rPr>
              <w:t xml:space="preserve"> </w:t>
            </w:r>
            <w:r w:rsidRPr="0072600F">
              <w:rPr>
                <w:rStyle w:val="Hyperlink"/>
                <w:sz w:val="26"/>
                <w:szCs w:val="26"/>
              </w:rPr>
              <w:t>Metering</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_Toc148703346 \h </w:instrText>
            </w:r>
            <w:r w:rsidRPr="0072600F">
              <w:rPr>
                <w:webHidden/>
                <w:sz w:val="26"/>
                <w:szCs w:val="26"/>
              </w:rPr>
              <w:fldChar w:fldCharType="separate"/>
            </w:r>
            <w:r w:rsidR="00C46123">
              <w:rPr>
                <w:webHidden/>
                <w:sz w:val="26"/>
                <w:szCs w:val="26"/>
              </w:rPr>
              <w:t>- 46 -</w:t>
            </w:r>
            <w:r w:rsidRPr="0072600F">
              <w:rPr>
                <w:webHidden/>
                <w:sz w:val="26"/>
                <w:szCs w:val="26"/>
              </w:rPr>
              <w:fldChar w:fldCharType="end"/>
            </w:r>
          </w:hyperlink>
        </w:p>
        <w:p w:rsidR="00F3594B" w:rsidRPr="0072600F" w14:paraId="4F465F76" w14:textId="77777777">
          <w:pPr>
            <w:pStyle w:val="TOC2"/>
            <w:rPr>
              <w:rFonts w:eastAsiaTheme="minorEastAsia"/>
              <w:b/>
              <w:bCs/>
              <w:i/>
              <w:iCs/>
              <w:noProof/>
              <w:sz w:val="26"/>
              <w:szCs w:val="26"/>
            </w:rPr>
          </w:pPr>
          <w:hyperlink w:anchor="_Toc148703347" w:history="1">
            <w:r w:rsidRPr="0072600F">
              <w:rPr>
                <w:rStyle w:val="Hyperlink"/>
                <w:noProof/>
                <w:sz w:val="26"/>
                <w:szCs w:val="26"/>
              </w:rPr>
              <w:t>7.1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_Toc148703347 \h </w:instrText>
            </w:r>
            <w:r w:rsidRPr="0072600F">
              <w:rPr>
                <w:b/>
                <w:bCs/>
                <w:i/>
                <w:iCs/>
                <w:noProof/>
                <w:webHidden/>
                <w:sz w:val="26"/>
                <w:szCs w:val="26"/>
              </w:rPr>
              <w:fldChar w:fldCharType="separate"/>
            </w:r>
            <w:r w:rsidR="00C46123">
              <w:rPr>
                <w:noProof/>
                <w:webHidden/>
                <w:sz w:val="26"/>
                <w:szCs w:val="26"/>
              </w:rPr>
              <w:t>- 46 -</w:t>
            </w:r>
            <w:r w:rsidRPr="0072600F">
              <w:rPr>
                <w:b/>
                <w:bCs/>
                <w:i/>
                <w:iCs/>
                <w:noProof/>
                <w:webHidden/>
                <w:sz w:val="26"/>
                <w:szCs w:val="26"/>
              </w:rPr>
              <w:fldChar w:fldCharType="end"/>
            </w:r>
          </w:hyperlink>
        </w:p>
        <w:p w:rsidR="00F3594B" w:rsidRPr="0072600F" w14:paraId="59C91FC9" w14:textId="77777777">
          <w:pPr>
            <w:pStyle w:val="TOC2"/>
            <w:rPr>
              <w:rFonts w:eastAsiaTheme="minorEastAsia"/>
              <w:b/>
              <w:bCs/>
              <w:i/>
              <w:iCs/>
              <w:noProof/>
              <w:sz w:val="26"/>
              <w:szCs w:val="26"/>
            </w:rPr>
          </w:pPr>
          <w:hyperlink w:anchor="_Toc148703348" w:history="1">
            <w:r w:rsidRPr="0072600F">
              <w:rPr>
                <w:rStyle w:val="Hyperlink"/>
                <w:noProof/>
                <w:sz w:val="26"/>
                <w:szCs w:val="26"/>
              </w:rPr>
              <w:t>7.2</w:t>
            </w:r>
            <w:r w:rsidRPr="0072600F">
              <w:rPr>
                <w:rFonts w:eastAsiaTheme="minorEastAsia"/>
                <w:noProof/>
                <w:sz w:val="26"/>
                <w:szCs w:val="26"/>
              </w:rPr>
              <w:tab/>
            </w:r>
            <w:r w:rsidRPr="0072600F">
              <w:rPr>
                <w:rStyle w:val="Hyperlink"/>
                <w:noProof/>
                <w:sz w:val="26"/>
                <w:szCs w:val="26"/>
              </w:rPr>
              <w:t>Check Meters.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_Toc148703348 \h </w:instrText>
            </w:r>
            <w:r w:rsidRPr="0072600F">
              <w:rPr>
                <w:b/>
                <w:bCs/>
                <w:i/>
                <w:iCs/>
                <w:noProof/>
                <w:webHidden/>
                <w:sz w:val="26"/>
                <w:szCs w:val="26"/>
              </w:rPr>
              <w:fldChar w:fldCharType="separate"/>
            </w:r>
            <w:r w:rsidR="00C46123">
              <w:rPr>
                <w:noProof/>
                <w:webHidden/>
                <w:sz w:val="26"/>
                <w:szCs w:val="26"/>
              </w:rPr>
              <w:t>- 47 -</w:t>
            </w:r>
            <w:r w:rsidRPr="0072600F">
              <w:rPr>
                <w:b/>
                <w:bCs/>
                <w:i/>
                <w:iCs/>
                <w:noProof/>
                <w:webHidden/>
                <w:sz w:val="26"/>
                <w:szCs w:val="26"/>
              </w:rPr>
              <w:fldChar w:fldCharType="end"/>
            </w:r>
          </w:hyperlink>
        </w:p>
        <w:p w:rsidR="00F3594B" w:rsidRPr="0072600F" w14:paraId="13D54DC5" w14:textId="77777777">
          <w:pPr>
            <w:pStyle w:val="TOC2"/>
            <w:rPr>
              <w:rFonts w:eastAsiaTheme="minorEastAsia"/>
              <w:b/>
              <w:bCs/>
              <w:i/>
              <w:iCs/>
              <w:noProof/>
              <w:sz w:val="26"/>
              <w:szCs w:val="26"/>
            </w:rPr>
          </w:pPr>
          <w:hyperlink w:anchor="_Toc148703349" w:history="1">
            <w:r w:rsidRPr="0072600F">
              <w:rPr>
                <w:rStyle w:val="Hyperlink"/>
                <w:noProof/>
                <w:sz w:val="26"/>
                <w:szCs w:val="26"/>
              </w:rPr>
              <w:t>7.3</w:t>
            </w:r>
            <w:r w:rsidRPr="0072600F">
              <w:rPr>
                <w:rFonts w:eastAsiaTheme="minorEastAsia"/>
                <w:noProof/>
                <w:sz w:val="26"/>
                <w:szCs w:val="26"/>
              </w:rPr>
              <w:tab/>
            </w:r>
            <w:r w:rsidRPr="0072600F">
              <w:rPr>
                <w:rStyle w:val="Hyperlink"/>
                <w:noProof/>
                <w:sz w:val="26"/>
                <w:szCs w:val="26"/>
              </w:rPr>
              <w:t>Standards.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_Toc148703349 \h </w:instrText>
            </w:r>
            <w:r w:rsidRPr="0072600F">
              <w:rPr>
                <w:b/>
                <w:bCs/>
                <w:i/>
                <w:iCs/>
                <w:noProof/>
                <w:webHidden/>
                <w:sz w:val="26"/>
                <w:szCs w:val="26"/>
              </w:rPr>
              <w:fldChar w:fldCharType="separate"/>
            </w:r>
            <w:r w:rsidR="00C46123">
              <w:rPr>
                <w:noProof/>
                <w:webHidden/>
                <w:sz w:val="26"/>
                <w:szCs w:val="26"/>
              </w:rPr>
              <w:t>- 47 -</w:t>
            </w:r>
            <w:r w:rsidRPr="0072600F">
              <w:rPr>
                <w:b/>
                <w:bCs/>
                <w:i/>
                <w:iCs/>
                <w:noProof/>
                <w:webHidden/>
                <w:sz w:val="26"/>
                <w:szCs w:val="26"/>
              </w:rPr>
              <w:fldChar w:fldCharType="end"/>
            </w:r>
          </w:hyperlink>
        </w:p>
        <w:p w:rsidR="00F3594B" w:rsidRPr="0072600F" w14:paraId="791539AF" w14:textId="77777777">
          <w:pPr>
            <w:pStyle w:val="TOC2"/>
            <w:rPr>
              <w:rFonts w:eastAsiaTheme="minorEastAsia"/>
              <w:b/>
              <w:bCs/>
              <w:i/>
              <w:iCs/>
              <w:noProof/>
              <w:sz w:val="26"/>
              <w:szCs w:val="26"/>
            </w:rPr>
          </w:pPr>
          <w:hyperlink w:anchor="_Toc148703350" w:history="1">
            <w:r w:rsidRPr="0072600F">
              <w:rPr>
                <w:rStyle w:val="Hyperlink"/>
                <w:noProof/>
                <w:sz w:val="26"/>
                <w:szCs w:val="26"/>
              </w:rPr>
              <w:t>7.4</w:t>
            </w:r>
            <w:r w:rsidRPr="0072600F">
              <w:rPr>
                <w:rFonts w:eastAsiaTheme="minorEastAsia"/>
                <w:noProof/>
                <w:sz w:val="26"/>
                <w:szCs w:val="26"/>
              </w:rPr>
              <w:tab/>
            </w:r>
            <w:r w:rsidRPr="0072600F">
              <w:rPr>
                <w:rStyle w:val="Hyperlink"/>
                <w:noProof/>
                <w:sz w:val="26"/>
                <w:szCs w:val="26"/>
              </w:rPr>
              <w:t>Testing of Metering Equipment.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_Toc148703350 \h </w:instrText>
            </w:r>
            <w:r w:rsidRPr="0072600F">
              <w:rPr>
                <w:b/>
                <w:bCs/>
                <w:i/>
                <w:iCs/>
                <w:noProof/>
                <w:webHidden/>
                <w:sz w:val="26"/>
                <w:szCs w:val="26"/>
              </w:rPr>
              <w:fldChar w:fldCharType="separate"/>
            </w:r>
            <w:r w:rsidR="00C46123">
              <w:rPr>
                <w:noProof/>
                <w:webHidden/>
                <w:sz w:val="26"/>
                <w:szCs w:val="26"/>
              </w:rPr>
              <w:t>- 47 -</w:t>
            </w:r>
            <w:r w:rsidRPr="0072600F">
              <w:rPr>
                <w:b/>
                <w:bCs/>
                <w:i/>
                <w:iCs/>
                <w:noProof/>
                <w:webHidden/>
                <w:sz w:val="26"/>
                <w:szCs w:val="26"/>
              </w:rPr>
              <w:fldChar w:fldCharType="end"/>
            </w:r>
          </w:hyperlink>
        </w:p>
        <w:p w:rsidR="00F3594B" w:rsidRPr="0072600F" w14:paraId="3E52D47A" w14:textId="77777777">
          <w:pPr>
            <w:pStyle w:val="TOC2"/>
            <w:rPr>
              <w:rFonts w:eastAsiaTheme="minorEastAsia"/>
              <w:b/>
              <w:bCs/>
              <w:i/>
              <w:iCs/>
              <w:noProof/>
              <w:sz w:val="26"/>
              <w:szCs w:val="26"/>
            </w:rPr>
          </w:pPr>
          <w:hyperlink w:anchor="_Toc148703351" w:history="1">
            <w:r w:rsidRPr="0072600F">
              <w:rPr>
                <w:rStyle w:val="Hyperlink"/>
                <w:noProof/>
                <w:sz w:val="26"/>
                <w:szCs w:val="26"/>
              </w:rPr>
              <w:t>7.5</w:t>
            </w:r>
            <w:r w:rsidRPr="0072600F">
              <w:rPr>
                <w:rFonts w:eastAsiaTheme="minorEastAsia"/>
                <w:noProof/>
                <w:sz w:val="26"/>
                <w:szCs w:val="26"/>
              </w:rPr>
              <w:tab/>
            </w:r>
            <w:r w:rsidRPr="0072600F">
              <w:rPr>
                <w:rStyle w:val="Hyperlink"/>
                <w:noProof/>
                <w:sz w:val="26"/>
                <w:szCs w:val="26"/>
              </w:rPr>
              <w:t>Metering Data.</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_Toc148703351 \h </w:instrText>
            </w:r>
            <w:r w:rsidRPr="0072600F">
              <w:rPr>
                <w:b/>
                <w:bCs/>
                <w:i/>
                <w:iCs/>
                <w:noProof/>
                <w:webHidden/>
                <w:sz w:val="26"/>
                <w:szCs w:val="26"/>
              </w:rPr>
              <w:fldChar w:fldCharType="separate"/>
            </w:r>
            <w:r w:rsidR="00C46123">
              <w:rPr>
                <w:noProof/>
                <w:webHidden/>
                <w:sz w:val="26"/>
                <w:szCs w:val="26"/>
              </w:rPr>
              <w:t>- 48 -</w:t>
            </w:r>
            <w:r w:rsidRPr="0072600F">
              <w:rPr>
                <w:b/>
                <w:bCs/>
                <w:i/>
                <w:iCs/>
                <w:noProof/>
                <w:webHidden/>
                <w:sz w:val="26"/>
                <w:szCs w:val="26"/>
              </w:rPr>
              <w:fldChar w:fldCharType="end"/>
            </w:r>
          </w:hyperlink>
        </w:p>
        <w:p w:rsidR="00F3594B" w:rsidRPr="0072600F" w14:paraId="0AAE275D" w14:textId="77777777">
          <w:pPr>
            <w:pStyle w:val="TOC1"/>
            <w:tabs>
              <w:tab w:val="left" w:pos="1000"/>
            </w:tabs>
            <w:rPr>
              <w:rFonts w:eastAsiaTheme="minorEastAsia"/>
              <w:sz w:val="26"/>
              <w:szCs w:val="26"/>
            </w:rPr>
          </w:pPr>
          <w:hyperlink w:anchor="_Toc148703352" w:history="1">
            <w:r w:rsidRPr="0072600F">
              <w:rPr>
                <w:rStyle w:val="Hyperlink"/>
                <w:sz w:val="26"/>
                <w:szCs w:val="26"/>
              </w:rPr>
              <w:t>Article 8.</w:t>
            </w:r>
            <w:r w:rsidRPr="0072600F">
              <w:rPr>
                <w:rFonts w:eastAsiaTheme="minorEastAsia"/>
                <w:sz w:val="26"/>
                <w:szCs w:val="26"/>
              </w:rPr>
              <w:t xml:space="preserve"> </w:t>
            </w:r>
            <w:r w:rsidRPr="0072600F">
              <w:rPr>
                <w:rStyle w:val="Hyperlink"/>
                <w:sz w:val="26"/>
                <w:szCs w:val="26"/>
              </w:rPr>
              <w:t>Communications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_Toc148703352 \h </w:instrText>
            </w:r>
            <w:r w:rsidRPr="0072600F">
              <w:rPr>
                <w:webHidden/>
                <w:sz w:val="26"/>
                <w:szCs w:val="26"/>
              </w:rPr>
              <w:fldChar w:fldCharType="separate"/>
            </w:r>
            <w:r w:rsidR="00C46123">
              <w:rPr>
                <w:webHidden/>
                <w:sz w:val="26"/>
                <w:szCs w:val="26"/>
              </w:rPr>
              <w:t>- 48 -</w:t>
            </w:r>
            <w:r w:rsidRPr="0072600F">
              <w:rPr>
                <w:webHidden/>
                <w:sz w:val="26"/>
                <w:szCs w:val="26"/>
              </w:rPr>
              <w:fldChar w:fldCharType="end"/>
            </w:r>
          </w:hyperlink>
        </w:p>
        <w:p w:rsidR="00F3594B" w:rsidRPr="0072600F" w14:paraId="5628C27F" w14:textId="77777777">
          <w:pPr>
            <w:pStyle w:val="TOC2"/>
            <w:rPr>
              <w:rFonts w:eastAsiaTheme="minorEastAsia"/>
              <w:b/>
              <w:bCs/>
              <w:i/>
              <w:iCs/>
              <w:noProof/>
              <w:sz w:val="26"/>
              <w:szCs w:val="26"/>
            </w:rPr>
          </w:pPr>
          <w:hyperlink w:anchor="_Toc148703353" w:history="1">
            <w:r w:rsidRPr="0072600F">
              <w:rPr>
                <w:rStyle w:val="Hyperlink"/>
                <w:noProof/>
                <w:sz w:val="26"/>
                <w:szCs w:val="26"/>
              </w:rPr>
              <w:t>8.1</w:t>
            </w:r>
            <w:r w:rsidRPr="0072600F">
              <w:rPr>
                <w:rFonts w:eastAsiaTheme="minorEastAsia"/>
                <w:noProof/>
                <w:sz w:val="26"/>
                <w:szCs w:val="26"/>
              </w:rPr>
              <w:tab/>
            </w:r>
            <w:r w:rsidRPr="0072600F">
              <w:rPr>
                <w:rStyle w:val="Hyperlink"/>
                <w:noProof/>
                <w:sz w:val="26"/>
                <w:szCs w:val="26"/>
              </w:rPr>
              <w:t>Interconnection Customer Obligations.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_Toc148703353 \h </w:instrText>
            </w:r>
            <w:r w:rsidRPr="0072600F">
              <w:rPr>
                <w:b/>
                <w:bCs/>
                <w:i/>
                <w:iCs/>
                <w:noProof/>
                <w:webHidden/>
                <w:sz w:val="26"/>
                <w:szCs w:val="26"/>
              </w:rPr>
              <w:fldChar w:fldCharType="separate"/>
            </w:r>
            <w:r w:rsidR="00C46123">
              <w:rPr>
                <w:noProof/>
                <w:webHidden/>
                <w:sz w:val="26"/>
                <w:szCs w:val="26"/>
              </w:rPr>
              <w:t>- 48 -</w:t>
            </w:r>
            <w:r w:rsidRPr="0072600F">
              <w:rPr>
                <w:b/>
                <w:bCs/>
                <w:i/>
                <w:iCs/>
                <w:noProof/>
                <w:webHidden/>
                <w:sz w:val="26"/>
                <w:szCs w:val="26"/>
              </w:rPr>
              <w:fldChar w:fldCharType="end"/>
            </w:r>
          </w:hyperlink>
        </w:p>
        <w:p w:rsidR="00F3594B" w:rsidRPr="0072600F" w14:paraId="74BA6650" w14:textId="77777777">
          <w:pPr>
            <w:pStyle w:val="TOC2"/>
            <w:rPr>
              <w:rFonts w:eastAsiaTheme="minorEastAsia"/>
              <w:b/>
              <w:bCs/>
              <w:i/>
              <w:iCs/>
              <w:noProof/>
              <w:sz w:val="26"/>
              <w:szCs w:val="26"/>
            </w:rPr>
          </w:pPr>
          <w:hyperlink w:anchor="_Toc148703354" w:history="1">
            <w:r w:rsidRPr="0072600F">
              <w:rPr>
                <w:rStyle w:val="Hyperlink"/>
                <w:noProof/>
                <w:sz w:val="26"/>
                <w:szCs w:val="26"/>
              </w:rPr>
              <w:t>8.2</w:t>
            </w:r>
            <w:r w:rsidRPr="0072600F">
              <w:rPr>
                <w:rFonts w:eastAsiaTheme="minorEastAsia"/>
                <w:noProof/>
                <w:sz w:val="26"/>
                <w:szCs w:val="26"/>
              </w:rPr>
              <w:tab/>
            </w:r>
            <w:r w:rsidRPr="0072600F">
              <w:rPr>
                <w:rStyle w:val="Hyperlink"/>
                <w:noProof/>
                <w:sz w:val="26"/>
                <w:szCs w:val="26"/>
              </w:rPr>
              <w:t>Remote Terminal Unit.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_Toc148703354 \h </w:instrText>
            </w:r>
            <w:r w:rsidRPr="0072600F">
              <w:rPr>
                <w:b/>
                <w:bCs/>
                <w:i/>
                <w:iCs/>
                <w:noProof/>
                <w:webHidden/>
                <w:sz w:val="26"/>
                <w:szCs w:val="26"/>
              </w:rPr>
              <w:fldChar w:fldCharType="separate"/>
            </w:r>
            <w:r w:rsidR="00C46123">
              <w:rPr>
                <w:noProof/>
                <w:webHidden/>
                <w:sz w:val="26"/>
                <w:szCs w:val="26"/>
              </w:rPr>
              <w:t>- 48 -</w:t>
            </w:r>
            <w:r w:rsidRPr="0072600F">
              <w:rPr>
                <w:b/>
                <w:bCs/>
                <w:i/>
                <w:iCs/>
                <w:noProof/>
                <w:webHidden/>
                <w:sz w:val="26"/>
                <w:szCs w:val="26"/>
              </w:rPr>
              <w:fldChar w:fldCharType="end"/>
            </w:r>
          </w:hyperlink>
        </w:p>
        <w:p w:rsidR="00F3594B" w:rsidRPr="0072600F" w14:paraId="2DF405A6" w14:textId="77777777">
          <w:pPr>
            <w:pStyle w:val="TOC2"/>
            <w:rPr>
              <w:rFonts w:eastAsiaTheme="minorEastAsia"/>
              <w:b/>
              <w:bCs/>
              <w:i/>
              <w:iCs/>
              <w:noProof/>
              <w:sz w:val="26"/>
              <w:szCs w:val="26"/>
            </w:rPr>
          </w:pPr>
          <w:hyperlink w:anchor="_Toc148703355" w:history="1">
            <w:r w:rsidRPr="0072600F">
              <w:rPr>
                <w:rStyle w:val="Hyperlink"/>
                <w:noProof/>
                <w:sz w:val="26"/>
                <w:szCs w:val="26"/>
              </w:rPr>
              <w:t>8.3</w:t>
            </w:r>
            <w:r w:rsidRPr="0072600F">
              <w:rPr>
                <w:rFonts w:eastAsiaTheme="minorEastAsia"/>
                <w:noProof/>
                <w:sz w:val="26"/>
                <w:szCs w:val="26"/>
              </w:rPr>
              <w:tab/>
            </w:r>
            <w:r w:rsidRPr="0072600F">
              <w:rPr>
                <w:rStyle w:val="Hyperlink"/>
                <w:noProof/>
                <w:sz w:val="26"/>
                <w:szCs w:val="26"/>
              </w:rPr>
              <w:t>No Annexation.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_Toc148703355 \h </w:instrText>
            </w:r>
            <w:r w:rsidRPr="0072600F">
              <w:rPr>
                <w:b/>
                <w:bCs/>
                <w:i/>
                <w:iCs/>
                <w:noProof/>
                <w:webHidden/>
                <w:sz w:val="26"/>
                <w:szCs w:val="26"/>
              </w:rPr>
              <w:fldChar w:fldCharType="separate"/>
            </w:r>
            <w:r w:rsidR="00C46123">
              <w:rPr>
                <w:noProof/>
                <w:webHidden/>
                <w:sz w:val="26"/>
                <w:szCs w:val="26"/>
              </w:rPr>
              <w:t>- 49 -</w:t>
            </w:r>
            <w:r w:rsidRPr="0072600F">
              <w:rPr>
                <w:b/>
                <w:bCs/>
                <w:i/>
                <w:iCs/>
                <w:noProof/>
                <w:webHidden/>
                <w:sz w:val="26"/>
                <w:szCs w:val="26"/>
              </w:rPr>
              <w:fldChar w:fldCharType="end"/>
            </w:r>
          </w:hyperlink>
        </w:p>
        <w:p w:rsidR="00F3594B" w:rsidRPr="0072600F" w14:paraId="05896B14" w14:textId="77777777">
          <w:pPr>
            <w:pStyle w:val="TOC2"/>
            <w:rPr>
              <w:rFonts w:eastAsiaTheme="minorEastAsia"/>
              <w:b/>
              <w:bCs/>
              <w:i/>
              <w:iCs/>
              <w:noProof/>
              <w:sz w:val="26"/>
              <w:szCs w:val="26"/>
            </w:rPr>
          </w:pPr>
          <w:hyperlink w:anchor="_Toc148703356" w:history="1">
            <w:r w:rsidRPr="0072600F">
              <w:rPr>
                <w:rStyle w:val="Hyperlink"/>
                <w:noProof/>
                <w:sz w:val="26"/>
                <w:szCs w:val="26"/>
              </w:rPr>
              <w:t>8.4</w:t>
            </w:r>
            <w:r w:rsidRPr="0072600F">
              <w:rPr>
                <w:rFonts w:eastAsiaTheme="minorEastAsia"/>
                <w:noProof/>
                <w:sz w:val="26"/>
                <w:szCs w:val="26"/>
              </w:rPr>
              <w:tab/>
            </w:r>
            <w:r w:rsidRPr="0072600F">
              <w:rPr>
                <w:rStyle w:val="Hyperlink"/>
                <w:noProof/>
                <w:sz w:val="26"/>
                <w:szCs w:val="26"/>
              </w:rPr>
              <w:t>Provision of Data from a Variable Energy Resource.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_Toc148703356 \h </w:instrText>
            </w:r>
            <w:r w:rsidRPr="0072600F">
              <w:rPr>
                <w:b/>
                <w:bCs/>
                <w:i/>
                <w:iCs/>
                <w:noProof/>
                <w:webHidden/>
                <w:sz w:val="26"/>
                <w:szCs w:val="26"/>
              </w:rPr>
              <w:fldChar w:fldCharType="separate"/>
            </w:r>
            <w:r w:rsidR="00C46123">
              <w:rPr>
                <w:noProof/>
                <w:webHidden/>
                <w:sz w:val="26"/>
                <w:szCs w:val="26"/>
              </w:rPr>
              <w:t>- 49 -</w:t>
            </w:r>
            <w:r w:rsidRPr="0072600F">
              <w:rPr>
                <w:b/>
                <w:bCs/>
                <w:i/>
                <w:iCs/>
                <w:noProof/>
                <w:webHidden/>
                <w:sz w:val="26"/>
                <w:szCs w:val="26"/>
              </w:rPr>
              <w:fldChar w:fldCharType="end"/>
            </w:r>
          </w:hyperlink>
        </w:p>
        <w:p w:rsidR="00F3594B" w:rsidRPr="0072600F" w14:paraId="03DD9378" w14:textId="77777777">
          <w:pPr>
            <w:pStyle w:val="TOC1"/>
            <w:tabs>
              <w:tab w:val="left" w:pos="1000"/>
            </w:tabs>
            <w:rPr>
              <w:rFonts w:eastAsiaTheme="minorEastAsia"/>
              <w:sz w:val="26"/>
              <w:szCs w:val="26"/>
            </w:rPr>
          </w:pPr>
          <w:hyperlink w:anchor="_Toc148703357" w:history="1">
            <w:r w:rsidRPr="0072600F">
              <w:rPr>
                <w:rStyle w:val="Hyperlink"/>
                <w:sz w:val="26"/>
                <w:szCs w:val="26"/>
              </w:rPr>
              <w:t>Article 9.</w:t>
            </w:r>
            <w:r w:rsidRPr="0072600F">
              <w:rPr>
                <w:rFonts w:eastAsiaTheme="minorEastAsia"/>
                <w:sz w:val="26"/>
                <w:szCs w:val="26"/>
              </w:rPr>
              <w:t xml:space="preserve"> </w:t>
            </w:r>
            <w:r w:rsidRPr="0072600F">
              <w:rPr>
                <w:rStyle w:val="Hyperlink"/>
                <w:sz w:val="26"/>
                <w:szCs w:val="26"/>
              </w:rPr>
              <w:t>Operations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_Toc148703357 \h </w:instrText>
            </w:r>
            <w:r w:rsidRPr="0072600F">
              <w:rPr>
                <w:webHidden/>
                <w:sz w:val="26"/>
                <w:szCs w:val="26"/>
              </w:rPr>
              <w:fldChar w:fldCharType="separate"/>
            </w:r>
            <w:r w:rsidR="00C46123">
              <w:rPr>
                <w:webHidden/>
                <w:sz w:val="26"/>
                <w:szCs w:val="26"/>
              </w:rPr>
              <w:t>- 50 -</w:t>
            </w:r>
            <w:r w:rsidRPr="0072600F">
              <w:rPr>
                <w:webHidden/>
                <w:sz w:val="26"/>
                <w:szCs w:val="26"/>
              </w:rPr>
              <w:fldChar w:fldCharType="end"/>
            </w:r>
          </w:hyperlink>
        </w:p>
        <w:p w:rsidR="00F3594B" w:rsidRPr="0072600F" w14:paraId="666F14B8" w14:textId="77777777">
          <w:pPr>
            <w:pStyle w:val="TOC2"/>
            <w:rPr>
              <w:rFonts w:eastAsiaTheme="minorEastAsia"/>
              <w:b/>
              <w:bCs/>
              <w:i/>
              <w:iCs/>
              <w:noProof/>
              <w:sz w:val="26"/>
              <w:szCs w:val="26"/>
            </w:rPr>
          </w:pPr>
          <w:hyperlink w:anchor="_Toc148703358" w:history="1">
            <w:r w:rsidRPr="0072600F">
              <w:rPr>
                <w:rStyle w:val="Hyperlink"/>
                <w:noProof/>
                <w:sz w:val="26"/>
                <w:szCs w:val="26"/>
              </w:rPr>
              <w:t>9.1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_Toc148703358 \h </w:instrText>
            </w:r>
            <w:r w:rsidRPr="0072600F">
              <w:rPr>
                <w:b/>
                <w:bCs/>
                <w:i/>
                <w:iCs/>
                <w:noProof/>
                <w:webHidden/>
                <w:sz w:val="26"/>
                <w:szCs w:val="26"/>
              </w:rPr>
              <w:fldChar w:fldCharType="separate"/>
            </w:r>
            <w:r w:rsidR="00C46123">
              <w:rPr>
                <w:noProof/>
                <w:webHidden/>
                <w:sz w:val="26"/>
                <w:szCs w:val="26"/>
              </w:rPr>
              <w:t>- 50 -</w:t>
            </w:r>
            <w:r w:rsidRPr="0072600F">
              <w:rPr>
                <w:b/>
                <w:bCs/>
                <w:i/>
                <w:iCs/>
                <w:noProof/>
                <w:webHidden/>
                <w:sz w:val="26"/>
                <w:szCs w:val="26"/>
              </w:rPr>
              <w:fldChar w:fldCharType="end"/>
            </w:r>
          </w:hyperlink>
        </w:p>
        <w:p w:rsidR="00F3594B" w:rsidRPr="0072600F" w14:paraId="4E7AC48A" w14:textId="77777777">
          <w:pPr>
            <w:pStyle w:val="TOC2"/>
            <w:rPr>
              <w:rFonts w:eastAsiaTheme="minorEastAsia"/>
              <w:b/>
              <w:bCs/>
              <w:i/>
              <w:iCs/>
              <w:noProof/>
              <w:sz w:val="26"/>
              <w:szCs w:val="26"/>
            </w:rPr>
          </w:pPr>
          <w:hyperlink w:anchor="_Toc148703359" w:history="1">
            <w:r w:rsidRPr="0072600F">
              <w:rPr>
                <w:rStyle w:val="Hyperlink"/>
                <w:noProof/>
                <w:sz w:val="26"/>
                <w:szCs w:val="26"/>
              </w:rPr>
              <w:t>9.2</w:t>
            </w:r>
            <w:r w:rsidRPr="0072600F">
              <w:rPr>
                <w:rFonts w:eastAsiaTheme="minorEastAsia"/>
                <w:noProof/>
                <w:sz w:val="26"/>
                <w:szCs w:val="26"/>
              </w:rPr>
              <w:tab/>
            </w:r>
            <w:r w:rsidRPr="0072600F">
              <w:rPr>
                <w:rStyle w:val="Hyperlink"/>
                <w:noProof/>
                <w:sz w:val="26"/>
                <w:szCs w:val="26"/>
              </w:rPr>
              <w:t>Balancing Authority Area Notification.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_Toc148703359 \h </w:instrText>
            </w:r>
            <w:r w:rsidRPr="0072600F">
              <w:rPr>
                <w:b/>
                <w:bCs/>
                <w:i/>
                <w:iCs/>
                <w:noProof/>
                <w:webHidden/>
                <w:sz w:val="26"/>
                <w:szCs w:val="26"/>
              </w:rPr>
              <w:fldChar w:fldCharType="separate"/>
            </w:r>
            <w:r w:rsidR="00C46123">
              <w:rPr>
                <w:noProof/>
                <w:webHidden/>
                <w:sz w:val="26"/>
                <w:szCs w:val="26"/>
              </w:rPr>
              <w:t>- 50 -</w:t>
            </w:r>
            <w:r w:rsidRPr="0072600F">
              <w:rPr>
                <w:b/>
                <w:bCs/>
                <w:i/>
                <w:iCs/>
                <w:noProof/>
                <w:webHidden/>
                <w:sz w:val="26"/>
                <w:szCs w:val="26"/>
              </w:rPr>
              <w:fldChar w:fldCharType="end"/>
            </w:r>
          </w:hyperlink>
        </w:p>
        <w:p w:rsidR="00F3594B" w:rsidRPr="0072600F" w14:paraId="56D2B8F9" w14:textId="77777777">
          <w:pPr>
            <w:pStyle w:val="TOC2"/>
            <w:rPr>
              <w:rFonts w:eastAsiaTheme="minorEastAsia"/>
              <w:b/>
              <w:bCs/>
              <w:i/>
              <w:iCs/>
              <w:noProof/>
              <w:sz w:val="26"/>
              <w:szCs w:val="26"/>
            </w:rPr>
          </w:pPr>
          <w:hyperlink w:anchor="_Toc148703360" w:history="1">
            <w:r w:rsidRPr="0072600F">
              <w:rPr>
                <w:rStyle w:val="Hyperlink"/>
                <w:noProof/>
                <w:sz w:val="26"/>
                <w:szCs w:val="26"/>
              </w:rPr>
              <w:t>9.3</w:t>
            </w:r>
            <w:r w:rsidRPr="0072600F">
              <w:rPr>
                <w:rFonts w:eastAsiaTheme="minorEastAsia"/>
                <w:noProof/>
                <w:sz w:val="26"/>
                <w:szCs w:val="26"/>
              </w:rPr>
              <w:tab/>
            </w:r>
            <w:r w:rsidRPr="0072600F">
              <w:rPr>
                <w:rStyle w:val="Hyperlink"/>
                <w:noProof/>
                <w:sz w:val="26"/>
                <w:szCs w:val="26"/>
              </w:rPr>
              <w:t>Transmission Provider Obligations.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_Toc148703360 \h </w:instrText>
            </w:r>
            <w:r w:rsidRPr="0072600F">
              <w:rPr>
                <w:b/>
                <w:bCs/>
                <w:i/>
                <w:iCs/>
                <w:noProof/>
                <w:webHidden/>
                <w:sz w:val="26"/>
                <w:szCs w:val="26"/>
              </w:rPr>
              <w:fldChar w:fldCharType="separate"/>
            </w:r>
            <w:r w:rsidR="00C46123">
              <w:rPr>
                <w:noProof/>
                <w:webHidden/>
                <w:sz w:val="26"/>
                <w:szCs w:val="26"/>
              </w:rPr>
              <w:t>- 50 -</w:t>
            </w:r>
            <w:r w:rsidRPr="0072600F">
              <w:rPr>
                <w:b/>
                <w:bCs/>
                <w:i/>
                <w:iCs/>
                <w:noProof/>
                <w:webHidden/>
                <w:sz w:val="26"/>
                <w:szCs w:val="26"/>
              </w:rPr>
              <w:fldChar w:fldCharType="end"/>
            </w:r>
          </w:hyperlink>
        </w:p>
        <w:p w:rsidR="00F3594B" w:rsidRPr="0072600F" w14:paraId="6D0F164D" w14:textId="77777777">
          <w:pPr>
            <w:pStyle w:val="TOC2"/>
            <w:rPr>
              <w:rFonts w:eastAsiaTheme="minorEastAsia"/>
              <w:b/>
              <w:bCs/>
              <w:i/>
              <w:iCs/>
              <w:noProof/>
              <w:sz w:val="26"/>
              <w:szCs w:val="26"/>
            </w:rPr>
          </w:pPr>
          <w:hyperlink w:anchor="_Toc148703361" w:history="1">
            <w:r w:rsidRPr="0072600F">
              <w:rPr>
                <w:rStyle w:val="Hyperlink"/>
                <w:noProof/>
                <w:sz w:val="26"/>
                <w:szCs w:val="26"/>
              </w:rPr>
              <w:t>9.4</w:t>
            </w:r>
            <w:r w:rsidRPr="0072600F">
              <w:rPr>
                <w:rFonts w:eastAsiaTheme="minorEastAsia"/>
                <w:noProof/>
                <w:sz w:val="26"/>
                <w:szCs w:val="26"/>
              </w:rPr>
              <w:tab/>
            </w:r>
            <w:r w:rsidRPr="0072600F">
              <w:rPr>
                <w:rStyle w:val="Hyperlink"/>
                <w:noProof/>
                <w:sz w:val="26"/>
                <w:szCs w:val="26"/>
              </w:rPr>
              <w:t>Interconnection Customer Obligations.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_Toc148703361 \h </w:instrText>
            </w:r>
            <w:r w:rsidRPr="0072600F">
              <w:rPr>
                <w:b/>
                <w:bCs/>
                <w:i/>
                <w:iCs/>
                <w:noProof/>
                <w:webHidden/>
                <w:sz w:val="26"/>
                <w:szCs w:val="26"/>
              </w:rPr>
              <w:fldChar w:fldCharType="separate"/>
            </w:r>
            <w:r w:rsidR="00C46123">
              <w:rPr>
                <w:noProof/>
                <w:webHidden/>
                <w:sz w:val="26"/>
                <w:szCs w:val="26"/>
              </w:rPr>
              <w:t>- 51 -</w:t>
            </w:r>
            <w:r w:rsidRPr="0072600F">
              <w:rPr>
                <w:b/>
                <w:bCs/>
                <w:i/>
                <w:iCs/>
                <w:noProof/>
                <w:webHidden/>
                <w:sz w:val="26"/>
                <w:szCs w:val="26"/>
              </w:rPr>
              <w:fldChar w:fldCharType="end"/>
            </w:r>
          </w:hyperlink>
        </w:p>
        <w:p w:rsidR="00F3594B" w:rsidRPr="0072600F" w14:paraId="76D76CC0" w14:textId="77777777">
          <w:pPr>
            <w:pStyle w:val="TOC2"/>
            <w:rPr>
              <w:rFonts w:eastAsiaTheme="minorEastAsia"/>
              <w:b/>
              <w:bCs/>
              <w:i/>
              <w:iCs/>
              <w:noProof/>
              <w:sz w:val="26"/>
              <w:szCs w:val="26"/>
            </w:rPr>
          </w:pPr>
          <w:hyperlink w:anchor="_Toc148703362" w:history="1">
            <w:r w:rsidRPr="0072600F">
              <w:rPr>
                <w:rStyle w:val="Hyperlink"/>
                <w:noProof/>
                <w:sz w:val="26"/>
                <w:szCs w:val="26"/>
              </w:rPr>
              <w:t>9.5</w:t>
            </w:r>
            <w:r w:rsidRPr="0072600F">
              <w:rPr>
                <w:rFonts w:eastAsiaTheme="minorEastAsia"/>
                <w:noProof/>
                <w:sz w:val="26"/>
                <w:szCs w:val="26"/>
              </w:rPr>
              <w:tab/>
            </w:r>
            <w:r w:rsidRPr="0072600F">
              <w:rPr>
                <w:rStyle w:val="Hyperlink"/>
                <w:noProof/>
                <w:sz w:val="26"/>
                <w:szCs w:val="26"/>
              </w:rPr>
              <w:t>Start-Up and Synchronization.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_Toc148703362 \h </w:instrText>
            </w:r>
            <w:r w:rsidRPr="0072600F">
              <w:rPr>
                <w:b/>
                <w:bCs/>
                <w:i/>
                <w:iCs/>
                <w:noProof/>
                <w:webHidden/>
                <w:sz w:val="26"/>
                <w:szCs w:val="26"/>
              </w:rPr>
              <w:fldChar w:fldCharType="separate"/>
            </w:r>
            <w:r w:rsidR="00C46123">
              <w:rPr>
                <w:noProof/>
                <w:webHidden/>
                <w:sz w:val="26"/>
                <w:szCs w:val="26"/>
              </w:rPr>
              <w:t>- 51 -</w:t>
            </w:r>
            <w:r w:rsidRPr="0072600F">
              <w:rPr>
                <w:b/>
                <w:bCs/>
                <w:i/>
                <w:iCs/>
                <w:noProof/>
                <w:webHidden/>
                <w:sz w:val="26"/>
                <w:szCs w:val="26"/>
              </w:rPr>
              <w:fldChar w:fldCharType="end"/>
            </w:r>
          </w:hyperlink>
        </w:p>
        <w:p w:rsidR="00F3594B" w:rsidRPr="0072600F" w14:paraId="4173E76E" w14:textId="77777777">
          <w:pPr>
            <w:pStyle w:val="TOC2"/>
            <w:rPr>
              <w:rFonts w:eastAsiaTheme="minorEastAsia"/>
              <w:b/>
              <w:bCs/>
              <w:i/>
              <w:iCs/>
              <w:noProof/>
              <w:sz w:val="26"/>
              <w:szCs w:val="26"/>
            </w:rPr>
          </w:pPr>
          <w:hyperlink w:anchor="_Toc148703363" w:history="1">
            <w:r w:rsidRPr="0072600F">
              <w:rPr>
                <w:rStyle w:val="Hyperlink"/>
                <w:noProof/>
                <w:sz w:val="26"/>
                <w:szCs w:val="26"/>
              </w:rPr>
              <w:t>9.6</w:t>
            </w:r>
            <w:r w:rsidRPr="0072600F">
              <w:rPr>
                <w:rFonts w:eastAsiaTheme="minorEastAsia"/>
                <w:noProof/>
                <w:sz w:val="26"/>
                <w:szCs w:val="26"/>
              </w:rPr>
              <w:tab/>
            </w:r>
            <w:r w:rsidRPr="0072600F">
              <w:rPr>
                <w:rStyle w:val="Hyperlink"/>
                <w:noProof/>
                <w:sz w:val="26"/>
                <w:szCs w:val="26"/>
              </w:rPr>
              <w:t>Reactive Power and Primary Frequency Response.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_Toc148703363 \h </w:instrText>
            </w:r>
            <w:r w:rsidRPr="0072600F">
              <w:rPr>
                <w:b/>
                <w:bCs/>
                <w:i/>
                <w:iCs/>
                <w:noProof/>
                <w:webHidden/>
                <w:sz w:val="26"/>
                <w:szCs w:val="26"/>
              </w:rPr>
              <w:fldChar w:fldCharType="separate"/>
            </w:r>
            <w:r w:rsidR="00C46123">
              <w:rPr>
                <w:noProof/>
                <w:webHidden/>
                <w:sz w:val="26"/>
                <w:szCs w:val="26"/>
              </w:rPr>
              <w:t>- 51 -</w:t>
            </w:r>
            <w:r w:rsidRPr="0072600F">
              <w:rPr>
                <w:b/>
                <w:bCs/>
                <w:i/>
                <w:iCs/>
                <w:noProof/>
                <w:webHidden/>
                <w:sz w:val="26"/>
                <w:szCs w:val="26"/>
              </w:rPr>
              <w:fldChar w:fldCharType="end"/>
            </w:r>
          </w:hyperlink>
        </w:p>
        <w:p w:rsidR="00F3594B" w:rsidRPr="0072600F" w14:paraId="16822D2C" w14:textId="77777777">
          <w:pPr>
            <w:pStyle w:val="TOC3"/>
            <w:tabs>
              <w:tab w:val="left" w:pos="1200"/>
              <w:tab w:val="right" w:leader="dot" w:pos="9350"/>
            </w:tabs>
            <w:rPr>
              <w:rFonts w:eastAsiaTheme="minorEastAsia"/>
              <w:noProof/>
              <w:sz w:val="26"/>
              <w:szCs w:val="26"/>
            </w:rPr>
          </w:pPr>
          <w:hyperlink w:anchor="_Toc148703364" w:history="1">
            <w:r w:rsidRPr="0072600F">
              <w:rPr>
                <w:rStyle w:val="Hyperlink"/>
                <w:noProof/>
                <w:sz w:val="26"/>
                <w:szCs w:val="26"/>
              </w:rPr>
              <w:t>9.6.1</w:t>
            </w:r>
            <w:r w:rsidRPr="0072600F">
              <w:rPr>
                <w:rFonts w:eastAsiaTheme="minorEastAsia"/>
                <w:noProof/>
                <w:sz w:val="26"/>
                <w:szCs w:val="26"/>
              </w:rPr>
              <w:tab/>
            </w:r>
            <w:r w:rsidRPr="0072600F">
              <w:rPr>
                <w:rStyle w:val="Hyperlink"/>
                <w:noProof/>
                <w:sz w:val="26"/>
                <w:szCs w:val="26"/>
              </w:rPr>
              <w:t>Power Factor Design Criteria.</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_Toc148703364 \h </w:instrText>
            </w:r>
            <w:r w:rsidRPr="0072600F">
              <w:rPr>
                <w:noProof/>
                <w:webHidden/>
                <w:sz w:val="26"/>
                <w:szCs w:val="26"/>
              </w:rPr>
              <w:fldChar w:fldCharType="separate"/>
            </w:r>
            <w:r w:rsidR="00C46123">
              <w:rPr>
                <w:noProof/>
                <w:webHidden/>
                <w:sz w:val="26"/>
                <w:szCs w:val="26"/>
              </w:rPr>
              <w:t>- 51 -</w:t>
            </w:r>
            <w:r w:rsidRPr="0072600F">
              <w:rPr>
                <w:noProof/>
                <w:webHidden/>
                <w:sz w:val="26"/>
                <w:szCs w:val="26"/>
              </w:rPr>
              <w:fldChar w:fldCharType="end"/>
            </w:r>
          </w:hyperlink>
        </w:p>
        <w:p w:rsidR="00F3594B" w:rsidRPr="0072600F" w14:paraId="1B0BAC08" w14:textId="77777777">
          <w:pPr>
            <w:pStyle w:val="TOC3"/>
            <w:tabs>
              <w:tab w:val="left" w:pos="1200"/>
              <w:tab w:val="right" w:leader="dot" w:pos="9350"/>
            </w:tabs>
            <w:rPr>
              <w:rFonts w:eastAsiaTheme="minorEastAsia"/>
              <w:noProof/>
              <w:sz w:val="26"/>
              <w:szCs w:val="26"/>
            </w:rPr>
          </w:pPr>
          <w:hyperlink w:anchor="_Toc148703365" w:history="1">
            <w:r w:rsidRPr="0072600F">
              <w:rPr>
                <w:rStyle w:val="Hyperlink"/>
                <w:noProof/>
                <w:sz w:val="26"/>
                <w:szCs w:val="26"/>
              </w:rPr>
              <w:t>9.6.2</w:t>
            </w:r>
            <w:r w:rsidRPr="0072600F">
              <w:rPr>
                <w:rFonts w:eastAsiaTheme="minorEastAsia"/>
                <w:noProof/>
                <w:sz w:val="26"/>
                <w:szCs w:val="26"/>
              </w:rPr>
              <w:tab/>
            </w:r>
            <w:r w:rsidRPr="0072600F">
              <w:rPr>
                <w:rStyle w:val="Hyperlink"/>
                <w:noProof/>
                <w:sz w:val="26"/>
                <w:szCs w:val="26"/>
              </w:rPr>
              <w:t>Voltage Schedules.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_Toc148703365 \h </w:instrText>
            </w:r>
            <w:r w:rsidRPr="0072600F">
              <w:rPr>
                <w:noProof/>
                <w:webHidden/>
                <w:sz w:val="26"/>
                <w:szCs w:val="26"/>
              </w:rPr>
              <w:fldChar w:fldCharType="separate"/>
            </w:r>
            <w:r w:rsidR="00C46123">
              <w:rPr>
                <w:noProof/>
                <w:webHidden/>
                <w:sz w:val="26"/>
                <w:szCs w:val="26"/>
              </w:rPr>
              <w:t>- 52 -</w:t>
            </w:r>
            <w:r w:rsidRPr="0072600F">
              <w:rPr>
                <w:noProof/>
                <w:webHidden/>
                <w:sz w:val="26"/>
                <w:szCs w:val="26"/>
              </w:rPr>
              <w:fldChar w:fldCharType="end"/>
            </w:r>
          </w:hyperlink>
        </w:p>
        <w:p w:rsidR="00F3594B" w:rsidRPr="0072600F" w14:paraId="29D3677B" w14:textId="77777777">
          <w:pPr>
            <w:pStyle w:val="TOC3"/>
            <w:tabs>
              <w:tab w:val="left" w:pos="1200"/>
              <w:tab w:val="right" w:leader="dot" w:pos="9350"/>
            </w:tabs>
            <w:rPr>
              <w:rFonts w:eastAsiaTheme="minorEastAsia"/>
              <w:noProof/>
              <w:sz w:val="26"/>
              <w:szCs w:val="26"/>
            </w:rPr>
          </w:pPr>
          <w:hyperlink w:anchor="_Toc148703366" w:history="1">
            <w:r w:rsidRPr="0072600F">
              <w:rPr>
                <w:rStyle w:val="Hyperlink"/>
                <w:noProof/>
                <w:sz w:val="26"/>
                <w:szCs w:val="26"/>
              </w:rPr>
              <w:t>9.6.3</w:t>
            </w:r>
            <w:r w:rsidRPr="0072600F">
              <w:rPr>
                <w:rFonts w:eastAsiaTheme="minorEastAsia"/>
                <w:noProof/>
                <w:sz w:val="26"/>
                <w:szCs w:val="26"/>
              </w:rPr>
              <w:tab/>
            </w:r>
            <w:r w:rsidRPr="0072600F">
              <w:rPr>
                <w:rStyle w:val="Hyperlink"/>
                <w:noProof/>
                <w:sz w:val="26"/>
                <w:szCs w:val="26"/>
              </w:rPr>
              <w:t>Payment for Reactive Power.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_Toc148703366 \h </w:instrText>
            </w:r>
            <w:r w:rsidRPr="0072600F">
              <w:rPr>
                <w:noProof/>
                <w:webHidden/>
                <w:sz w:val="26"/>
                <w:szCs w:val="26"/>
              </w:rPr>
              <w:fldChar w:fldCharType="separate"/>
            </w:r>
            <w:r w:rsidR="00C46123">
              <w:rPr>
                <w:noProof/>
                <w:webHidden/>
                <w:sz w:val="26"/>
                <w:szCs w:val="26"/>
              </w:rPr>
              <w:t>- 53 -</w:t>
            </w:r>
            <w:r w:rsidRPr="0072600F">
              <w:rPr>
                <w:noProof/>
                <w:webHidden/>
                <w:sz w:val="26"/>
                <w:szCs w:val="26"/>
              </w:rPr>
              <w:fldChar w:fldCharType="end"/>
            </w:r>
          </w:hyperlink>
        </w:p>
        <w:p w:rsidR="00F3594B" w:rsidRPr="0072600F" w14:paraId="2E35927B" w14:textId="77777777">
          <w:pPr>
            <w:pStyle w:val="TOC3"/>
            <w:tabs>
              <w:tab w:val="left" w:pos="1200"/>
              <w:tab w:val="right" w:leader="dot" w:pos="9350"/>
            </w:tabs>
            <w:rPr>
              <w:rFonts w:eastAsiaTheme="minorEastAsia"/>
              <w:noProof/>
              <w:sz w:val="26"/>
              <w:szCs w:val="26"/>
            </w:rPr>
          </w:pPr>
          <w:hyperlink w:anchor="_Toc148703367" w:history="1">
            <w:r w:rsidRPr="0072600F">
              <w:rPr>
                <w:rStyle w:val="Hyperlink"/>
                <w:noProof/>
                <w:sz w:val="26"/>
                <w:szCs w:val="26"/>
              </w:rPr>
              <w:t>9.6.4</w:t>
            </w:r>
            <w:r w:rsidRPr="0072600F">
              <w:rPr>
                <w:rFonts w:eastAsiaTheme="minorEastAsia"/>
                <w:noProof/>
                <w:sz w:val="26"/>
                <w:szCs w:val="26"/>
              </w:rPr>
              <w:tab/>
            </w:r>
            <w:r w:rsidRPr="0072600F">
              <w:rPr>
                <w:rStyle w:val="Hyperlink"/>
                <w:noProof/>
                <w:sz w:val="26"/>
                <w:szCs w:val="26"/>
              </w:rPr>
              <w:t>Primary Frequency Response.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_Toc148703367 \h </w:instrText>
            </w:r>
            <w:r w:rsidRPr="0072600F">
              <w:rPr>
                <w:noProof/>
                <w:webHidden/>
                <w:sz w:val="26"/>
                <w:szCs w:val="26"/>
              </w:rPr>
              <w:fldChar w:fldCharType="separate"/>
            </w:r>
            <w:r w:rsidR="00C46123">
              <w:rPr>
                <w:noProof/>
                <w:webHidden/>
                <w:sz w:val="26"/>
                <w:szCs w:val="26"/>
              </w:rPr>
              <w:t>- 54 -</w:t>
            </w:r>
            <w:r w:rsidRPr="0072600F">
              <w:rPr>
                <w:noProof/>
                <w:webHidden/>
                <w:sz w:val="26"/>
                <w:szCs w:val="26"/>
              </w:rPr>
              <w:fldChar w:fldCharType="end"/>
            </w:r>
          </w:hyperlink>
        </w:p>
        <w:p w:rsidR="00F3594B" w:rsidRPr="0072600F" w14:paraId="58414662" w14:textId="77777777">
          <w:pPr>
            <w:pStyle w:val="TOC2"/>
            <w:rPr>
              <w:rFonts w:eastAsiaTheme="minorEastAsia"/>
              <w:b/>
              <w:bCs/>
              <w:i/>
              <w:iCs/>
              <w:noProof/>
              <w:sz w:val="26"/>
              <w:szCs w:val="26"/>
            </w:rPr>
          </w:pPr>
          <w:hyperlink w:anchor="_Toc148703368" w:history="1">
            <w:r w:rsidRPr="0072600F">
              <w:rPr>
                <w:rStyle w:val="Hyperlink"/>
                <w:noProof/>
                <w:sz w:val="26"/>
                <w:szCs w:val="26"/>
              </w:rPr>
              <w:t>9.7</w:t>
            </w:r>
            <w:r w:rsidRPr="0072600F">
              <w:rPr>
                <w:rFonts w:eastAsiaTheme="minorEastAsia"/>
                <w:noProof/>
                <w:sz w:val="26"/>
                <w:szCs w:val="26"/>
              </w:rPr>
              <w:tab/>
            </w:r>
            <w:r w:rsidRPr="0072600F">
              <w:rPr>
                <w:rStyle w:val="Hyperlink"/>
                <w:noProof/>
                <w:sz w:val="26"/>
                <w:szCs w:val="26"/>
              </w:rPr>
              <w:t>Outages and Interruptions.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_Toc148703368 \h </w:instrText>
            </w:r>
            <w:r w:rsidRPr="0072600F">
              <w:rPr>
                <w:b/>
                <w:bCs/>
                <w:i/>
                <w:iCs/>
                <w:noProof/>
                <w:webHidden/>
                <w:sz w:val="26"/>
                <w:szCs w:val="26"/>
              </w:rPr>
              <w:fldChar w:fldCharType="separate"/>
            </w:r>
            <w:r w:rsidR="00C46123">
              <w:rPr>
                <w:noProof/>
                <w:webHidden/>
                <w:sz w:val="26"/>
                <w:szCs w:val="26"/>
              </w:rPr>
              <w:t>- 58 -</w:t>
            </w:r>
            <w:r w:rsidRPr="0072600F">
              <w:rPr>
                <w:b/>
                <w:bCs/>
                <w:i/>
                <w:iCs/>
                <w:noProof/>
                <w:webHidden/>
                <w:sz w:val="26"/>
                <w:szCs w:val="26"/>
              </w:rPr>
              <w:fldChar w:fldCharType="end"/>
            </w:r>
          </w:hyperlink>
        </w:p>
        <w:p w:rsidR="00F3594B" w:rsidRPr="0072600F" w14:paraId="5B36054D" w14:textId="77777777">
          <w:pPr>
            <w:pStyle w:val="TOC3"/>
            <w:tabs>
              <w:tab w:val="left" w:pos="1200"/>
              <w:tab w:val="right" w:leader="dot" w:pos="9350"/>
            </w:tabs>
            <w:rPr>
              <w:rFonts w:eastAsiaTheme="minorEastAsia"/>
              <w:noProof/>
              <w:sz w:val="26"/>
              <w:szCs w:val="26"/>
            </w:rPr>
          </w:pPr>
          <w:hyperlink w:anchor="_Toc148703369" w:history="1">
            <w:r w:rsidRPr="0072600F">
              <w:rPr>
                <w:rStyle w:val="Hyperlink"/>
                <w:noProof/>
                <w:sz w:val="26"/>
                <w:szCs w:val="26"/>
              </w:rPr>
              <w:t>9.7.1</w:t>
            </w:r>
            <w:r w:rsidRPr="0072600F">
              <w:rPr>
                <w:rFonts w:eastAsiaTheme="minorEastAsia"/>
                <w:noProof/>
                <w:sz w:val="26"/>
                <w:szCs w:val="26"/>
              </w:rPr>
              <w:tab/>
            </w:r>
            <w:r w:rsidRPr="0072600F">
              <w:rPr>
                <w:rStyle w:val="Hyperlink"/>
                <w:noProof/>
                <w:sz w:val="26"/>
                <w:szCs w:val="26"/>
              </w:rPr>
              <w:t>Outages.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_Toc148703369 \h </w:instrText>
            </w:r>
            <w:r w:rsidRPr="0072600F">
              <w:rPr>
                <w:noProof/>
                <w:webHidden/>
                <w:sz w:val="26"/>
                <w:szCs w:val="26"/>
              </w:rPr>
              <w:fldChar w:fldCharType="separate"/>
            </w:r>
            <w:r w:rsidR="00C46123">
              <w:rPr>
                <w:noProof/>
                <w:webHidden/>
                <w:sz w:val="26"/>
                <w:szCs w:val="26"/>
              </w:rPr>
              <w:t>- 58 -</w:t>
            </w:r>
            <w:r w:rsidRPr="0072600F">
              <w:rPr>
                <w:noProof/>
                <w:webHidden/>
                <w:sz w:val="26"/>
                <w:szCs w:val="26"/>
              </w:rPr>
              <w:fldChar w:fldCharType="end"/>
            </w:r>
          </w:hyperlink>
        </w:p>
        <w:p w:rsidR="00F3594B" w:rsidRPr="0072600F" w14:paraId="427643CC" w14:textId="77777777">
          <w:pPr>
            <w:pStyle w:val="TOC3"/>
            <w:tabs>
              <w:tab w:val="left" w:pos="1200"/>
              <w:tab w:val="right" w:leader="dot" w:pos="9350"/>
            </w:tabs>
            <w:rPr>
              <w:rFonts w:eastAsiaTheme="minorEastAsia"/>
              <w:noProof/>
              <w:sz w:val="26"/>
              <w:szCs w:val="26"/>
            </w:rPr>
          </w:pPr>
          <w:hyperlink w:anchor="_Toc148703370" w:history="1">
            <w:r w:rsidRPr="0072600F">
              <w:rPr>
                <w:rStyle w:val="Hyperlink"/>
                <w:noProof/>
                <w:sz w:val="26"/>
                <w:szCs w:val="26"/>
              </w:rPr>
              <w:t>9.7.2</w:t>
            </w:r>
            <w:r w:rsidRPr="0072600F">
              <w:rPr>
                <w:rFonts w:eastAsiaTheme="minorEastAsia"/>
                <w:noProof/>
                <w:sz w:val="26"/>
                <w:szCs w:val="26"/>
              </w:rPr>
              <w:tab/>
            </w:r>
            <w:r w:rsidRPr="0072600F">
              <w:rPr>
                <w:rStyle w:val="Hyperlink"/>
                <w:noProof/>
                <w:sz w:val="26"/>
                <w:szCs w:val="26"/>
              </w:rPr>
              <w:t>Interruption of Service.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_Toc148703370 \h </w:instrText>
            </w:r>
            <w:r w:rsidRPr="0072600F">
              <w:rPr>
                <w:noProof/>
                <w:webHidden/>
                <w:sz w:val="26"/>
                <w:szCs w:val="26"/>
              </w:rPr>
              <w:fldChar w:fldCharType="separate"/>
            </w:r>
            <w:r w:rsidR="00C46123">
              <w:rPr>
                <w:noProof/>
                <w:webHidden/>
                <w:sz w:val="26"/>
                <w:szCs w:val="26"/>
              </w:rPr>
              <w:t>- 60 -</w:t>
            </w:r>
            <w:r w:rsidRPr="0072600F">
              <w:rPr>
                <w:noProof/>
                <w:webHidden/>
                <w:sz w:val="26"/>
                <w:szCs w:val="26"/>
              </w:rPr>
              <w:fldChar w:fldCharType="end"/>
            </w:r>
          </w:hyperlink>
        </w:p>
        <w:p w:rsidR="00F3594B" w:rsidRPr="0072600F" w14:paraId="4E13C75E" w14:textId="77777777">
          <w:pPr>
            <w:pStyle w:val="TOC3"/>
            <w:tabs>
              <w:tab w:val="left" w:pos="1200"/>
              <w:tab w:val="right" w:leader="dot" w:pos="9350"/>
            </w:tabs>
            <w:rPr>
              <w:rFonts w:eastAsiaTheme="minorEastAsia"/>
              <w:noProof/>
              <w:sz w:val="26"/>
              <w:szCs w:val="26"/>
            </w:rPr>
          </w:pPr>
          <w:hyperlink w:anchor="_Toc148703371" w:history="1">
            <w:r w:rsidRPr="0072600F">
              <w:rPr>
                <w:rStyle w:val="Hyperlink"/>
                <w:noProof/>
                <w:sz w:val="26"/>
                <w:szCs w:val="26"/>
              </w:rPr>
              <w:t>9.7.3</w:t>
            </w:r>
            <w:r w:rsidRPr="0072600F">
              <w:rPr>
                <w:rFonts w:eastAsiaTheme="minorEastAsia"/>
                <w:noProof/>
                <w:sz w:val="26"/>
                <w:szCs w:val="26"/>
              </w:rPr>
              <w:tab/>
            </w:r>
            <w:r w:rsidRPr="0072600F">
              <w:rPr>
                <w:rStyle w:val="Hyperlink"/>
                <w:noProof/>
                <w:sz w:val="26"/>
                <w:szCs w:val="26"/>
              </w:rPr>
              <w:t>Ride Through Capability and Performance.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_Toc148703371 \h </w:instrText>
            </w:r>
            <w:r w:rsidRPr="0072600F">
              <w:rPr>
                <w:noProof/>
                <w:webHidden/>
                <w:sz w:val="26"/>
                <w:szCs w:val="26"/>
              </w:rPr>
              <w:fldChar w:fldCharType="separate"/>
            </w:r>
            <w:r w:rsidR="00C46123">
              <w:rPr>
                <w:noProof/>
                <w:webHidden/>
                <w:sz w:val="26"/>
                <w:szCs w:val="26"/>
              </w:rPr>
              <w:t>- 61 -</w:t>
            </w:r>
            <w:r w:rsidRPr="0072600F">
              <w:rPr>
                <w:noProof/>
                <w:webHidden/>
                <w:sz w:val="26"/>
                <w:szCs w:val="26"/>
              </w:rPr>
              <w:fldChar w:fldCharType="end"/>
            </w:r>
          </w:hyperlink>
        </w:p>
        <w:p w:rsidR="00F3594B" w:rsidRPr="0072600F" w14:paraId="67D44E51" w14:textId="77777777">
          <w:pPr>
            <w:pStyle w:val="TOC3"/>
            <w:tabs>
              <w:tab w:val="left" w:pos="1200"/>
              <w:tab w:val="right" w:leader="dot" w:pos="9350"/>
            </w:tabs>
            <w:rPr>
              <w:rFonts w:eastAsiaTheme="minorEastAsia"/>
              <w:noProof/>
              <w:sz w:val="26"/>
              <w:szCs w:val="26"/>
            </w:rPr>
          </w:pPr>
          <w:hyperlink w:anchor="_Toc148703372" w:history="1">
            <w:r w:rsidRPr="0072600F">
              <w:rPr>
                <w:rStyle w:val="Hyperlink"/>
                <w:noProof/>
                <w:sz w:val="26"/>
                <w:szCs w:val="26"/>
              </w:rPr>
              <w:t>9.7.4</w:t>
            </w:r>
            <w:r w:rsidRPr="0072600F">
              <w:rPr>
                <w:rFonts w:eastAsiaTheme="minorEastAsia"/>
                <w:noProof/>
                <w:sz w:val="26"/>
                <w:szCs w:val="26"/>
              </w:rPr>
              <w:tab/>
            </w:r>
            <w:r w:rsidRPr="0072600F">
              <w:rPr>
                <w:rStyle w:val="Hyperlink"/>
                <w:noProof/>
                <w:sz w:val="26"/>
                <w:szCs w:val="26"/>
              </w:rPr>
              <w:t>System Protection and Other Control Requirements.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_Toc148703372 \h </w:instrText>
            </w:r>
            <w:r w:rsidRPr="0072600F">
              <w:rPr>
                <w:noProof/>
                <w:webHidden/>
                <w:sz w:val="26"/>
                <w:szCs w:val="26"/>
              </w:rPr>
              <w:fldChar w:fldCharType="separate"/>
            </w:r>
            <w:r w:rsidR="00C46123">
              <w:rPr>
                <w:noProof/>
                <w:webHidden/>
                <w:sz w:val="26"/>
                <w:szCs w:val="26"/>
              </w:rPr>
              <w:t>- 62 -</w:t>
            </w:r>
            <w:r w:rsidRPr="0072600F">
              <w:rPr>
                <w:noProof/>
                <w:webHidden/>
                <w:sz w:val="26"/>
                <w:szCs w:val="26"/>
              </w:rPr>
              <w:fldChar w:fldCharType="end"/>
            </w:r>
          </w:hyperlink>
        </w:p>
        <w:p w:rsidR="00F3594B" w:rsidRPr="0072600F" w14:paraId="56CD6C37" w14:textId="77777777">
          <w:pPr>
            <w:pStyle w:val="TOC3"/>
            <w:tabs>
              <w:tab w:val="left" w:pos="1200"/>
              <w:tab w:val="right" w:leader="dot" w:pos="9350"/>
            </w:tabs>
            <w:rPr>
              <w:rFonts w:eastAsiaTheme="minorEastAsia"/>
              <w:noProof/>
              <w:sz w:val="26"/>
              <w:szCs w:val="26"/>
            </w:rPr>
          </w:pPr>
          <w:hyperlink w:anchor="_Toc148703373" w:history="1">
            <w:r w:rsidRPr="0072600F">
              <w:rPr>
                <w:rStyle w:val="Hyperlink"/>
                <w:noProof/>
                <w:sz w:val="26"/>
                <w:szCs w:val="26"/>
              </w:rPr>
              <w:t>9.7.5</w:t>
            </w:r>
            <w:r w:rsidRPr="0072600F">
              <w:rPr>
                <w:rFonts w:eastAsiaTheme="minorEastAsia"/>
                <w:noProof/>
                <w:sz w:val="26"/>
                <w:szCs w:val="26"/>
              </w:rPr>
              <w:tab/>
            </w:r>
            <w:r w:rsidRPr="0072600F">
              <w:rPr>
                <w:rStyle w:val="Hyperlink"/>
                <w:noProof/>
                <w:sz w:val="26"/>
                <w:szCs w:val="26"/>
              </w:rPr>
              <w:t>Requirements for Protection.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_Toc148703373 \h </w:instrText>
            </w:r>
            <w:r w:rsidRPr="0072600F">
              <w:rPr>
                <w:noProof/>
                <w:webHidden/>
                <w:sz w:val="26"/>
                <w:szCs w:val="26"/>
              </w:rPr>
              <w:fldChar w:fldCharType="separate"/>
            </w:r>
            <w:r w:rsidR="00C46123">
              <w:rPr>
                <w:noProof/>
                <w:webHidden/>
                <w:sz w:val="26"/>
                <w:szCs w:val="26"/>
              </w:rPr>
              <w:t>- 63 -</w:t>
            </w:r>
            <w:r w:rsidRPr="0072600F">
              <w:rPr>
                <w:noProof/>
                <w:webHidden/>
                <w:sz w:val="26"/>
                <w:szCs w:val="26"/>
              </w:rPr>
              <w:fldChar w:fldCharType="end"/>
            </w:r>
          </w:hyperlink>
        </w:p>
        <w:p w:rsidR="00F3594B" w:rsidRPr="0072600F" w14:paraId="21BD5E50" w14:textId="77777777">
          <w:pPr>
            <w:pStyle w:val="TOC3"/>
            <w:tabs>
              <w:tab w:val="left" w:pos="1200"/>
              <w:tab w:val="right" w:leader="dot" w:pos="9350"/>
            </w:tabs>
            <w:rPr>
              <w:rFonts w:eastAsiaTheme="minorEastAsia"/>
              <w:noProof/>
              <w:sz w:val="26"/>
              <w:szCs w:val="26"/>
            </w:rPr>
          </w:pPr>
          <w:hyperlink w:anchor="_Toc148703374" w:history="1">
            <w:r w:rsidRPr="0072600F">
              <w:rPr>
                <w:rStyle w:val="Hyperlink"/>
                <w:noProof/>
                <w:sz w:val="26"/>
                <w:szCs w:val="26"/>
              </w:rPr>
              <w:t>9.7.6</w:t>
            </w:r>
            <w:r w:rsidRPr="0072600F">
              <w:rPr>
                <w:rFonts w:eastAsiaTheme="minorEastAsia"/>
                <w:noProof/>
                <w:sz w:val="26"/>
                <w:szCs w:val="26"/>
              </w:rPr>
              <w:tab/>
            </w:r>
            <w:r w:rsidRPr="0072600F">
              <w:rPr>
                <w:rStyle w:val="Hyperlink"/>
                <w:noProof/>
                <w:sz w:val="26"/>
                <w:szCs w:val="26"/>
              </w:rPr>
              <w:t>Power Quality.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_Toc148703374 \h </w:instrText>
            </w:r>
            <w:r w:rsidRPr="0072600F">
              <w:rPr>
                <w:noProof/>
                <w:webHidden/>
                <w:sz w:val="26"/>
                <w:szCs w:val="26"/>
              </w:rPr>
              <w:fldChar w:fldCharType="separate"/>
            </w:r>
            <w:r w:rsidR="00C46123">
              <w:rPr>
                <w:noProof/>
                <w:webHidden/>
                <w:sz w:val="26"/>
                <w:szCs w:val="26"/>
              </w:rPr>
              <w:t>- 64 -</w:t>
            </w:r>
            <w:r w:rsidRPr="0072600F">
              <w:rPr>
                <w:noProof/>
                <w:webHidden/>
                <w:sz w:val="26"/>
                <w:szCs w:val="26"/>
              </w:rPr>
              <w:fldChar w:fldCharType="end"/>
            </w:r>
          </w:hyperlink>
        </w:p>
        <w:p w:rsidR="00F3594B" w:rsidRPr="0072600F" w14:paraId="78D7DEDA" w14:textId="77777777">
          <w:pPr>
            <w:pStyle w:val="TOC2"/>
            <w:rPr>
              <w:rFonts w:eastAsiaTheme="minorEastAsia"/>
              <w:b/>
              <w:bCs/>
              <w:i/>
              <w:iCs/>
              <w:noProof/>
              <w:sz w:val="26"/>
              <w:szCs w:val="26"/>
            </w:rPr>
          </w:pPr>
          <w:hyperlink w:anchor="_Toc148703375" w:history="1">
            <w:r w:rsidRPr="0072600F">
              <w:rPr>
                <w:rStyle w:val="Hyperlink"/>
                <w:noProof/>
                <w:sz w:val="26"/>
                <w:szCs w:val="26"/>
              </w:rPr>
              <w:t>9.8</w:t>
            </w:r>
            <w:r w:rsidRPr="0072600F">
              <w:rPr>
                <w:rFonts w:eastAsiaTheme="minorEastAsia"/>
                <w:noProof/>
                <w:sz w:val="26"/>
                <w:szCs w:val="26"/>
              </w:rPr>
              <w:tab/>
            </w:r>
            <w:r w:rsidRPr="0072600F">
              <w:rPr>
                <w:rStyle w:val="Hyperlink"/>
                <w:noProof/>
                <w:sz w:val="26"/>
                <w:szCs w:val="26"/>
              </w:rPr>
              <w:t>Switching and Tagging Rules.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_Toc148703375 \h </w:instrText>
            </w:r>
            <w:r w:rsidRPr="0072600F">
              <w:rPr>
                <w:b/>
                <w:bCs/>
                <w:i/>
                <w:iCs/>
                <w:noProof/>
                <w:webHidden/>
                <w:sz w:val="26"/>
                <w:szCs w:val="26"/>
              </w:rPr>
              <w:fldChar w:fldCharType="separate"/>
            </w:r>
            <w:r w:rsidR="00C46123">
              <w:rPr>
                <w:noProof/>
                <w:webHidden/>
                <w:sz w:val="26"/>
                <w:szCs w:val="26"/>
              </w:rPr>
              <w:t>- 64 -</w:t>
            </w:r>
            <w:r w:rsidRPr="0072600F">
              <w:rPr>
                <w:b/>
                <w:bCs/>
                <w:i/>
                <w:iCs/>
                <w:noProof/>
                <w:webHidden/>
                <w:sz w:val="26"/>
                <w:szCs w:val="26"/>
              </w:rPr>
              <w:fldChar w:fldCharType="end"/>
            </w:r>
          </w:hyperlink>
        </w:p>
        <w:p w:rsidR="00F3594B" w:rsidRPr="0072600F" w14:paraId="0C8D4F74" w14:textId="77777777">
          <w:pPr>
            <w:pStyle w:val="TOC2"/>
            <w:rPr>
              <w:rFonts w:eastAsiaTheme="minorEastAsia"/>
              <w:b/>
              <w:bCs/>
              <w:i/>
              <w:iCs/>
              <w:noProof/>
              <w:sz w:val="26"/>
              <w:szCs w:val="26"/>
            </w:rPr>
          </w:pPr>
          <w:hyperlink w:anchor="_Toc148703376" w:history="1">
            <w:r w:rsidRPr="0072600F">
              <w:rPr>
                <w:rStyle w:val="Hyperlink"/>
                <w:noProof/>
                <w:sz w:val="26"/>
                <w:szCs w:val="26"/>
              </w:rPr>
              <w:t>9.9</w:t>
            </w:r>
            <w:r w:rsidRPr="0072600F">
              <w:rPr>
                <w:rFonts w:eastAsiaTheme="minorEastAsia"/>
                <w:noProof/>
                <w:sz w:val="26"/>
                <w:szCs w:val="26"/>
              </w:rPr>
              <w:tab/>
            </w:r>
            <w:r w:rsidRPr="0072600F">
              <w:rPr>
                <w:rStyle w:val="Hyperlink"/>
                <w:noProof/>
                <w:sz w:val="26"/>
                <w:szCs w:val="26"/>
              </w:rPr>
              <w:t>Use of Interconnection Facilities by Third Parties.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_Toc148703376 \h </w:instrText>
            </w:r>
            <w:r w:rsidRPr="0072600F">
              <w:rPr>
                <w:b/>
                <w:bCs/>
                <w:i/>
                <w:iCs/>
                <w:noProof/>
                <w:webHidden/>
                <w:sz w:val="26"/>
                <w:szCs w:val="26"/>
              </w:rPr>
              <w:fldChar w:fldCharType="separate"/>
            </w:r>
            <w:r w:rsidR="00C46123">
              <w:rPr>
                <w:noProof/>
                <w:webHidden/>
                <w:sz w:val="26"/>
                <w:szCs w:val="26"/>
              </w:rPr>
              <w:t>- 64 -</w:t>
            </w:r>
            <w:r w:rsidRPr="0072600F">
              <w:rPr>
                <w:b/>
                <w:bCs/>
                <w:i/>
                <w:iCs/>
                <w:noProof/>
                <w:webHidden/>
                <w:sz w:val="26"/>
                <w:szCs w:val="26"/>
              </w:rPr>
              <w:fldChar w:fldCharType="end"/>
            </w:r>
          </w:hyperlink>
        </w:p>
        <w:p w:rsidR="00F3594B" w:rsidRPr="0072600F" w14:paraId="242DCB2A" w14:textId="77777777">
          <w:pPr>
            <w:pStyle w:val="TOC3"/>
            <w:tabs>
              <w:tab w:val="left" w:pos="1200"/>
              <w:tab w:val="right" w:leader="dot" w:pos="9350"/>
            </w:tabs>
            <w:rPr>
              <w:rFonts w:eastAsiaTheme="minorEastAsia"/>
              <w:noProof/>
              <w:sz w:val="26"/>
              <w:szCs w:val="26"/>
            </w:rPr>
          </w:pPr>
          <w:hyperlink w:anchor="_Toc148703377" w:history="1">
            <w:r w:rsidRPr="0072600F">
              <w:rPr>
                <w:rStyle w:val="Hyperlink"/>
                <w:noProof/>
                <w:sz w:val="26"/>
                <w:szCs w:val="26"/>
              </w:rPr>
              <w:t>9.9.1</w:t>
            </w:r>
            <w:r w:rsidRPr="0072600F">
              <w:rPr>
                <w:rFonts w:eastAsiaTheme="minorEastAsia"/>
                <w:noProof/>
                <w:sz w:val="26"/>
                <w:szCs w:val="26"/>
              </w:rPr>
              <w:tab/>
            </w:r>
            <w:r w:rsidRPr="0072600F">
              <w:rPr>
                <w:rStyle w:val="Hyperlink"/>
                <w:noProof/>
                <w:sz w:val="26"/>
                <w:szCs w:val="26"/>
              </w:rPr>
              <w:t>Purpose of Interconnection Facilities.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_Toc148703377 \h </w:instrText>
            </w:r>
            <w:r w:rsidRPr="0072600F">
              <w:rPr>
                <w:noProof/>
                <w:webHidden/>
                <w:sz w:val="26"/>
                <w:szCs w:val="26"/>
              </w:rPr>
              <w:fldChar w:fldCharType="separate"/>
            </w:r>
            <w:r w:rsidR="00C46123">
              <w:rPr>
                <w:noProof/>
                <w:webHidden/>
                <w:sz w:val="26"/>
                <w:szCs w:val="26"/>
              </w:rPr>
              <w:t>- 64 -</w:t>
            </w:r>
            <w:r w:rsidRPr="0072600F">
              <w:rPr>
                <w:noProof/>
                <w:webHidden/>
                <w:sz w:val="26"/>
                <w:szCs w:val="26"/>
              </w:rPr>
              <w:fldChar w:fldCharType="end"/>
            </w:r>
          </w:hyperlink>
        </w:p>
        <w:p w:rsidR="00F3594B" w:rsidRPr="0072600F" w14:paraId="0BD7E2AD" w14:textId="77777777">
          <w:pPr>
            <w:pStyle w:val="TOC3"/>
            <w:tabs>
              <w:tab w:val="left" w:pos="1200"/>
              <w:tab w:val="right" w:leader="dot" w:pos="9350"/>
            </w:tabs>
            <w:rPr>
              <w:rFonts w:eastAsiaTheme="minorEastAsia"/>
              <w:noProof/>
              <w:sz w:val="26"/>
              <w:szCs w:val="26"/>
            </w:rPr>
          </w:pPr>
          <w:hyperlink w:anchor="_Toc148703378" w:history="1">
            <w:r w:rsidRPr="0072600F">
              <w:rPr>
                <w:rStyle w:val="Hyperlink"/>
                <w:noProof/>
                <w:sz w:val="26"/>
                <w:szCs w:val="26"/>
              </w:rPr>
              <w:t>9.9.2</w:t>
            </w:r>
            <w:r w:rsidRPr="0072600F">
              <w:rPr>
                <w:rFonts w:eastAsiaTheme="minorEastAsia"/>
                <w:noProof/>
                <w:sz w:val="26"/>
                <w:szCs w:val="26"/>
              </w:rPr>
              <w:tab/>
            </w:r>
            <w:r w:rsidRPr="0072600F">
              <w:rPr>
                <w:rStyle w:val="Hyperlink"/>
                <w:noProof/>
                <w:sz w:val="26"/>
                <w:szCs w:val="26"/>
              </w:rPr>
              <w:t>Third Party Users.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_Toc148703378 \h </w:instrText>
            </w:r>
            <w:r w:rsidRPr="0072600F">
              <w:rPr>
                <w:noProof/>
                <w:webHidden/>
                <w:sz w:val="26"/>
                <w:szCs w:val="26"/>
              </w:rPr>
              <w:fldChar w:fldCharType="separate"/>
            </w:r>
            <w:r w:rsidR="00C46123">
              <w:rPr>
                <w:noProof/>
                <w:webHidden/>
                <w:sz w:val="26"/>
                <w:szCs w:val="26"/>
              </w:rPr>
              <w:t>- 65 -</w:t>
            </w:r>
            <w:r w:rsidRPr="0072600F">
              <w:rPr>
                <w:noProof/>
                <w:webHidden/>
                <w:sz w:val="26"/>
                <w:szCs w:val="26"/>
              </w:rPr>
              <w:fldChar w:fldCharType="end"/>
            </w:r>
          </w:hyperlink>
        </w:p>
        <w:p w:rsidR="00F3594B" w:rsidRPr="0072600F" w14:paraId="741FC735" w14:textId="77777777">
          <w:pPr>
            <w:pStyle w:val="TOC2"/>
            <w:rPr>
              <w:rFonts w:eastAsiaTheme="minorEastAsia"/>
              <w:b/>
              <w:bCs/>
              <w:i/>
              <w:iCs/>
              <w:noProof/>
              <w:sz w:val="26"/>
              <w:szCs w:val="26"/>
            </w:rPr>
          </w:pPr>
          <w:hyperlink w:anchor="_Toc148703379" w:history="1">
            <w:r w:rsidRPr="0072600F">
              <w:rPr>
                <w:rStyle w:val="Hyperlink"/>
                <w:noProof/>
                <w:sz w:val="26"/>
                <w:szCs w:val="26"/>
              </w:rPr>
              <w:t>9.10</w:t>
            </w:r>
            <w:r w:rsidRPr="0072600F">
              <w:rPr>
                <w:rFonts w:eastAsiaTheme="minorEastAsia"/>
                <w:noProof/>
                <w:sz w:val="26"/>
                <w:szCs w:val="26"/>
              </w:rPr>
              <w:tab/>
            </w:r>
            <w:r w:rsidRPr="0072600F">
              <w:rPr>
                <w:rStyle w:val="Hyperlink"/>
                <w:noProof/>
                <w:sz w:val="26"/>
                <w:szCs w:val="26"/>
              </w:rPr>
              <w:t>Disturbance Analysis Data Exchange.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_Toc148703379 \h </w:instrText>
            </w:r>
            <w:r w:rsidRPr="0072600F">
              <w:rPr>
                <w:b/>
                <w:bCs/>
                <w:i/>
                <w:iCs/>
                <w:noProof/>
                <w:webHidden/>
                <w:sz w:val="26"/>
                <w:szCs w:val="26"/>
              </w:rPr>
              <w:fldChar w:fldCharType="separate"/>
            </w:r>
            <w:r w:rsidR="00C46123">
              <w:rPr>
                <w:noProof/>
                <w:webHidden/>
                <w:sz w:val="26"/>
                <w:szCs w:val="26"/>
              </w:rPr>
              <w:t>- 65 -</w:t>
            </w:r>
            <w:r w:rsidRPr="0072600F">
              <w:rPr>
                <w:b/>
                <w:bCs/>
                <w:i/>
                <w:iCs/>
                <w:noProof/>
                <w:webHidden/>
                <w:sz w:val="26"/>
                <w:szCs w:val="26"/>
              </w:rPr>
              <w:fldChar w:fldCharType="end"/>
            </w:r>
          </w:hyperlink>
        </w:p>
        <w:p w:rsidR="00F3594B" w:rsidRPr="0072600F" w14:paraId="022A3D96" w14:textId="77777777">
          <w:pPr>
            <w:pStyle w:val="TOC1"/>
            <w:tabs>
              <w:tab w:val="left" w:pos="1200"/>
            </w:tabs>
            <w:rPr>
              <w:rFonts w:eastAsiaTheme="minorEastAsia"/>
              <w:sz w:val="26"/>
              <w:szCs w:val="26"/>
            </w:rPr>
          </w:pPr>
          <w:hyperlink w:anchor="_Toc148703380" w:history="1">
            <w:r w:rsidRPr="0072600F">
              <w:rPr>
                <w:rStyle w:val="Hyperlink"/>
                <w:sz w:val="26"/>
                <w:szCs w:val="26"/>
              </w:rPr>
              <w:t>Article 10.</w:t>
            </w:r>
            <w:r w:rsidRPr="0072600F">
              <w:rPr>
                <w:rFonts w:eastAsiaTheme="minorEastAsia"/>
                <w:sz w:val="26"/>
                <w:szCs w:val="26"/>
              </w:rPr>
              <w:tab/>
            </w:r>
            <w:r w:rsidRPr="0072600F">
              <w:rPr>
                <w:rStyle w:val="Hyperlink"/>
                <w:sz w:val="26"/>
                <w:szCs w:val="26"/>
              </w:rPr>
              <w:t>Maintenance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_Toc148703380 \h </w:instrText>
            </w:r>
            <w:r w:rsidRPr="0072600F">
              <w:rPr>
                <w:webHidden/>
                <w:sz w:val="26"/>
                <w:szCs w:val="26"/>
              </w:rPr>
              <w:fldChar w:fldCharType="separate"/>
            </w:r>
            <w:r w:rsidR="00C46123">
              <w:rPr>
                <w:webHidden/>
                <w:sz w:val="26"/>
                <w:szCs w:val="26"/>
              </w:rPr>
              <w:t>- 65 -</w:t>
            </w:r>
            <w:r w:rsidRPr="0072600F">
              <w:rPr>
                <w:webHidden/>
                <w:sz w:val="26"/>
                <w:szCs w:val="26"/>
              </w:rPr>
              <w:fldChar w:fldCharType="end"/>
            </w:r>
          </w:hyperlink>
        </w:p>
        <w:p w:rsidR="00F3594B" w:rsidRPr="0072600F" w14:paraId="29894463" w14:textId="77777777">
          <w:pPr>
            <w:pStyle w:val="TOC2"/>
            <w:rPr>
              <w:rFonts w:eastAsiaTheme="minorEastAsia"/>
              <w:b/>
              <w:bCs/>
              <w:i/>
              <w:iCs/>
              <w:noProof/>
              <w:sz w:val="26"/>
              <w:szCs w:val="26"/>
            </w:rPr>
          </w:pPr>
          <w:hyperlink w:anchor="_Toc148703381" w:history="1">
            <w:r w:rsidRPr="0072600F">
              <w:rPr>
                <w:rStyle w:val="Hyperlink"/>
                <w:noProof/>
                <w:sz w:val="26"/>
                <w:szCs w:val="26"/>
              </w:rPr>
              <w:t>10.1</w:t>
            </w:r>
            <w:r w:rsidRPr="0072600F">
              <w:rPr>
                <w:rFonts w:eastAsiaTheme="minorEastAsia"/>
                <w:noProof/>
                <w:sz w:val="26"/>
                <w:szCs w:val="26"/>
              </w:rPr>
              <w:tab/>
            </w:r>
            <w:r w:rsidRPr="0072600F">
              <w:rPr>
                <w:rStyle w:val="Hyperlink"/>
                <w:noProof/>
                <w:sz w:val="26"/>
                <w:szCs w:val="26"/>
              </w:rPr>
              <w:t>Transmission Provider Obligations.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_Toc148703381 \h </w:instrText>
            </w:r>
            <w:r w:rsidRPr="0072600F">
              <w:rPr>
                <w:b/>
                <w:bCs/>
                <w:i/>
                <w:iCs/>
                <w:noProof/>
                <w:webHidden/>
                <w:sz w:val="26"/>
                <w:szCs w:val="26"/>
              </w:rPr>
              <w:fldChar w:fldCharType="separate"/>
            </w:r>
            <w:r w:rsidR="00C46123">
              <w:rPr>
                <w:noProof/>
                <w:webHidden/>
                <w:sz w:val="26"/>
                <w:szCs w:val="26"/>
              </w:rPr>
              <w:t>- 65 -</w:t>
            </w:r>
            <w:r w:rsidRPr="0072600F">
              <w:rPr>
                <w:b/>
                <w:bCs/>
                <w:i/>
                <w:iCs/>
                <w:noProof/>
                <w:webHidden/>
                <w:sz w:val="26"/>
                <w:szCs w:val="26"/>
              </w:rPr>
              <w:fldChar w:fldCharType="end"/>
            </w:r>
          </w:hyperlink>
        </w:p>
        <w:p w:rsidR="00F3594B" w:rsidRPr="0072600F" w14:paraId="121159D8" w14:textId="77777777">
          <w:pPr>
            <w:pStyle w:val="TOC2"/>
            <w:rPr>
              <w:rFonts w:eastAsiaTheme="minorEastAsia"/>
              <w:b/>
              <w:bCs/>
              <w:i/>
              <w:iCs/>
              <w:noProof/>
              <w:sz w:val="26"/>
              <w:szCs w:val="26"/>
            </w:rPr>
          </w:pPr>
          <w:hyperlink w:anchor="_Toc148703382" w:history="1">
            <w:r w:rsidRPr="0072600F">
              <w:rPr>
                <w:rStyle w:val="Hyperlink"/>
                <w:noProof/>
                <w:sz w:val="26"/>
                <w:szCs w:val="26"/>
              </w:rPr>
              <w:t>10.2</w:t>
            </w:r>
            <w:r w:rsidRPr="0072600F">
              <w:rPr>
                <w:rFonts w:eastAsiaTheme="minorEastAsia"/>
                <w:noProof/>
                <w:sz w:val="26"/>
                <w:szCs w:val="26"/>
              </w:rPr>
              <w:tab/>
            </w:r>
            <w:r w:rsidRPr="0072600F">
              <w:rPr>
                <w:rStyle w:val="Hyperlink"/>
                <w:noProof/>
                <w:sz w:val="26"/>
                <w:szCs w:val="26"/>
              </w:rPr>
              <w:t>Interconnection Customer Obligations.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_Toc148703382 \h </w:instrText>
            </w:r>
            <w:r w:rsidRPr="0072600F">
              <w:rPr>
                <w:b/>
                <w:bCs/>
                <w:i/>
                <w:iCs/>
                <w:noProof/>
                <w:webHidden/>
                <w:sz w:val="26"/>
                <w:szCs w:val="26"/>
              </w:rPr>
              <w:fldChar w:fldCharType="separate"/>
            </w:r>
            <w:r w:rsidR="00C46123">
              <w:rPr>
                <w:noProof/>
                <w:webHidden/>
                <w:sz w:val="26"/>
                <w:szCs w:val="26"/>
              </w:rPr>
              <w:t>- 66 -</w:t>
            </w:r>
            <w:r w:rsidRPr="0072600F">
              <w:rPr>
                <w:b/>
                <w:bCs/>
                <w:i/>
                <w:iCs/>
                <w:noProof/>
                <w:webHidden/>
                <w:sz w:val="26"/>
                <w:szCs w:val="26"/>
              </w:rPr>
              <w:fldChar w:fldCharType="end"/>
            </w:r>
          </w:hyperlink>
        </w:p>
        <w:p w:rsidR="00F3594B" w:rsidRPr="0072600F" w14:paraId="3EB06FB6" w14:textId="77777777">
          <w:pPr>
            <w:pStyle w:val="TOC2"/>
            <w:rPr>
              <w:rFonts w:eastAsiaTheme="minorEastAsia"/>
              <w:b/>
              <w:bCs/>
              <w:i/>
              <w:iCs/>
              <w:noProof/>
              <w:sz w:val="26"/>
              <w:szCs w:val="26"/>
            </w:rPr>
          </w:pPr>
          <w:hyperlink w:anchor="_Toc148703383" w:history="1">
            <w:r w:rsidRPr="0072600F">
              <w:rPr>
                <w:rStyle w:val="Hyperlink"/>
                <w:noProof/>
                <w:sz w:val="26"/>
                <w:szCs w:val="26"/>
              </w:rPr>
              <w:t>10.3</w:t>
            </w:r>
            <w:r w:rsidRPr="0072600F">
              <w:rPr>
                <w:rFonts w:eastAsiaTheme="minorEastAsia"/>
                <w:noProof/>
                <w:sz w:val="26"/>
                <w:szCs w:val="26"/>
              </w:rPr>
              <w:tab/>
            </w:r>
            <w:r w:rsidRPr="0072600F">
              <w:rPr>
                <w:rStyle w:val="Hyperlink"/>
                <w:noProof/>
                <w:sz w:val="26"/>
                <w:szCs w:val="26"/>
              </w:rPr>
              <w:t>Coordination.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_Toc148703383 \h </w:instrText>
            </w:r>
            <w:r w:rsidRPr="0072600F">
              <w:rPr>
                <w:b/>
                <w:bCs/>
                <w:i/>
                <w:iCs/>
                <w:noProof/>
                <w:webHidden/>
                <w:sz w:val="26"/>
                <w:szCs w:val="26"/>
              </w:rPr>
              <w:fldChar w:fldCharType="separate"/>
            </w:r>
            <w:r w:rsidR="00C46123">
              <w:rPr>
                <w:noProof/>
                <w:webHidden/>
                <w:sz w:val="26"/>
                <w:szCs w:val="26"/>
              </w:rPr>
              <w:t>- 66 -</w:t>
            </w:r>
            <w:r w:rsidRPr="0072600F">
              <w:rPr>
                <w:b/>
                <w:bCs/>
                <w:i/>
                <w:iCs/>
                <w:noProof/>
                <w:webHidden/>
                <w:sz w:val="26"/>
                <w:szCs w:val="26"/>
              </w:rPr>
              <w:fldChar w:fldCharType="end"/>
            </w:r>
          </w:hyperlink>
        </w:p>
        <w:p w:rsidR="00F3594B" w:rsidRPr="0072600F" w14:paraId="11BA7475" w14:textId="77777777">
          <w:pPr>
            <w:pStyle w:val="TOC2"/>
            <w:rPr>
              <w:rFonts w:eastAsiaTheme="minorEastAsia"/>
              <w:b/>
              <w:bCs/>
              <w:i/>
              <w:iCs/>
              <w:noProof/>
              <w:sz w:val="26"/>
              <w:szCs w:val="26"/>
            </w:rPr>
          </w:pPr>
          <w:hyperlink w:anchor="_Toc148703384" w:history="1">
            <w:r w:rsidRPr="0072600F">
              <w:rPr>
                <w:rStyle w:val="Hyperlink"/>
                <w:noProof/>
                <w:sz w:val="26"/>
                <w:szCs w:val="26"/>
              </w:rPr>
              <w:t>10.4</w:t>
            </w:r>
            <w:r w:rsidRPr="0072600F">
              <w:rPr>
                <w:rFonts w:eastAsiaTheme="minorEastAsia"/>
                <w:noProof/>
                <w:sz w:val="26"/>
                <w:szCs w:val="26"/>
              </w:rPr>
              <w:tab/>
            </w:r>
            <w:r w:rsidRPr="0072600F">
              <w:rPr>
                <w:rStyle w:val="Hyperlink"/>
                <w:noProof/>
                <w:sz w:val="26"/>
                <w:szCs w:val="26"/>
              </w:rPr>
              <w:t>Secondary Systems.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_Toc148703384 \h </w:instrText>
            </w:r>
            <w:r w:rsidRPr="0072600F">
              <w:rPr>
                <w:b/>
                <w:bCs/>
                <w:i/>
                <w:iCs/>
                <w:noProof/>
                <w:webHidden/>
                <w:sz w:val="26"/>
                <w:szCs w:val="26"/>
              </w:rPr>
              <w:fldChar w:fldCharType="separate"/>
            </w:r>
            <w:r w:rsidR="00C46123">
              <w:rPr>
                <w:noProof/>
                <w:webHidden/>
                <w:sz w:val="26"/>
                <w:szCs w:val="26"/>
              </w:rPr>
              <w:t>- 66 -</w:t>
            </w:r>
            <w:r w:rsidRPr="0072600F">
              <w:rPr>
                <w:b/>
                <w:bCs/>
                <w:i/>
                <w:iCs/>
                <w:noProof/>
                <w:webHidden/>
                <w:sz w:val="26"/>
                <w:szCs w:val="26"/>
              </w:rPr>
              <w:fldChar w:fldCharType="end"/>
            </w:r>
          </w:hyperlink>
        </w:p>
        <w:p w:rsidR="00F3594B" w:rsidRPr="0072600F" w14:paraId="39127017" w14:textId="77777777">
          <w:pPr>
            <w:pStyle w:val="TOC2"/>
            <w:rPr>
              <w:rFonts w:eastAsiaTheme="minorEastAsia"/>
              <w:b/>
              <w:bCs/>
              <w:i/>
              <w:iCs/>
              <w:noProof/>
              <w:sz w:val="26"/>
              <w:szCs w:val="26"/>
            </w:rPr>
          </w:pPr>
          <w:hyperlink w:anchor="_Toc148703385" w:history="1">
            <w:r w:rsidRPr="0072600F">
              <w:rPr>
                <w:rStyle w:val="Hyperlink"/>
                <w:noProof/>
                <w:sz w:val="26"/>
                <w:szCs w:val="26"/>
              </w:rPr>
              <w:t>10.5</w:t>
            </w:r>
            <w:r w:rsidRPr="0072600F">
              <w:rPr>
                <w:rFonts w:eastAsiaTheme="minorEastAsia"/>
                <w:noProof/>
                <w:sz w:val="26"/>
                <w:szCs w:val="26"/>
              </w:rPr>
              <w:tab/>
            </w:r>
            <w:r w:rsidRPr="0072600F">
              <w:rPr>
                <w:rStyle w:val="Hyperlink"/>
                <w:noProof/>
                <w:sz w:val="26"/>
                <w:szCs w:val="26"/>
              </w:rPr>
              <w:t>Operating and Maintenance Expenses.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_Toc148703385 \h </w:instrText>
            </w:r>
            <w:r w:rsidRPr="0072600F">
              <w:rPr>
                <w:b/>
                <w:bCs/>
                <w:i/>
                <w:iCs/>
                <w:noProof/>
                <w:webHidden/>
                <w:sz w:val="26"/>
                <w:szCs w:val="26"/>
              </w:rPr>
              <w:fldChar w:fldCharType="separate"/>
            </w:r>
            <w:r w:rsidR="00C46123">
              <w:rPr>
                <w:noProof/>
                <w:webHidden/>
                <w:sz w:val="26"/>
                <w:szCs w:val="26"/>
              </w:rPr>
              <w:t>- 66 -</w:t>
            </w:r>
            <w:r w:rsidRPr="0072600F">
              <w:rPr>
                <w:b/>
                <w:bCs/>
                <w:i/>
                <w:iCs/>
                <w:noProof/>
                <w:webHidden/>
                <w:sz w:val="26"/>
                <w:szCs w:val="26"/>
              </w:rPr>
              <w:fldChar w:fldCharType="end"/>
            </w:r>
          </w:hyperlink>
        </w:p>
        <w:p w:rsidR="00F3594B" w:rsidRPr="0072600F" w14:paraId="1362F60E" w14:textId="77777777">
          <w:pPr>
            <w:pStyle w:val="TOC1"/>
            <w:tabs>
              <w:tab w:val="left" w:pos="1200"/>
            </w:tabs>
            <w:rPr>
              <w:rFonts w:eastAsiaTheme="minorEastAsia"/>
              <w:sz w:val="26"/>
              <w:szCs w:val="26"/>
            </w:rPr>
          </w:pPr>
          <w:hyperlink w:anchor="_Toc148703386" w:history="1">
            <w:r w:rsidRPr="0072600F">
              <w:rPr>
                <w:rStyle w:val="Hyperlink"/>
                <w:sz w:val="26"/>
                <w:szCs w:val="26"/>
              </w:rPr>
              <w:t>Article 11.</w:t>
            </w:r>
            <w:r w:rsidRPr="0072600F">
              <w:rPr>
                <w:rFonts w:eastAsiaTheme="minorEastAsia"/>
                <w:sz w:val="26"/>
                <w:szCs w:val="26"/>
              </w:rPr>
              <w:tab/>
            </w:r>
            <w:r w:rsidRPr="0072600F">
              <w:rPr>
                <w:rStyle w:val="Hyperlink"/>
                <w:sz w:val="26"/>
                <w:szCs w:val="26"/>
              </w:rPr>
              <w:t>Performance Obligation</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_Toc148703386 \h </w:instrText>
            </w:r>
            <w:r w:rsidRPr="0072600F">
              <w:rPr>
                <w:webHidden/>
                <w:sz w:val="26"/>
                <w:szCs w:val="26"/>
              </w:rPr>
              <w:fldChar w:fldCharType="separate"/>
            </w:r>
            <w:r w:rsidR="00C46123">
              <w:rPr>
                <w:webHidden/>
                <w:sz w:val="26"/>
                <w:szCs w:val="26"/>
              </w:rPr>
              <w:t>- 66 -</w:t>
            </w:r>
            <w:r w:rsidRPr="0072600F">
              <w:rPr>
                <w:webHidden/>
                <w:sz w:val="26"/>
                <w:szCs w:val="26"/>
              </w:rPr>
              <w:fldChar w:fldCharType="end"/>
            </w:r>
          </w:hyperlink>
        </w:p>
        <w:p w:rsidR="00F3594B" w:rsidRPr="0072600F" w14:paraId="56862671" w14:textId="77777777">
          <w:pPr>
            <w:pStyle w:val="TOC2"/>
            <w:rPr>
              <w:rFonts w:eastAsiaTheme="minorEastAsia"/>
              <w:b/>
              <w:bCs/>
              <w:i/>
              <w:iCs/>
              <w:noProof/>
              <w:sz w:val="26"/>
              <w:szCs w:val="26"/>
            </w:rPr>
          </w:pPr>
          <w:hyperlink w:anchor="_Toc148703387" w:history="1">
            <w:r w:rsidRPr="0072600F">
              <w:rPr>
                <w:rStyle w:val="Hyperlink"/>
                <w:noProof/>
                <w:sz w:val="26"/>
                <w:szCs w:val="26"/>
              </w:rPr>
              <w:t>11.1</w:t>
            </w:r>
            <w:r w:rsidRPr="0072600F">
              <w:rPr>
                <w:rFonts w:eastAsiaTheme="minorEastAsia"/>
                <w:noProof/>
                <w:sz w:val="26"/>
                <w:szCs w:val="26"/>
              </w:rPr>
              <w:tab/>
            </w:r>
            <w:r w:rsidRPr="0072600F">
              <w:rPr>
                <w:rStyle w:val="Hyperlink"/>
                <w:noProof/>
                <w:sz w:val="26"/>
                <w:szCs w:val="26"/>
              </w:rPr>
              <w:t>Interconnection Customer Interconnection Facilities.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_Toc148703387 \h </w:instrText>
            </w:r>
            <w:r w:rsidRPr="0072600F">
              <w:rPr>
                <w:b/>
                <w:bCs/>
                <w:i/>
                <w:iCs/>
                <w:noProof/>
                <w:webHidden/>
                <w:sz w:val="26"/>
                <w:szCs w:val="26"/>
              </w:rPr>
              <w:fldChar w:fldCharType="separate"/>
            </w:r>
            <w:r w:rsidR="00C46123">
              <w:rPr>
                <w:noProof/>
                <w:webHidden/>
                <w:sz w:val="26"/>
                <w:szCs w:val="26"/>
              </w:rPr>
              <w:t>- 67 -</w:t>
            </w:r>
            <w:r w:rsidRPr="0072600F">
              <w:rPr>
                <w:b/>
                <w:bCs/>
                <w:i/>
                <w:iCs/>
                <w:noProof/>
                <w:webHidden/>
                <w:sz w:val="26"/>
                <w:szCs w:val="26"/>
              </w:rPr>
              <w:fldChar w:fldCharType="end"/>
            </w:r>
          </w:hyperlink>
        </w:p>
        <w:p w:rsidR="00F3594B" w:rsidRPr="0072600F" w14:paraId="737D8F18" w14:textId="77777777">
          <w:pPr>
            <w:pStyle w:val="TOC2"/>
            <w:rPr>
              <w:rFonts w:eastAsiaTheme="minorEastAsia"/>
              <w:b/>
              <w:bCs/>
              <w:i/>
              <w:iCs/>
              <w:noProof/>
              <w:sz w:val="26"/>
              <w:szCs w:val="26"/>
            </w:rPr>
          </w:pPr>
          <w:hyperlink w:anchor="_Toc148703388" w:history="1">
            <w:r w:rsidRPr="0072600F">
              <w:rPr>
                <w:rStyle w:val="Hyperlink"/>
                <w:noProof/>
                <w:sz w:val="26"/>
                <w:szCs w:val="26"/>
              </w:rPr>
              <w:t>11.2</w:t>
            </w:r>
            <w:r w:rsidRPr="0072600F">
              <w:rPr>
                <w:rFonts w:eastAsiaTheme="minorEastAsia"/>
                <w:noProof/>
                <w:sz w:val="26"/>
                <w:szCs w:val="26"/>
              </w:rPr>
              <w:tab/>
            </w:r>
            <w:r w:rsidRPr="0072600F">
              <w:rPr>
                <w:rStyle w:val="Hyperlink"/>
                <w:noProof/>
                <w:sz w:val="26"/>
                <w:szCs w:val="26"/>
              </w:rPr>
              <w:t>Transmission Provider</w:t>
            </w:r>
            <w:r w:rsidRPr="0072600F" w:rsidR="00BD11B3">
              <w:rPr>
                <w:rStyle w:val="Hyperlink"/>
                <w:noProof/>
                <w:sz w:val="26"/>
                <w:szCs w:val="26"/>
              </w:rPr>
              <w:t>’</w:t>
            </w:r>
            <w:r w:rsidRPr="0072600F">
              <w:rPr>
                <w:rStyle w:val="Hyperlink"/>
                <w:noProof/>
                <w:sz w:val="26"/>
                <w:szCs w:val="26"/>
              </w:rPr>
              <w:t>s Interconnection Facilities.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_Toc148703388 \h </w:instrText>
            </w:r>
            <w:r w:rsidRPr="0072600F">
              <w:rPr>
                <w:b/>
                <w:bCs/>
                <w:i/>
                <w:iCs/>
                <w:noProof/>
                <w:webHidden/>
                <w:sz w:val="26"/>
                <w:szCs w:val="26"/>
              </w:rPr>
              <w:fldChar w:fldCharType="separate"/>
            </w:r>
            <w:r w:rsidR="00C46123">
              <w:rPr>
                <w:noProof/>
                <w:webHidden/>
                <w:sz w:val="26"/>
                <w:szCs w:val="26"/>
              </w:rPr>
              <w:t>- 67 -</w:t>
            </w:r>
            <w:r w:rsidRPr="0072600F">
              <w:rPr>
                <w:b/>
                <w:bCs/>
                <w:i/>
                <w:iCs/>
                <w:noProof/>
                <w:webHidden/>
                <w:sz w:val="26"/>
                <w:szCs w:val="26"/>
              </w:rPr>
              <w:fldChar w:fldCharType="end"/>
            </w:r>
          </w:hyperlink>
        </w:p>
        <w:p w:rsidR="00F3594B" w:rsidRPr="0072600F" w14:paraId="32E787F3" w14:textId="77777777">
          <w:pPr>
            <w:pStyle w:val="TOC2"/>
            <w:rPr>
              <w:rFonts w:eastAsiaTheme="minorEastAsia"/>
              <w:b/>
              <w:bCs/>
              <w:i/>
              <w:iCs/>
              <w:noProof/>
              <w:sz w:val="26"/>
              <w:szCs w:val="26"/>
            </w:rPr>
          </w:pPr>
          <w:hyperlink w:anchor="_Toc148703389" w:history="1">
            <w:r w:rsidRPr="0072600F">
              <w:rPr>
                <w:rStyle w:val="Hyperlink"/>
                <w:noProof/>
                <w:sz w:val="26"/>
                <w:szCs w:val="26"/>
              </w:rPr>
              <w:t>11.3</w:t>
            </w:r>
            <w:r w:rsidRPr="0072600F">
              <w:rPr>
                <w:rFonts w:eastAsiaTheme="minorEastAsia"/>
                <w:noProof/>
                <w:sz w:val="26"/>
                <w:szCs w:val="26"/>
              </w:rPr>
              <w:tab/>
            </w:r>
            <w:r w:rsidRPr="0072600F">
              <w:rPr>
                <w:rStyle w:val="Hyperlink"/>
                <w:noProof/>
                <w:sz w:val="26"/>
                <w:szCs w:val="26"/>
              </w:rPr>
              <w:t>Network Upgrades and Distribution Upgrades.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_Toc148703389 \h </w:instrText>
            </w:r>
            <w:r w:rsidRPr="0072600F">
              <w:rPr>
                <w:b/>
                <w:bCs/>
                <w:i/>
                <w:iCs/>
                <w:noProof/>
                <w:webHidden/>
                <w:sz w:val="26"/>
                <w:szCs w:val="26"/>
              </w:rPr>
              <w:fldChar w:fldCharType="separate"/>
            </w:r>
            <w:r w:rsidR="00C46123">
              <w:rPr>
                <w:noProof/>
                <w:webHidden/>
                <w:sz w:val="26"/>
                <w:szCs w:val="26"/>
              </w:rPr>
              <w:t>- 67 -</w:t>
            </w:r>
            <w:r w:rsidRPr="0072600F">
              <w:rPr>
                <w:b/>
                <w:bCs/>
                <w:i/>
                <w:iCs/>
                <w:noProof/>
                <w:webHidden/>
                <w:sz w:val="26"/>
                <w:szCs w:val="26"/>
              </w:rPr>
              <w:fldChar w:fldCharType="end"/>
            </w:r>
          </w:hyperlink>
        </w:p>
        <w:p w:rsidR="00F3594B" w:rsidRPr="0072600F" w14:paraId="77575568" w14:textId="77777777">
          <w:pPr>
            <w:pStyle w:val="TOC2"/>
            <w:rPr>
              <w:rFonts w:eastAsiaTheme="minorEastAsia"/>
              <w:b/>
              <w:bCs/>
              <w:i/>
              <w:iCs/>
              <w:noProof/>
              <w:sz w:val="26"/>
              <w:szCs w:val="26"/>
            </w:rPr>
          </w:pPr>
          <w:hyperlink w:anchor="_Toc148703390" w:history="1">
            <w:r w:rsidRPr="0072600F">
              <w:rPr>
                <w:rStyle w:val="Hyperlink"/>
                <w:noProof/>
                <w:sz w:val="26"/>
                <w:szCs w:val="26"/>
              </w:rPr>
              <w:t>11.4</w:t>
            </w:r>
            <w:r w:rsidRPr="0072600F">
              <w:rPr>
                <w:rFonts w:eastAsiaTheme="minorEastAsia"/>
                <w:noProof/>
                <w:sz w:val="26"/>
                <w:szCs w:val="26"/>
              </w:rPr>
              <w:tab/>
            </w:r>
            <w:r w:rsidRPr="0072600F">
              <w:rPr>
                <w:rStyle w:val="Hyperlink"/>
                <w:noProof/>
                <w:sz w:val="26"/>
                <w:szCs w:val="26"/>
              </w:rPr>
              <w:t>Transmission Credits.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_Toc148703390 \h </w:instrText>
            </w:r>
            <w:r w:rsidRPr="0072600F">
              <w:rPr>
                <w:b/>
                <w:bCs/>
                <w:i/>
                <w:iCs/>
                <w:noProof/>
                <w:webHidden/>
                <w:sz w:val="26"/>
                <w:szCs w:val="26"/>
              </w:rPr>
              <w:fldChar w:fldCharType="separate"/>
            </w:r>
            <w:r w:rsidR="00C46123">
              <w:rPr>
                <w:noProof/>
                <w:webHidden/>
                <w:sz w:val="26"/>
                <w:szCs w:val="26"/>
              </w:rPr>
              <w:t>- 67 -</w:t>
            </w:r>
            <w:r w:rsidRPr="0072600F">
              <w:rPr>
                <w:b/>
                <w:bCs/>
                <w:i/>
                <w:iCs/>
                <w:noProof/>
                <w:webHidden/>
                <w:sz w:val="26"/>
                <w:szCs w:val="26"/>
              </w:rPr>
              <w:fldChar w:fldCharType="end"/>
            </w:r>
          </w:hyperlink>
        </w:p>
        <w:p w:rsidR="00F3594B" w:rsidRPr="0072600F" w14:paraId="6C7478B4" w14:textId="77777777">
          <w:pPr>
            <w:pStyle w:val="TOC3"/>
            <w:tabs>
              <w:tab w:val="left" w:pos="1200"/>
              <w:tab w:val="right" w:leader="dot" w:pos="9350"/>
            </w:tabs>
            <w:rPr>
              <w:rFonts w:eastAsiaTheme="minorEastAsia"/>
              <w:noProof/>
              <w:sz w:val="26"/>
              <w:szCs w:val="26"/>
            </w:rPr>
          </w:pPr>
          <w:hyperlink w:anchor="_Toc148703391" w:history="1">
            <w:r w:rsidRPr="0072600F">
              <w:rPr>
                <w:rStyle w:val="Hyperlink"/>
                <w:noProof/>
                <w:sz w:val="26"/>
                <w:szCs w:val="26"/>
              </w:rPr>
              <w:t>11.4.1</w:t>
            </w:r>
            <w:r w:rsidRPr="0072600F">
              <w:rPr>
                <w:rFonts w:eastAsiaTheme="minorEastAsia"/>
                <w:noProof/>
                <w:sz w:val="26"/>
                <w:szCs w:val="26"/>
              </w:rPr>
              <w:tab/>
            </w:r>
            <w:r w:rsidRPr="0072600F">
              <w:rPr>
                <w:rStyle w:val="Hyperlink"/>
                <w:noProof/>
                <w:sz w:val="26"/>
                <w:szCs w:val="26"/>
              </w:rPr>
              <w:t>Repayment of Amounts Advanced for Network Upgrades.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_Toc148703391 \h </w:instrText>
            </w:r>
            <w:r w:rsidRPr="0072600F">
              <w:rPr>
                <w:noProof/>
                <w:webHidden/>
                <w:sz w:val="26"/>
                <w:szCs w:val="26"/>
              </w:rPr>
              <w:fldChar w:fldCharType="separate"/>
            </w:r>
            <w:r w:rsidR="00C46123">
              <w:rPr>
                <w:noProof/>
                <w:webHidden/>
                <w:sz w:val="26"/>
                <w:szCs w:val="26"/>
              </w:rPr>
              <w:t>- 67 -</w:t>
            </w:r>
            <w:r w:rsidRPr="0072600F">
              <w:rPr>
                <w:noProof/>
                <w:webHidden/>
                <w:sz w:val="26"/>
                <w:szCs w:val="26"/>
              </w:rPr>
              <w:fldChar w:fldCharType="end"/>
            </w:r>
          </w:hyperlink>
        </w:p>
        <w:p w:rsidR="00F3594B" w:rsidRPr="0072600F" w14:paraId="4B479065" w14:textId="77777777">
          <w:pPr>
            <w:pStyle w:val="TOC3"/>
            <w:tabs>
              <w:tab w:val="left" w:pos="1200"/>
              <w:tab w:val="right" w:leader="dot" w:pos="9350"/>
            </w:tabs>
            <w:rPr>
              <w:rFonts w:eastAsiaTheme="minorEastAsia"/>
              <w:noProof/>
              <w:sz w:val="26"/>
              <w:szCs w:val="26"/>
            </w:rPr>
          </w:pPr>
          <w:hyperlink w:anchor="_Toc148703392" w:history="1">
            <w:r w:rsidRPr="0072600F">
              <w:rPr>
                <w:rStyle w:val="Hyperlink"/>
                <w:noProof/>
                <w:sz w:val="26"/>
                <w:szCs w:val="26"/>
              </w:rPr>
              <w:t>11.4.2</w:t>
            </w:r>
            <w:r w:rsidRPr="0072600F">
              <w:rPr>
                <w:rFonts w:eastAsiaTheme="minorEastAsia"/>
                <w:noProof/>
                <w:sz w:val="26"/>
                <w:szCs w:val="26"/>
              </w:rPr>
              <w:tab/>
            </w:r>
            <w:r w:rsidRPr="0072600F">
              <w:rPr>
                <w:rStyle w:val="Hyperlink"/>
                <w:noProof/>
                <w:sz w:val="26"/>
                <w:szCs w:val="26"/>
              </w:rPr>
              <w:t>Special Provisions for Affected Systems.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_Toc148703392 \h </w:instrText>
            </w:r>
            <w:r w:rsidRPr="0072600F">
              <w:rPr>
                <w:noProof/>
                <w:webHidden/>
                <w:sz w:val="26"/>
                <w:szCs w:val="26"/>
              </w:rPr>
              <w:fldChar w:fldCharType="separate"/>
            </w:r>
            <w:r w:rsidR="00C46123">
              <w:rPr>
                <w:noProof/>
                <w:webHidden/>
                <w:sz w:val="26"/>
                <w:szCs w:val="26"/>
              </w:rPr>
              <w:t>- 69 -</w:t>
            </w:r>
            <w:r w:rsidRPr="0072600F">
              <w:rPr>
                <w:noProof/>
                <w:webHidden/>
                <w:sz w:val="26"/>
                <w:szCs w:val="26"/>
              </w:rPr>
              <w:fldChar w:fldCharType="end"/>
            </w:r>
          </w:hyperlink>
        </w:p>
        <w:p w:rsidR="00F3594B" w:rsidRPr="0072600F" w14:paraId="137B480A" w14:textId="77777777">
          <w:pPr>
            <w:pStyle w:val="TOC2"/>
            <w:rPr>
              <w:rFonts w:eastAsiaTheme="minorEastAsia"/>
              <w:b/>
              <w:bCs/>
              <w:i/>
              <w:iCs/>
              <w:noProof/>
              <w:sz w:val="26"/>
              <w:szCs w:val="26"/>
            </w:rPr>
          </w:pPr>
          <w:hyperlink w:anchor="_Toc148703393" w:history="1">
            <w:r w:rsidRPr="0072600F">
              <w:rPr>
                <w:rStyle w:val="Hyperlink"/>
                <w:noProof/>
                <w:sz w:val="26"/>
                <w:szCs w:val="26"/>
              </w:rPr>
              <w:t>11.5</w:t>
            </w:r>
            <w:r w:rsidRPr="0072600F">
              <w:rPr>
                <w:rFonts w:eastAsiaTheme="minorEastAsia"/>
                <w:noProof/>
                <w:sz w:val="26"/>
                <w:szCs w:val="26"/>
              </w:rPr>
              <w:tab/>
            </w:r>
            <w:r w:rsidRPr="0072600F">
              <w:rPr>
                <w:rStyle w:val="Hyperlink"/>
                <w:noProof/>
                <w:sz w:val="26"/>
                <w:szCs w:val="26"/>
              </w:rPr>
              <w:t>Provision of Security.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_Toc148703393 \h </w:instrText>
            </w:r>
            <w:r w:rsidRPr="0072600F">
              <w:rPr>
                <w:b/>
                <w:bCs/>
                <w:i/>
                <w:iCs/>
                <w:noProof/>
                <w:webHidden/>
                <w:sz w:val="26"/>
                <w:szCs w:val="26"/>
              </w:rPr>
              <w:fldChar w:fldCharType="separate"/>
            </w:r>
            <w:r w:rsidR="00C46123">
              <w:rPr>
                <w:noProof/>
                <w:webHidden/>
                <w:sz w:val="26"/>
                <w:szCs w:val="26"/>
              </w:rPr>
              <w:t>- 69 -</w:t>
            </w:r>
            <w:r w:rsidRPr="0072600F">
              <w:rPr>
                <w:b/>
                <w:bCs/>
                <w:i/>
                <w:iCs/>
                <w:noProof/>
                <w:webHidden/>
                <w:sz w:val="26"/>
                <w:szCs w:val="26"/>
              </w:rPr>
              <w:fldChar w:fldCharType="end"/>
            </w:r>
          </w:hyperlink>
        </w:p>
        <w:p w:rsidR="00F3594B" w:rsidRPr="0072600F" w14:paraId="7B8756D6" w14:textId="77777777">
          <w:pPr>
            <w:pStyle w:val="TOC2"/>
            <w:rPr>
              <w:rFonts w:eastAsiaTheme="minorEastAsia"/>
              <w:b/>
              <w:bCs/>
              <w:i/>
              <w:iCs/>
              <w:noProof/>
              <w:sz w:val="26"/>
              <w:szCs w:val="26"/>
            </w:rPr>
          </w:pPr>
          <w:hyperlink w:anchor="_Toc148703394" w:history="1">
            <w:r w:rsidRPr="0072600F">
              <w:rPr>
                <w:rStyle w:val="Hyperlink"/>
                <w:noProof/>
                <w:sz w:val="26"/>
                <w:szCs w:val="26"/>
              </w:rPr>
              <w:t>11.6</w:t>
            </w:r>
            <w:r w:rsidRPr="0072600F">
              <w:rPr>
                <w:rFonts w:eastAsiaTheme="minorEastAsia"/>
                <w:noProof/>
                <w:sz w:val="26"/>
                <w:szCs w:val="26"/>
              </w:rPr>
              <w:tab/>
            </w:r>
            <w:r w:rsidRPr="0072600F">
              <w:rPr>
                <w:rStyle w:val="Hyperlink"/>
                <w:noProof/>
                <w:sz w:val="26"/>
                <w:szCs w:val="26"/>
              </w:rPr>
              <w:t>Interconnection Customer Compensation.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_Toc148703394 \h </w:instrText>
            </w:r>
            <w:r w:rsidRPr="0072600F">
              <w:rPr>
                <w:b/>
                <w:bCs/>
                <w:i/>
                <w:iCs/>
                <w:noProof/>
                <w:webHidden/>
                <w:sz w:val="26"/>
                <w:szCs w:val="26"/>
              </w:rPr>
              <w:fldChar w:fldCharType="separate"/>
            </w:r>
            <w:r w:rsidR="00C46123">
              <w:rPr>
                <w:noProof/>
                <w:webHidden/>
                <w:sz w:val="26"/>
                <w:szCs w:val="26"/>
              </w:rPr>
              <w:t>- 70 -</w:t>
            </w:r>
            <w:r w:rsidRPr="0072600F">
              <w:rPr>
                <w:b/>
                <w:bCs/>
                <w:i/>
                <w:iCs/>
                <w:noProof/>
                <w:webHidden/>
                <w:sz w:val="26"/>
                <w:szCs w:val="26"/>
              </w:rPr>
              <w:fldChar w:fldCharType="end"/>
            </w:r>
          </w:hyperlink>
        </w:p>
        <w:p w:rsidR="00F3594B" w:rsidRPr="0072600F" w14:paraId="121B3A38" w14:textId="77777777">
          <w:pPr>
            <w:pStyle w:val="TOC3"/>
            <w:tabs>
              <w:tab w:val="left" w:pos="1200"/>
              <w:tab w:val="right" w:leader="dot" w:pos="9350"/>
            </w:tabs>
            <w:rPr>
              <w:rFonts w:eastAsiaTheme="minorEastAsia"/>
              <w:noProof/>
              <w:sz w:val="26"/>
              <w:szCs w:val="26"/>
            </w:rPr>
          </w:pPr>
          <w:hyperlink w:anchor="_Toc148703395" w:history="1">
            <w:r w:rsidRPr="0072600F">
              <w:rPr>
                <w:rStyle w:val="Hyperlink"/>
                <w:noProof/>
                <w:sz w:val="26"/>
                <w:szCs w:val="26"/>
              </w:rPr>
              <w:t>11.6.1</w:t>
            </w:r>
            <w:r w:rsidRPr="0072600F">
              <w:rPr>
                <w:rFonts w:eastAsiaTheme="minorEastAsia"/>
                <w:noProof/>
                <w:sz w:val="26"/>
                <w:szCs w:val="26"/>
              </w:rPr>
              <w:tab/>
            </w:r>
            <w:r w:rsidRPr="0072600F">
              <w:rPr>
                <w:rStyle w:val="Hyperlink"/>
                <w:noProof/>
                <w:sz w:val="26"/>
                <w:szCs w:val="26"/>
              </w:rPr>
              <w:t>Interconnection Customer Compensation for Actions During Emergency Condition.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_Toc148703395 \h </w:instrText>
            </w:r>
            <w:r w:rsidRPr="0072600F">
              <w:rPr>
                <w:noProof/>
                <w:webHidden/>
                <w:sz w:val="26"/>
                <w:szCs w:val="26"/>
              </w:rPr>
              <w:fldChar w:fldCharType="separate"/>
            </w:r>
            <w:r w:rsidR="00C46123">
              <w:rPr>
                <w:noProof/>
                <w:webHidden/>
                <w:sz w:val="26"/>
                <w:szCs w:val="26"/>
              </w:rPr>
              <w:t>- 71 -</w:t>
            </w:r>
            <w:r w:rsidRPr="0072600F">
              <w:rPr>
                <w:noProof/>
                <w:webHidden/>
                <w:sz w:val="26"/>
                <w:szCs w:val="26"/>
              </w:rPr>
              <w:fldChar w:fldCharType="end"/>
            </w:r>
          </w:hyperlink>
        </w:p>
        <w:p w:rsidR="00F3594B" w:rsidRPr="0072600F" w14:paraId="39952E2B" w14:textId="77777777">
          <w:pPr>
            <w:pStyle w:val="TOC1"/>
            <w:tabs>
              <w:tab w:val="left" w:pos="1200"/>
            </w:tabs>
            <w:rPr>
              <w:rFonts w:eastAsiaTheme="minorEastAsia"/>
              <w:sz w:val="26"/>
              <w:szCs w:val="26"/>
            </w:rPr>
          </w:pPr>
          <w:hyperlink w:anchor="_Toc148703396" w:history="1">
            <w:r w:rsidRPr="0072600F">
              <w:rPr>
                <w:rStyle w:val="Hyperlink"/>
                <w:sz w:val="26"/>
                <w:szCs w:val="26"/>
              </w:rPr>
              <w:t>Article 12.</w:t>
            </w:r>
            <w:r w:rsidRPr="0072600F">
              <w:rPr>
                <w:rFonts w:eastAsiaTheme="minorEastAsia"/>
                <w:sz w:val="26"/>
                <w:szCs w:val="26"/>
              </w:rPr>
              <w:tab/>
            </w:r>
            <w:r w:rsidRPr="0072600F">
              <w:rPr>
                <w:rStyle w:val="Hyperlink"/>
                <w:sz w:val="26"/>
                <w:szCs w:val="26"/>
              </w:rPr>
              <w:t>Invoice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_Toc148703396 \h </w:instrText>
            </w:r>
            <w:r w:rsidRPr="0072600F">
              <w:rPr>
                <w:webHidden/>
                <w:sz w:val="26"/>
                <w:szCs w:val="26"/>
              </w:rPr>
              <w:fldChar w:fldCharType="separate"/>
            </w:r>
            <w:r w:rsidR="00C46123">
              <w:rPr>
                <w:webHidden/>
                <w:sz w:val="26"/>
                <w:szCs w:val="26"/>
              </w:rPr>
              <w:t>- 71 -</w:t>
            </w:r>
            <w:r w:rsidRPr="0072600F">
              <w:rPr>
                <w:webHidden/>
                <w:sz w:val="26"/>
                <w:szCs w:val="26"/>
              </w:rPr>
              <w:fldChar w:fldCharType="end"/>
            </w:r>
          </w:hyperlink>
        </w:p>
        <w:p w:rsidR="00F3594B" w:rsidRPr="0072600F" w14:paraId="2B18E776" w14:textId="77777777">
          <w:pPr>
            <w:pStyle w:val="TOC2"/>
            <w:rPr>
              <w:rFonts w:eastAsiaTheme="minorEastAsia"/>
              <w:b/>
              <w:bCs/>
              <w:i/>
              <w:iCs/>
              <w:noProof/>
              <w:sz w:val="26"/>
              <w:szCs w:val="26"/>
            </w:rPr>
          </w:pPr>
          <w:hyperlink w:anchor="_Toc148703397" w:history="1">
            <w:r w:rsidRPr="0072600F">
              <w:rPr>
                <w:rStyle w:val="Hyperlink"/>
                <w:noProof/>
                <w:sz w:val="26"/>
                <w:szCs w:val="26"/>
              </w:rPr>
              <w:t>12.1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_Toc148703397 \h </w:instrText>
            </w:r>
            <w:r w:rsidRPr="0072600F">
              <w:rPr>
                <w:b/>
                <w:bCs/>
                <w:i/>
                <w:iCs/>
                <w:noProof/>
                <w:webHidden/>
                <w:sz w:val="26"/>
                <w:szCs w:val="26"/>
              </w:rPr>
              <w:fldChar w:fldCharType="separate"/>
            </w:r>
            <w:r w:rsidR="00C46123">
              <w:rPr>
                <w:noProof/>
                <w:webHidden/>
                <w:sz w:val="26"/>
                <w:szCs w:val="26"/>
              </w:rPr>
              <w:t>- 71 -</w:t>
            </w:r>
            <w:r w:rsidRPr="0072600F">
              <w:rPr>
                <w:b/>
                <w:bCs/>
                <w:i/>
                <w:iCs/>
                <w:noProof/>
                <w:webHidden/>
                <w:sz w:val="26"/>
                <w:szCs w:val="26"/>
              </w:rPr>
              <w:fldChar w:fldCharType="end"/>
            </w:r>
          </w:hyperlink>
        </w:p>
        <w:p w:rsidR="00F3594B" w:rsidRPr="0072600F" w14:paraId="75746A6A" w14:textId="77777777">
          <w:pPr>
            <w:pStyle w:val="TOC2"/>
            <w:rPr>
              <w:rFonts w:eastAsiaTheme="minorEastAsia"/>
              <w:b/>
              <w:bCs/>
              <w:i/>
              <w:iCs/>
              <w:noProof/>
              <w:sz w:val="26"/>
              <w:szCs w:val="26"/>
            </w:rPr>
          </w:pPr>
          <w:hyperlink w:anchor="_Toc148703398" w:history="1">
            <w:r w:rsidRPr="0072600F">
              <w:rPr>
                <w:rStyle w:val="Hyperlink"/>
                <w:noProof/>
                <w:sz w:val="26"/>
                <w:szCs w:val="26"/>
              </w:rPr>
              <w:t>12.2</w:t>
            </w:r>
            <w:r w:rsidRPr="0072600F">
              <w:rPr>
                <w:rFonts w:eastAsiaTheme="minorEastAsia"/>
                <w:noProof/>
                <w:sz w:val="26"/>
                <w:szCs w:val="26"/>
              </w:rPr>
              <w:tab/>
            </w:r>
            <w:r w:rsidRPr="0072600F">
              <w:rPr>
                <w:rStyle w:val="Hyperlink"/>
                <w:noProof/>
                <w:sz w:val="26"/>
                <w:szCs w:val="26"/>
              </w:rPr>
              <w:t>Final Invoice.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_Toc148703398 \h </w:instrText>
            </w:r>
            <w:r w:rsidRPr="0072600F">
              <w:rPr>
                <w:b/>
                <w:bCs/>
                <w:i/>
                <w:iCs/>
                <w:noProof/>
                <w:webHidden/>
                <w:sz w:val="26"/>
                <w:szCs w:val="26"/>
              </w:rPr>
              <w:fldChar w:fldCharType="separate"/>
            </w:r>
            <w:r w:rsidR="00C46123">
              <w:rPr>
                <w:noProof/>
                <w:webHidden/>
                <w:sz w:val="26"/>
                <w:szCs w:val="26"/>
              </w:rPr>
              <w:t>- 71 -</w:t>
            </w:r>
            <w:r w:rsidRPr="0072600F">
              <w:rPr>
                <w:b/>
                <w:bCs/>
                <w:i/>
                <w:iCs/>
                <w:noProof/>
                <w:webHidden/>
                <w:sz w:val="26"/>
                <w:szCs w:val="26"/>
              </w:rPr>
              <w:fldChar w:fldCharType="end"/>
            </w:r>
          </w:hyperlink>
        </w:p>
        <w:p w:rsidR="00F3594B" w:rsidRPr="0072600F" w14:paraId="0E234877" w14:textId="77777777">
          <w:pPr>
            <w:pStyle w:val="TOC2"/>
            <w:rPr>
              <w:rFonts w:eastAsiaTheme="minorEastAsia"/>
              <w:b/>
              <w:bCs/>
              <w:i/>
              <w:iCs/>
              <w:noProof/>
              <w:sz w:val="26"/>
              <w:szCs w:val="26"/>
            </w:rPr>
          </w:pPr>
          <w:hyperlink w:anchor="_Toc148703399" w:history="1">
            <w:r w:rsidRPr="0072600F">
              <w:rPr>
                <w:rStyle w:val="Hyperlink"/>
                <w:noProof/>
                <w:sz w:val="26"/>
                <w:szCs w:val="26"/>
              </w:rPr>
              <w:t>12.3</w:t>
            </w:r>
            <w:r w:rsidRPr="0072600F">
              <w:rPr>
                <w:rFonts w:eastAsiaTheme="minorEastAsia"/>
                <w:noProof/>
                <w:sz w:val="26"/>
                <w:szCs w:val="26"/>
              </w:rPr>
              <w:tab/>
            </w:r>
            <w:r w:rsidRPr="0072600F">
              <w:rPr>
                <w:rStyle w:val="Hyperlink"/>
                <w:noProof/>
                <w:sz w:val="26"/>
                <w:szCs w:val="26"/>
              </w:rPr>
              <w:t>Payment.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_Toc148703399 \h </w:instrText>
            </w:r>
            <w:r w:rsidRPr="0072600F">
              <w:rPr>
                <w:b/>
                <w:bCs/>
                <w:i/>
                <w:iCs/>
                <w:noProof/>
                <w:webHidden/>
                <w:sz w:val="26"/>
                <w:szCs w:val="26"/>
              </w:rPr>
              <w:fldChar w:fldCharType="separate"/>
            </w:r>
            <w:r w:rsidR="00C46123">
              <w:rPr>
                <w:noProof/>
                <w:webHidden/>
                <w:sz w:val="26"/>
                <w:szCs w:val="26"/>
              </w:rPr>
              <w:t>- 72 -</w:t>
            </w:r>
            <w:r w:rsidRPr="0072600F">
              <w:rPr>
                <w:b/>
                <w:bCs/>
                <w:i/>
                <w:iCs/>
                <w:noProof/>
                <w:webHidden/>
                <w:sz w:val="26"/>
                <w:szCs w:val="26"/>
              </w:rPr>
              <w:fldChar w:fldCharType="end"/>
            </w:r>
          </w:hyperlink>
        </w:p>
        <w:p w:rsidR="00F3594B" w:rsidRPr="0072600F" w14:paraId="7A9FBCB1" w14:textId="77777777">
          <w:pPr>
            <w:pStyle w:val="TOC2"/>
            <w:rPr>
              <w:rFonts w:eastAsiaTheme="minorEastAsia"/>
              <w:b/>
              <w:bCs/>
              <w:i/>
              <w:iCs/>
              <w:noProof/>
              <w:sz w:val="26"/>
              <w:szCs w:val="26"/>
            </w:rPr>
          </w:pPr>
          <w:hyperlink w:anchor="_Toc148703400" w:history="1">
            <w:r w:rsidRPr="0072600F">
              <w:rPr>
                <w:rStyle w:val="Hyperlink"/>
                <w:noProof/>
                <w:sz w:val="26"/>
                <w:szCs w:val="26"/>
              </w:rPr>
              <w:t>12.4</w:t>
            </w:r>
            <w:r w:rsidRPr="0072600F">
              <w:rPr>
                <w:rFonts w:eastAsiaTheme="minorEastAsia"/>
                <w:noProof/>
                <w:sz w:val="26"/>
                <w:szCs w:val="26"/>
              </w:rPr>
              <w:tab/>
            </w:r>
            <w:r w:rsidRPr="0072600F">
              <w:rPr>
                <w:rStyle w:val="Hyperlink"/>
                <w:noProof/>
                <w:sz w:val="26"/>
                <w:szCs w:val="26"/>
              </w:rPr>
              <w:t>Disputes.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_Toc148703400 \h </w:instrText>
            </w:r>
            <w:r w:rsidRPr="0072600F">
              <w:rPr>
                <w:b/>
                <w:bCs/>
                <w:i/>
                <w:iCs/>
                <w:noProof/>
                <w:webHidden/>
                <w:sz w:val="26"/>
                <w:szCs w:val="26"/>
              </w:rPr>
              <w:fldChar w:fldCharType="separate"/>
            </w:r>
            <w:r w:rsidR="00C46123">
              <w:rPr>
                <w:noProof/>
                <w:webHidden/>
                <w:sz w:val="26"/>
                <w:szCs w:val="26"/>
              </w:rPr>
              <w:t>- 72 -</w:t>
            </w:r>
            <w:r w:rsidRPr="0072600F">
              <w:rPr>
                <w:b/>
                <w:bCs/>
                <w:i/>
                <w:iCs/>
                <w:noProof/>
                <w:webHidden/>
                <w:sz w:val="26"/>
                <w:szCs w:val="26"/>
              </w:rPr>
              <w:fldChar w:fldCharType="end"/>
            </w:r>
          </w:hyperlink>
        </w:p>
        <w:p w:rsidR="00F3594B" w:rsidRPr="0072600F" w14:paraId="5D16CCBB" w14:textId="77777777">
          <w:pPr>
            <w:pStyle w:val="TOC1"/>
            <w:tabs>
              <w:tab w:val="left" w:pos="1200"/>
            </w:tabs>
            <w:rPr>
              <w:rFonts w:eastAsiaTheme="minorEastAsia"/>
              <w:sz w:val="26"/>
              <w:szCs w:val="26"/>
            </w:rPr>
          </w:pPr>
          <w:hyperlink w:anchor="_Toc148703401" w:history="1">
            <w:r w:rsidRPr="0072600F">
              <w:rPr>
                <w:rStyle w:val="Hyperlink"/>
                <w:sz w:val="26"/>
                <w:szCs w:val="26"/>
              </w:rPr>
              <w:t>Article 13.</w:t>
            </w:r>
            <w:r w:rsidRPr="0072600F">
              <w:rPr>
                <w:rFonts w:eastAsiaTheme="minorEastAsia"/>
                <w:sz w:val="26"/>
                <w:szCs w:val="26"/>
              </w:rPr>
              <w:tab/>
            </w:r>
            <w:r w:rsidRPr="0072600F">
              <w:rPr>
                <w:rStyle w:val="Hyperlink"/>
                <w:sz w:val="26"/>
                <w:szCs w:val="26"/>
              </w:rPr>
              <w:t>Emergencies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_Toc148703401 \h </w:instrText>
            </w:r>
            <w:r w:rsidRPr="0072600F">
              <w:rPr>
                <w:webHidden/>
                <w:sz w:val="26"/>
                <w:szCs w:val="26"/>
              </w:rPr>
              <w:fldChar w:fldCharType="separate"/>
            </w:r>
            <w:r w:rsidR="00C46123">
              <w:rPr>
                <w:webHidden/>
                <w:sz w:val="26"/>
                <w:szCs w:val="26"/>
              </w:rPr>
              <w:t>- 72 -</w:t>
            </w:r>
            <w:r w:rsidRPr="0072600F">
              <w:rPr>
                <w:webHidden/>
                <w:sz w:val="26"/>
                <w:szCs w:val="26"/>
              </w:rPr>
              <w:fldChar w:fldCharType="end"/>
            </w:r>
          </w:hyperlink>
        </w:p>
        <w:p w:rsidR="00F3594B" w:rsidRPr="0072600F" w14:paraId="4EB91AA4" w14:textId="77777777">
          <w:pPr>
            <w:pStyle w:val="TOC2"/>
            <w:rPr>
              <w:rFonts w:eastAsiaTheme="minorEastAsia"/>
              <w:b/>
              <w:bCs/>
              <w:i/>
              <w:iCs/>
              <w:noProof/>
              <w:sz w:val="26"/>
              <w:szCs w:val="26"/>
            </w:rPr>
          </w:pPr>
          <w:hyperlink w:anchor="_Toc148703402" w:history="1">
            <w:r w:rsidRPr="0072600F">
              <w:rPr>
                <w:rStyle w:val="Hyperlink"/>
                <w:noProof/>
                <w:sz w:val="26"/>
                <w:szCs w:val="26"/>
              </w:rPr>
              <w:t>13.1</w:t>
            </w:r>
            <w:r w:rsidRPr="0072600F">
              <w:rPr>
                <w:rFonts w:eastAsiaTheme="minorEastAsia"/>
                <w:noProof/>
                <w:sz w:val="26"/>
                <w:szCs w:val="26"/>
              </w:rPr>
              <w:tab/>
            </w:r>
            <w:r w:rsidRPr="0072600F">
              <w:rPr>
                <w:rStyle w:val="Hyperlink"/>
                <w:noProof/>
                <w:sz w:val="26"/>
                <w:szCs w:val="26"/>
              </w:rPr>
              <w:t>Definition.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_Toc148703402 \h </w:instrText>
            </w:r>
            <w:r w:rsidRPr="0072600F">
              <w:rPr>
                <w:b/>
                <w:bCs/>
                <w:i/>
                <w:iCs/>
                <w:noProof/>
                <w:webHidden/>
                <w:sz w:val="26"/>
                <w:szCs w:val="26"/>
              </w:rPr>
              <w:fldChar w:fldCharType="separate"/>
            </w:r>
            <w:r w:rsidR="00C46123">
              <w:rPr>
                <w:noProof/>
                <w:webHidden/>
                <w:sz w:val="26"/>
                <w:szCs w:val="26"/>
              </w:rPr>
              <w:t>- 72 -</w:t>
            </w:r>
            <w:r w:rsidRPr="0072600F">
              <w:rPr>
                <w:b/>
                <w:bCs/>
                <w:i/>
                <w:iCs/>
                <w:noProof/>
                <w:webHidden/>
                <w:sz w:val="26"/>
                <w:szCs w:val="26"/>
              </w:rPr>
              <w:fldChar w:fldCharType="end"/>
            </w:r>
          </w:hyperlink>
        </w:p>
        <w:p w:rsidR="00F3594B" w:rsidRPr="0072600F" w14:paraId="2E3FF752" w14:textId="77777777">
          <w:pPr>
            <w:pStyle w:val="TOC2"/>
            <w:rPr>
              <w:rFonts w:eastAsiaTheme="minorEastAsia"/>
              <w:b/>
              <w:bCs/>
              <w:i/>
              <w:iCs/>
              <w:noProof/>
              <w:sz w:val="26"/>
              <w:szCs w:val="26"/>
            </w:rPr>
          </w:pPr>
          <w:hyperlink w:anchor="_Toc148703403" w:history="1">
            <w:r w:rsidRPr="0072600F">
              <w:rPr>
                <w:rStyle w:val="Hyperlink"/>
                <w:noProof/>
                <w:sz w:val="26"/>
                <w:szCs w:val="26"/>
              </w:rPr>
              <w:t>13.2</w:t>
            </w:r>
            <w:r w:rsidRPr="0072600F">
              <w:rPr>
                <w:rFonts w:eastAsiaTheme="minorEastAsia"/>
                <w:noProof/>
                <w:sz w:val="26"/>
                <w:szCs w:val="26"/>
              </w:rPr>
              <w:tab/>
            </w:r>
            <w:r w:rsidRPr="0072600F">
              <w:rPr>
                <w:rStyle w:val="Hyperlink"/>
                <w:noProof/>
                <w:sz w:val="26"/>
                <w:szCs w:val="26"/>
              </w:rPr>
              <w:t>Obligations.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_Toc148703403 \h </w:instrText>
            </w:r>
            <w:r w:rsidRPr="0072600F">
              <w:rPr>
                <w:b/>
                <w:bCs/>
                <w:i/>
                <w:iCs/>
                <w:noProof/>
                <w:webHidden/>
                <w:sz w:val="26"/>
                <w:szCs w:val="26"/>
              </w:rPr>
              <w:fldChar w:fldCharType="separate"/>
            </w:r>
            <w:r w:rsidR="00C46123">
              <w:rPr>
                <w:noProof/>
                <w:webHidden/>
                <w:sz w:val="26"/>
                <w:szCs w:val="26"/>
              </w:rPr>
              <w:t>- 73 -</w:t>
            </w:r>
            <w:r w:rsidRPr="0072600F">
              <w:rPr>
                <w:b/>
                <w:bCs/>
                <w:i/>
                <w:iCs/>
                <w:noProof/>
                <w:webHidden/>
                <w:sz w:val="26"/>
                <w:szCs w:val="26"/>
              </w:rPr>
              <w:fldChar w:fldCharType="end"/>
            </w:r>
          </w:hyperlink>
        </w:p>
        <w:p w:rsidR="00F3594B" w:rsidRPr="0072600F" w14:paraId="66FFD449" w14:textId="77777777">
          <w:pPr>
            <w:pStyle w:val="TOC2"/>
            <w:rPr>
              <w:rFonts w:eastAsiaTheme="minorEastAsia"/>
              <w:b/>
              <w:bCs/>
              <w:i/>
              <w:iCs/>
              <w:noProof/>
              <w:sz w:val="26"/>
              <w:szCs w:val="26"/>
            </w:rPr>
          </w:pPr>
          <w:hyperlink w:anchor="_Toc148703404" w:history="1">
            <w:r w:rsidRPr="0072600F">
              <w:rPr>
                <w:rStyle w:val="Hyperlink"/>
                <w:noProof/>
                <w:sz w:val="26"/>
                <w:szCs w:val="26"/>
              </w:rPr>
              <w:t>13.3</w:t>
            </w:r>
            <w:r w:rsidRPr="0072600F">
              <w:rPr>
                <w:rFonts w:eastAsiaTheme="minorEastAsia"/>
                <w:noProof/>
                <w:sz w:val="26"/>
                <w:szCs w:val="26"/>
              </w:rPr>
              <w:tab/>
            </w:r>
            <w:r w:rsidRPr="0072600F">
              <w:rPr>
                <w:rStyle w:val="Hyperlink"/>
                <w:noProof/>
                <w:sz w:val="26"/>
                <w:szCs w:val="26"/>
              </w:rPr>
              <w:t>Notice.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_Toc148703404 \h </w:instrText>
            </w:r>
            <w:r w:rsidRPr="0072600F">
              <w:rPr>
                <w:b/>
                <w:bCs/>
                <w:i/>
                <w:iCs/>
                <w:noProof/>
                <w:webHidden/>
                <w:sz w:val="26"/>
                <w:szCs w:val="26"/>
              </w:rPr>
              <w:fldChar w:fldCharType="separate"/>
            </w:r>
            <w:r w:rsidR="00C46123">
              <w:rPr>
                <w:noProof/>
                <w:webHidden/>
                <w:sz w:val="26"/>
                <w:szCs w:val="26"/>
              </w:rPr>
              <w:t>- 73 -</w:t>
            </w:r>
            <w:r w:rsidRPr="0072600F">
              <w:rPr>
                <w:b/>
                <w:bCs/>
                <w:i/>
                <w:iCs/>
                <w:noProof/>
                <w:webHidden/>
                <w:sz w:val="26"/>
                <w:szCs w:val="26"/>
              </w:rPr>
              <w:fldChar w:fldCharType="end"/>
            </w:r>
          </w:hyperlink>
        </w:p>
        <w:p w:rsidR="00F3594B" w:rsidRPr="0072600F" w14:paraId="7F7FEA01" w14:textId="77777777">
          <w:pPr>
            <w:pStyle w:val="TOC2"/>
            <w:rPr>
              <w:rFonts w:eastAsiaTheme="minorEastAsia"/>
              <w:b/>
              <w:bCs/>
              <w:i/>
              <w:iCs/>
              <w:noProof/>
              <w:sz w:val="26"/>
              <w:szCs w:val="26"/>
            </w:rPr>
          </w:pPr>
          <w:hyperlink w:anchor="_Toc148703405" w:history="1">
            <w:r w:rsidRPr="0072600F">
              <w:rPr>
                <w:rStyle w:val="Hyperlink"/>
                <w:noProof/>
                <w:sz w:val="26"/>
                <w:szCs w:val="26"/>
              </w:rPr>
              <w:t>13.4</w:t>
            </w:r>
            <w:r w:rsidRPr="0072600F">
              <w:rPr>
                <w:rFonts w:eastAsiaTheme="minorEastAsia"/>
                <w:noProof/>
                <w:sz w:val="26"/>
                <w:szCs w:val="26"/>
              </w:rPr>
              <w:tab/>
            </w:r>
            <w:r w:rsidRPr="0072600F">
              <w:rPr>
                <w:rStyle w:val="Hyperlink"/>
                <w:noProof/>
                <w:sz w:val="26"/>
                <w:szCs w:val="26"/>
              </w:rPr>
              <w:t>Immediate Action.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_Toc148703405 \h </w:instrText>
            </w:r>
            <w:r w:rsidRPr="0072600F">
              <w:rPr>
                <w:b/>
                <w:bCs/>
                <w:i/>
                <w:iCs/>
                <w:noProof/>
                <w:webHidden/>
                <w:sz w:val="26"/>
                <w:szCs w:val="26"/>
              </w:rPr>
              <w:fldChar w:fldCharType="separate"/>
            </w:r>
            <w:r w:rsidR="00C46123">
              <w:rPr>
                <w:noProof/>
                <w:webHidden/>
                <w:sz w:val="26"/>
                <w:szCs w:val="26"/>
              </w:rPr>
              <w:t>- 73 -</w:t>
            </w:r>
            <w:r w:rsidRPr="0072600F">
              <w:rPr>
                <w:b/>
                <w:bCs/>
                <w:i/>
                <w:iCs/>
                <w:noProof/>
                <w:webHidden/>
                <w:sz w:val="26"/>
                <w:szCs w:val="26"/>
              </w:rPr>
              <w:fldChar w:fldCharType="end"/>
            </w:r>
          </w:hyperlink>
        </w:p>
        <w:p w:rsidR="00F3594B" w:rsidRPr="0072600F" w14:paraId="6941215F" w14:textId="77777777">
          <w:pPr>
            <w:pStyle w:val="TOC2"/>
            <w:rPr>
              <w:rFonts w:eastAsiaTheme="minorEastAsia"/>
              <w:b/>
              <w:bCs/>
              <w:i/>
              <w:iCs/>
              <w:noProof/>
              <w:sz w:val="26"/>
              <w:szCs w:val="26"/>
            </w:rPr>
          </w:pPr>
          <w:hyperlink w:anchor="_Toc148703406" w:history="1">
            <w:r w:rsidRPr="0072600F">
              <w:rPr>
                <w:rStyle w:val="Hyperlink"/>
                <w:noProof/>
                <w:sz w:val="26"/>
                <w:szCs w:val="26"/>
              </w:rPr>
              <w:t>13.5</w:t>
            </w:r>
            <w:r w:rsidRPr="0072600F">
              <w:rPr>
                <w:rFonts w:eastAsiaTheme="minorEastAsia"/>
                <w:noProof/>
                <w:sz w:val="26"/>
                <w:szCs w:val="26"/>
              </w:rPr>
              <w:tab/>
            </w:r>
            <w:r w:rsidRPr="0072600F">
              <w:rPr>
                <w:rStyle w:val="Hyperlink"/>
                <w:noProof/>
                <w:sz w:val="26"/>
                <w:szCs w:val="26"/>
              </w:rPr>
              <w:t>Transmission Provider Authority.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_Toc148703406 \h </w:instrText>
            </w:r>
            <w:r w:rsidRPr="0072600F">
              <w:rPr>
                <w:b/>
                <w:bCs/>
                <w:i/>
                <w:iCs/>
                <w:noProof/>
                <w:webHidden/>
                <w:sz w:val="26"/>
                <w:szCs w:val="26"/>
              </w:rPr>
              <w:fldChar w:fldCharType="separate"/>
            </w:r>
            <w:r w:rsidR="00C46123">
              <w:rPr>
                <w:noProof/>
                <w:webHidden/>
                <w:sz w:val="26"/>
                <w:szCs w:val="26"/>
              </w:rPr>
              <w:t>- 74 -</w:t>
            </w:r>
            <w:r w:rsidRPr="0072600F">
              <w:rPr>
                <w:b/>
                <w:bCs/>
                <w:i/>
                <w:iCs/>
                <w:noProof/>
                <w:webHidden/>
                <w:sz w:val="26"/>
                <w:szCs w:val="26"/>
              </w:rPr>
              <w:fldChar w:fldCharType="end"/>
            </w:r>
          </w:hyperlink>
        </w:p>
        <w:p w:rsidR="00F3594B" w:rsidRPr="0072600F" w14:paraId="02AA20D8" w14:textId="77777777">
          <w:pPr>
            <w:pStyle w:val="TOC3"/>
            <w:tabs>
              <w:tab w:val="left" w:pos="1200"/>
              <w:tab w:val="right" w:leader="dot" w:pos="9350"/>
            </w:tabs>
            <w:rPr>
              <w:rFonts w:eastAsiaTheme="minorEastAsia"/>
              <w:noProof/>
              <w:sz w:val="26"/>
              <w:szCs w:val="26"/>
            </w:rPr>
          </w:pPr>
          <w:hyperlink w:anchor="_Toc148703407" w:history="1">
            <w:r w:rsidRPr="0072600F">
              <w:rPr>
                <w:rStyle w:val="Hyperlink"/>
                <w:noProof/>
                <w:sz w:val="26"/>
                <w:szCs w:val="26"/>
              </w:rPr>
              <w:t>13.5.1</w:t>
            </w:r>
            <w:r w:rsidRPr="0072600F">
              <w:rPr>
                <w:rFonts w:eastAsiaTheme="minorEastAsia"/>
                <w:noProof/>
                <w:sz w:val="26"/>
                <w:szCs w:val="26"/>
              </w:rPr>
              <w:tab/>
            </w:r>
            <w:r w:rsidRPr="0072600F">
              <w:rPr>
                <w:rStyle w:val="Hyperlink"/>
                <w:noProof/>
                <w:sz w:val="26"/>
                <w:szCs w:val="26"/>
              </w:rPr>
              <w:t xml:space="preserve"> General.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_Toc148703407 \h </w:instrText>
            </w:r>
            <w:r w:rsidRPr="0072600F">
              <w:rPr>
                <w:noProof/>
                <w:webHidden/>
                <w:sz w:val="26"/>
                <w:szCs w:val="26"/>
              </w:rPr>
              <w:fldChar w:fldCharType="separate"/>
            </w:r>
            <w:r w:rsidR="00C46123">
              <w:rPr>
                <w:noProof/>
                <w:webHidden/>
                <w:sz w:val="26"/>
                <w:szCs w:val="26"/>
              </w:rPr>
              <w:t>- 74 -</w:t>
            </w:r>
            <w:r w:rsidRPr="0072600F">
              <w:rPr>
                <w:noProof/>
                <w:webHidden/>
                <w:sz w:val="26"/>
                <w:szCs w:val="26"/>
              </w:rPr>
              <w:fldChar w:fldCharType="end"/>
            </w:r>
          </w:hyperlink>
        </w:p>
        <w:p w:rsidR="00F3594B" w:rsidRPr="0072600F" w14:paraId="53BA9E16" w14:textId="77777777">
          <w:pPr>
            <w:pStyle w:val="TOC3"/>
            <w:tabs>
              <w:tab w:val="left" w:pos="1200"/>
              <w:tab w:val="right" w:leader="dot" w:pos="9350"/>
            </w:tabs>
            <w:rPr>
              <w:rFonts w:eastAsiaTheme="minorEastAsia"/>
              <w:noProof/>
              <w:sz w:val="26"/>
              <w:szCs w:val="26"/>
            </w:rPr>
          </w:pPr>
          <w:hyperlink w:anchor="_Toc148703408" w:history="1">
            <w:r w:rsidRPr="0072600F">
              <w:rPr>
                <w:rStyle w:val="Hyperlink"/>
                <w:noProof/>
                <w:sz w:val="26"/>
                <w:szCs w:val="26"/>
              </w:rPr>
              <w:t>13.5.2</w:t>
            </w:r>
            <w:r w:rsidRPr="0072600F">
              <w:rPr>
                <w:rFonts w:eastAsiaTheme="minorEastAsia"/>
                <w:noProof/>
                <w:sz w:val="26"/>
                <w:szCs w:val="26"/>
              </w:rPr>
              <w:tab/>
            </w:r>
            <w:r w:rsidRPr="0072600F">
              <w:rPr>
                <w:rStyle w:val="Hyperlink"/>
                <w:noProof/>
                <w:sz w:val="26"/>
                <w:szCs w:val="26"/>
              </w:rPr>
              <w:t xml:space="preserve"> Reduction and Disconnection.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_Toc148703408 \h </w:instrText>
            </w:r>
            <w:r w:rsidRPr="0072600F">
              <w:rPr>
                <w:noProof/>
                <w:webHidden/>
                <w:sz w:val="26"/>
                <w:szCs w:val="26"/>
              </w:rPr>
              <w:fldChar w:fldCharType="separate"/>
            </w:r>
            <w:r w:rsidR="00C46123">
              <w:rPr>
                <w:noProof/>
                <w:webHidden/>
                <w:sz w:val="26"/>
                <w:szCs w:val="26"/>
              </w:rPr>
              <w:t>- 75 -</w:t>
            </w:r>
            <w:r w:rsidRPr="0072600F">
              <w:rPr>
                <w:noProof/>
                <w:webHidden/>
                <w:sz w:val="26"/>
                <w:szCs w:val="26"/>
              </w:rPr>
              <w:fldChar w:fldCharType="end"/>
            </w:r>
          </w:hyperlink>
        </w:p>
        <w:p w:rsidR="00F3594B" w:rsidRPr="0072600F" w14:paraId="394FA4DC" w14:textId="77777777">
          <w:pPr>
            <w:pStyle w:val="TOC2"/>
            <w:rPr>
              <w:rFonts w:eastAsiaTheme="minorEastAsia"/>
              <w:b/>
              <w:bCs/>
              <w:i/>
              <w:iCs/>
              <w:noProof/>
              <w:sz w:val="26"/>
              <w:szCs w:val="26"/>
            </w:rPr>
          </w:pPr>
          <w:hyperlink w:anchor="_Toc148703409" w:history="1">
            <w:r w:rsidRPr="0072600F">
              <w:rPr>
                <w:rStyle w:val="Hyperlink"/>
                <w:noProof/>
                <w:sz w:val="26"/>
                <w:szCs w:val="26"/>
              </w:rPr>
              <w:t>13.6</w:t>
            </w:r>
            <w:r w:rsidRPr="0072600F">
              <w:rPr>
                <w:rFonts w:eastAsiaTheme="minorEastAsia"/>
                <w:noProof/>
                <w:sz w:val="26"/>
                <w:szCs w:val="26"/>
              </w:rPr>
              <w:tab/>
            </w:r>
            <w:r w:rsidRPr="0072600F">
              <w:rPr>
                <w:rStyle w:val="Hyperlink"/>
                <w:noProof/>
                <w:sz w:val="26"/>
                <w:szCs w:val="26"/>
              </w:rPr>
              <w:t>Interconnection Customer Authority.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_Toc148703409 \h </w:instrText>
            </w:r>
            <w:r w:rsidRPr="0072600F">
              <w:rPr>
                <w:b/>
                <w:bCs/>
                <w:i/>
                <w:iCs/>
                <w:noProof/>
                <w:webHidden/>
                <w:sz w:val="26"/>
                <w:szCs w:val="26"/>
              </w:rPr>
              <w:fldChar w:fldCharType="separate"/>
            </w:r>
            <w:r w:rsidR="00C46123">
              <w:rPr>
                <w:noProof/>
                <w:webHidden/>
                <w:sz w:val="26"/>
                <w:szCs w:val="26"/>
              </w:rPr>
              <w:t>- 75 -</w:t>
            </w:r>
            <w:r w:rsidRPr="0072600F">
              <w:rPr>
                <w:b/>
                <w:bCs/>
                <w:i/>
                <w:iCs/>
                <w:noProof/>
                <w:webHidden/>
                <w:sz w:val="26"/>
                <w:szCs w:val="26"/>
              </w:rPr>
              <w:fldChar w:fldCharType="end"/>
            </w:r>
          </w:hyperlink>
        </w:p>
        <w:p w:rsidR="00F3594B" w:rsidRPr="0072600F" w14:paraId="3F7467DC" w14:textId="77777777">
          <w:pPr>
            <w:pStyle w:val="TOC2"/>
            <w:rPr>
              <w:rFonts w:eastAsiaTheme="minorEastAsia"/>
              <w:b/>
              <w:bCs/>
              <w:i/>
              <w:iCs/>
              <w:noProof/>
              <w:sz w:val="26"/>
              <w:szCs w:val="26"/>
            </w:rPr>
          </w:pPr>
          <w:hyperlink w:anchor="_Toc148703410" w:history="1">
            <w:r w:rsidRPr="0072600F">
              <w:rPr>
                <w:rStyle w:val="Hyperlink"/>
                <w:noProof/>
                <w:sz w:val="26"/>
                <w:szCs w:val="26"/>
              </w:rPr>
              <w:t>13.7</w:t>
            </w:r>
            <w:r w:rsidRPr="0072600F">
              <w:rPr>
                <w:rFonts w:eastAsiaTheme="minorEastAsia"/>
                <w:noProof/>
                <w:sz w:val="26"/>
                <w:szCs w:val="26"/>
              </w:rPr>
              <w:tab/>
            </w:r>
            <w:r w:rsidRPr="0072600F">
              <w:rPr>
                <w:rStyle w:val="Hyperlink"/>
                <w:noProof/>
                <w:sz w:val="26"/>
                <w:szCs w:val="26"/>
              </w:rPr>
              <w:t>Limited Liability.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_Toc148703410 \h </w:instrText>
            </w:r>
            <w:r w:rsidRPr="0072600F">
              <w:rPr>
                <w:b/>
                <w:bCs/>
                <w:i/>
                <w:iCs/>
                <w:noProof/>
                <w:webHidden/>
                <w:sz w:val="26"/>
                <w:szCs w:val="26"/>
              </w:rPr>
              <w:fldChar w:fldCharType="separate"/>
            </w:r>
            <w:r w:rsidR="00C46123">
              <w:rPr>
                <w:noProof/>
                <w:webHidden/>
                <w:sz w:val="26"/>
                <w:szCs w:val="26"/>
              </w:rPr>
              <w:t>- 75 -</w:t>
            </w:r>
            <w:r w:rsidRPr="0072600F">
              <w:rPr>
                <w:b/>
                <w:bCs/>
                <w:i/>
                <w:iCs/>
                <w:noProof/>
                <w:webHidden/>
                <w:sz w:val="26"/>
                <w:szCs w:val="26"/>
              </w:rPr>
              <w:fldChar w:fldCharType="end"/>
            </w:r>
          </w:hyperlink>
        </w:p>
        <w:p w:rsidR="00F3594B" w:rsidRPr="0072600F" w14:paraId="6FC137E3" w14:textId="77777777">
          <w:pPr>
            <w:pStyle w:val="TOC1"/>
            <w:tabs>
              <w:tab w:val="left" w:pos="1200"/>
            </w:tabs>
            <w:rPr>
              <w:rFonts w:eastAsiaTheme="minorEastAsia"/>
              <w:sz w:val="26"/>
              <w:szCs w:val="26"/>
            </w:rPr>
          </w:pPr>
          <w:hyperlink w:anchor="_Toc148703411" w:history="1">
            <w:r w:rsidRPr="0072600F">
              <w:rPr>
                <w:rStyle w:val="Hyperlink"/>
                <w:sz w:val="26"/>
                <w:szCs w:val="26"/>
              </w:rPr>
              <w:t>Article 14.</w:t>
            </w:r>
            <w:r w:rsidRPr="0072600F">
              <w:rPr>
                <w:rFonts w:eastAsiaTheme="minorEastAsia"/>
                <w:sz w:val="26"/>
                <w:szCs w:val="26"/>
              </w:rPr>
              <w:tab/>
            </w:r>
            <w:r w:rsidRPr="0072600F">
              <w:rPr>
                <w:rStyle w:val="Hyperlink"/>
                <w:sz w:val="26"/>
                <w:szCs w:val="26"/>
              </w:rPr>
              <w:t>Regulatory Requirements and Governing Law</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_Toc148703411 \h </w:instrText>
            </w:r>
            <w:r w:rsidRPr="0072600F">
              <w:rPr>
                <w:webHidden/>
                <w:sz w:val="26"/>
                <w:szCs w:val="26"/>
              </w:rPr>
              <w:fldChar w:fldCharType="separate"/>
            </w:r>
            <w:r w:rsidR="00C46123">
              <w:rPr>
                <w:webHidden/>
                <w:sz w:val="26"/>
                <w:szCs w:val="26"/>
              </w:rPr>
              <w:t>- 76 -</w:t>
            </w:r>
            <w:r w:rsidRPr="0072600F">
              <w:rPr>
                <w:webHidden/>
                <w:sz w:val="26"/>
                <w:szCs w:val="26"/>
              </w:rPr>
              <w:fldChar w:fldCharType="end"/>
            </w:r>
          </w:hyperlink>
        </w:p>
        <w:p w:rsidR="00F3594B" w:rsidRPr="0072600F" w14:paraId="6289FEEB" w14:textId="77777777">
          <w:pPr>
            <w:pStyle w:val="TOC2"/>
            <w:rPr>
              <w:rFonts w:eastAsiaTheme="minorEastAsia"/>
              <w:b/>
              <w:bCs/>
              <w:i/>
              <w:iCs/>
              <w:noProof/>
              <w:sz w:val="26"/>
              <w:szCs w:val="26"/>
            </w:rPr>
          </w:pPr>
          <w:hyperlink w:anchor="_Toc148703412" w:history="1">
            <w:r w:rsidRPr="0072600F">
              <w:rPr>
                <w:rStyle w:val="Hyperlink"/>
                <w:noProof/>
                <w:sz w:val="26"/>
                <w:szCs w:val="26"/>
              </w:rPr>
              <w:t>14.1</w:t>
            </w:r>
            <w:r w:rsidRPr="0072600F">
              <w:rPr>
                <w:rFonts w:eastAsiaTheme="minorEastAsia"/>
                <w:noProof/>
                <w:sz w:val="26"/>
                <w:szCs w:val="26"/>
              </w:rPr>
              <w:tab/>
            </w:r>
            <w:r w:rsidRPr="0072600F">
              <w:rPr>
                <w:rStyle w:val="Hyperlink"/>
                <w:noProof/>
                <w:sz w:val="26"/>
                <w:szCs w:val="26"/>
              </w:rPr>
              <w:t>Regulatory Requirements.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_Toc148703412 \h </w:instrText>
            </w:r>
            <w:r w:rsidRPr="0072600F">
              <w:rPr>
                <w:b/>
                <w:bCs/>
                <w:i/>
                <w:iCs/>
                <w:noProof/>
                <w:webHidden/>
                <w:sz w:val="26"/>
                <w:szCs w:val="26"/>
              </w:rPr>
              <w:fldChar w:fldCharType="separate"/>
            </w:r>
            <w:r w:rsidR="00C46123">
              <w:rPr>
                <w:noProof/>
                <w:webHidden/>
                <w:sz w:val="26"/>
                <w:szCs w:val="26"/>
              </w:rPr>
              <w:t>- 76 -</w:t>
            </w:r>
            <w:r w:rsidRPr="0072600F">
              <w:rPr>
                <w:b/>
                <w:bCs/>
                <w:i/>
                <w:iCs/>
                <w:noProof/>
                <w:webHidden/>
                <w:sz w:val="26"/>
                <w:szCs w:val="26"/>
              </w:rPr>
              <w:fldChar w:fldCharType="end"/>
            </w:r>
          </w:hyperlink>
        </w:p>
        <w:p w:rsidR="00F3594B" w:rsidRPr="0072600F" w14:paraId="63055629" w14:textId="77777777">
          <w:pPr>
            <w:pStyle w:val="TOC2"/>
            <w:rPr>
              <w:rFonts w:eastAsiaTheme="minorEastAsia"/>
              <w:b/>
              <w:bCs/>
              <w:i/>
              <w:iCs/>
              <w:noProof/>
              <w:sz w:val="26"/>
              <w:szCs w:val="26"/>
            </w:rPr>
          </w:pPr>
          <w:hyperlink w:anchor="_Toc148703413" w:history="1">
            <w:r w:rsidRPr="0072600F">
              <w:rPr>
                <w:rStyle w:val="Hyperlink"/>
                <w:noProof/>
                <w:sz w:val="26"/>
                <w:szCs w:val="26"/>
              </w:rPr>
              <w:t>14.2</w:t>
            </w:r>
            <w:r w:rsidRPr="0072600F">
              <w:rPr>
                <w:rFonts w:eastAsiaTheme="minorEastAsia"/>
                <w:noProof/>
                <w:sz w:val="26"/>
                <w:szCs w:val="26"/>
              </w:rPr>
              <w:tab/>
            </w:r>
            <w:r w:rsidRPr="0072600F">
              <w:rPr>
                <w:rStyle w:val="Hyperlink"/>
                <w:noProof/>
                <w:sz w:val="26"/>
                <w:szCs w:val="26"/>
              </w:rPr>
              <w:t>Governing Law.</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_Toc148703413 \h </w:instrText>
            </w:r>
            <w:r w:rsidRPr="0072600F">
              <w:rPr>
                <w:b/>
                <w:bCs/>
                <w:i/>
                <w:iCs/>
                <w:noProof/>
                <w:webHidden/>
                <w:sz w:val="26"/>
                <w:szCs w:val="26"/>
              </w:rPr>
              <w:fldChar w:fldCharType="separate"/>
            </w:r>
            <w:r w:rsidR="00C46123">
              <w:rPr>
                <w:noProof/>
                <w:webHidden/>
                <w:sz w:val="26"/>
                <w:szCs w:val="26"/>
              </w:rPr>
              <w:t>- 76 -</w:t>
            </w:r>
            <w:r w:rsidRPr="0072600F">
              <w:rPr>
                <w:b/>
                <w:bCs/>
                <w:i/>
                <w:iCs/>
                <w:noProof/>
                <w:webHidden/>
                <w:sz w:val="26"/>
                <w:szCs w:val="26"/>
              </w:rPr>
              <w:fldChar w:fldCharType="end"/>
            </w:r>
          </w:hyperlink>
        </w:p>
        <w:p w:rsidR="00F3594B" w:rsidRPr="0072600F" w14:paraId="5EC74619" w14:textId="77777777">
          <w:pPr>
            <w:pStyle w:val="TOC1"/>
            <w:tabs>
              <w:tab w:val="left" w:pos="1200"/>
            </w:tabs>
            <w:rPr>
              <w:rFonts w:eastAsiaTheme="minorEastAsia"/>
              <w:sz w:val="26"/>
              <w:szCs w:val="26"/>
            </w:rPr>
          </w:pPr>
          <w:hyperlink w:anchor="_Toc148703414" w:history="1">
            <w:r w:rsidRPr="0072600F">
              <w:rPr>
                <w:rStyle w:val="Hyperlink"/>
                <w:sz w:val="26"/>
                <w:szCs w:val="26"/>
              </w:rPr>
              <w:t>Article 15.</w:t>
            </w:r>
            <w:r w:rsidRPr="0072600F">
              <w:rPr>
                <w:rFonts w:eastAsiaTheme="minorEastAsia"/>
                <w:sz w:val="26"/>
                <w:szCs w:val="26"/>
              </w:rPr>
              <w:tab/>
            </w:r>
            <w:r w:rsidRPr="0072600F">
              <w:rPr>
                <w:rStyle w:val="Hyperlink"/>
                <w:sz w:val="26"/>
                <w:szCs w:val="26"/>
              </w:rPr>
              <w:t>Notices.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_Toc148703414 \h </w:instrText>
            </w:r>
            <w:r w:rsidRPr="0072600F">
              <w:rPr>
                <w:webHidden/>
                <w:sz w:val="26"/>
                <w:szCs w:val="26"/>
              </w:rPr>
              <w:fldChar w:fldCharType="separate"/>
            </w:r>
            <w:r w:rsidR="00C46123">
              <w:rPr>
                <w:webHidden/>
                <w:sz w:val="26"/>
                <w:szCs w:val="26"/>
              </w:rPr>
              <w:t>- 77 -</w:t>
            </w:r>
            <w:r w:rsidRPr="0072600F">
              <w:rPr>
                <w:webHidden/>
                <w:sz w:val="26"/>
                <w:szCs w:val="26"/>
              </w:rPr>
              <w:fldChar w:fldCharType="end"/>
            </w:r>
          </w:hyperlink>
        </w:p>
        <w:p w:rsidR="00F3594B" w:rsidRPr="0072600F" w14:paraId="1DD919CE" w14:textId="77777777">
          <w:pPr>
            <w:pStyle w:val="TOC2"/>
            <w:rPr>
              <w:rFonts w:eastAsiaTheme="minorEastAsia"/>
              <w:b/>
              <w:bCs/>
              <w:i/>
              <w:iCs/>
              <w:noProof/>
              <w:sz w:val="26"/>
              <w:szCs w:val="26"/>
            </w:rPr>
          </w:pPr>
          <w:hyperlink w:anchor="_Toc148703415" w:history="1">
            <w:r w:rsidRPr="0072600F">
              <w:rPr>
                <w:rStyle w:val="Hyperlink"/>
                <w:noProof/>
                <w:sz w:val="26"/>
                <w:szCs w:val="26"/>
              </w:rPr>
              <w:t>15.1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_Toc148703415 \h </w:instrText>
            </w:r>
            <w:r w:rsidRPr="0072600F">
              <w:rPr>
                <w:b/>
                <w:bCs/>
                <w:i/>
                <w:iCs/>
                <w:noProof/>
                <w:webHidden/>
                <w:sz w:val="26"/>
                <w:szCs w:val="26"/>
              </w:rPr>
              <w:fldChar w:fldCharType="separate"/>
            </w:r>
            <w:r w:rsidR="00C46123">
              <w:rPr>
                <w:noProof/>
                <w:webHidden/>
                <w:sz w:val="26"/>
                <w:szCs w:val="26"/>
              </w:rPr>
              <w:t>- 77 -</w:t>
            </w:r>
            <w:r w:rsidRPr="0072600F">
              <w:rPr>
                <w:b/>
                <w:bCs/>
                <w:i/>
                <w:iCs/>
                <w:noProof/>
                <w:webHidden/>
                <w:sz w:val="26"/>
                <w:szCs w:val="26"/>
              </w:rPr>
              <w:fldChar w:fldCharType="end"/>
            </w:r>
          </w:hyperlink>
        </w:p>
        <w:p w:rsidR="00F3594B" w:rsidRPr="0072600F" w14:paraId="2CBFBCD1" w14:textId="77777777">
          <w:pPr>
            <w:pStyle w:val="TOC2"/>
            <w:rPr>
              <w:rFonts w:eastAsiaTheme="minorEastAsia"/>
              <w:b/>
              <w:bCs/>
              <w:i/>
              <w:iCs/>
              <w:noProof/>
              <w:sz w:val="26"/>
              <w:szCs w:val="26"/>
            </w:rPr>
          </w:pPr>
          <w:hyperlink w:anchor="_Toc148703416" w:history="1">
            <w:r w:rsidRPr="0072600F">
              <w:rPr>
                <w:rStyle w:val="Hyperlink"/>
                <w:noProof/>
                <w:sz w:val="26"/>
                <w:szCs w:val="26"/>
              </w:rPr>
              <w:t>15.2</w:t>
            </w:r>
            <w:r w:rsidRPr="0072600F">
              <w:rPr>
                <w:rFonts w:eastAsiaTheme="minorEastAsia"/>
                <w:noProof/>
                <w:sz w:val="26"/>
                <w:szCs w:val="26"/>
              </w:rPr>
              <w:tab/>
            </w:r>
            <w:r w:rsidRPr="0072600F">
              <w:rPr>
                <w:rStyle w:val="Hyperlink"/>
                <w:noProof/>
                <w:sz w:val="26"/>
                <w:szCs w:val="26"/>
              </w:rPr>
              <w:t>Billings and Payments.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_Toc148703416 \h </w:instrText>
            </w:r>
            <w:r w:rsidRPr="0072600F">
              <w:rPr>
                <w:b/>
                <w:bCs/>
                <w:i/>
                <w:iCs/>
                <w:noProof/>
                <w:webHidden/>
                <w:sz w:val="26"/>
                <w:szCs w:val="26"/>
              </w:rPr>
              <w:fldChar w:fldCharType="separate"/>
            </w:r>
            <w:r w:rsidR="00C46123">
              <w:rPr>
                <w:noProof/>
                <w:webHidden/>
                <w:sz w:val="26"/>
                <w:szCs w:val="26"/>
              </w:rPr>
              <w:t>- 77 -</w:t>
            </w:r>
            <w:r w:rsidRPr="0072600F">
              <w:rPr>
                <w:b/>
                <w:bCs/>
                <w:i/>
                <w:iCs/>
                <w:noProof/>
                <w:webHidden/>
                <w:sz w:val="26"/>
                <w:szCs w:val="26"/>
              </w:rPr>
              <w:fldChar w:fldCharType="end"/>
            </w:r>
          </w:hyperlink>
        </w:p>
        <w:p w:rsidR="00F3594B" w:rsidRPr="0072600F" w14:paraId="52BB749E" w14:textId="77777777">
          <w:pPr>
            <w:pStyle w:val="TOC2"/>
            <w:rPr>
              <w:rFonts w:eastAsiaTheme="minorEastAsia"/>
              <w:b/>
              <w:bCs/>
              <w:i/>
              <w:iCs/>
              <w:noProof/>
              <w:sz w:val="26"/>
              <w:szCs w:val="26"/>
            </w:rPr>
          </w:pPr>
          <w:hyperlink w:anchor="_Toc148703417" w:history="1">
            <w:r w:rsidRPr="0072600F">
              <w:rPr>
                <w:rStyle w:val="Hyperlink"/>
                <w:noProof/>
                <w:sz w:val="26"/>
                <w:szCs w:val="26"/>
              </w:rPr>
              <w:t>15.3</w:t>
            </w:r>
            <w:r w:rsidRPr="0072600F">
              <w:rPr>
                <w:rFonts w:eastAsiaTheme="minorEastAsia"/>
                <w:noProof/>
                <w:sz w:val="26"/>
                <w:szCs w:val="26"/>
              </w:rPr>
              <w:tab/>
            </w:r>
            <w:r w:rsidRPr="0072600F">
              <w:rPr>
                <w:rStyle w:val="Hyperlink"/>
                <w:noProof/>
                <w:sz w:val="26"/>
                <w:szCs w:val="26"/>
              </w:rPr>
              <w:t>Alternative Forms of Notice.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_Toc148703417 \h </w:instrText>
            </w:r>
            <w:r w:rsidRPr="0072600F">
              <w:rPr>
                <w:b/>
                <w:bCs/>
                <w:i/>
                <w:iCs/>
                <w:noProof/>
                <w:webHidden/>
                <w:sz w:val="26"/>
                <w:szCs w:val="26"/>
              </w:rPr>
              <w:fldChar w:fldCharType="separate"/>
            </w:r>
            <w:r w:rsidR="00C46123">
              <w:rPr>
                <w:noProof/>
                <w:webHidden/>
                <w:sz w:val="26"/>
                <w:szCs w:val="26"/>
              </w:rPr>
              <w:t>- 77 -</w:t>
            </w:r>
            <w:r w:rsidRPr="0072600F">
              <w:rPr>
                <w:b/>
                <w:bCs/>
                <w:i/>
                <w:iCs/>
                <w:noProof/>
                <w:webHidden/>
                <w:sz w:val="26"/>
                <w:szCs w:val="26"/>
              </w:rPr>
              <w:fldChar w:fldCharType="end"/>
            </w:r>
          </w:hyperlink>
        </w:p>
        <w:p w:rsidR="00F3594B" w:rsidRPr="0072600F" w14:paraId="7C75B14E" w14:textId="77777777">
          <w:pPr>
            <w:pStyle w:val="TOC2"/>
            <w:rPr>
              <w:rFonts w:eastAsiaTheme="minorEastAsia"/>
              <w:b/>
              <w:bCs/>
              <w:i/>
              <w:iCs/>
              <w:noProof/>
              <w:sz w:val="26"/>
              <w:szCs w:val="26"/>
            </w:rPr>
          </w:pPr>
          <w:hyperlink w:anchor="_Toc148703418" w:history="1">
            <w:r w:rsidRPr="0072600F">
              <w:rPr>
                <w:rStyle w:val="Hyperlink"/>
                <w:noProof/>
                <w:sz w:val="26"/>
                <w:szCs w:val="26"/>
              </w:rPr>
              <w:t>15.4</w:t>
            </w:r>
            <w:r w:rsidRPr="0072600F">
              <w:rPr>
                <w:rFonts w:eastAsiaTheme="minorEastAsia"/>
                <w:noProof/>
                <w:sz w:val="26"/>
                <w:szCs w:val="26"/>
              </w:rPr>
              <w:tab/>
            </w:r>
            <w:r w:rsidRPr="0072600F">
              <w:rPr>
                <w:rStyle w:val="Hyperlink"/>
                <w:noProof/>
                <w:sz w:val="26"/>
                <w:szCs w:val="26"/>
              </w:rPr>
              <w:t>Operations and Maintenance Notice.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_Toc148703418 \h </w:instrText>
            </w:r>
            <w:r w:rsidRPr="0072600F">
              <w:rPr>
                <w:b/>
                <w:bCs/>
                <w:i/>
                <w:iCs/>
                <w:noProof/>
                <w:webHidden/>
                <w:sz w:val="26"/>
                <w:szCs w:val="26"/>
              </w:rPr>
              <w:fldChar w:fldCharType="separate"/>
            </w:r>
            <w:r w:rsidR="00C46123">
              <w:rPr>
                <w:noProof/>
                <w:webHidden/>
                <w:sz w:val="26"/>
                <w:szCs w:val="26"/>
              </w:rPr>
              <w:t>- 77 -</w:t>
            </w:r>
            <w:r w:rsidRPr="0072600F">
              <w:rPr>
                <w:b/>
                <w:bCs/>
                <w:i/>
                <w:iCs/>
                <w:noProof/>
                <w:webHidden/>
                <w:sz w:val="26"/>
                <w:szCs w:val="26"/>
              </w:rPr>
              <w:fldChar w:fldCharType="end"/>
            </w:r>
          </w:hyperlink>
        </w:p>
        <w:p w:rsidR="00F3594B" w:rsidRPr="0072600F" w14:paraId="4A1FEA5B" w14:textId="77777777">
          <w:pPr>
            <w:pStyle w:val="TOC1"/>
            <w:tabs>
              <w:tab w:val="left" w:pos="1200"/>
            </w:tabs>
            <w:rPr>
              <w:rFonts w:eastAsiaTheme="minorEastAsia"/>
              <w:sz w:val="26"/>
              <w:szCs w:val="26"/>
            </w:rPr>
          </w:pPr>
          <w:hyperlink w:anchor="_Toc148703419" w:history="1">
            <w:r w:rsidRPr="0072600F">
              <w:rPr>
                <w:rStyle w:val="Hyperlink"/>
                <w:sz w:val="26"/>
                <w:szCs w:val="26"/>
              </w:rPr>
              <w:t>Article 16.</w:t>
            </w:r>
            <w:r w:rsidRPr="0072600F">
              <w:rPr>
                <w:rFonts w:eastAsiaTheme="minorEastAsia"/>
                <w:sz w:val="26"/>
                <w:szCs w:val="26"/>
              </w:rPr>
              <w:tab/>
            </w:r>
            <w:r w:rsidRPr="0072600F">
              <w:rPr>
                <w:rStyle w:val="Hyperlink"/>
                <w:sz w:val="26"/>
                <w:szCs w:val="26"/>
              </w:rPr>
              <w:t>Force Majeure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_Toc148703419 \h </w:instrText>
            </w:r>
            <w:r w:rsidRPr="0072600F">
              <w:rPr>
                <w:webHidden/>
                <w:sz w:val="26"/>
                <w:szCs w:val="26"/>
              </w:rPr>
              <w:fldChar w:fldCharType="separate"/>
            </w:r>
            <w:r w:rsidR="00C46123">
              <w:rPr>
                <w:webHidden/>
                <w:sz w:val="26"/>
                <w:szCs w:val="26"/>
              </w:rPr>
              <w:t>- 77 -</w:t>
            </w:r>
            <w:r w:rsidRPr="0072600F">
              <w:rPr>
                <w:webHidden/>
                <w:sz w:val="26"/>
                <w:szCs w:val="26"/>
              </w:rPr>
              <w:fldChar w:fldCharType="end"/>
            </w:r>
          </w:hyperlink>
        </w:p>
        <w:p w:rsidR="00F3594B" w:rsidRPr="0072600F" w14:paraId="456E89FD" w14:textId="77777777">
          <w:pPr>
            <w:pStyle w:val="TOC2"/>
            <w:rPr>
              <w:rFonts w:eastAsiaTheme="minorEastAsia"/>
              <w:b/>
              <w:bCs/>
              <w:i/>
              <w:iCs/>
              <w:noProof/>
              <w:sz w:val="26"/>
              <w:szCs w:val="26"/>
            </w:rPr>
          </w:pPr>
          <w:hyperlink w:anchor="_Toc148703420" w:history="1">
            <w:r w:rsidRPr="0072600F">
              <w:rPr>
                <w:rStyle w:val="Hyperlink"/>
                <w:noProof/>
                <w:sz w:val="26"/>
                <w:szCs w:val="26"/>
              </w:rPr>
              <w:t>16.1</w:t>
            </w:r>
            <w:r w:rsidRPr="0072600F">
              <w:rPr>
                <w:rFonts w:eastAsiaTheme="minorEastAsia"/>
                <w:noProof/>
                <w:sz w:val="26"/>
                <w:szCs w:val="26"/>
              </w:rPr>
              <w:tab/>
            </w:r>
            <w:r w:rsidRPr="0072600F">
              <w:rPr>
                <w:rStyle w:val="Hyperlink"/>
                <w:noProof/>
                <w:sz w:val="26"/>
                <w:szCs w:val="26"/>
              </w:rPr>
              <w:t>Force Majeure.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_Toc148703420 \h </w:instrText>
            </w:r>
            <w:r w:rsidRPr="0072600F">
              <w:rPr>
                <w:b/>
                <w:bCs/>
                <w:i/>
                <w:iCs/>
                <w:noProof/>
                <w:webHidden/>
                <w:sz w:val="26"/>
                <w:szCs w:val="26"/>
              </w:rPr>
              <w:fldChar w:fldCharType="separate"/>
            </w:r>
            <w:r w:rsidR="00C46123">
              <w:rPr>
                <w:noProof/>
                <w:webHidden/>
                <w:sz w:val="26"/>
                <w:szCs w:val="26"/>
              </w:rPr>
              <w:t>- 77 -</w:t>
            </w:r>
            <w:r w:rsidRPr="0072600F">
              <w:rPr>
                <w:b/>
                <w:bCs/>
                <w:i/>
                <w:iCs/>
                <w:noProof/>
                <w:webHidden/>
                <w:sz w:val="26"/>
                <w:szCs w:val="26"/>
              </w:rPr>
              <w:fldChar w:fldCharType="end"/>
            </w:r>
          </w:hyperlink>
        </w:p>
        <w:p w:rsidR="00F3594B" w:rsidRPr="0072600F" w14:paraId="3CB07C16" w14:textId="77777777">
          <w:pPr>
            <w:pStyle w:val="TOC1"/>
            <w:tabs>
              <w:tab w:val="left" w:pos="1200"/>
            </w:tabs>
            <w:rPr>
              <w:rFonts w:eastAsiaTheme="minorEastAsia"/>
              <w:sz w:val="26"/>
              <w:szCs w:val="26"/>
            </w:rPr>
          </w:pPr>
          <w:hyperlink w:anchor="_Toc148703421" w:history="1">
            <w:r w:rsidRPr="0072600F">
              <w:rPr>
                <w:rStyle w:val="Hyperlink"/>
                <w:sz w:val="26"/>
                <w:szCs w:val="26"/>
              </w:rPr>
              <w:t>Article 17.</w:t>
            </w:r>
            <w:r w:rsidRPr="0072600F">
              <w:rPr>
                <w:rFonts w:eastAsiaTheme="minorEastAsia"/>
                <w:sz w:val="26"/>
                <w:szCs w:val="26"/>
              </w:rPr>
              <w:tab/>
            </w:r>
            <w:r w:rsidRPr="0072600F">
              <w:rPr>
                <w:rStyle w:val="Hyperlink"/>
                <w:sz w:val="26"/>
                <w:szCs w:val="26"/>
              </w:rPr>
              <w:t>Default</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_Toc148703421 \h </w:instrText>
            </w:r>
            <w:r w:rsidRPr="0072600F">
              <w:rPr>
                <w:webHidden/>
                <w:sz w:val="26"/>
                <w:szCs w:val="26"/>
              </w:rPr>
              <w:fldChar w:fldCharType="separate"/>
            </w:r>
            <w:r w:rsidR="00C46123">
              <w:rPr>
                <w:webHidden/>
                <w:sz w:val="26"/>
                <w:szCs w:val="26"/>
              </w:rPr>
              <w:t>- 78 -</w:t>
            </w:r>
            <w:r w:rsidRPr="0072600F">
              <w:rPr>
                <w:webHidden/>
                <w:sz w:val="26"/>
                <w:szCs w:val="26"/>
              </w:rPr>
              <w:fldChar w:fldCharType="end"/>
            </w:r>
          </w:hyperlink>
        </w:p>
        <w:p w:rsidR="00F3594B" w:rsidRPr="0072600F" w14:paraId="59953547" w14:textId="77777777">
          <w:pPr>
            <w:pStyle w:val="TOC2"/>
            <w:rPr>
              <w:rFonts w:eastAsiaTheme="minorEastAsia"/>
              <w:b/>
              <w:bCs/>
              <w:i/>
              <w:iCs/>
              <w:noProof/>
              <w:sz w:val="26"/>
              <w:szCs w:val="26"/>
            </w:rPr>
          </w:pPr>
          <w:hyperlink w:anchor="_Toc148703422" w:history="1">
            <w:r w:rsidRPr="0072600F">
              <w:rPr>
                <w:rStyle w:val="Hyperlink"/>
                <w:noProof/>
                <w:sz w:val="26"/>
                <w:szCs w:val="26"/>
              </w:rPr>
              <w:t>17.1</w:t>
            </w:r>
            <w:r w:rsidRPr="0072600F">
              <w:rPr>
                <w:rFonts w:eastAsiaTheme="minorEastAsia"/>
                <w:noProof/>
                <w:sz w:val="26"/>
                <w:szCs w:val="26"/>
              </w:rPr>
              <w:tab/>
            </w:r>
            <w:r w:rsidRPr="0072600F">
              <w:rPr>
                <w:rStyle w:val="Hyperlink"/>
                <w:noProof/>
                <w:sz w:val="26"/>
                <w:szCs w:val="26"/>
              </w:rPr>
              <w:t>Default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_Toc148703422 \h </w:instrText>
            </w:r>
            <w:r w:rsidRPr="0072600F">
              <w:rPr>
                <w:b/>
                <w:bCs/>
                <w:i/>
                <w:iCs/>
                <w:noProof/>
                <w:webHidden/>
                <w:sz w:val="26"/>
                <w:szCs w:val="26"/>
              </w:rPr>
              <w:fldChar w:fldCharType="separate"/>
            </w:r>
            <w:r w:rsidR="00C46123">
              <w:rPr>
                <w:noProof/>
                <w:webHidden/>
                <w:sz w:val="26"/>
                <w:szCs w:val="26"/>
              </w:rPr>
              <w:t>- 78 -</w:t>
            </w:r>
            <w:r w:rsidRPr="0072600F">
              <w:rPr>
                <w:b/>
                <w:bCs/>
                <w:i/>
                <w:iCs/>
                <w:noProof/>
                <w:webHidden/>
                <w:sz w:val="26"/>
                <w:szCs w:val="26"/>
              </w:rPr>
              <w:fldChar w:fldCharType="end"/>
            </w:r>
          </w:hyperlink>
        </w:p>
        <w:p w:rsidR="00F3594B" w:rsidRPr="0072600F" w14:paraId="4C29C41A" w14:textId="77777777">
          <w:pPr>
            <w:pStyle w:val="TOC3"/>
            <w:tabs>
              <w:tab w:val="left" w:pos="1200"/>
              <w:tab w:val="right" w:leader="dot" w:pos="9350"/>
            </w:tabs>
            <w:rPr>
              <w:rFonts w:eastAsiaTheme="minorEastAsia"/>
              <w:noProof/>
              <w:sz w:val="26"/>
              <w:szCs w:val="26"/>
            </w:rPr>
          </w:pPr>
          <w:hyperlink w:anchor="_Toc148703423" w:history="1">
            <w:r w:rsidRPr="0072600F">
              <w:rPr>
                <w:rStyle w:val="Hyperlink"/>
                <w:noProof/>
                <w:sz w:val="26"/>
                <w:szCs w:val="26"/>
              </w:rPr>
              <w:t>17.1.1</w:t>
            </w:r>
            <w:r w:rsidRPr="0072600F">
              <w:rPr>
                <w:rFonts w:eastAsiaTheme="minorEastAsia"/>
                <w:noProof/>
                <w:sz w:val="26"/>
                <w:szCs w:val="26"/>
              </w:rPr>
              <w:tab/>
            </w:r>
            <w:r w:rsidRPr="0072600F">
              <w:rPr>
                <w:rStyle w:val="Hyperlink"/>
                <w:noProof/>
                <w:sz w:val="26"/>
                <w:szCs w:val="26"/>
              </w:rPr>
              <w:t xml:space="preserve"> General.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_Toc148703423 \h </w:instrText>
            </w:r>
            <w:r w:rsidRPr="0072600F">
              <w:rPr>
                <w:noProof/>
                <w:webHidden/>
                <w:sz w:val="26"/>
                <w:szCs w:val="26"/>
              </w:rPr>
              <w:fldChar w:fldCharType="separate"/>
            </w:r>
            <w:r w:rsidR="00C46123">
              <w:rPr>
                <w:noProof/>
                <w:webHidden/>
                <w:sz w:val="26"/>
                <w:szCs w:val="26"/>
              </w:rPr>
              <w:t>- 78 -</w:t>
            </w:r>
            <w:r w:rsidRPr="0072600F">
              <w:rPr>
                <w:noProof/>
                <w:webHidden/>
                <w:sz w:val="26"/>
                <w:szCs w:val="26"/>
              </w:rPr>
              <w:fldChar w:fldCharType="end"/>
            </w:r>
          </w:hyperlink>
        </w:p>
        <w:p w:rsidR="00F3594B" w:rsidRPr="0072600F" w14:paraId="7954F514" w14:textId="77777777">
          <w:pPr>
            <w:pStyle w:val="TOC3"/>
            <w:tabs>
              <w:tab w:val="left" w:pos="1200"/>
              <w:tab w:val="right" w:leader="dot" w:pos="9350"/>
            </w:tabs>
            <w:rPr>
              <w:rFonts w:eastAsiaTheme="minorEastAsia"/>
              <w:noProof/>
              <w:sz w:val="26"/>
              <w:szCs w:val="26"/>
            </w:rPr>
          </w:pPr>
          <w:hyperlink w:anchor="_Toc148703424" w:history="1">
            <w:r w:rsidRPr="0072600F">
              <w:rPr>
                <w:rStyle w:val="Hyperlink"/>
                <w:noProof/>
                <w:sz w:val="26"/>
                <w:szCs w:val="26"/>
              </w:rPr>
              <w:t>17.1.2</w:t>
            </w:r>
            <w:r w:rsidRPr="0072600F">
              <w:rPr>
                <w:rFonts w:eastAsiaTheme="minorEastAsia"/>
                <w:noProof/>
                <w:sz w:val="26"/>
                <w:szCs w:val="26"/>
              </w:rPr>
              <w:tab/>
            </w:r>
            <w:r w:rsidRPr="0072600F">
              <w:rPr>
                <w:rStyle w:val="Hyperlink"/>
                <w:noProof/>
                <w:sz w:val="26"/>
                <w:szCs w:val="26"/>
              </w:rPr>
              <w:t xml:space="preserve"> Right to Terminate.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_Toc148703424 \h </w:instrText>
            </w:r>
            <w:r w:rsidRPr="0072600F">
              <w:rPr>
                <w:noProof/>
                <w:webHidden/>
                <w:sz w:val="26"/>
                <w:szCs w:val="26"/>
              </w:rPr>
              <w:fldChar w:fldCharType="separate"/>
            </w:r>
            <w:r w:rsidR="00C46123">
              <w:rPr>
                <w:noProof/>
                <w:webHidden/>
                <w:sz w:val="26"/>
                <w:szCs w:val="26"/>
              </w:rPr>
              <w:t>- 79 -</w:t>
            </w:r>
            <w:r w:rsidRPr="0072600F">
              <w:rPr>
                <w:noProof/>
                <w:webHidden/>
                <w:sz w:val="26"/>
                <w:szCs w:val="26"/>
              </w:rPr>
              <w:fldChar w:fldCharType="end"/>
            </w:r>
          </w:hyperlink>
        </w:p>
        <w:p w:rsidR="00F3594B" w:rsidRPr="0072600F" w14:paraId="4B4B0616" w14:textId="77777777">
          <w:pPr>
            <w:pStyle w:val="TOC2"/>
            <w:rPr>
              <w:rFonts w:eastAsiaTheme="minorEastAsia"/>
              <w:b/>
              <w:bCs/>
              <w:i/>
              <w:iCs/>
              <w:noProof/>
              <w:sz w:val="26"/>
              <w:szCs w:val="26"/>
            </w:rPr>
          </w:pPr>
          <w:hyperlink w:anchor="_Toc148703425" w:history="1">
            <w:r w:rsidRPr="0072600F">
              <w:rPr>
                <w:rStyle w:val="Hyperlink"/>
                <w:noProof/>
                <w:sz w:val="26"/>
                <w:szCs w:val="26"/>
              </w:rPr>
              <w:t>17.2</w:t>
            </w:r>
            <w:r w:rsidRPr="0072600F">
              <w:rPr>
                <w:rFonts w:eastAsiaTheme="minorEastAsia"/>
                <w:noProof/>
                <w:sz w:val="26"/>
                <w:szCs w:val="26"/>
              </w:rPr>
              <w:tab/>
            </w:r>
            <w:r w:rsidRPr="0072600F">
              <w:rPr>
                <w:rStyle w:val="Hyperlink"/>
                <w:noProof/>
                <w:sz w:val="26"/>
                <w:szCs w:val="26"/>
              </w:rPr>
              <w:t>Violation of Operating Assumptions for Generating Facilities.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_Toc148703425 \h </w:instrText>
            </w:r>
            <w:r w:rsidRPr="0072600F">
              <w:rPr>
                <w:b/>
                <w:bCs/>
                <w:i/>
                <w:iCs/>
                <w:noProof/>
                <w:webHidden/>
                <w:sz w:val="26"/>
                <w:szCs w:val="26"/>
              </w:rPr>
              <w:fldChar w:fldCharType="separate"/>
            </w:r>
            <w:r w:rsidR="00C46123">
              <w:rPr>
                <w:noProof/>
                <w:webHidden/>
                <w:sz w:val="26"/>
                <w:szCs w:val="26"/>
              </w:rPr>
              <w:t>- 79 -</w:t>
            </w:r>
            <w:r w:rsidRPr="0072600F">
              <w:rPr>
                <w:b/>
                <w:bCs/>
                <w:i/>
                <w:iCs/>
                <w:noProof/>
                <w:webHidden/>
                <w:sz w:val="26"/>
                <w:szCs w:val="26"/>
              </w:rPr>
              <w:fldChar w:fldCharType="end"/>
            </w:r>
          </w:hyperlink>
        </w:p>
        <w:p w:rsidR="00F3594B" w:rsidRPr="0072600F" w14:paraId="183563B8" w14:textId="77777777">
          <w:pPr>
            <w:pStyle w:val="TOC1"/>
            <w:tabs>
              <w:tab w:val="left" w:pos="1200"/>
            </w:tabs>
            <w:rPr>
              <w:rFonts w:eastAsiaTheme="minorEastAsia"/>
              <w:sz w:val="26"/>
              <w:szCs w:val="26"/>
            </w:rPr>
          </w:pPr>
          <w:hyperlink w:anchor="_Toc148703426" w:history="1">
            <w:r w:rsidRPr="0072600F">
              <w:rPr>
                <w:rStyle w:val="Hyperlink"/>
                <w:sz w:val="26"/>
                <w:szCs w:val="26"/>
              </w:rPr>
              <w:t>Article 18.</w:t>
            </w:r>
            <w:r w:rsidRPr="0072600F">
              <w:rPr>
                <w:rFonts w:eastAsiaTheme="minorEastAsia"/>
                <w:sz w:val="26"/>
                <w:szCs w:val="26"/>
              </w:rPr>
              <w:tab/>
            </w:r>
            <w:r w:rsidRPr="0072600F">
              <w:rPr>
                <w:rStyle w:val="Hyperlink"/>
                <w:sz w:val="26"/>
                <w:szCs w:val="26"/>
              </w:rPr>
              <w:t>Indemnity, Consequential Damages and Insurance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_Toc148703426 \h </w:instrText>
            </w:r>
            <w:r w:rsidRPr="0072600F">
              <w:rPr>
                <w:webHidden/>
                <w:sz w:val="26"/>
                <w:szCs w:val="26"/>
              </w:rPr>
              <w:fldChar w:fldCharType="separate"/>
            </w:r>
            <w:r w:rsidR="00C46123">
              <w:rPr>
                <w:webHidden/>
                <w:sz w:val="26"/>
                <w:szCs w:val="26"/>
              </w:rPr>
              <w:t>- 79 -</w:t>
            </w:r>
            <w:r w:rsidRPr="0072600F">
              <w:rPr>
                <w:webHidden/>
                <w:sz w:val="26"/>
                <w:szCs w:val="26"/>
              </w:rPr>
              <w:fldChar w:fldCharType="end"/>
            </w:r>
          </w:hyperlink>
        </w:p>
        <w:p w:rsidR="00F3594B" w:rsidRPr="0072600F" w14:paraId="533F48A2" w14:textId="77777777">
          <w:pPr>
            <w:pStyle w:val="TOC2"/>
            <w:rPr>
              <w:rFonts w:eastAsiaTheme="minorEastAsia"/>
              <w:b/>
              <w:bCs/>
              <w:i/>
              <w:iCs/>
              <w:noProof/>
              <w:sz w:val="26"/>
              <w:szCs w:val="26"/>
            </w:rPr>
          </w:pPr>
          <w:hyperlink w:anchor="_Toc148703427" w:history="1">
            <w:r w:rsidRPr="0072600F">
              <w:rPr>
                <w:rStyle w:val="Hyperlink"/>
                <w:noProof/>
                <w:sz w:val="26"/>
                <w:szCs w:val="26"/>
              </w:rPr>
              <w:t>18.1</w:t>
            </w:r>
            <w:r w:rsidRPr="0072600F">
              <w:rPr>
                <w:rFonts w:eastAsiaTheme="minorEastAsia"/>
                <w:noProof/>
                <w:sz w:val="26"/>
                <w:szCs w:val="26"/>
              </w:rPr>
              <w:tab/>
            </w:r>
            <w:r w:rsidRPr="0072600F">
              <w:rPr>
                <w:rStyle w:val="Hyperlink"/>
                <w:noProof/>
                <w:sz w:val="26"/>
                <w:szCs w:val="26"/>
              </w:rPr>
              <w:t>Indemnity.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_Toc148703427 \h </w:instrText>
            </w:r>
            <w:r w:rsidRPr="0072600F">
              <w:rPr>
                <w:b/>
                <w:bCs/>
                <w:i/>
                <w:iCs/>
                <w:noProof/>
                <w:webHidden/>
                <w:sz w:val="26"/>
                <w:szCs w:val="26"/>
              </w:rPr>
              <w:fldChar w:fldCharType="separate"/>
            </w:r>
            <w:r w:rsidR="00C46123">
              <w:rPr>
                <w:noProof/>
                <w:webHidden/>
                <w:sz w:val="26"/>
                <w:szCs w:val="26"/>
              </w:rPr>
              <w:t>- 80 -</w:t>
            </w:r>
            <w:r w:rsidRPr="0072600F">
              <w:rPr>
                <w:b/>
                <w:bCs/>
                <w:i/>
                <w:iCs/>
                <w:noProof/>
                <w:webHidden/>
                <w:sz w:val="26"/>
                <w:szCs w:val="26"/>
              </w:rPr>
              <w:fldChar w:fldCharType="end"/>
            </w:r>
          </w:hyperlink>
        </w:p>
        <w:p w:rsidR="00F3594B" w:rsidRPr="0072600F" w14:paraId="3DD250EF" w14:textId="77777777">
          <w:pPr>
            <w:pStyle w:val="TOC3"/>
            <w:tabs>
              <w:tab w:val="left" w:pos="1200"/>
              <w:tab w:val="right" w:leader="dot" w:pos="9350"/>
            </w:tabs>
            <w:rPr>
              <w:rFonts w:eastAsiaTheme="minorEastAsia"/>
              <w:noProof/>
              <w:sz w:val="26"/>
              <w:szCs w:val="26"/>
            </w:rPr>
          </w:pPr>
          <w:hyperlink w:anchor="_Toc148703428" w:history="1">
            <w:r w:rsidRPr="0072600F">
              <w:rPr>
                <w:rStyle w:val="Hyperlink"/>
                <w:noProof/>
                <w:sz w:val="26"/>
                <w:szCs w:val="26"/>
              </w:rPr>
              <w:t>18.1.1</w:t>
            </w:r>
            <w:r w:rsidRPr="0072600F">
              <w:rPr>
                <w:rFonts w:eastAsiaTheme="minorEastAsia"/>
                <w:noProof/>
                <w:sz w:val="26"/>
                <w:szCs w:val="26"/>
              </w:rPr>
              <w:tab/>
            </w:r>
            <w:r w:rsidRPr="0072600F">
              <w:rPr>
                <w:rStyle w:val="Hyperlink"/>
                <w:noProof/>
                <w:sz w:val="26"/>
                <w:szCs w:val="26"/>
              </w:rPr>
              <w:t xml:space="preserve"> Indemnified Person.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_Toc148703428 \h </w:instrText>
            </w:r>
            <w:r w:rsidRPr="0072600F">
              <w:rPr>
                <w:noProof/>
                <w:webHidden/>
                <w:sz w:val="26"/>
                <w:szCs w:val="26"/>
              </w:rPr>
              <w:fldChar w:fldCharType="separate"/>
            </w:r>
            <w:r w:rsidR="00C46123">
              <w:rPr>
                <w:noProof/>
                <w:webHidden/>
                <w:sz w:val="26"/>
                <w:szCs w:val="26"/>
              </w:rPr>
              <w:t>- 80 -</w:t>
            </w:r>
            <w:r w:rsidRPr="0072600F">
              <w:rPr>
                <w:noProof/>
                <w:webHidden/>
                <w:sz w:val="26"/>
                <w:szCs w:val="26"/>
              </w:rPr>
              <w:fldChar w:fldCharType="end"/>
            </w:r>
          </w:hyperlink>
        </w:p>
        <w:p w:rsidR="00F3594B" w:rsidRPr="0072600F" w14:paraId="4877B1BF" w14:textId="77777777">
          <w:pPr>
            <w:pStyle w:val="TOC3"/>
            <w:tabs>
              <w:tab w:val="left" w:pos="1200"/>
              <w:tab w:val="right" w:leader="dot" w:pos="9350"/>
            </w:tabs>
            <w:rPr>
              <w:rFonts w:eastAsiaTheme="minorEastAsia"/>
              <w:noProof/>
              <w:sz w:val="26"/>
              <w:szCs w:val="26"/>
            </w:rPr>
          </w:pPr>
          <w:hyperlink w:anchor="_Toc148703429" w:history="1">
            <w:r w:rsidRPr="0072600F">
              <w:rPr>
                <w:rStyle w:val="Hyperlink"/>
                <w:noProof/>
                <w:sz w:val="26"/>
                <w:szCs w:val="26"/>
              </w:rPr>
              <w:t>18.1.2</w:t>
            </w:r>
            <w:r w:rsidRPr="0072600F">
              <w:rPr>
                <w:rFonts w:eastAsiaTheme="minorEastAsia"/>
                <w:noProof/>
                <w:sz w:val="26"/>
                <w:szCs w:val="26"/>
              </w:rPr>
              <w:tab/>
            </w:r>
            <w:r w:rsidRPr="0072600F">
              <w:rPr>
                <w:rStyle w:val="Hyperlink"/>
                <w:noProof/>
                <w:sz w:val="26"/>
                <w:szCs w:val="26"/>
              </w:rPr>
              <w:t xml:space="preserve"> Indemnifying Party.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_Toc148703429 \h </w:instrText>
            </w:r>
            <w:r w:rsidRPr="0072600F">
              <w:rPr>
                <w:noProof/>
                <w:webHidden/>
                <w:sz w:val="26"/>
                <w:szCs w:val="26"/>
              </w:rPr>
              <w:fldChar w:fldCharType="separate"/>
            </w:r>
            <w:r w:rsidR="00C46123">
              <w:rPr>
                <w:noProof/>
                <w:webHidden/>
                <w:sz w:val="26"/>
                <w:szCs w:val="26"/>
              </w:rPr>
              <w:t>- 80 -</w:t>
            </w:r>
            <w:r w:rsidRPr="0072600F">
              <w:rPr>
                <w:noProof/>
                <w:webHidden/>
                <w:sz w:val="26"/>
                <w:szCs w:val="26"/>
              </w:rPr>
              <w:fldChar w:fldCharType="end"/>
            </w:r>
          </w:hyperlink>
        </w:p>
        <w:p w:rsidR="00F3594B" w:rsidRPr="0072600F" w14:paraId="32EACCD2" w14:textId="77777777">
          <w:pPr>
            <w:pStyle w:val="TOC3"/>
            <w:tabs>
              <w:tab w:val="left" w:pos="1200"/>
              <w:tab w:val="right" w:leader="dot" w:pos="9350"/>
            </w:tabs>
            <w:rPr>
              <w:rFonts w:eastAsiaTheme="minorEastAsia"/>
              <w:noProof/>
              <w:sz w:val="26"/>
              <w:szCs w:val="26"/>
            </w:rPr>
          </w:pPr>
          <w:hyperlink w:anchor="_Toc148703430" w:history="1">
            <w:r w:rsidRPr="0072600F">
              <w:rPr>
                <w:rStyle w:val="Hyperlink"/>
                <w:noProof/>
                <w:sz w:val="26"/>
                <w:szCs w:val="26"/>
              </w:rPr>
              <w:t>18.1.3</w:t>
            </w:r>
            <w:r w:rsidRPr="0072600F">
              <w:rPr>
                <w:rFonts w:eastAsiaTheme="minorEastAsia"/>
                <w:noProof/>
                <w:sz w:val="26"/>
                <w:szCs w:val="26"/>
              </w:rPr>
              <w:tab/>
            </w:r>
            <w:r w:rsidRPr="0072600F">
              <w:rPr>
                <w:rStyle w:val="Hyperlink"/>
                <w:noProof/>
                <w:sz w:val="26"/>
                <w:szCs w:val="26"/>
              </w:rPr>
              <w:t xml:space="preserve"> Indemnity Procedures.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_Toc148703430 \h </w:instrText>
            </w:r>
            <w:r w:rsidRPr="0072600F">
              <w:rPr>
                <w:noProof/>
                <w:webHidden/>
                <w:sz w:val="26"/>
                <w:szCs w:val="26"/>
              </w:rPr>
              <w:fldChar w:fldCharType="separate"/>
            </w:r>
            <w:r w:rsidR="00C46123">
              <w:rPr>
                <w:noProof/>
                <w:webHidden/>
                <w:sz w:val="26"/>
                <w:szCs w:val="26"/>
              </w:rPr>
              <w:t>- 80 -</w:t>
            </w:r>
            <w:r w:rsidRPr="0072600F">
              <w:rPr>
                <w:noProof/>
                <w:webHidden/>
                <w:sz w:val="26"/>
                <w:szCs w:val="26"/>
              </w:rPr>
              <w:fldChar w:fldCharType="end"/>
            </w:r>
          </w:hyperlink>
        </w:p>
        <w:p w:rsidR="00F3594B" w:rsidRPr="0072600F" w14:paraId="74C0655C" w14:textId="77777777">
          <w:pPr>
            <w:pStyle w:val="TOC2"/>
            <w:rPr>
              <w:rFonts w:eastAsiaTheme="minorEastAsia"/>
              <w:b/>
              <w:bCs/>
              <w:i/>
              <w:iCs/>
              <w:noProof/>
              <w:sz w:val="26"/>
              <w:szCs w:val="26"/>
            </w:rPr>
          </w:pPr>
          <w:hyperlink w:anchor="_Toc148703431" w:history="1">
            <w:r w:rsidRPr="0072600F">
              <w:rPr>
                <w:rStyle w:val="Hyperlink"/>
                <w:noProof/>
                <w:sz w:val="26"/>
                <w:szCs w:val="26"/>
              </w:rPr>
              <w:t>18.2</w:t>
            </w:r>
            <w:r w:rsidRPr="0072600F">
              <w:rPr>
                <w:rFonts w:eastAsiaTheme="minorEastAsia"/>
                <w:noProof/>
                <w:sz w:val="26"/>
                <w:szCs w:val="26"/>
              </w:rPr>
              <w:tab/>
            </w:r>
            <w:r w:rsidRPr="0072600F">
              <w:rPr>
                <w:rStyle w:val="Hyperlink"/>
                <w:noProof/>
                <w:sz w:val="26"/>
                <w:szCs w:val="26"/>
              </w:rPr>
              <w:t>Consequential Damages.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_Toc148703431 \h </w:instrText>
            </w:r>
            <w:r w:rsidRPr="0072600F">
              <w:rPr>
                <w:b/>
                <w:bCs/>
                <w:i/>
                <w:iCs/>
                <w:noProof/>
                <w:webHidden/>
                <w:sz w:val="26"/>
                <w:szCs w:val="26"/>
              </w:rPr>
              <w:fldChar w:fldCharType="separate"/>
            </w:r>
            <w:r w:rsidR="00C46123">
              <w:rPr>
                <w:noProof/>
                <w:webHidden/>
                <w:sz w:val="26"/>
                <w:szCs w:val="26"/>
              </w:rPr>
              <w:t>- 81 -</w:t>
            </w:r>
            <w:r w:rsidRPr="0072600F">
              <w:rPr>
                <w:b/>
                <w:bCs/>
                <w:i/>
                <w:iCs/>
                <w:noProof/>
                <w:webHidden/>
                <w:sz w:val="26"/>
                <w:szCs w:val="26"/>
              </w:rPr>
              <w:fldChar w:fldCharType="end"/>
            </w:r>
          </w:hyperlink>
        </w:p>
        <w:p w:rsidR="00F3594B" w:rsidRPr="0072600F" w14:paraId="13FD68CB" w14:textId="77777777">
          <w:pPr>
            <w:pStyle w:val="TOC2"/>
            <w:rPr>
              <w:rFonts w:eastAsiaTheme="minorEastAsia"/>
              <w:b/>
              <w:bCs/>
              <w:i/>
              <w:iCs/>
              <w:noProof/>
              <w:sz w:val="26"/>
              <w:szCs w:val="26"/>
            </w:rPr>
          </w:pPr>
          <w:hyperlink w:anchor="_Toc148703432" w:history="1">
            <w:r w:rsidRPr="0072600F">
              <w:rPr>
                <w:rStyle w:val="Hyperlink"/>
                <w:noProof/>
                <w:sz w:val="26"/>
                <w:szCs w:val="26"/>
              </w:rPr>
              <w:t>18.3</w:t>
            </w:r>
            <w:r w:rsidRPr="0072600F">
              <w:rPr>
                <w:rFonts w:eastAsiaTheme="minorEastAsia"/>
                <w:noProof/>
                <w:sz w:val="26"/>
                <w:szCs w:val="26"/>
              </w:rPr>
              <w:tab/>
            </w:r>
            <w:r w:rsidRPr="0072600F">
              <w:rPr>
                <w:rStyle w:val="Hyperlink"/>
                <w:noProof/>
                <w:sz w:val="26"/>
                <w:szCs w:val="26"/>
              </w:rPr>
              <w:t>Insurance.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_Toc148703432 \h </w:instrText>
            </w:r>
            <w:r w:rsidRPr="0072600F">
              <w:rPr>
                <w:b/>
                <w:bCs/>
                <w:i/>
                <w:iCs/>
                <w:noProof/>
                <w:webHidden/>
                <w:sz w:val="26"/>
                <w:szCs w:val="26"/>
              </w:rPr>
              <w:fldChar w:fldCharType="separate"/>
            </w:r>
            <w:r w:rsidR="00C46123">
              <w:rPr>
                <w:noProof/>
                <w:webHidden/>
                <w:sz w:val="26"/>
                <w:szCs w:val="26"/>
              </w:rPr>
              <w:t>- 82 -</w:t>
            </w:r>
            <w:r w:rsidRPr="0072600F">
              <w:rPr>
                <w:b/>
                <w:bCs/>
                <w:i/>
                <w:iCs/>
                <w:noProof/>
                <w:webHidden/>
                <w:sz w:val="26"/>
                <w:szCs w:val="26"/>
              </w:rPr>
              <w:fldChar w:fldCharType="end"/>
            </w:r>
          </w:hyperlink>
        </w:p>
        <w:p w:rsidR="00F3594B" w:rsidRPr="0072600F" w14:paraId="7BA9FCA6" w14:textId="77777777">
          <w:pPr>
            <w:pStyle w:val="TOC1"/>
            <w:tabs>
              <w:tab w:val="left" w:pos="1200"/>
            </w:tabs>
            <w:rPr>
              <w:rFonts w:eastAsiaTheme="minorEastAsia"/>
              <w:sz w:val="26"/>
              <w:szCs w:val="26"/>
            </w:rPr>
          </w:pPr>
          <w:hyperlink w:anchor="_Toc148703433" w:history="1">
            <w:r w:rsidRPr="0072600F">
              <w:rPr>
                <w:rStyle w:val="Hyperlink"/>
                <w:sz w:val="26"/>
                <w:szCs w:val="26"/>
              </w:rPr>
              <w:t>Article 19.</w:t>
            </w:r>
            <w:r w:rsidRPr="0072600F">
              <w:rPr>
                <w:rFonts w:eastAsiaTheme="minorEastAsia"/>
                <w:sz w:val="26"/>
                <w:szCs w:val="26"/>
              </w:rPr>
              <w:tab/>
            </w:r>
            <w:r w:rsidRPr="0072600F">
              <w:rPr>
                <w:rStyle w:val="Hyperlink"/>
                <w:sz w:val="26"/>
                <w:szCs w:val="26"/>
              </w:rPr>
              <w:t>Assignment</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_Toc148703433 \h </w:instrText>
            </w:r>
            <w:r w:rsidRPr="0072600F">
              <w:rPr>
                <w:webHidden/>
                <w:sz w:val="26"/>
                <w:szCs w:val="26"/>
              </w:rPr>
              <w:fldChar w:fldCharType="separate"/>
            </w:r>
            <w:r w:rsidR="00C46123">
              <w:rPr>
                <w:webHidden/>
                <w:sz w:val="26"/>
                <w:szCs w:val="26"/>
              </w:rPr>
              <w:t>- 85 -</w:t>
            </w:r>
            <w:r w:rsidRPr="0072600F">
              <w:rPr>
                <w:webHidden/>
                <w:sz w:val="26"/>
                <w:szCs w:val="26"/>
              </w:rPr>
              <w:fldChar w:fldCharType="end"/>
            </w:r>
          </w:hyperlink>
        </w:p>
        <w:p w:rsidR="00F3594B" w:rsidRPr="0072600F" w14:paraId="434E6264" w14:textId="77777777">
          <w:pPr>
            <w:pStyle w:val="TOC2"/>
            <w:rPr>
              <w:rFonts w:eastAsiaTheme="minorEastAsia"/>
              <w:b/>
              <w:bCs/>
              <w:i/>
              <w:iCs/>
              <w:noProof/>
              <w:sz w:val="26"/>
              <w:szCs w:val="26"/>
            </w:rPr>
          </w:pPr>
          <w:hyperlink w:anchor="_Toc148703434" w:history="1">
            <w:r w:rsidRPr="0072600F">
              <w:rPr>
                <w:rStyle w:val="Hyperlink"/>
                <w:noProof/>
                <w:sz w:val="26"/>
                <w:szCs w:val="26"/>
              </w:rPr>
              <w:t>19.1</w:t>
            </w:r>
            <w:r w:rsidRPr="0072600F">
              <w:rPr>
                <w:rFonts w:eastAsiaTheme="minorEastAsia"/>
                <w:noProof/>
                <w:sz w:val="26"/>
                <w:szCs w:val="26"/>
              </w:rPr>
              <w:tab/>
            </w:r>
            <w:r w:rsidRPr="0072600F">
              <w:rPr>
                <w:rStyle w:val="Hyperlink"/>
                <w:noProof/>
                <w:sz w:val="26"/>
                <w:szCs w:val="26"/>
              </w:rPr>
              <w:t>Assignment.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_Toc148703434 \h </w:instrText>
            </w:r>
            <w:r w:rsidRPr="0072600F">
              <w:rPr>
                <w:b/>
                <w:bCs/>
                <w:i/>
                <w:iCs/>
                <w:noProof/>
                <w:webHidden/>
                <w:sz w:val="26"/>
                <w:szCs w:val="26"/>
              </w:rPr>
              <w:fldChar w:fldCharType="separate"/>
            </w:r>
            <w:r w:rsidR="00C46123">
              <w:rPr>
                <w:noProof/>
                <w:webHidden/>
                <w:sz w:val="26"/>
                <w:szCs w:val="26"/>
              </w:rPr>
              <w:t>- 85 -</w:t>
            </w:r>
            <w:r w:rsidRPr="0072600F">
              <w:rPr>
                <w:b/>
                <w:bCs/>
                <w:i/>
                <w:iCs/>
                <w:noProof/>
                <w:webHidden/>
                <w:sz w:val="26"/>
                <w:szCs w:val="26"/>
              </w:rPr>
              <w:fldChar w:fldCharType="end"/>
            </w:r>
          </w:hyperlink>
        </w:p>
        <w:p w:rsidR="00F3594B" w:rsidRPr="0072600F" w14:paraId="31217A5C" w14:textId="77777777">
          <w:pPr>
            <w:pStyle w:val="TOC1"/>
            <w:tabs>
              <w:tab w:val="left" w:pos="1200"/>
            </w:tabs>
            <w:rPr>
              <w:rFonts w:eastAsiaTheme="minorEastAsia"/>
              <w:sz w:val="26"/>
              <w:szCs w:val="26"/>
            </w:rPr>
          </w:pPr>
          <w:hyperlink w:anchor="_Toc148703435" w:history="1">
            <w:r w:rsidRPr="0072600F">
              <w:rPr>
                <w:rStyle w:val="Hyperlink"/>
                <w:sz w:val="26"/>
                <w:szCs w:val="26"/>
              </w:rPr>
              <w:t>Article 20.</w:t>
            </w:r>
            <w:r w:rsidRPr="0072600F">
              <w:rPr>
                <w:rFonts w:eastAsiaTheme="minorEastAsia"/>
                <w:sz w:val="26"/>
                <w:szCs w:val="26"/>
              </w:rPr>
              <w:tab/>
            </w:r>
            <w:r w:rsidRPr="0072600F">
              <w:rPr>
                <w:rStyle w:val="Hyperlink"/>
                <w:sz w:val="26"/>
                <w:szCs w:val="26"/>
              </w:rPr>
              <w:t>Severability</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_Toc148703435 \h </w:instrText>
            </w:r>
            <w:r w:rsidRPr="0072600F">
              <w:rPr>
                <w:webHidden/>
                <w:sz w:val="26"/>
                <w:szCs w:val="26"/>
              </w:rPr>
              <w:fldChar w:fldCharType="separate"/>
            </w:r>
            <w:r w:rsidR="00C46123">
              <w:rPr>
                <w:webHidden/>
                <w:sz w:val="26"/>
                <w:szCs w:val="26"/>
              </w:rPr>
              <w:t>- 85 -</w:t>
            </w:r>
            <w:r w:rsidRPr="0072600F">
              <w:rPr>
                <w:webHidden/>
                <w:sz w:val="26"/>
                <w:szCs w:val="26"/>
              </w:rPr>
              <w:fldChar w:fldCharType="end"/>
            </w:r>
          </w:hyperlink>
        </w:p>
        <w:p w:rsidR="00F3594B" w:rsidRPr="0072600F" w14:paraId="6C5FE1B4" w14:textId="77777777">
          <w:pPr>
            <w:pStyle w:val="TOC2"/>
            <w:rPr>
              <w:rFonts w:eastAsiaTheme="minorEastAsia"/>
              <w:b/>
              <w:bCs/>
              <w:i/>
              <w:iCs/>
              <w:noProof/>
              <w:sz w:val="26"/>
              <w:szCs w:val="26"/>
            </w:rPr>
          </w:pPr>
          <w:hyperlink w:anchor="_Toc148703436" w:history="1">
            <w:r w:rsidRPr="0072600F">
              <w:rPr>
                <w:rStyle w:val="Hyperlink"/>
                <w:noProof/>
                <w:sz w:val="26"/>
                <w:szCs w:val="26"/>
              </w:rPr>
              <w:t>20.1</w:t>
            </w:r>
            <w:r w:rsidRPr="0072600F">
              <w:rPr>
                <w:rFonts w:eastAsiaTheme="minorEastAsia"/>
                <w:noProof/>
                <w:sz w:val="26"/>
                <w:szCs w:val="26"/>
              </w:rPr>
              <w:tab/>
            </w:r>
            <w:r w:rsidRPr="0072600F">
              <w:rPr>
                <w:rStyle w:val="Hyperlink"/>
                <w:noProof/>
                <w:sz w:val="26"/>
                <w:szCs w:val="26"/>
              </w:rPr>
              <w:t>Severability.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_Toc148703436 \h </w:instrText>
            </w:r>
            <w:r w:rsidRPr="0072600F">
              <w:rPr>
                <w:b/>
                <w:bCs/>
                <w:i/>
                <w:iCs/>
                <w:noProof/>
                <w:webHidden/>
                <w:sz w:val="26"/>
                <w:szCs w:val="26"/>
              </w:rPr>
              <w:fldChar w:fldCharType="separate"/>
            </w:r>
            <w:r w:rsidR="00C46123">
              <w:rPr>
                <w:noProof/>
                <w:webHidden/>
                <w:sz w:val="26"/>
                <w:szCs w:val="26"/>
              </w:rPr>
              <w:t>- 85 -</w:t>
            </w:r>
            <w:r w:rsidRPr="0072600F">
              <w:rPr>
                <w:b/>
                <w:bCs/>
                <w:i/>
                <w:iCs/>
                <w:noProof/>
                <w:webHidden/>
                <w:sz w:val="26"/>
                <w:szCs w:val="26"/>
              </w:rPr>
              <w:fldChar w:fldCharType="end"/>
            </w:r>
          </w:hyperlink>
        </w:p>
        <w:p w:rsidR="00F3594B" w:rsidRPr="0072600F" w14:paraId="35629EC4" w14:textId="77777777">
          <w:pPr>
            <w:pStyle w:val="TOC1"/>
            <w:tabs>
              <w:tab w:val="left" w:pos="1200"/>
            </w:tabs>
            <w:rPr>
              <w:rFonts w:eastAsiaTheme="minorEastAsia"/>
              <w:sz w:val="26"/>
              <w:szCs w:val="26"/>
            </w:rPr>
          </w:pPr>
          <w:hyperlink w:anchor="_Toc148703437" w:history="1">
            <w:r w:rsidRPr="0072600F">
              <w:rPr>
                <w:rStyle w:val="Hyperlink"/>
                <w:sz w:val="26"/>
                <w:szCs w:val="26"/>
              </w:rPr>
              <w:t>Article 21.</w:t>
            </w:r>
            <w:r w:rsidRPr="0072600F">
              <w:rPr>
                <w:rFonts w:eastAsiaTheme="minorEastAsia"/>
                <w:sz w:val="26"/>
                <w:szCs w:val="26"/>
              </w:rPr>
              <w:tab/>
            </w:r>
            <w:r w:rsidRPr="0072600F">
              <w:rPr>
                <w:rStyle w:val="Hyperlink"/>
                <w:sz w:val="26"/>
                <w:szCs w:val="26"/>
              </w:rPr>
              <w:t>Comparability</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_Toc148703437 \h </w:instrText>
            </w:r>
            <w:r w:rsidRPr="0072600F">
              <w:rPr>
                <w:webHidden/>
                <w:sz w:val="26"/>
                <w:szCs w:val="26"/>
              </w:rPr>
              <w:fldChar w:fldCharType="separate"/>
            </w:r>
            <w:r w:rsidR="00C46123">
              <w:rPr>
                <w:webHidden/>
                <w:sz w:val="26"/>
                <w:szCs w:val="26"/>
              </w:rPr>
              <w:t>- 86 -</w:t>
            </w:r>
            <w:r w:rsidRPr="0072600F">
              <w:rPr>
                <w:webHidden/>
                <w:sz w:val="26"/>
                <w:szCs w:val="26"/>
              </w:rPr>
              <w:fldChar w:fldCharType="end"/>
            </w:r>
          </w:hyperlink>
        </w:p>
        <w:p w:rsidR="00F3594B" w:rsidRPr="0072600F" w14:paraId="2371A018" w14:textId="77777777">
          <w:pPr>
            <w:pStyle w:val="TOC2"/>
            <w:rPr>
              <w:rFonts w:eastAsiaTheme="minorEastAsia"/>
              <w:b/>
              <w:bCs/>
              <w:i/>
              <w:iCs/>
              <w:noProof/>
              <w:sz w:val="26"/>
              <w:szCs w:val="26"/>
            </w:rPr>
          </w:pPr>
          <w:hyperlink w:anchor="_Toc148703438" w:history="1">
            <w:r w:rsidRPr="0072600F">
              <w:rPr>
                <w:rStyle w:val="Hyperlink"/>
                <w:noProof/>
                <w:sz w:val="26"/>
                <w:szCs w:val="26"/>
              </w:rPr>
              <w:t>21.1</w:t>
            </w:r>
            <w:r w:rsidRPr="0072600F">
              <w:rPr>
                <w:rFonts w:eastAsiaTheme="minorEastAsia"/>
                <w:noProof/>
                <w:sz w:val="26"/>
                <w:szCs w:val="26"/>
              </w:rPr>
              <w:tab/>
            </w:r>
            <w:r w:rsidRPr="0072600F">
              <w:rPr>
                <w:rStyle w:val="Hyperlink"/>
                <w:noProof/>
                <w:sz w:val="26"/>
                <w:szCs w:val="26"/>
              </w:rPr>
              <w:t>Comparability.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_Toc148703438 \h </w:instrText>
            </w:r>
            <w:r w:rsidRPr="0072600F">
              <w:rPr>
                <w:b/>
                <w:bCs/>
                <w:i/>
                <w:iCs/>
                <w:noProof/>
                <w:webHidden/>
                <w:sz w:val="26"/>
                <w:szCs w:val="26"/>
              </w:rPr>
              <w:fldChar w:fldCharType="separate"/>
            </w:r>
            <w:r w:rsidR="00C46123">
              <w:rPr>
                <w:noProof/>
                <w:webHidden/>
                <w:sz w:val="26"/>
                <w:szCs w:val="26"/>
              </w:rPr>
              <w:t>- 86 -</w:t>
            </w:r>
            <w:r w:rsidRPr="0072600F">
              <w:rPr>
                <w:b/>
                <w:bCs/>
                <w:i/>
                <w:iCs/>
                <w:noProof/>
                <w:webHidden/>
                <w:sz w:val="26"/>
                <w:szCs w:val="26"/>
              </w:rPr>
              <w:fldChar w:fldCharType="end"/>
            </w:r>
          </w:hyperlink>
        </w:p>
        <w:p w:rsidR="00F3594B" w:rsidRPr="0072600F" w14:paraId="591778DB" w14:textId="77777777">
          <w:pPr>
            <w:pStyle w:val="TOC1"/>
            <w:tabs>
              <w:tab w:val="left" w:pos="1200"/>
            </w:tabs>
            <w:rPr>
              <w:rFonts w:eastAsiaTheme="minorEastAsia"/>
              <w:sz w:val="26"/>
              <w:szCs w:val="26"/>
            </w:rPr>
          </w:pPr>
          <w:hyperlink w:anchor="_Toc148703439" w:history="1">
            <w:r w:rsidRPr="0072600F">
              <w:rPr>
                <w:rStyle w:val="Hyperlink"/>
                <w:sz w:val="26"/>
                <w:szCs w:val="26"/>
              </w:rPr>
              <w:t>Article 22.</w:t>
            </w:r>
            <w:r w:rsidRPr="0072600F">
              <w:rPr>
                <w:rFonts w:eastAsiaTheme="minorEastAsia"/>
                <w:sz w:val="26"/>
                <w:szCs w:val="26"/>
              </w:rPr>
              <w:tab/>
            </w:r>
            <w:r w:rsidRPr="0072600F">
              <w:rPr>
                <w:rStyle w:val="Hyperlink"/>
                <w:sz w:val="26"/>
                <w:szCs w:val="26"/>
              </w:rPr>
              <w:t>Confidentiality</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_Toc148703439 \h </w:instrText>
            </w:r>
            <w:r w:rsidRPr="0072600F">
              <w:rPr>
                <w:webHidden/>
                <w:sz w:val="26"/>
                <w:szCs w:val="26"/>
              </w:rPr>
              <w:fldChar w:fldCharType="separate"/>
            </w:r>
            <w:r w:rsidR="00C46123">
              <w:rPr>
                <w:webHidden/>
                <w:sz w:val="26"/>
                <w:szCs w:val="26"/>
              </w:rPr>
              <w:t>- 86 -</w:t>
            </w:r>
            <w:r w:rsidRPr="0072600F">
              <w:rPr>
                <w:webHidden/>
                <w:sz w:val="26"/>
                <w:szCs w:val="26"/>
              </w:rPr>
              <w:fldChar w:fldCharType="end"/>
            </w:r>
          </w:hyperlink>
        </w:p>
        <w:p w:rsidR="00F3594B" w:rsidRPr="0072600F" w14:paraId="748455FA" w14:textId="77777777">
          <w:pPr>
            <w:pStyle w:val="TOC2"/>
            <w:rPr>
              <w:rFonts w:eastAsiaTheme="minorEastAsia"/>
              <w:b/>
              <w:bCs/>
              <w:i/>
              <w:iCs/>
              <w:noProof/>
              <w:sz w:val="26"/>
              <w:szCs w:val="26"/>
            </w:rPr>
          </w:pPr>
          <w:hyperlink w:anchor="_Toc148703440" w:history="1">
            <w:r w:rsidRPr="0072600F">
              <w:rPr>
                <w:rStyle w:val="Hyperlink"/>
                <w:noProof/>
                <w:sz w:val="26"/>
                <w:szCs w:val="26"/>
              </w:rPr>
              <w:t>22.1</w:t>
            </w:r>
            <w:r w:rsidRPr="0072600F">
              <w:rPr>
                <w:rFonts w:eastAsiaTheme="minorEastAsia"/>
                <w:noProof/>
                <w:sz w:val="26"/>
                <w:szCs w:val="26"/>
              </w:rPr>
              <w:tab/>
            </w:r>
            <w:r w:rsidRPr="0072600F">
              <w:rPr>
                <w:rStyle w:val="Hyperlink"/>
                <w:noProof/>
                <w:sz w:val="26"/>
                <w:szCs w:val="26"/>
              </w:rPr>
              <w:t>Confidentiality.</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_Toc148703440 \h </w:instrText>
            </w:r>
            <w:r w:rsidRPr="0072600F">
              <w:rPr>
                <w:b/>
                <w:bCs/>
                <w:i/>
                <w:iCs/>
                <w:noProof/>
                <w:webHidden/>
                <w:sz w:val="26"/>
                <w:szCs w:val="26"/>
              </w:rPr>
              <w:fldChar w:fldCharType="separate"/>
            </w:r>
            <w:r w:rsidR="00C46123">
              <w:rPr>
                <w:noProof/>
                <w:webHidden/>
                <w:sz w:val="26"/>
                <w:szCs w:val="26"/>
              </w:rPr>
              <w:t>- 86 -</w:t>
            </w:r>
            <w:r w:rsidRPr="0072600F">
              <w:rPr>
                <w:b/>
                <w:bCs/>
                <w:i/>
                <w:iCs/>
                <w:noProof/>
                <w:webHidden/>
                <w:sz w:val="26"/>
                <w:szCs w:val="26"/>
              </w:rPr>
              <w:fldChar w:fldCharType="end"/>
            </w:r>
          </w:hyperlink>
        </w:p>
        <w:p w:rsidR="00F3594B" w:rsidRPr="0072600F" w14:paraId="13E351A8" w14:textId="77777777">
          <w:pPr>
            <w:pStyle w:val="TOC3"/>
            <w:tabs>
              <w:tab w:val="left" w:pos="1200"/>
              <w:tab w:val="right" w:leader="dot" w:pos="9350"/>
            </w:tabs>
            <w:rPr>
              <w:rFonts w:eastAsiaTheme="minorEastAsia"/>
              <w:noProof/>
              <w:sz w:val="26"/>
              <w:szCs w:val="26"/>
            </w:rPr>
          </w:pPr>
          <w:hyperlink w:anchor="_Toc148703441" w:history="1">
            <w:r w:rsidRPr="0072600F">
              <w:rPr>
                <w:rStyle w:val="Hyperlink"/>
                <w:noProof/>
                <w:sz w:val="26"/>
                <w:szCs w:val="26"/>
              </w:rPr>
              <w:t>22.1.1</w:t>
            </w:r>
            <w:r w:rsidRPr="0072600F">
              <w:rPr>
                <w:rFonts w:eastAsiaTheme="minorEastAsia"/>
                <w:noProof/>
                <w:sz w:val="26"/>
                <w:szCs w:val="26"/>
              </w:rPr>
              <w:tab/>
            </w:r>
            <w:r w:rsidRPr="0072600F">
              <w:rPr>
                <w:rStyle w:val="Hyperlink"/>
                <w:noProof/>
                <w:sz w:val="26"/>
                <w:szCs w:val="26"/>
              </w:rPr>
              <w:t xml:space="preserve"> Term.</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_Toc148703441 \h </w:instrText>
            </w:r>
            <w:r w:rsidRPr="0072600F">
              <w:rPr>
                <w:noProof/>
                <w:webHidden/>
                <w:sz w:val="26"/>
                <w:szCs w:val="26"/>
              </w:rPr>
              <w:fldChar w:fldCharType="separate"/>
            </w:r>
            <w:r w:rsidR="00C46123">
              <w:rPr>
                <w:noProof/>
                <w:webHidden/>
                <w:sz w:val="26"/>
                <w:szCs w:val="26"/>
              </w:rPr>
              <w:t>- 86 -</w:t>
            </w:r>
            <w:r w:rsidRPr="0072600F">
              <w:rPr>
                <w:noProof/>
                <w:webHidden/>
                <w:sz w:val="26"/>
                <w:szCs w:val="26"/>
              </w:rPr>
              <w:fldChar w:fldCharType="end"/>
            </w:r>
          </w:hyperlink>
        </w:p>
        <w:p w:rsidR="00F3594B" w:rsidRPr="0072600F" w14:paraId="12C05AFF" w14:textId="77777777">
          <w:pPr>
            <w:pStyle w:val="TOC3"/>
            <w:tabs>
              <w:tab w:val="left" w:pos="1200"/>
              <w:tab w:val="right" w:leader="dot" w:pos="9350"/>
            </w:tabs>
            <w:rPr>
              <w:rFonts w:eastAsiaTheme="minorEastAsia"/>
              <w:noProof/>
              <w:sz w:val="26"/>
              <w:szCs w:val="26"/>
            </w:rPr>
          </w:pPr>
          <w:hyperlink w:anchor="_Toc148703442" w:history="1">
            <w:r w:rsidRPr="0072600F">
              <w:rPr>
                <w:rStyle w:val="Hyperlink"/>
                <w:noProof/>
                <w:sz w:val="26"/>
                <w:szCs w:val="26"/>
              </w:rPr>
              <w:t>22.1.2</w:t>
            </w:r>
            <w:r w:rsidRPr="0072600F">
              <w:rPr>
                <w:rFonts w:eastAsiaTheme="minorEastAsia"/>
                <w:noProof/>
                <w:sz w:val="26"/>
                <w:szCs w:val="26"/>
              </w:rPr>
              <w:tab/>
            </w:r>
            <w:r w:rsidRPr="0072600F">
              <w:rPr>
                <w:rStyle w:val="Hyperlink"/>
                <w:noProof/>
                <w:sz w:val="26"/>
                <w:szCs w:val="26"/>
              </w:rPr>
              <w:t xml:space="preserve"> Scope.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_Toc148703442 \h </w:instrText>
            </w:r>
            <w:r w:rsidRPr="0072600F">
              <w:rPr>
                <w:noProof/>
                <w:webHidden/>
                <w:sz w:val="26"/>
                <w:szCs w:val="26"/>
              </w:rPr>
              <w:fldChar w:fldCharType="separate"/>
            </w:r>
            <w:r w:rsidR="00C46123">
              <w:rPr>
                <w:noProof/>
                <w:webHidden/>
                <w:sz w:val="26"/>
                <w:szCs w:val="26"/>
              </w:rPr>
              <w:t>- 87 -</w:t>
            </w:r>
            <w:r w:rsidRPr="0072600F">
              <w:rPr>
                <w:noProof/>
                <w:webHidden/>
                <w:sz w:val="26"/>
                <w:szCs w:val="26"/>
              </w:rPr>
              <w:fldChar w:fldCharType="end"/>
            </w:r>
          </w:hyperlink>
        </w:p>
        <w:p w:rsidR="00F3594B" w:rsidRPr="0072600F" w14:paraId="786FAE9E" w14:textId="77777777">
          <w:pPr>
            <w:pStyle w:val="TOC3"/>
            <w:tabs>
              <w:tab w:val="left" w:pos="1200"/>
              <w:tab w:val="right" w:leader="dot" w:pos="9350"/>
            </w:tabs>
            <w:rPr>
              <w:rFonts w:eastAsiaTheme="minorEastAsia"/>
              <w:noProof/>
              <w:sz w:val="26"/>
              <w:szCs w:val="26"/>
            </w:rPr>
          </w:pPr>
          <w:hyperlink w:anchor="_Toc148703443" w:history="1">
            <w:r w:rsidRPr="0072600F">
              <w:rPr>
                <w:rStyle w:val="Hyperlink"/>
                <w:noProof/>
                <w:sz w:val="26"/>
                <w:szCs w:val="26"/>
              </w:rPr>
              <w:t>22.1.3</w:t>
            </w:r>
            <w:r w:rsidRPr="0072600F">
              <w:rPr>
                <w:rFonts w:eastAsiaTheme="minorEastAsia"/>
                <w:noProof/>
                <w:sz w:val="26"/>
                <w:szCs w:val="26"/>
              </w:rPr>
              <w:tab/>
            </w:r>
            <w:r w:rsidRPr="0072600F">
              <w:rPr>
                <w:rStyle w:val="Hyperlink"/>
                <w:noProof/>
                <w:sz w:val="26"/>
                <w:szCs w:val="26"/>
              </w:rPr>
              <w:t xml:space="preserve"> Release of Confidential Information.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_Toc148703443 \h </w:instrText>
            </w:r>
            <w:r w:rsidRPr="0072600F">
              <w:rPr>
                <w:noProof/>
                <w:webHidden/>
                <w:sz w:val="26"/>
                <w:szCs w:val="26"/>
              </w:rPr>
              <w:fldChar w:fldCharType="separate"/>
            </w:r>
            <w:r w:rsidR="00C46123">
              <w:rPr>
                <w:noProof/>
                <w:webHidden/>
                <w:sz w:val="26"/>
                <w:szCs w:val="26"/>
              </w:rPr>
              <w:t>- 87 -</w:t>
            </w:r>
            <w:r w:rsidRPr="0072600F">
              <w:rPr>
                <w:noProof/>
                <w:webHidden/>
                <w:sz w:val="26"/>
                <w:szCs w:val="26"/>
              </w:rPr>
              <w:fldChar w:fldCharType="end"/>
            </w:r>
          </w:hyperlink>
        </w:p>
        <w:p w:rsidR="00F3594B" w:rsidRPr="0072600F" w14:paraId="6F8AD643" w14:textId="77777777">
          <w:pPr>
            <w:pStyle w:val="TOC3"/>
            <w:tabs>
              <w:tab w:val="left" w:pos="1200"/>
              <w:tab w:val="right" w:leader="dot" w:pos="9350"/>
            </w:tabs>
            <w:rPr>
              <w:rFonts w:eastAsiaTheme="minorEastAsia"/>
              <w:noProof/>
              <w:sz w:val="26"/>
              <w:szCs w:val="26"/>
            </w:rPr>
          </w:pPr>
          <w:hyperlink w:anchor="_Toc148703444" w:history="1">
            <w:r w:rsidRPr="0072600F">
              <w:rPr>
                <w:rStyle w:val="Hyperlink"/>
                <w:noProof/>
                <w:sz w:val="26"/>
                <w:szCs w:val="26"/>
              </w:rPr>
              <w:t>22.1.4</w:t>
            </w:r>
            <w:r w:rsidRPr="0072600F">
              <w:rPr>
                <w:rFonts w:eastAsiaTheme="minorEastAsia"/>
                <w:noProof/>
                <w:sz w:val="26"/>
                <w:szCs w:val="26"/>
              </w:rPr>
              <w:tab/>
            </w:r>
            <w:r w:rsidRPr="0072600F">
              <w:rPr>
                <w:rStyle w:val="Hyperlink"/>
                <w:noProof/>
                <w:sz w:val="26"/>
                <w:szCs w:val="26"/>
              </w:rPr>
              <w:t xml:space="preserve"> Rights.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_Toc148703444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F3594B" w:rsidRPr="0072600F" w14:paraId="3C4AB3B6" w14:textId="77777777">
          <w:pPr>
            <w:pStyle w:val="TOC3"/>
            <w:tabs>
              <w:tab w:val="left" w:pos="1200"/>
              <w:tab w:val="right" w:leader="dot" w:pos="9350"/>
            </w:tabs>
            <w:rPr>
              <w:rFonts w:eastAsiaTheme="minorEastAsia"/>
              <w:noProof/>
              <w:sz w:val="26"/>
              <w:szCs w:val="26"/>
            </w:rPr>
          </w:pPr>
          <w:hyperlink w:anchor="_Toc148703445" w:history="1">
            <w:r w:rsidRPr="0072600F">
              <w:rPr>
                <w:rStyle w:val="Hyperlink"/>
                <w:noProof/>
                <w:sz w:val="26"/>
                <w:szCs w:val="26"/>
              </w:rPr>
              <w:t>22.1.5</w:t>
            </w:r>
            <w:r w:rsidRPr="0072600F">
              <w:rPr>
                <w:rFonts w:eastAsiaTheme="minorEastAsia"/>
                <w:noProof/>
                <w:sz w:val="26"/>
                <w:szCs w:val="26"/>
              </w:rPr>
              <w:tab/>
            </w:r>
            <w:r w:rsidRPr="0072600F">
              <w:rPr>
                <w:rStyle w:val="Hyperlink"/>
                <w:noProof/>
                <w:sz w:val="26"/>
                <w:szCs w:val="26"/>
              </w:rPr>
              <w:t xml:space="preserve"> No Warranties.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_Toc148703445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F3594B" w:rsidRPr="0072600F" w14:paraId="18DD3233" w14:textId="77777777">
          <w:pPr>
            <w:pStyle w:val="TOC3"/>
            <w:tabs>
              <w:tab w:val="left" w:pos="1200"/>
              <w:tab w:val="right" w:leader="dot" w:pos="9350"/>
            </w:tabs>
            <w:rPr>
              <w:rFonts w:eastAsiaTheme="minorEastAsia"/>
              <w:noProof/>
              <w:sz w:val="26"/>
              <w:szCs w:val="26"/>
            </w:rPr>
          </w:pPr>
          <w:hyperlink w:anchor="_Toc148703446" w:history="1">
            <w:r w:rsidRPr="0072600F">
              <w:rPr>
                <w:rStyle w:val="Hyperlink"/>
                <w:noProof/>
                <w:sz w:val="26"/>
                <w:szCs w:val="26"/>
              </w:rPr>
              <w:t>22.1.6</w:t>
            </w:r>
            <w:r w:rsidRPr="0072600F">
              <w:rPr>
                <w:rFonts w:eastAsiaTheme="minorEastAsia"/>
                <w:noProof/>
                <w:sz w:val="26"/>
                <w:szCs w:val="26"/>
              </w:rPr>
              <w:tab/>
            </w:r>
            <w:r w:rsidRPr="0072600F">
              <w:rPr>
                <w:rStyle w:val="Hyperlink"/>
                <w:noProof/>
                <w:sz w:val="26"/>
                <w:szCs w:val="26"/>
              </w:rPr>
              <w:t xml:space="preserve"> Standard of Care.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_Toc148703446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F3594B" w:rsidRPr="0072600F" w14:paraId="78DB8346" w14:textId="77777777">
          <w:pPr>
            <w:pStyle w:val="TOC3"/>
            <w:tabs>
              <w:tab w:val="left" w:pos="1200"/>
              <w:tab w:val="right" w:leader="dot" w:pos="9350"/>
            </w:tabs>
            <w:rPr>
              <w:rFonts w:eastAsiaTheme="minorEastAsia"/>
              <w:noProof/>
              <w:sz w:val="26"/>
              <w:szCs w:val="26"/>
            </w:rPr>
          </w:pPr>
          <w:hyperlink w:anchor="_Toc148703447" w:history="1">
            <w:r w:rsidRPr="0072600F">
              <w:rPr>
                <w:rStyle w:val="Hyperlink"/>
                <w:noProof/>
                <w:sz w:val="26"/>
                <w:szCs w:val="26"/>
              </w:rPr>
              <w:t>22.1.7</w:t>
            </w:r>
            <w:r w:rsidRPr="0072600F">
              <w:rPr>
                <w:rFonts w:eastAsiaTheme="minorEastAsia"/>
                <w:noProof/>
                <w:sz w:val="26"/>
                <w:szCs w:val="26"/>
              </w:rPr>
              <w:tab/>
            </w:r>
            <w:r w:rsidRPr="0072600F">
              <w:rPr>
                <w:rStyle w:val="Hyperlink"/>
                <w:noProof/>
                <w:sz w:val="26"/>
                <w:szCs w:val="26"/>
              </w:rPr>
              <w:t xml:space="preserve"> Order of Disclosure.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_Toc148703447 \h </w:instrText>
            </w:r>
            <w:r w:rsidRPr="0072600F">
              <w:rPr>
                <w:noProof/>
                <w:webHidden/>
                <w:sz w:val="26"/>
                <w:szCs w:val="26"/>
              </w:rPr>
              <w:fldChar w:fldCharType="separate"/>
            </w:r>
            <w:r w:rsidR="00C46123">
              <w:rPr>
                <w:noProof/>
                <w:webHidden/>
                <w:sz w:val="26"/>
                <w:szCs w:val="26"/>
              </w:rPr>
              <w:t>- 88 -</w:t>
            </w:r>
            <w:r w:rsidRPr="0072600F">
              <w:rPr>
                <w:noProof/>
                <w:webHidden/>
                <w:sz w:val="26"/>
                <w:szCs w:val="26"/>
              </w:rPr>
              <w:fldChar w:fldCharType="end"/>
            </w:r>
          </w:hyperlink>
        </w:p>
        <w:p w:rsidR="00F3594B" w:rsidRPr="0072600F" w14:paraId="18480FD7" w14:textId="77777777">
          <w:pPr>
            <w:pStyle w:val="TOC3"/>
            <w:tabs>
              <w:tab w:val="left" w:pos="1200"/>
              <w:tab w:val="right" w:leader="dot" w:pos="9350"/>
            </w:tabs>
            <w:rPr>
              <w:rFonts w:eastAsiaTheme="minorEastAsia"/>
              <w:noProof/>
              <w:sz w:val="26"/>
              <w:szCs w:val="26"/>
            </w:rPr>
          </w:pPr>
          <w:hyperlink w:anchor="_Toc148703448" w:history="1">
            <w:r w:rsidRPr="0072600F">
              <w:rPr>
                <w:rStyle w:val="Hyperlink"/>
                <w:noProof/>
                <w:sz w:val="26"/>
                <w:szCs w:val="26"/>
              </w:rPr>
              <w:t>22.1.8</w:t>
            </w:r>
            <w:r w:rsidRPr="0072600F">
              <w:rPr>
                <w:rFonts w:eastAsiaTheme="minorEastAsia"/>
                <w:noProof/>
                <w:sz w:val="26"/>
                <w:szCs w:val="26"/>
              </w:rPr>
              <w:tab/>
            </w:r>
            <w:r w:rsidRPr="0072600F">
              <w:rPr>
                <w:rStyle w:val="Hyperlink"/>
                <w:noProof/>
                <w:sz w:val="26"/>
                <w:szCs w:val="26"/>
              </w:rPr>
              <w:t xml:space="preserve"> Termination of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_Toc148703448 \h </w:instrText>
            </w:r>
            <w:r w:rsidRPr="0072600F">
              <w:rPr>
                <w:noProof/>
                <w:webHidden/>
                <w:sz w:val="26"/>
                <w:szCs w:val="26"/>
              </w:rPr>
              <w:fldChar w:fldCharType="separate"/>
            </w:r>
            <w:r w:rsidR="00C46123">
              <w:rPr>
                <w:noProof/>
                <w:webHidden/>
                <w:sz w:val="26"/>
                <w:szCs w:val="26"/>
              </w:rPr>
              <w:t>- 89 -</w:t>
            </w:r>
            <w:r w:rsidRPr="0072600F">
              <w:rPr>
                <w:noProof/>
                <w:webHidden/>
                <w:sz w:val="26"/>
                <w:szCs w:val="26"/>
              </w:rPr>
              <w:fldChar w:fldCharType="end"/>
            </w:r>
          </w:hyperlink>
        </w:p>
        <w:p w:rsidR="00F3594B" w:rsidRPr="0072600F" w14:paraId="1F9464E1" w14:textId="77777777">
          <w:pPr>
            <w:pStyle w:val="TOC3"/>
            <w:tabs>
              <w:tab w:val="left" w:pos="1200"/>
              <w:tab w:val="right" w:leader="dot" w:pos="9350"/>
            </w:tabs>
            <w:rPr>
              <w:rFonts w:eastAsiaTheme="minorEastAsia"/>
              <w:noProof/>
              <w:sz w:val="26"/>
              <w:szCs w:val="26"/>
            </w:rPr>
          </w:pPr>
          <w:hyperlink w:anchor="_Toc148703449" w:history="1">
            <w:r w:rsidRPr="0072600F">
              <w:rPr>
                <w:rStyle w:val="Hyperlink"/>
                <w:noProof/>
                <w:sz w:val="26"/>
                <w:szCs w:val="26"/>
              </w:rPr>
              <w:t>22.1.9</w:t>
            </w:r>
            <w:r w:rsidRPr="0072600F">
              <w:rPr>
                <w:rFonts w:eastAsiaTheme="minorEastAsia"/>
                <w:noProof/>
                <w:sz w:val="26"/>
                <w:szCs w:val="26"/>
              </w:rPr>
              <w:tab/>
            </w:r>
            <w:r w:rsidRPr="0072600F">
              <w:rPr>
                <w:rStyle w:val="Hyperlink"/>
                <w:noProof/>
                <w:sz w:val="26"/>
                <w:szCs w:val="26"/>
              </w:rPr>
              <w:t xml:space="preserve"> Remedies.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_Toc148703449 \h </w:instrText>
            </w:r>
            <w:r w:rsidRPr="0072600F">
              <w:rPr>
                <w:noProof/>
                <w:webHidden/>
                <w:sz w:val="26"/>
                <w:szCs w:val="26"/>
              </w:rPr>
              <w:fldChar w:fldCharType="separate"/>
            </w:r>
            <w:r w:rsidR="00C46123">
              <w:rPr>
                <w:noProof/>
                <w:webHidden/>
                <w:sz w:val="26"/>
                <w:szCs w:val="26"/>
              </w:rPr>
              <w:t>- 89 -</w:t>
            </w:r>
            <w:r w:rsidRPr="0072600F">
              <w:rPr>
                <w:noProof/>
                <w:webHidden/>
                <w:sz w:val="26"/>
                <w:szCs w:val="26"/>
              </w:rPr>
              <w:fldChar w:fldCharType="end"/>
            </w:r>
          </w:hyperlink>
        </w:p>
        <w:p w:rsidR="00F3594B" w:rsidRPr="0072600F" w14:paraId="1AEEC0F1" w14:textId="77777777">
          <w:pPr>
            <w:pStyle w:val="TOC3"/>
            <w:tabs>
              <w:tab w:val="left" w:pos="1400"/>
              <w:tab w:val="right" w:leader="dot" w:pos="9350"/>
            </w:tabs>
            <w:rPr>
              <w:rFonts w:eastAsiaTheme="minorEastAsia"/>
              <w:noProof/>
              <w:sz w:val="26"/>
              <w:szCs w:val="26"/>
            </w:rPr>
          </w:pPr>
          <w:hyperlink w:anchor="_Toc148703450" w:history="1">
            <w:r w:rsidRPr="0072600F">
              <w:rPr>
                <w:rStyle w:val="Hyperlink"/>
                <w:noProof/>
                <w:sz w:val="26"/>
                <w:szCs w:val="26"/>
              </w:rPr>
              <w:t>22.1.10</w:t>
            </w:r>
            <w:r w:rsidRPr="0072600F">
              <w:rPr>
                <w:rFonts w:eastAsiaTheme="minorEastAsia"/>
                <w:noProof/>
                <w:sz w:val="26"/>
                <w:szCs w:val="26"/>
              </w:rPr>
              <w:tab/>
            </w:r>
            <w:r w:rsidRPr="0072600F">
              <w:rPr>
                <w:rStyle w:val="Hyperlink"/>
                <w:noProof/>
                <w:sz w:val="26"/>
                <w:szCs w:val="26"/>
              </w:rPr>
              <w:t>Disclosure to FERC, its Staff, or a State.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_Toc148703450 \h </w:instrText>
            </w:r>
            <w:r w:rsidRPr="0072600F">
              <w:rPr>
                <w:noProof/>
                <w:webHidden/>
                <w:sz w:val="26"/>
                <w:szCs w:val="26"/>
              </w:rPr>
              <w:fldChar w:fldCharType="separate"/>
            </w:r>
            <w:r w:rsidR="00C46123">
              <w:rPr>
                <w:noProof/>
                <w:webHidden/>
                <w:sz w:val="26"/>
                <w:szCs w:val="26"/>
              </w:rPr>
              <w:t>- 89 -</w:t>
            </w:r>
            <w:r w:rsidRPr="0072600F">
              <w:rPr>
                <w:noProof/>
                <w:webHidden/>
                <w:sz w:val="26"/>
                <w:szCs w:val="26"/>
              </w:rPr>
              <w:fldChar w:fldCharType="end"/>
            </w:r>
          </w:hyperlink>
        </w:p>
        <w:p w:rsidR="00F3594B" w:rsidRPr="0072600F" w14:paraId="546C8FAD" w14:textId="77777777">
          <w:pPr>
            <w:pStyle w:val="TOC1"/>
            <w:tabs>
              <w:tab w:val="left" w:pos="1200"/>
            </w:tabs>
            <w:rPr>
              <w:rFonts w:eastAsiaTheme="minorEastAsia"/>
              <w:sz w:val="26"/>
              <w:szCs w:val="26"/>
            </w:rPr>
          </w:pPr>
          <w:hyperlink w:anchor="_Toc148703451" w:history="1">
            <w:r w:rsidRPr="0072600F">
              <w:rPr>
                <w:rStyle w:val="Hyperlink"/>
                <w:sz w:val="26"/>
                <w:szCs w:val="26"/>
              </w:rPr>
              <w:t>Article 23.</w:t>
            </w:r>
            <w:r w:rsidRPr="0072600F">
              <w:rPr>
                <w:rFonts w:eastAsiaTheme="minorEastAsia"/>
                <w:sz w:val="26"/>
                <w:szCs w:val="26"/>
              </w:rPr>
              <w:tab/>
            </w:r>
            <w:r w:rsidRPr="0072600F">
              <w:rPr>
                <w:rStyle w:val="Hyperlink"/>
                <w:sz w:val="26"/>
                <w:szCs w:val="26"/>
              </w:rPr>
              <w:t>Environmental Releases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_Toc148703451 \h </w:instrText>
            </w:r>
            <w:r w:rsidRPr="0072600F">
              <w:rPr>
                <w:webHidden/>
                <w:sz w:val="26"/>
                <w:szCs w:val="26"/>
              </w:rPr>
              <w:fldChar w:fldCharType="separate"/>
            </w:r>
            <w:r w:rsidR="00C46123">
              <w:rPr>
                <w:webHidden/>
                <w:sz w:val="26"/>
                <w:szCs w:val="26"/>
              </w:rPr>
              <w:t>- 91 -</w:t>
            </w:r>
            <w:r w:rsidRPr="0072600F">
              <w:rPr>
                <w:webHidden/>
                <w:sz w:val="26"/>
                <w:szCs w:val="26"/>
              </w:rPr>
              <w:fldChar w:fldCharType="end"/>
            </w:r>
          </w:hyperlink>
        </w:p>
        <w:p w:rsidR="00F3594B" w:rsidRPr="0072600F" w14:paraId="63D0CD8A" w14:textId="77777777">
          <w:pPr>
            <w:pStyle w:val="TOC1"/>
            <w:tabs>
              <w:tab w:val="left" w:pos="1200"/>
            </w:tabs>
            <w:rPr>
              <w:rFonts w:eastAsiaTheme="minorEastAsia"/>
              <w:sz w:val="26"/>
              <w:szCs w:val="26"/>
            </w:rPr>
          </w:pPr>
          <w:hyperlink w:anchor="_Toc148703452" w:history="1">
            <w:r w:rsidRPr="0072600F">
              <w:rPr>
                <w:rStyle w:val="Hyperlink"/>
                <w:sz w:val="26"/>
                <w:szCs w:val="26"/>
              </w:rPr>
              <w:t>Article 24.</w:t>
            </w:r>
            <w:r w:rsidRPr="0072600F">
              <w:rPr>
                <w:rFonts w:eastAsiaTheme="minorEastAsia"/>
                <w:sz w:val="26"/>
                <w:szCs w:val="26"/>
              </w:rPr>
              <w:tab/>
            </w:r>
            <w:r w:rsidRPr="0072600F">
              <w:rPr>
                <w:rStyle w:val="Hyperlink"/>
                <w:sz w:val="26"/>
                <w:szCs w:val="26"/>
              </w:rPr>
              <w:t>Information Requirements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_Toc148703452 \h </w:instrText>
            </w:r>
            <w:r w:rsidRPr="0072600F">
              <w:rPr>
                <w:webHidden/>
                <w:sz w:val="26"/>
                <w:szCs w:val="26"/>
              </w:rPr>
              <w:fldChar w:fldCharType="separate"/>
            </w:r>
            <w:r w:rsidR="00C46123">
              <w:rPr>
                <w:webHidden/>
                <w:sz w:val="26"/>
                <w:szCs w:val="26"/>
              </w:rPr>
              <w:t>- 91 -</w:t>
            </w:r>
            <w:r w:rsidRPr="0072600F">
              <w:rPr>
                <w:webHidden/>
                <w:sz w:val="26"/>
                <w:szCs w:val="26"/>
              </w:rPr>
              <w:fldChar w:fldCharType="end"/>
            </w:r>
          </w:hyperlink>
        </w:p>
        <w:p w:rsidR="00F3594B" w:rsidRPr="0072600F" w14:paraId="5C6A2456" w14:textId="77777777">
          <w:pPr>
            <w:pStyle w:val="TOC2"/>
            <w:rPr>
              <w:rFonts w:eastAsiaTheme="minorEastAsia"/>
              <w:b/>
              <w:bCs/>
              <w:i/>
              <w:iCs/>
              <w:noProof/>
              <w:sz w:val="26"/>
              <w:szCs w:val="26"/>
            </w:rPr>
          </w:pPr>
          <w:hyperlink w:anchor="_Toc148703453" w:history="1">
            <w:r w:rsidRPr="0072600F">
              <w:rPr>
                <w:rStyle w:val="Hyperlink"/>
                <w:noProof/>
                <w:sz w:val="26"/>
                <w:szCs w:val="26"/>
              </w:rPr>
              <w:t>24.1</w:t>
            </w:r>
            <w:r w:rsidRPr="0072600F">
              <w:rPr>
                <w:rFonts w:eastAsiaTheme="minorEastAsia"/>
                <w:noProof/>
                <w:sz w:val="26"/>
                <w:szCs w:val="26"/>
              </w:rPr>
              <w:tab/>
            </w:r>
            <w:r w:rsidRPr="0072600F">
              <w:rPr>
                <w:rStyle w:val="Hyperlink"/>
                <w:noProof/>
                <w:sz w:val="26"/>
                <w:szCs w:val="26"/>
              </w:rPr>
              <w:t>Information Acquisition.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_Toc148703453 \h </w:instrText>
            </w:r>
            <w:r w:rsidRPr="0072600F">
              <w:rPr>
                <w:b/>
                <w:bCs/>
                <w:i/>
                <w:iCs/>
                <w:noProof/>
                <w:webHidden/>
                <w:sz w:val="26"/>
                <w:szCs w:val="26"/>
              </w:rPr>
              <w:fldChar w:fldCharType="separate"/>
            </w:r>
            <w:r w:rsidR="00C46123">
              <w:rPr>
                <w:noProof/>
                <w:webHidden/>
                <w:sz w:val="26"/>
                <w:szCs w:val="26"/>
              </w:rPr>
              <w:t>- 91 -</w:t>
            </w:r>
            <w:r w:rsidRPr="0072600F">
              <w:rPr>
                <w:b/>
                <w:bCs/>
                <w:i/>
                <w:iCs/>
                <w:noProof/>
                <w:webHidden/>
                <w:sz w:val="26"/>
                <w:szCs w:val="26"/>
              </w:rPr>
              <w:fldChar w:fldCharType="end"/>
            </w:r>
          </w:hyperlink>
        </w:p>
        <w:p w:rsidR="00F3594B" w:rsidRPr="0072600F" w14:paraId="6F00E516" w14:textId="77777777">
          <w:pPr>
            <w:pStyle w:val="TOC2"/>
            <w:rPr>
              <w:rFonts w:eastAsiaTheme="minorEastAsia"/>
              <w:b/>
              <w:bCs/>
              <w:i/>
              <w:iCs/>
              <w:noProof/>
              <w:sz w:val="26"/>
              <w:szCs w:val="26"/>
            </w:rPr>
          </w:pPr>
          <w:hyperlink w:anchor="_Toc148703454" w:history="1">
            <w:r w:rsidRPr="0072600F">
              <w:rPr>
                <w:rStyle w:val="Hyperlink"/>
                <w:noProof/>
                <w:sz w:val="26"/>
                <w:szCs w:val="26"/>
              </w:rPr>
              <w:t>24.2</w:t>
            </w:r>
            <w:r w:rsidRPr="0072600F">
              <w:rPr>
                <w:rFonts w:eastAsiaTheme="minorEastAsia"/>
                <w:noProof/>
                <w:sz w:val="26"/>
                <w:szCs w:val="26"/>
              </w:rPr>
              <w:tab/>
            </w:r>
            <w:r w:rsidRPr="0072600F">
              <w:rPr>
                <w:rStyle w:val="Hyperlink"/>
                <w:noProof/>
                <w:sz w:val="26"/>
                <w:szCs w:val="26"/>
              </w:rPr>
              <w:t>Information Submission by Transmission Provider.</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_Toc148703454 \h </w:instrText>
            </w:r>
            <w:r w:rsidRPr="0072600F">
              <w:rPr>
                <w:b/>
                <w:bCs/>
                <w:i/>
                <w:iCs/>
                <w:noProof/>
                <w:webHidden/>
                <w:sz w:val="26"/>
                <w:szCs w:val="26"/>
              </w:rPr>
              <w:fldChar w:fldCharType="separate"/>
            </w:r>
            <w:r w:rsidR="00C46123">
              <w:rPr>
                <w:noProof/>
                <w:webHidden/>
                <w:sz w:val="26"/>
                <w:szCs w:val="26"/>
              </w:rPr>
              <w:t>- 91 -</w:t>
            </w:r>
            <w:r w:rsidRPr="0072600F">
              <w:rPr>
                <w:b/>
                <w:bCs/>
                <w:i/>
                <w:iCs/>
                <w:noProof/>
                <w:webHidden/>
                <w:sz w:val="26"/>
                <w:szCs w:val="26"/>
              </w:rPr>
              <w:fldChar w:fldCharType="end"/>
            </w:r>
          </w:hyperlink>
        </w:p>
        <w:p w:rsidR="00F3594B" w:rsidRPr="0072600F" w14:paraId="106161C6" w14:textId="77777777">
          <w:pPr>
            <w:pStyle w:val="TOC2"/>
            <w:rPr>
              <w:rFonts w:eastAsiaTheme="minorEastAsia"/>
              <w:b/>
              <w:bCs/>
              <w:i/>
              <w:iCs/>
              <w:noProof/>
              <w:sz w:val="26"/>
              <w:szCs w:val="26"/>
            </w:rPr>
          </w:pPr>
          <w:hyperlink w:anchor="_Toc148703455" w:history="1">
            <w:r w:rsidRPr="0072600F">
              <w:rPr>
                <w:rStyle w:val="Hyperlink"/>
                <w:noProof/>
                <w:sz w:val="26"/>
                <w:szCs w:val="26"/>
              </w:rPr>
              <w:t>24.3</w:t>
            </w:r>
            <w:r w:rsidRPr="0072600F">
              <w:rPr>
                <w:rFonts w:eastAsiaTheme="minorEastAsia"/>
                <w:noProof/>
                <w:sz w:val="26"/>
                <w:szCs w:val="26"/>
              </w:rPr>
              <w:tab/>
            </w:r>
            <w:r w:rsidRPr="0072600F">
              <w:rPr>
                <w:rStyle w:val="Hyperlink"/>
                <w:noProof/>
                <w:sz w:val="26"/>
                <w:szCs w:val="26"/>
              </w:rPr>
              <w:t>Updated Information Submission by Interconnection Customer.</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_Toc148703455 \h </w:instrText>
            </w:r>
            <w:r w:rsidRPr="0072600F">
              <w:rPr>
                <w:b/>
                <w:bCs/>
                <w:i/>
                <w:iCs/>
                <w:noProof/>
                <w:webHidden/>
                <w:sz w:val="26"/>
                <w:szCs w:val="26"/>
              </w:rPr>
              <w:fldChar w:fldCharType="separate"/>
            </w:r>
            <w:r w:rsidR="00C46123">
              <w:rPr>
                <w:noProof/>
                <w:webHidden/>
                <w:sz w:val="26"/>
                <w:szCs w:val="26"/>
              </w:rPr>
              <w:t>- 92 -</w:t>
            </w:r>
            <w:r w:rsidRPr="0072600F">
              <w:rPr>
                <w:b/>
                <w:bCs/>
                <w:i/>
                <w:iCs/>
                <w:noProof/>
                <w:webHidden/>
                <w:sz w:val="26"/>
                <w:szCs w:val="26"/>
              </w:rPr>
              <w:fldChar w:fldCharType="end"/>
            </w:r>
          </w:hyperlink>
        </w:p>
        <w:p w:rsidR="00F3594B" w:rsidRPr="0072600F" w14:paraId="02F0A840" w14:textId="77777777">
          <w:pPr>
            <w:pStyle w:val="TOC2"/>
            <w:rPr>
              <w:rFonts w:eastAsiaTheme="minorEastAsia"/>
              <w:b/>
              <w:bCs/>
              <w:i/>
              <w:iCs/>
              <w:noProof/>
              <w:sz w:val="26"/>
              <w:szCs w:val="26"/>
            </w:rPr>
          </w:pPr>
          <w:hyperlink w:anchor="_Toc148703456" w:history="1">
            <w:r w:rsidRPr="0072600F">
              <w:rPr>
                <w:rStyle w:val="Hyperlink"/>
                <w:noProof/>
                <w:sz w:val="26"/>
                <w:szCs w:val="26"/>
              </w:rPr>
              <w:t>24.4</w:t>
            </w:r>
            <w:r w:rsidRPr="0072600F">
              <w:rPr>
                <w:rFonts w:eastAsiaTheme="minorEastAsia"/>
                <w:noProof/>
                <w:sz w:val="26"/>
                <w:szCs w:val="26"/>
              </w:rPr>
              <w:tab/>
            </w:r>
            <w:r w:rsidRPr="0072600F">
              <w:rPr>
                <w:rStyle w:val="Hyperlink"/>
                <w:noProof/>
                <w:sz w:val="26"/>
                <w:szCs w:val="26"/>
              </w:rPr>
              <w:t>Information Supplementation.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_Toc148703456 \h </w:instrText>
            </w:r>
            <w:r w:rsidRPr="0072600F">
              <w:rPr>
                <w:b/>
                <w:bCs/>
                <w:i/>
                <w:iCs/>
                <w:noProof/>
                <w:webHidden/>
                <w:sz w:val="26"/>
                <w:szCs w:val="26"/>
              </w:rPr>
              <w:fldChar w:fldCharType="separate"/>
            </w:r>
            <w:r w:rsidR="00C46123">
              <w:rPr>
                <w:noProof/>
                <w:webHidden/>
                <w:sz w:val="26"/>
                <w:szCs w:val="26"/>
              </w:rPr>
              <w:t>- 92 -</w:t>
            </w:r>
            <w:r w:rsidRPr="0072600F">
              <w:rPr>
                <w:b/>
                <w:bCs/>
                <w:i/>
                <w:iCs/>
                <w:noProof/>
                <w:webHidden/>
                <w:sz w:val="26"/>
                <w:szCs w:val="26"/>
              </w:rPr>
              <w:fldChar w:fldCharType="end"/>
            </w:r>
          </w:hyperlink>
        </w:p>
        <w:p w:rsidR="00F3594B" w:rsidRPr="0072600F" w14:paraId="65733F05" w14:textId="77777777">
          <w:pPr>
            <w:pStyle w:val="TOC1"/>
            <w:tabs>
              <w:tab w:val="left" w:pos="1200"/>
            </w:tabs>
            <w:rPr>
              <w:rFonts w:eastAsiaTheme="minorEastAsia"/>
              <w:sz w:val="26"/>
              <w:szCs w:val="26"/>
            </w:rPr>
          </w:pPr>
          <w:hyperlink w:anchor="_Toc148703457" w:history="1">
            <w:r w:rsidRPr="0072600F">
              <w:rPr>
                <w:rStyle w:val="Hyperlink"/>
                <w:sz w:val="26"/>
                <w:szCs w:val="26"/>
              </w:rPr>
              <w:t>Article 25.</w:t>
            </w:r>
            <w:r w:rsidRPr="0072600F">
              <w:rPr>
                <w:rFonts w:eastAsiaTheme="minorEastAsia"/>
                <w:sz w:val="26"/>
                <w:szCs w:val="26"/>
              </w:rPr>
              <w:tab/>
            </w:r>
            <w:r w:rsidRPr="0072600F">
              <w:rPr>
                <w:rStyle w:val="Hyperlink"/>
                <w:sz w:val="26"/>
                <w:szCs w:val="26"/>
              </w:rPr>
              <w:t>Information Access and Audit Rights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_Toc148703457 \h </w:instrText>
            </w:r>
            <w:r w:rsidRPr="0072600F">
              <w:rPr>
                <w:webHidden/>
                <w:sz w:val="26"/>
                <w:szCs w:val="26"/>
              </w:rPr>
              <w:fldChar w:fldCharType="separate"/>
            </w:r>
            <w:r w:rsidR="00C46123">
              <w:rPr>
                <w:webHidden/>
                <w:sz w:val="26"/>
                <w:szCs w:val="26"/>
              </w:rPr>
              <w:t>- 93 -</w:t>
            </w:r>
            <w:r w:rsidRPr="0072600F">
              <w:rPr>
                <w:webHidden/>
                <w:sz w:val="26"/>
                <w:szCs w:val="26"/>
              </w:rPr>
              <w:fldChar w:fldCharType="end"/>
            </w:r>
          </w:hyperlink>
        </w:p>
        <w:p w:rsidR="00F3594B" w:rsidRPr="0072600F" w14:paraId="11457D43" w14:textId="77777777">
          <w:pPr>
            <w:pStyle w:val="TOC2"/>
            <w:rPr>
              <w:rFonts w:eastAsiaTheme="minorEastAsia"/>
              <w:b/>
              <w:bCs/>
              <w:i/>
              <w:iCs/>
              <w:noProof/>
              <w:sz w:val="26"/>
              <w:szCs w:val="26"/>
            </w:rPr>
          </w:pPr>
          <w:hyperlink w:anchor="_Toc148703458" w:history="1">
            <w:r w:rsidRPr="0072600F">
              <w:rPr>
                <w:rStyle w:val="Hyperlink"/>
                <w:noProof/>
                <w:sz w:val="26"/>
                <w:szCs w:val="26"/>
              </w:rPr>
              <w:t>25.1</w:t>
            </w:r>
            <w:r w:rsidRPr="0072600F">
              <w:rPr>
                <w:rFonts w:eastAsiaTheme="minorEastAsia"/>
                <w:noProof/>
                <w:sz w:val="26"/>
                <w:szCs w:val="26"/>
              </w:rPr>
              <w:tab/>
            </w:r>
            <w:r w:rsidRPr="0072600F">
              <w:rPr>
                <w:rStyle w:val="Hyperlink"/>
                <w:noProof/>
                <w:sz w:val="26"/>
                <w:szCs w:val="26"/>
              </w:rPr>
              <w:t>Information Access.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_Toc148703458 \h </w:instrText>
            </w:r>
            <w:r w:rsidRPr="0072600F">
              <w:rPr>
                <w:b/>
                <w:bCs/>
                <w:i/>
                <w:iCs/>
                <w:noProof/>
                <w:webHidden/>
                <w:sz w:val="26"/>
                <w:szCs w:val="26"/>
              </w:rPr>
              <w:fldChar w:fldCharType="separate"/>
            </w:r>
            <w:r w:rsidR="00C46123">
              <w:rPr>
                <w:noProof/>
                <w:webHidden/>
                <w:sz w:val="26"/>
                <w:szCs w:val="26"/>
              </w:rPr>
              <w:t>- 93 -</w:t>
            </w:r>
            <w:r w:rsidRPr="0072600F">
              <w:rPr>
                <w:b/>
                <w:bCs/>
                <w:i/>
                <w:iCs/>
                <w:noProof/>
                <w:webHidden/>
                <w:sz w:val="26"/>
                <w:szCs w:val="26"/>
              </w:rPr>
              <w:fldChar w:fldCharType="end"/>
            </w:r>
          </w:hyperlink>
        </w:p>
        <w:p w:rsidR="00F3594B" w:rsidRPr="0072600F" w14:paraId="31E320AC" w14:textId="77777777">
          <w:pPr>
            <w:pStyle w:val="TOC2"/>
            <w:rPr>
              <w:rFonts w:eastAsiaTheme="minorEastAsia"/>
              <w:b/>
              <w:bCs/>
              <w:i/>
              <w:iCs/>
              <w:noProof/>
              <w:sz w:val="26"/>
              <w:szCs w:val="26"/>
            </w:rPr>
          </w:pPr>
          <w:hyperlink w:anchor="_Toc148703459" w:history="1">
            <w:r w:rsidRPr="0072600F">
              <w:rPr>
                <w:rStyle w:val="Hyperlink"/>
                <w:noProof/>
                <w:sz w:val="26"/>
                <w:szCs w:val="26"/>
              </w:rPr>
              <w:t>25.2</w:t>
            </w:r>
            <w:r w:rsidRPr="0072600F">
              <w:rPr>
                <w:rFonts w:eastAsiaTheme="minorEastAsia"/>
                <w:noProof/>
                <w:sz w:val="26"/>
                <w:szCs w:val="26"/>
              </w:rPr>
              <w:tab/>
            </w:r>
            <w:r w:rsidRPr="0072600F">
              <w:rPr>
                <w:rStyle w:val="Hyperlink"/>
                <w:noProof/>
                <w:sz w:val="26"/>
                <w:szCs w:val="26"/>
              </w:rPr>
              <w:t>Reporting of Non-Force Majeure Events.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_Toc148703459 \h </w:instrText>
            </w:r>
            <w:r w:rsidRPr="0072600F">
              <w:rPr>
                <w:b/>
                <w:bCs/>
                <w:i/>
                <w:iCs/>
                <w:noProof/>
                <w:webHidden/>
                <w:sz w:val="26"/>
                <w:szCs w:val="26"/>
              </w:rPr>
              <w:fldChar w:fldCharType="separate"/>
            </w:r>
            <w:r w:rsidR="00C46123">
              <w:rPr>
                <w:noProof/>
                <w:webHidden/>
                <w:sz w:val="26"/>
                <w:szCs w:val="26"/>
              </w:rPr>
              <w:t>- 94 -</w:t>
            </w:r>
            <w:r w:rsidRPr="0072600F">
              <w:rPr>
                <w:b/>
                <w:bCs/>
                <w:i/>
                <w:iCs/>
                <w:noProof/>
                <w:webHidden/>
                <w:sz w:val="26"/>
                <w:szCs w:val="26"/>
              </w:rPr>
              <w:fldChar w:fldCharType="end"/>
            </w:r>
          </w:hyperlink>
        </w:p>
        <w:p w:rsidR="00F3594B" w:rsidRPr="0072600F" w14:paraId="71693C33" w14:textId="77777777">
          <w:pPr>
            <w:pStyle w:val="TOC2"/>
            <w:rPr>
              <w:rFonts w:eastAsiaTheme="minorEastAsia"/>
              <w:b/>
              <w:bCs/>
              <w:i/>
              <w:iCs/>
              <w:noProof/>
              <w:sz w:val="26"/>
              <w:szCs w:val="26"/>
            </w:rPr>
          </w:pPr>
          <w:hyperlink w:anchor="_Toc148703460" w:history="1">
            <w:r w:rsidRPr="0072600F">
              <w:rPr>
                <w:rStyle w:val="Hyperlink"/>
                <w:noProof/>
                <w:sz w:val="26"/>
                <w:szCs w:val="26"/>
              </w:rPr>
              <w:t>25.3</w:t>
            </w:r>
            <w:r w:rsidRPr="0072600F">
              <w:rPr>
                <w:rFonts w:eastAsiaTheme="minorEastAsia"/>
                <w:noProof/>
                <w:sz w:val="26"/>
                <w:szCs w:val="26"/>
              </w:rPr>
              <w:tab/>
            </w:r>
            <w:r w:rsidRPr="0072600F">
              <w:rPr>
                <w:rStyle w:val="Hyperlink"/>
                <w:noProof/>
                <w:sz w:val="26"/>
                <w:szCs w:val="26"/>
              </w:rPr>
              <w:t>Audit Rights.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_Toc148703460 \h </w:instrText>
            </w:r>
            <w:r w:rsidRPr="0072600F">
              <w:rPr>
                <w:b/>
                <w:bCs/>
                <w:i/>
                <w:iCs/>
                <w:noProof/>
                <w:webHidden/>
                <w:sz w:val="26"/>
                <w:szCs w:val="26"/>
              </w:rPr>
              <w:fldChar w:fldCharType="separate"/>
            </w:r>
            <w:r w:rsidR="00C46123">
              <w:rPr>
                <w:noProof/>
                <w:webHidden/>
                <w:sz w:val="26"/>
                <w:szCs w:val="26"/>
              </w:rPr>
              <w:t>- 94 -</w:t>
            </w:r>
            <w:r w:rsidRPr="0072600F">
              <w:rPr>
                <w:b/>
                <w:bCs/>
                <w:i/>
                <w:iCs/>
                <w:noProof/>
                <w:webHidden/>
                <w:sz w:val="26"/>
                <w:szCs w:val="26"/>
              </w:rPr>
              <w:fldChar w:fldCharType="end"/>
            </w:r>
          </w:hyperlink>
        </w:p>
        <w:p w:rsidR="00F3594B" w:rsidRPr="0072600F" w14:paraId="6D3768EF" w14:textId="77777777">
          <w:pPr>
            <w:pStyle w:val="TOC2"/>
            <w:rPr>
              <w:rFonts w:eastAsiaTheme="minorEastAsia"/>
              <w:b/>
              <w:bCs/>
              <w:i/>
              <w:iCs/>
              <w:noProof/>
              <w:sz w:val="26"/>
              <w:szCs w:val="26"/>
            </w:rPr>
          </w:pPr>
          <w:hyperlink w:anchor="_Toc148703461" w:history="1">
            <w:r w:rsidRPr="0072600F">
              <w:rPr>
                <w:rStyle w:val="Hyperlink"/>
                <w:noProof/>
                <w:sz w:val="26"/>
                <w:szCs w:val="26"/>
              </w:rPr>
              <w:t>25.4</w:t>
            </w:r>
            <w:r w:rsidRPr="0072600F">
              <w:rPr>
                <w:rFonts w:eastAsiaTheme="minorEastAsia"/>
                <w:noProof/>
                <w:sz w:val="26"/>
                <w:szCs w:val="26"/>
              </w:rPr>
              <w:tab/>
            </w:r>
            <w:r w:rsidRPr="0072600F">
              <w:rPr>
                <w:rStyle w:val="Hyperlink"/>
                <w:noProof/>
                <w:sz w:val="26"/>
                <w:szCs w:val="26"/>
              </w:rPr>
              <w:t>Audit Rights Periods.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_Toc148703461 \h </w:instrText>
            </w:r>
            <w:r w:rsidRPr="0072600F">
              <w:rPr>
                <w:b/>
                <w:bCs/>
                <w:i/>
                <w:iCs/>
                <w:noProof/>
                <w:webHidden/>
                <w:sz w:val="26"/>
                <w:szCs w:val="26"/>
              </w:rPr>
              <w:fldChar w:fldCharType="separate"/>
            </w:r>
            <w:r w:rsidR="00C46123">
              <w:rPr>
                <w:noProof/>
                <w:webHidden/>
                <w:sz w:val="26"/>
                <w:szCs w:val="26"/>
              </w:rPr>
              <w:t>- 94 -</w:t>
            </w:r>
            <w:r w:rsidRPr="0072600F">
              <w:rPr>
                <w:b/>
                <w:bCs/>
                <w:i/>
                <w:iCs/>
                <w:noProof/>
                <w:webHidden/>
                <w:sz w:val="26"/>
                <w:szCs w:val="26"/>
              </w:rPr>
              <w:fldChar w:fldCharType="end"/>
            </w:r>
          </w:hyperlink>
        </w:p>
        <w:p w:rsidR="00F3594B" w:rsidRPr="0072600F" w14:paraId="01C19522" w14:textId="77777777">
          <w:pPr>
            <w:pStyle w:val="TOC3"/>
            <w:tabs>
              <w:tab w:val="left" w:pos="1200"/>
              <w:tab w:val="right" w:leader="dot" w:pos="9350"/>
            </w:tabs>
            <w:rPr>
              <w:rFonts w:eastAsiaTheme="minorEastAsia"/>
              <w:noProof/>
              <w:sz w:val="26"/>
              <w:szCs w:val="26"/>
            </w:rPr>
          </w:pPr>
          <w:hyperlink w:anchor="_Toc148703462" w:history="1">
            <w:r w:rsidRPr="0072600F">
              <w:rPr>
                <w:rStyle w:val="Hyperlink"/>
                <w:noProof/>
                <w:sz w:val="26"/>
                <w:szCs w:val="26"/>
              </w:rPr>
              <w:t>25.4.1</w:t>
            </w:r>
            <w:r w:rsidRPr="0072600F">
              <w:rPr>
                <w:rFonts w:eastAsiaTheme="minorEastAsia"/>
                <w:noProof/>
                <w:sz w:val="26"/>
                <w:szCs w:val="26"/>
              </w:rPr>
              <w:tab/>
            </w:r>
            <w:r w:rsidRPr="0072600F">
              <w:rPr>
                <w:rStyle w:val="Hyperlink"/>
                <w:noProof/>
                <w:sz w:val="26"/>
                <w:szCs w:val="26"/>
              </w:rPr>
              <w:t xml:space="preserve"> Audit Rights Period for Construction-Related Accounts and Records.       </w:t>
            </w:r>
            <w:r w:rsidRPr="0072600F">
              <w:rPr>
                <w:rStyle w:val="Hyperlink"/>
                <w:noProof/>
                <w:sz w:val="26"/>
                <w:szCs w:val="26"/>
              </w:rPr>
              <w:tab/>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_Toc148703462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F3594B" w:rsidRPr="0072600F" w14:paraId="7A82FA03" w14:textId="77777777">
          <w:pPr>
            <w:pStyle w:val="TOC3"/>
            <w:tabs>
              <w:tab w:val="left" w:pos="1200"/>
              <w:tab w:val="right" w:leader="dot" w:pos="9350"/>
            </w:tabs>
            <w:rPr>
              <w:rFonts w:eastAsiaTheme="minorEastAsia"/>
              <w:noProof/>
              <w:sz w:val="26"/>
              <w:szCs w:val="26"/>
            </w:rPr>
          </w:pPr>
          <w:hyperlink w:anchor="_Toc148703463" w:history="1">
            <w:r w:rsidRPr="0072600F">
              <w:rPr>
                <w:rStyle w:val="Hyperlink"/>
                <w:noProof/>
                <w:sz w:val="26"/>
                <w:szCs w:val="26"/>
              </w:rPr>
              <w:t>25.4.2</w:t>
            </w:r>
            <w:r w:rsidRPr="0072600F">
              <w:rPr>
                <w:rFonts w:eastAsiaTheme="minorEastAsia"/>
                <w:noProof/>
                <w:sz w:val="26"/>
                <w:szCs w:val="26"/>
              </w:rPr>
              <w:tab/>
            </w:r>
            <w:r w:rsidRPr="0072600F">
              <w:rPr>
                <w:rStyle w:val="Hyperlink"/>
                <w:noProof/>
                <w:sz w:val="26"/>
                <w:szCs w:val="26"/>
              </w:rPr>
              <w:t xml:space="preserve"> Audit Rights Period for All Other Accounts and Records.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_Toc148703463 \h </w:instrText>
            </w:r>
            <w:r w:rsidRPr="0072600F">
              <w:rPr>
                <w:noProof/>
                <w:webHidden/>
                <w:sz w:val="26"/>
                <w:szCs w:val="26"/>
              </w:rPr>
              <w:fldChar w:fldCharType="separate"/>
            </w:r>
            <w:r w:rsidR="00C46123">
              <w:rPr>
                <w:noProof/>
                <w:webHidden/>
                <w:sz w:val="26"/>
                <w:szCs w:val="26"/>
              </w:rPr>
              <w:t>- 95 -</w:t>
            </w:r>
            <w:r w:rsidRPr="0072600F">
              <w:rPr>
                <w:noProof/>
                <w:webHidden/>
                <w:sz w:val="26"/>
                <w:szCs w:val="26"/>
              </w:rPr>
              <w:fldChar w:fldCharType="end"/>
            </w:r>
          </w:hyperlink>
        </w:p>
        <w:p w:rsidR="00F3594B" w:rsidRPr="0072600F" w14:paraId="0DBE3BEF" w14:textId="77777777">
          <w:pPr>
            <w:pStyle w:val="TOC2"/>
            <w:rPr>
              <w:rFonts w:eastAsiaTheme="minorEastAsia"/>
              <w:b/>
              <w:bCs/>
              <w:i/>
              <w:iCs/>
              <w:noProof/>
              <w:sz w:val="26"/>
              <w:szCs w:val="26"/>
            </w:rPr>
          </w:pPr>
          <w:hyperlink w:anchor="_Toc148703464" w:history="1">
            <w:r w:rsidRPr="0072600F">
              <w:rPr>
                <w:rStyle w:val="Hyperlink"/>
                <w:noProof/>
                <w:sz w:val="26"/>
                <w:szCs w:val="26"/>
              </w:rPr>
              <w:t>25.5</w:t>
            </w:r>
            <w:r w:rsidRPr="0072600F">
              <w:rPr>
                <w:rFonts w:eastAsiaTheme="minorEastAsia"/>
                <w:noProof/>
                <w:sz w:val="26"/>
                <w:szCs w:val="26"/>
              </w:rPr>
              <w:tab/>
            </w:r>
            <w:r w:rsidRPr="0072600F">
              <w:rPr>
                <w:rStyle w:val="Hyperlink"/>
                <w:noProof/>
                <w:sz w:val="26"/>
                <w:szCs w:val="26"/>
              </w:rPr>
              <w:t>Audit Results.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_Toc148703464 \h </w:instrText>
            </w:r>
            <w:r w:rsidRPr="0072600F">
              <w:rPr>
                <w:b/>
                <w:bCs/>
                <w:i/>
                <w:iCs/>
                <w:noProof/>
                <w:webHidden/>
                <w:sz w:val="26"/>
                <w:szCs w:val="26"/>
              </w:rPr>
              <w:fldChar w:fldCharType="separate"/>
            </w:r>
            <w:r w:rsidR="00C46123">
              <w:rPr>
                <w:noProof/>
                <w:webHidden/>
                <w:sz w:val="26"/>
                <w:szCs w:val="26"/>
              </w:rPr>
              <w:t>- 95 -</w:t>
            </w:r>
            <w:r w:rsidRPr="0072600F">
              <w:rPr>
                <w:b/>
                <w:bCs/>
                <w:i/>
                <w:iCs/>
                <w:noProof/>
                <w:webHidden/>
                <w:sz w:val="26"/>
                <w:szCs w:val="26"/>
              </w:rPr>
              <w:fldChar w:fldCharType="end"/>
            </w:r>
          </w:hyperlink>
        </w:p>
        <w:p w:rsidR="00F3594B" w:rsidRPr="0072600F" w14:paraId="560DE729" w14:textId="77777777">
          <w:pPr>
            <w:pStyle w:val="TOC1"/>
            <w:tabs>
              <w:tab w:val="left" w:pos="1200"/>
            </w:tabs>
            <w:rPr>
              <w:rFonts w:eastAsiaTheme="minorEastAsia"/>
              <w:sz w:val="26"/>
              <w:szCs w:val="26"/>
            </w:rPr>
          </w:pPr>
          <w:hyperlink w:anchor="_Toc148703465" w:history="1">
            <w:r w:rsidRPr="0072600F">
              <w:rPr>
                <w:rStyle w:val="Hyperlink"/>
                <w:sz w:val="26"/>
                <w:szCs w:val="26"/>
              </w:rPr>
              <w:t>Article 26.</w:t>
            </w:r>
            <w:r w:rsidRPr="0072600F">
              <w:rPr>
                <w:rFonts w:eastAsiaTheme="minorEastAsia"/>
                <w:sz w:val="26"/>
                <w:szCs w:val="26"/>
              </w:rPr>
              <w:tab/>
            </w:r>
            <w:r w:rsidRPr="0072600F">
              <w:rPr>
                <w:rStyle w:val="Hyperlink"/>
                <w:sz w:val="26"/>
                <w:szCs w:val="26"/>
              </w:rPr>
              <w:t>Subcontractors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_Toc148703465 \h </w:instrText>
            </w:r>
            <w:r w:rsidRPr="0072600F">
              <w:rPr>
                <w:webHidden/>
                <w:sz w:val="26"/>
                <w:szCs w:val="26"/>
              </w:rPr>
              <w:fldChar w:fldCharType="separate"/>
            </w:r>
            <w:r w:rsidR="00C46123">
              <w:rPr>
                <w:webHidden/>
                <w:sz w:val="26"/>
                <w:szCs w:val="26"/>
              </w:rPr>
              <w:t>- 95 -</w:t>
            </w:r>
            <w:r w:rsidRPr="0072600F">
              <w:rPr>
                <w:webHidden/>
                <w:sz w:val="26"/>
                <w:szCs w:val="26"/>
              </w:rPr>
              <w:fldChar w:fldCharType="end"/>
            </w:r>
          </w:hyperlink>
        </w:p>
        <w:p w:rsidR="00F3594B" w:rsidRPr="0072600F" w14:paraId="6E69F798" w14:textId="77777777">
          <w:pPr>
            <w:pStyle w:val="TOC2"/>
            <w:rPr>
              <w:rFonts w:eastAsiaTheme="minorEastAsia"/>
              <w:b/>
              <w:bCs/>
              <w:i/>
              <w:iCs/>
              <w:noProof/>
              <w:sz w:val="26"/>
              <w:szCs w:val="26"/>
            </w:rPr>
          </w:pPr>
          <w:hyperlink w:anchor="_Toc148703466" w:history="1">
            <w:r w:rsidRPr="0072600F">
              <w:rPr>
                <w:rStyle w:val="Hyperlink"/>
                <w:noProof/>
                <w:sz w:val="26"/>
                <w:szCs w:val="26"/>
              </w:rPr>
              <w:t>26.1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_Toc148703466 \h </w:instrText>
            </w:r>
            <w:r w:rsidRPr="0072600F">
              <w:rPr>
                <w:b/>
                <w:bCs/>
                <w:i/>
                <w:iCs/>
                <w:noProof/>
                <w:webHidden/>
                <w:sz w:val="26"/>
                <w:szCs w:val="26"/>
              </w:rPr>
              <w:fldChar w:fldCharType="separate"/>
            </w:r>
            <w:r w:rsidR="00C46123">
              <w:rPr>
                <w:noProof/>
                <w:webHidden/>
                <w:sz w:val="26"/>
                <w:szCs w:val="26"/>
              </w:rPr>
              <w:t>- 95 -</w:t>
            </w:r>
            <w:r w:rsidRPr="0072600F">
              <w:rPr>
                <w:b/>
                <w:bCs/>
                <w:i/>
                <w:iCs/>
                <w:noProof/>
                <w:webHidden/>
                <w:sz w:val="26"/>
                <w:szCs w:val="26"/>
              </w:rPr>
              <w:fldChar w:fldCharType="end"/>
            </w:r>
          </w:hyperlink>
        </w:p>
        <w:p w:rsidR="00F3594B" w:rsidRPr="0072600F" w14:paraId="724C6B0A" w14:textId="77777777">
          <w:pPr>
            <w:pStyle w:val="TOC2"/>
            <w:rPr>
              <w:rFonts w:eastAsiaTheme="minorEastAsia"/>
              <w:b/>
              <w:bCs/>
              <w:i/>
              <w:iCs/>
              <w:noProof/>
              <w:sz w:val="26"/>
              <w:szCs w:val="26"/>
            </w:rPr>
          </w:pPr>
          <w:hyperlink w:anchor="_Toc148703467" w:history="1">
            <w:r w:rsidRPr="0072600F">
              <w:rPr>
                <w:rStyle w:val="Hyperlink"/>
                <w:noProof/>
                <w:sz w:val="26"/>
                <w:szCs w:val="26"/>
              </w:rPr>
              <w:t>26.2</w:t>
            </w:r>
            <w:r w:rsidRPr="0072600F">
              <w:rPr>
                <w:rFonts w:eastAsiaTheme="minorEastAsia"/>
                <w:noProof/>
                <w:sz w:val="26"/>
                <w:szCs w:val="26"/>
              </w:rPr>
              <w:tab/>
            </w:r>
            <w:r w:rsidRPr="0072600F">
              <w:rPr>
                <w:rStyle w:val="Hyperlink"/>
                <w:noProof/>
                <w:sz w:val="26"/>
                <w:szCs w:val="26"/>
              </w:rPr>
              <w:t>Responsibility of Principal.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_Toc148703467 \h </w:instrText>
            </w:r>
            <w:r w:rsidRPr="0072600F">
              <w:rPr>
                <w:b/>
                <w:bCs/>
                <w:i/>
                <w:iCs/>
                <w:noProof/>
                <w:webHidden/>
                <w:sz w:val="26"/>
                <w:szCs w:val="26"/>
              </w:rPr>
              <w:fldChar w:fldCharType="separate"/>
            </w:r>
            <w:r w:rsidR="00C46123">
              <w:rPr>
                <w:noProof/>
                <w:webHidden/>
                <w:sz w:val="26"/>
                <w:szCs w:val="26"/>
              </w:rPr>
              <w:t>- 96 -</w:t>
            </w:r>
            <w:r w:rsidRPr="0072600F">
              <w:rPr>
                <w:b/>
                <w:bCs/>
                <w:i/>
                <w:iCs/>
                <w:noProof/>
                <w:webHidden/>
                <w:sz w:val="26"/>
                <w:szCs w:val="26"/>
              </w:rPr>
              <w:fldChar w:fldCharType="end"/>
            </w:r>
          </w:hyperlink>
        </w:p>
        <w:p w:rsidR="00F3594B" w:rsidRPr="0072600F" w14:paraId="78B36354" w14:textId="77777777">
          <w:pPr>
            <w:pStyle w:val="TOC2"/>
            <w:rPr>
              <w:rFonts w:eastAsiaTheme="minorEastAsia"/>
              <w:b/>
              <w:bCs/>
              <w:i/>
              <w:iCs/>
              <w:noProof/>
              <w:sz w:val="26"/>
              <w:szCs w:val="26"/>
            </w:rPr>
          </w:pPr>
          <w:hyperlink w:anchor="_Toc148703468" w:history="1">
            <w:r w:rsidRPr="0072600F">
              <w:rPr>
                <w:rStyle w:val="Hyperlink"/>
                <w:noProof/>
                <w:sz w:val="26"/>
                <w:szCs w:val="26"/>
              </w:rPr>
              <w:t>26.3</w:t>
            </w:r>
            <w:r w:rsidRPr="0072600F">
              <w:rPr>
                <w:rFonts w:eastAsiaTheme="minorEastAsia"/>
                <w:noProof/>
                <w:sz w:val="26"/>
                <w:szCs w:val="26"/>
              </w:rPr>
              <w:tab/>
            </w:r>
            <w:r w:rsidRPr="0072600F">
              <w:rPr>
                <w:rStyle w:val="Hyperlink"/>
                <w:noProof/>
                <w:sz w:val="26"/>
                <w:szCs w:val="26"/>
              </w:rPr>
              <w:t>No Limitation by Insurance.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_Toc148703468 \h </w:instrText>
            </w:r>
            <w:r w:rsidRPr="0072600F">
              <w:rPr>
                <w:b/>
                <w:bCs/>
                <w:i/>
                <w:iCs/>
                <w:noProof/>
                <w:webHidden/>
                <w:sz w:val="26"/>
                <w:szCs w:val="26"/>
              </w:rPr>
              <w:fldChar w:fldCharType="separate"/>
            </w:r>
            <w:r w:rsidR="00C46123">
              <w:rPr>
                <w:noProof/>
                <w:webHidden/>
                <w:sz w:val="26"/>
                <w:szCs w:val="26"/>
              </w:rPr>
              <w:t>- 96 -</w:t>
            </w:r>
            <w:r w:rsidRPr="0072600F">
              <w:rPr>
                <w:b/>
                <w:bCs/>
                <w:i/>
                <w:iCs/>
                <w:noProof/>
                <w:webHidden/>
                <w:sz w:val="26"/>
                <w:szCs w:val="26"/>
              </w:rPr>
              <w:fldChar w:fldCharType="end"/>
            </w:r>
          </w:hyperlink>
        </w:p>
        <w:p w:rsidR="00F3594B" w:rsidRPr="0072600F" w14:paraId="14F681BB" w14:textId="77777777">
          <w:pPr>
            <w:pStyle w:val="TOC1"/>
            <w:tabs>
              <w:tab w:val="left" w:pos="1200"/>
            </w:tabs>
            <w:rPr>
              <w:rFonts w:eastAsiaTheme="minorEastAsia"/>
              <w:sz w:val="26"/>
              <w:szCs w:val="26"/>
            </w:rPr>
          </w:pPr>
          <w:hyperlink w:anchor="_Toc148703469" w:history="1">
            <w:r w:rsidRPr="0072600F">
              <w:rPr>
                <w:rStyle w:val="Hyperlink"/>
                <w:sz w:val="26"/>
                <w:szCs w:val="26"/>
              </w:rPr>
              <w:t>Article 27.</w:t>
            </w:r>
            <w:r w:rsidRPr="0072600F">
              <w:rPr>
                <w:rFonts w:eastAsiaTheme="minorEastAsia"/>
                <w:sz w:val="26"/>
                <w:szCs w:val="26"/>
              </w:rPr>
              <w:tab/>
            </w:r>
            <w:r w:rsidRPr="0072600F">
              <w:rPr>
                <w:rStyle w:val="Hyperlink"/>
                <w:sz w:val="26"/>
                <w:szCs w:val="26"/>
              </w:rPr>
              <w:t>Disputes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_Toc148703469 \h </w:instrText>
            </w:r>
            <w:r w:rsidRPr="0072600F">
              <w:rPr>
                <w:webHidden/>
                <w:sz w:val="26"/>
                <w:szCs w:val="26"/>
              </w:rPr>
              <w:fldChar w:fldCharType="separate"/>
            </w:r>
            <w:r w:rsidR="00C46123">
              <w:rPr>
                <w:webHidden/>
                <w:sz w:val="26"/>
                <w:szCs w:val="26"/>
              </w:rPr>
              <w:t>- 96 -</w:t>
            </w:r>
            <w:r w:rsidRPr="0072600F">
              <w:rPr>
                <w:webHidden/>
                <w:sz w:val="26"/>
                <w:szCs w:val="26"/>
              </w:rPr>
              <w:fldChar w:fldCharType="end"/>
            </w:r>
          </w:hyperlink>
        </w:p>
        <w:p w:rsidR="00F3594B" w:rsidRPr="0072600F" w14:paraId="4FDBB248" w14:textId="77777777">
          <w:pPr>
            <w:pStyle w:val="TOC2"/>
            <w:rPr>
              <w:rFonts w:eastAsiaTheme="minorEastAsia"/>
              <w:b/>
              <w:bCs/>
              <w:i/>
              <w:iCs/>
              <w:noProof/>
              <w:sz w:val="26"/>
              <w:szCs w:val="26"/>
            </w:rPr>
          </w:pPr>
          <w:hyperlink w:anchor="_Toc148703470" w:history="1">
            <w:r w:rsidRPr="0072600F">
              <w:rPr>
                <w:rStyle w:val="Hyperlink"/>
                <w:noProof/>
                <w:sz w:val="26"/>
                <w:szCs w:val="26"/>
              </w:rPr>
              <w:t>27.1</w:t>
            </w:r>
            <w:r w:rsidRPr="0072600F">
              <w:rPr>
                <w:rFonts w:eastAsiaTheme="minorEastAsia"/>
                <w:noProof/>
                <w:sz w:val="26"/>
                <w:szCs w:val="26"/>
              </w:rPr>
              <w:tab/>
            </w:r>
            <w:r w:rsidRPr="0072600F">
              <w:rPr>
                <w:rStyle w:val="Hyperlink"/>
                <w:noProof/>
                <w:sz w:val="26"/>
                <w:szCs w:val="26"/>
              </w:rPr>
              <w:t>Submission.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_Toc148703470 \h </w:instrText>
            </w:r>
            <w:r w:rsidRPr="0072600F">
              <w:rPr>
                <w:b/>
                <w:bCs/>
                <w:i/>
                <w:iCs/>
                <w:noProof/>
                <w:webHidden/>
                <w:sz w:val="26"/>
                <w:szCs w:val="26"/>
              </w:rPr>
              <w:fldChar w:fldCharType="separate"/>
            </w:r>
            <w:r w:rsidR="00C46123">
              <w:rPr>
                <w:noProof/>
                <w:webHidden/>
                <w:sz w:val="26"/>
                <w:szCs w:val="26"/>
              </w:rPr>
              <w:t>- 96 -</w:t>
            </w:r>
            <w:r w:rsidRPr="0072600F">
              <w:rPr>
                <w:b/>
                <w:bCs/>
                <w:i/>
                <w:iCs/>
                <w:noProof/>
                <w:webHidden/>
                <w:sz w:val="26"/>
                <w:szCs w:val="26"/>
              </w:rPr>
              <w:fldChar w:fldCharType="end"/>
            </w:r>
          </w:hyperlink>
        </w:p>
        <w:p w:rsidR="00F3594B" w:rsidRPr="0072600F" w14:paraId="3A535BB5" w14:textId="77777777">
          <w:pPr>
            <w:pStyle w:val="TOC2"/>
            <w:rPr>
              <w:rFonts w:eastAsiaTheme="minorEastAsia"/>
              <w:b/>
              <w:bCs/>
              <w:i/>
              <w:iCs/>
              <w:noProof/>
              <w:sz w:val="26"/>
              <w:szCs w:val="26"/>
            </w:rPr>
          </w:pPr>
          <w:hyperlink w:anchor="_Toc148703471" w:history="1">
            <w:r w:rsidRPr="0072600F">
              <w:rPr>
                <w:rStyle w:val="Hyperlink"/>
                <w:noProof/>
                <w:sz w:val="26"/>
                <w:szCs w:val="26"/>
              </w:rPr>
              <w:t>27.2</w:t>
            </w:r>
            <w:r w:rsidRPr="0072600F">
              <w:rPr>
                <w:rFonts w:eastAsiaTheme="minorEastAsia"/>
                <w:noProof/>
                <w:sz w:val="26"/>
                <w:szCs w:val="26"/>
              </w:rPr>
              <w:tab/>
            </w:r>
            <w:r w:rsidRPr="0072600F">
              <w:rPr>
                <w:rStyle w:val="Hyperlink"/>
                <w:noProof/>
                <w:sz w:val="26"/>
                <w:szCs w:val="26"/>
              </w:rPr>
              <w:t>External Arbitration Procedures.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_Toc148703471 \h </w:instrText>
            </w:r>
            <w:r w:rsidRPr="0072600F">
              <w:rPr>
                <w:b/>
                <w:bCs/>
                <w:i/>
                <w:iCs/>
                <w:noProof/>
                <w:webHidden/>
                <w:sz w:val="26"/>
                <w:szCs w:val="26"/>
              </w:rPr>
              <w:fldChar w:fldCharType="separate"/>
            </w:r>
            <w:r w:rsidR="00C46123">
              <w:rPr>
                <w:noProof/>
                <w:webHidden/>
                <w:sz w:val="26"/>
                <w:szCs w:val="26"/>
              </w:rPr>
              <w:t>- 96 -</w:t>
            </w:r>
            <w:r w:rsidRPr="0072600F">
              <w:rPr>
                <w:b/>
                <w:bCs/>
                <w:i/>
                <w:iCs/>
                <w:noProof/>
                <w:webHidden/>
                <w:sz w:val="26"/>
                <w:szCs w:val="26"/>
              </w:rPr>
              <w:fldChar w:fldCharType="end"/>
            </w:r>
          </w:hyperlink>
        </w:p>
        <w:p w:rsidR="00F3594B" w:rsidRPr="0072600F" w14:paraId="2AF209A5" w14:textId="77777777">
          <w:pPr>
            <w:pStyle w:val="TOC2"/>
            <w:rPr>
              <w:rFonts w:eastAsiaTheme="minorEastAsia"/>
              <w:b/>
              <w:bCs/>
              <w:i/>
              <w:iCs/>
              <w:noProof/>
              <w:sz w:val="26"/>
              <w:szCs w:val="26"/>
            </w:rPr>
          </w:pPr>
          <w:hyperlink w:anchor="_Toc148703472" w:history="1">
            <w:r w:rsidRPr="0072600F">
              <w:rPr>
                <w:rStyle w:val="Hyperlink"/>
                <w:noProof/>
                <w:sz w:val="26"/>
                <w:szCs w:val="26"/>
              </w:rPr>
              <w:t>27.3</w:t>
            </w:r>
            <w:r w:rsidRPr="0072600F">
              <w:rPr>
                <w:rFonts w:eastAsiaTheme="minorEastAsia"/>
                <w:noProof/>
                <w:sz w:val="26"/>
                <w:szCs w:val="26"/>
              </w:rPr>
              <w:tab/>
            </w:r>
            <w:r w:rsidRPr="0072600F">
              <w:rPr>
                <w:rStyle w:val="Hyperlink"/>
                <w:noProof/>
                <w:sz w:val="26"/>
                <w:szCs w:val="26"/>
              </w:rPr>
              <w:t>Arbitration Decisions.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_Toc148703472 \h </w:instrText>
            </w:r>
            <w:r w:rsidRPr="0072600F">
              <w:rPr>
                <w:b/>
                <w:bCs/>
                <w:i/>
                <w:iCs/>
                <w:noProof/>
                <w:webHidden/>
                <w:sz w:val="26"/>
                <w:szCs w:val="26"/>
              </w:rPr>
              <w:fldChar w:fldCharType="separate"/>
            </w:r>
            <w:r w:rsidR="00C46123">
              <w:rPr>
                <w:noProof/>
                <w:webHidden/>
                <w:sz w:val="26"/>
                <w:szCs w:val="26"/>
              </w:rPr>
              <w:t>- 97 -</w:t>
            </w:r>
            <w:r w:rsidRPr="0072600F">
              <w:rPr>
                <w:b/>
                <w:bCs/>
                <w:i/>
                <w:iCs/>
                <w:noProof/>
                <w:webHidden/>
                <w:sz w:val="26"/>
                <w:szCs w:val="26"/>
              </w:rPr>
              <w:fldChar w:fldCharType="end"/>
            </w:r>
          </w:hyperlink>
        </w:p>
        <w:p w:rsidR="00F3594B" w:rsidRPr="0072600F" w14:paraId="2268BF15" w14:textId="77777777">
          <w:pPr>
            <w:pStyle w:val="TOC2"/>
            <w:rPr>
              <w:rFonts w:eastAsiaTheme="minorEastAsia"/>
              <w:b/>
              <w:bCs/>
              <w:i/>
              <w:iCs/>
              <w:noProof/>
              <w:sz w:val="26"/>
              <w:szCs w:val="26"/>
            </w:rPr>
          </w:pPr>
          <w:hyperlink w:anchor="_Toc148703473" w:history="1">
            <w:r w:rsidRPr="0072600F">
              <w:rPr>
                <w:rStyle w:val="Hyperlink"/>
                <w:noProof/>
                <w:sz w:val="26"/>
                <w:szCs w:val="26"/>
              </w:rPr>
              <w:t>27.4</w:t>
            </w:r>
            <w:r w:rsidRPr="0072600F">
              <w:rPr>
                <w:rFonts w:eastAsiaTheme="minorEastAsia"/>
                <w:noProof/>
                <w:sz w:val="26"/>
                <w:szCs w:val="26"/>
              </w:rPr>
              <w:tab/>
            </w:r>
            <w:r w:rsidRPr="0072600F">
              <w:rPr>
                <w:rStyle w:val="Hyperlink"/>
                <w:noProof/>
                <w:sz w:val="26"/>
                <w:szCs w:val="26"/>
              </w:rPr>
              <w:t>Costs.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_Toc148703473 \h </w:instrText>
            </w:r>
            <w:r w:rsidRPr="0072600F">
              <w:rPr>
                <w:b/>
                <w:bCs/>
                <w:i/>
                <w:iCs/>
                <w:noProof/>
                <w:webHidden/>
                <w:sz w:val="26"/>
                <w:szCs w:val="26"/>
              </w:rPr>
              <w:fldChar w:fldCharType="separate"/>
            </w:r>
            <w:r w:rsidR="00C46123">
              <w:rPr>
                <w:noProof/>
                <w:webHidden/>
                <w:sz w:val="26"/>
                <w:szCs w:val="26"/>
              </w:rPr>
              <w:t>- 97 -</w:t>
            </w:r>
            <w:r w:rsidRPr="0072600F">
              <w:rPr>
                <w:b/>
                <w:bCs/>
                <w:i/>
                <w:iCs/>
                <w:noProof/>
                <w:webHidden/>
                <w:sz w:val="26"/>
                <w:szCs w:val="26"/>
              </w:rPr>
              <w:fldChar w:fldCharType="end"/>
            </w:r>
          </w:hyperlink>
        </w:p>
        <w:p w:rsidR="00F3594B" w:rsidRPr="0072600F" w14:paraId="27774EB0" w14:textId="77777777">
          <w:pPr>
            <w:pStyle w:val="TOC1"/>
            <w:tabs>
              <w:tab w:val="left" w:pos="1200"/>
            </w:tabs>
            <w:rPr>
              <w:rFonts w:eastAsiaTheme="minorEastAsia"/>
              <w:sz w:val="26"/>
              <w:szCs w:val="26"/>
            </w:rPr>
          </w:pPr>
          <w:hyperlink w:anchor="_Toc148703474" w:history="1">
            <w:r w:rsidRPr="0072600F">
              <w:rPr>
                <w:rStyle w:val="Hyperlink"/>
                <w:sz w:val="26"/>
                <w:szCs w:val="26"/>
              </w:rPr>
              <w:t>Article 28.</w:t>
            </w:r>
            <w:r w:rsidRPr="0072600F">
              <w:rPr>
                <w:rFonts w:eastAsiaTheme="minorEastAsia"/>
                <w:sz w:val="26"/>
                <w:szCs w:val="26"/>
              </w:rPr>
              <w:tab/>
            </w:r>
            <w:r w:rsidRPr="0072600F">
              <w:rPr>
                <w:rStyle w:val="Hyperlink"/>
                <w:sz w:val="26"/>
                <w:szCs w:val="26"/>
              </w:rPr>
              <w:t>Representations, Warranties, and Covenants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_Toc148703474 \h </w:instrText>
            </w:r>
            <w:r w:rsidRPr="0072600F">
              <w:rPr>
                <w:webHidden/>
                <w:sz w:val="26"/>
                <w:szCs w:val="26"/>
              </w:rPr>
              <w:fldChar w:fldCharType="separate"/>
            </w:r>
            <w:r w:rsidR="00C46123">
              <w:rPr>
                <w:webHidden/>
                <w:sz w:val="26"/>
                <w:szCs w:val="26"/>
              </w:rPr>
              <w:t>- 98 -</w:t>
            </w:r>
            <w:r w:rsidRPr="0072600F">
              <w:rPr>
                <w:webHidden/>
                <w:sz w:val="26"/>
                <w:szCs w:val="26"/>
              </w:rPr>
              <w:fldChar w:fldCharType="end"/>
            </w:r>
          </w:hyperlink>
        </w:p>
        <w:p w:rsidR="00F3594B" w:rsidRPr="0072600F" w14:paraId="27128969" w14:textId="77777777">
          <w:pPr>
            <w:pStyle w:val="TOC2"/>
            <w:rPr>
              <w:rFonts w:eastAsiaTheme="minorEastAsia"/>
              <w:b/>
              <w:bCs/>
              <w:i/>
              <w:iCs/>
              <w:noProof/>
              <w:sz w:val="26"/>
              <w:szCs w:val="26"/>
            </w:rPr>
          </w:pPr>
          <w:hyperlink w:anchor="_Toc148703475" w:history="1">
            <w:r w:rsidRPr="0072600F">
              <w:rPr>
                <w:rStyle w:val="Hyperlink"/>
                <w:noProof/>
                <w:sz w:val="26"/>
                <w:szCs w:val="26"/>
              </w:rPr>
              <w:t>28.1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_Toc148703475 \h </w:instrText>
            </w:r>
            <w:r w:rsidRPr="0072600F">
              <w:rPr>
                <w:b/>
                <w:bCs/>
                <w:i/>
                <w:iCs/>
                <w:noProof/>
                <w:webHidden/>
                <w:sz w:val="26"/>
                <w:szCs w:val="26"/>
              </w:rPr>
              <w:fldChar w:fldCharType="separate"/>
            </w:r>
            <w:r w:rsidR="00C46123">
              <w:rPr>
                <w:noProof/>
                <w:webHidden/>
                <w:sz w:val="26"/>
                <w:szCs w:val="26"/>
              </w:rPr>
              <w:t>- 98 -</w:t>
            </w:r>
            <w:r w:rsidRPr="0072600F">
              <w:rPr>
                <w:b/>
                <w:bCs/>
                <w:i/>
                <w:iCs/>
                <w:noProof/>
                <w:webHidden/>
                <w:sz w:val="26"/>
                <w:szCs w:val="26"/>
              </w:rPr>
              <w:fldChar w:fldCharType="end"/>
            </w:r>
          </w:hyperlink>
        </w:p>
        <w:p w:rsidR="00F3594B" w:rsidRPr="0072600F" w14:paraId="0D2E41F6" w14:textId="77777777">
          <w:pPr>
            <w:pStyle w:val="TOC3"/>
            <w:tabs>
              <w:tab w:val="left" w:pos="1400"/>
              <w:tab w:val="right" w:leader="dot" w:pos="9350"/>
            </w:tabs>
            <w:rPr>
              <w:rFonts w:eastAsiaTheme="minorEastAsia"/>
              <w:noProof/>
              <w:sz w:val="26"/>
              <w:szCs w:val="26"/>
            </w:rPr>
          </w:pPr>
          <w:hyperlink w:anchor="_Toc148703476" w:history="1">
            <w:r w:rsidRPr="0072600F">
              <w:rPr>
                <w:rStyle w:val="Hyperlink"/>
                <w:noProof/>
                <w:sz w:val="26"/>
                <w:szCs w:val="26"/>
              </w:rPr>
              <w:t>28.1.1  Good Standing.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_Toc148703476 \h </w:instrText>
            </w:r>
            <w:r w:rsidRPr="0072600F">
              <w:rPr>
                <w:noProof/>
                <w:webHidden/>
                <w:sz w:val="26"/>
                <w:szCs w:val="26"/>
              </w:rPr>
              <w:fldChar w:fldCharType="separate"/>
            </w:r>
            <w:r w:rsidR="00C46123">
              <w:rPr>
                <w:noProof/>
                <w:webHidden/>
                <w:sz w:val="26"/>
                <w:szCs w:val="26"/>
              </w:rPr>
              <w:t>- 98 -</w:t>
            </w:r>
            <w:r w:rsidRPr="0072600F">
              <w:rPr>
                <w:noProof/>
                <w:webHidden/>
                <w:sz w:val="26"/>
                <w:szCs w:val="26"/>
              </w:rPr>
              <w:fldChar w:fldCharType="end"/>
            </w:r>
          </w:hyperlink>
        </w:p>
        <w:p w:rsidR="00F3594B" w:rsidRPr="0072600F" w14:paraId="42A5326A" w14:textId="77777777">
          <w:pPr>
            <w:pStyle w:val="TOC3"/>
            <w:tabs>
              <w:tab w:val="left" w:pos="1200"/>
              <w:tab w:val="right" w:leader="dot" w:pos="9350"/>
            </w:tabs>
            <w:rPr>
              <w:rFonts w:eastAsiaTheme="minorEastAsia"/>
              <w:noProof/>
              <w:sz w:val="26"/>
              <w:szCs w:val="26"/>
            </w:rPr>
          </w:pPr>
          <w:hyperlink w:anchor="_Toc148703477" w:history="1">
            <w:r w:rsidRPr="0072600F">
              <w:rPr>
                <w:rStyle w:val="Hyperlink"/>
                <w:noProof/>
                <w:sz w:val="26"/>
                <w:szCs w:val="26"/>
              </w:rPr>
              <w:t>28.1.2</w:t>
            </w:r>
            <w:r w:rsidRPr="0072600F">
              <w:rPr>
                <w:rFonts w:eastAsiaTheme="minorEastAsia"/>
                <w:noProof/>
                <w:sz w:val="26"/>
                <w:szCs w:val="26"/>
              </w:rPr>
              <w:tab/>
            </w:r>
            <w:r w:rsidRPr="0072600F">
              <w:rPr>
                <w:rStyle w:val="Hyperlink"/>
                <w:noProof/>
                <w:sz w:val="26"/>
                <w:szCs w:val="26"/>
              </w:rPr>
              <w:t>Authority.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_Toc148703477 \h </w:instrText>
            </w:r>
            <w:r w:rsidRPr="0072600F">
              <w:rPr>
                <w:noProof/>
                <w:webHidden/>
                <w:sz w:val="26"/>
                <w:szCs w:val="26"/>
              </w:rPr>
              <w:fldChar w:fldCharType="separate"/>
            </w:r>
            <w:r w:rsidR="00C46123">
              <w:rPr>
                <w:noProof/>
                <w:webHidden/>
                <w:sz w:val="26"/>
                <w:szCs w:val="26"/>
              </w:rPr>
              <w:t>- 98 -</w:t>
            </w:r>
            <w:r w:rsidRPr="0072600F">
              <w:rPr>
                <w:noProof/>
                <w:webHidden/>
                <w:sz w:val="26"/>
                <w:szCs w:val="26"/>
              </w:rPr>
              <w:fldChar w:fldCharType="end"/>
            </w:r>
          </w:hyperlink>
        </w:p>
        <w:p w:rsidR="00F3594B" w:rsidRPr="0072600F" w14:paraId="568BE140" w14:textId="77777777">
          <w:pPr>
            <w:pStyle w:val="TOC3"/>
            <w:tabs>
              <w:tab w:val="left" w:pos="1400"/>
              <w:tab w:val="right" w:leader="dot" w:pos="9350"/>
            </w:tabs>
            <w:rPr>
              <w:rFonts w:eastAsiaTheme="minorEastAsia"/>
              <w:noProof/>
              <w:sz w:val="26"/>
              <w:szCs w:val="26"/>
            </w:rPr>
          </w:pPr>
          <w:hyperlink w:anchor="_Toc148703478" w:history="1">
            <w:r w:rsidRPr="0072600F">
              <w:rPr>
                <w:rStyle w:val="Hyperlink"/>
                <w:noProof/>
                <w:sz w:val="26"/>
                <w:szCs w:val="26"/>
              </w:rPr>
              <w:t>28.1.3  No Conflict.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_Toc148703478 \h </w:instrText>
            </w:r>
            <w:r w:rsidRPr="0072600F">
              <w:rPr>
                <w:noProof/>
                <w:webHidden/>
                <w:sz w:val="26"/>
                <w:szCs w:val="26"/>
              </w:rPr>
              <w:fldChar w:fldCharType="separate"/>
            </w:r>
            <w:r w:rsidR="00C46123">
              <w:rPr>
                <w:noProof/>
                <w:webHidden/>
                <w:sz w:val="26"/>
                <w:szCs w:val="26"/>
              </w:rPr>
              <w:t>- 98 -</w:t>
            </w:r>
            <w:r w:rsidRPr="0072600F">
              <w:rPr>
                <w:noProof/>
                <w:webHidden/>
                <w:sz w:val="26"/>
                <w:szCs w:val="26"/>
              </w:rPr>
              <w:fldChar w:fldCharType="end"/>
            </w:r>
          </w:hyperlink>
        </w:p>
        <w:p w:rsidR="00F3594B" w:rsidRPr="0072600F" w14:paraId="4F4D3ECC" w14:textId="77777777">
          <w:pPr>
            <w:pStyle w:val="TOC3"/>
            <w:tabs>
              <w:tab w:val="left" w:pos="1200"/>
              <w:tab w:val="right" w:leader="dot" w:pos="9350"/>
            </w:tabs>
            <w:rPr>
              <w:rFonts w:eastAsiaTheme="minorEastAsia"/>
              <w:noProof/>
              <w:sz w:val="26"/>
              <w:szCs w:val="26"/>
            </w:rPr>
          </w:pPr>
          <w:hyperlink w:anchor="_Toc148703479" w:history="1">
            <w:r w:rsidRPr="0072600F">
              <w:rPr>
                <w:rStyle w:val="Hyperlink"/>
                <w:noProof/>
                <w:sz w:val="26"/>
                <w:szCs w:val="26"/>
              </w:rPr>
              <w:t xml:space="preserve">28.1.4 </w:t>
            </w:r>
            <w:r w:rsidRPr="0072600F">
              <w:rPr>
                <w:rFonts w:eastAsiaTheme="minorEastAsia"/>
                <w:noProof/>
                <w:sz w:val="26"/>
                <w:szCs w:val="26"/>
              </w:rPr>
              <w:tab/>
            </w:r>
            <w:r w:rsidRPr="0072600F">
              <w:rPr>
                <w:rStyle w:val="Hyperlink"/>
                <w:noProof/>
                <w:sz w:val="26"/>
                <w:szCs w:val="26"/>
              </w:rPr>
              <w:t>Consent and Approval.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_Toc148703479 \h </w:instrText>
            </w:r>
            <w:r w:rsidRPr="0072600F">
              <w:rPr>
                <w:noProof/>
                <w:webHidden/>
                <w:sz w:val="26"/>
                <w:szCs w:val="26"/>
              </w:rPr>
              <w:fldChar w:fldCharType="separate"/>
            </w:r>
            <w:r w:rsidR="00C46123">
              <w:rPr>
                <w:noProof/>
                <w:webHidden/>
                <w:sz w:val="26"/>
                <w:szCs w:val="26"/>
              </w:rPr>
              <w:t>- 99 -</w:t>
            </w:r>
            <w:r w:rsidRPr="0072600F">
              <w:rPr>
                <w:noProof/>
                <w:webHidden/>
                <w:sz w:val="26"/>
                <w:szCs w:val="26"/>
              </w:rPr>
              <w:fldChar w:fldCharType="end"/>
            </w:r>
          </w:hyperlink>
        </w:p>
        <w:p w:rsidR="00F3594B" w:rsidRPr="0072600F" w14:paraId="616EFD30" w14:textId="77777777">
          <w:pPr>
            <w:pStyle w:val="TOC1"/>
            <w:tabs>
              <w:tab w:val="left" w:pos="1200"/>
            </w:tabs>
            <w:rPr>
              <w:rFonts w:eastAsiaTheme="minorEastAsia"/>
              <w:sz w:val="26"/>
              <w:szCs w:val="26"/>
            </w:rPr>
          </w:pPr>
          <w:hyperlink w:anchor="_Toc148703480" w:history="1">
            <w:r w:rsidRPr="0072600F">
              <w:rPr>
                <w:rStyle w:val="Hyperlink"/>
                <w:sz w:val="26"/>
                <w:szCs w:val="26"/>
              </w:rPr>
              <w:t>Article 29.</w:t>
            </w:r>
            <w:r w:rsidRPr="0072600F">
              <w:rPr>
                <w:rFonts w:eastAsiaTheme="minorEastAsia"/>
                <w:sz w:val="26"/>
                <w:szCs w:val="26"/>
              </w:rPr>
              <w:tab/>
            </w:r>
            <w:r w:rsidRPr="0072600F">
              <w:rPr>
                <w:rStyle w:val="Hyperlink"/>
                <w:sz w:val="26"/>
                <w:szCs w:val="26"/>
              </w:rPr>
              <w:t>Joint Operating Committee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_Toc148703480 \h </w:instrText>
            </w:r>
            <w:r w:rsidRPr="0072600F">
              <w:rPr>
                <w:webHidden/>
                <w:sz w:val="26"/>
                <w:szCs w:val="26"/>
              </w:rPr>
              <w:fldChar w:fldCharType="separate"/>
            </w:r>
            <w:r w:rsidR="00C46123">
              <w:rPr>
                <w:webHidden/>
                <w:sz w:val="26"/>
                <w:szCs w:val="26"/>
              </w:rPr>
              <w:t>- 99 -</w:t>
            </w:r>
            <w:r w:rsidRPr="0072600F">
              <w:rPr>
                <w:webHidden/>
                <w:sz w:val="26"/>
                <w:szCs w:val="26"/>
              </w:rPr>
              <w:fldChar w:fldCharType="end"/>
            </w:r>
          </w:hyperlink>
        </w:p>
        <w:p w:rsidR="00F3594B" w:rsidRPr="0072600F" w14:paraId="79F3F58C" w14:textId="77777777">
          <w:pPr>
            <w:pStyle w:val="TOC2"/>
            <w:rPr>
              <w:rFonts w:eastAsiaTheme="minorEastAsia"/>
              <w:b/>
              <w:bCs/>
              <w:i/>
              <w:iCs/>
              <w:noProof/>
              <w:sz w:val="26"/>
              <w:szCs w:val="26"/>
            </w:rPr>
          </w:pPr>
          <w:hyperlink w:anchor="_Toc148703481" w:history="1">
            <w:r w:rsidRPr="0072600F">
              <w:rPr>
                <w:rStyle w:val="Hyperlink"/>
                <w:noProof/>
                <w:sz w:val="26"/>
                <w:szCs w:val="26"/>
              </w:rPr>
              <w:t>29.1</w:t>
            </w:r>
            <w:r w:rsidRPr="0072600F">
              <w:rPr>
                <w:rFonts w:eastAsiaTheme="minorEastAsia"/>
                <w:noProof/>
                <w:sz w:val="26"/>
                <w:szCs w:val="26"/>
              </w:rPr>
              <w:tab/>
            </w:r>
            <w:r w:rsidRPr="0072600F">
              <w:rPr>
                <w:rStyle w:val="Hyperlink"/>
                <w:noProof/>
                <w:sz w:val="26"/>
                <w:szCs w:val="26"/>
              </w:rPr>
              <w:t>Joint Operating Committee.</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_Toc148703481 \h </w:instrText>
            </w:r>
            <w:r w:rsidRPr="0072600F">
              <w:rPr>
                <w:b/>
                <w:bCs/>
                <w:i/>
                <w:iCs/>
                <w:noProof/>
                <w:webHidden/>
                <w:sz w:val="26"/>
                <w:szCs w:val="26"/>
              </w:rPr>
              <w:fldChar w:fldCharType="separate"/>
            </w:r>
            <w:r w:rsidR="00C46123">
              <w:rPr>
                <w:noProof/>
                <w:webHidden/>
                <w:sz w:val="26"/>
                <w:szCs w:val="26"/>
              </w:rPr>
              <w:t>- 99 -</w:t>
            </w:r>
            <w:r w:rsidRPr="0072600F">
              <w:rPr>
                <w:b/>
                <w:bCs/>
                <w:i/>
                <w:iCs/>
                <w:noProof/>
                <w:webHidden/>
                <w:sz w:val="26"/>
                <w:szCs w:val="26"/>
              </w:rPr>
              <w:fldChar w:fldCharType="end"/>
            </w:r>
          </w:hyperlink>
        </w:p>
        <w:p w:rsidR="00F3594B" w:rsidRPr="0072600F" w14:paraId="1F1FF745" w14:textId="77777777">
          <w:pPr>
            <w:pStyle w:val="TOC1"/>
            <w:tabs>
              <w:tab w:val="left" w:pos="1200"/>
            </w:tabs>
            <w:rPr>
              <w:rFonts w:eastAsiaTheme="minorEastAsia"/>
              <w:sz w:val="26"/>
              <w:szCs w:val="26"/>
            </w:rPr>
          </w:pPr>
          <w:hyperlink w:anchor="_Toc148703482" w:history="1">
            <w:r w:rsidRPr="0072600F">
              <w:rPr>
                <w:rStyle w:val="Hyperlink"/>
                <w:sz w:val="26"/>
                <w:szCs w:val="26"/>
              </w:rPr>
              <w:t>Article 30.</w:t>
            </w:r>
            <w:r w:rsidRPr="0072600F">
              <w:rPr>
                <w:rFonts w:eastAsiaTheme="minorEastAsia"/>
                <w:sz w:val="26"/>
                <w:szCs w:val="26"/>
              </w:rPr>
              <w:tab/>
            </w:r>
            <w:r w:rsidRPr="0072600F">
              <w:rPr>
                <w:rStyle w:val="Hyperlink"/>
                <w:sz w:val="26"/>
                <w:szCs w:val="26"/>
              </w:rPr>
              <w:t>Miscellaneous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_Toc148703482 \h </w:instrText>
            </w:r>
            <w:r w:rsidRPr="0072600F">
              <w:rPr>
                <w:webHidden/>
                <w:sz w:val="26"/>
                <w:szCs w:val="26"/>
              </w:rPr>
              <w:fldChar w:fldCharType="separate"/>
            </w:r>
            <w:r w:rsidR="00C46123">
              <w:rPr>
                <w:webHidden/>
                <w:sz w:val="26"/>
                <w:szCs w:val="26"/>
              </w:rPr>
              <w:t>- 100 -</w:t>
            </w:r>
            <w:r w:rsidRPr="0072600F">
              <w:rPr>
                <w:webHidden/>
                <w:sz w:val="26"/>
                <w:szCs w:val="26"/>
              </w:rPr>
              <w:fldChar w:fldCharType="end"/>
            </w:r>
          </w:hyperlink>
        </w:p>
        <w:p w:rsidR="00F3594B" w:rsidRPr="0072600F" w14:paraId="285DCBD7" w14:textId="77777777">
          <w:pPr>
            <w:pStyle w:val="TOC2"/>
            <w:rPr>
              <w:rFonts w:eastAsiaTheme="minorEastAsia"/>
              <w:b/>
              <w:bCs/>
              <w:i/>
              <w:iCs/>
              <w:noProof/>
              <w:sz w:val="26"/>
              <w:szCs w:val="26"/>
            </w:rPr>
          </w:pPr>
          <w:hyperlink w:anchor="_Toc148703483" w:history="1">
            <w:r w:rsidRPr="0072600F">
              <w:rPr>
                <w:rStyle w:val="Hyperlink"/>
                <w:noProof/>
                <w:sz w:val="26"/>
                <w:szCs w:val="26"/>
              </w:rPr>
              <w:t>30.1</w:t>
            </w:r>
            <w:r w:rsidRPr="0072600F">
              <w:rPr>
                <w:rFonts w:eastAsiaTheme="minorEastAsia"/>
                <w:noProof/>
                <w:sz w:val="26"/>
                <w:szCs w:val="26"/>
              </w:rPr>
              <w:tab/>
            </w:r>
            <w:r w:rsidRPr="0072600F">
              <w:rPr>
                <w:rStyle w:val="Hyperlink"/>
                <w:noProof/>
                <w:sz w:val="26"/>
                <w:szCs w:val="26"/>
              </w:rPr>
              <w:t>Binding Effect.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_Toc148703483 \h </w:instrText>
            </w:r>
            <w:r w:rsidRPr="0072600F">
              <w:rPr>
                <w:b/>
                <w:bCs/>
                <w:i/>
                <w:iCs/>
                <w:noProof/>
                <w:webHidden/>
                <w:sz w:val="26"/>
                <w:szCs w:val="26"/>
              </w:rPr>
              <w:fldChar w:fldCharType="separate"/>
            </w:r>
            <w:r w:rsidR="00C46123">
              <w:rPr>
                <w:noProof/>
                <w:webHidden/>
                <w:sz w:val="26"/>
                <w:szCs w:val="26"/>
              </w:rPr>
              <w:t>- 100 -</w:t>
            </w:r>
            <w:r w:rsidRPr="0072600F">
              <w:rPr>
                <w:b/>
                <w:bCs/>
                <w:i/>
                <w:iCs/>
                <w:noProof/>
                <w:webHidden/>
                <w:sz w:val="26"/>
                <w:szCs w:val="26"/>
              </w:rPr>
              <w:fldChar w:fldCharType="end"/>
            </w:r>
          </w:hyperlink>
        </w:p>
        <w:p w:rsidR="00F3594B" w:rsidRPr="0072600F" w14:paraId="3161AC4E" w14:textId="77777777">
          <w:pPr>
            <w:pStyle w:val="TOC2"/>
            <w:rPr>
              <w:rFonts w:eastAsiaTheme="minorEastAsia"/>
              <w:b/>
              <w:bCs/>
              <w:i/>
              <w:iCs/>
              <w:noProof/>
              <w:sz w:val="26"/>
              <w:szCs w:val="26"/>
            </w:rPr>
          </w:pPr>
          <w:hyperlink w:anchor="_Toc148703484" w:history="1">
            <w:r w:rsidRPr="0072600F">
              <w:rPr>
                <w:rStyle w:val="Hyperlink"/>
                <w:noProof/>
                <w:sz w:val="26"/>
                <w:szCs w:val="26"/>
              </w:rPr>
              <w:t>30.2</w:t>
            </w:r>
            <w:r w:rsidRPr="0072600F">
              <w:rPr>
                <w:rFonts w:eastAsiaTheme="minorEastAsia"/>
                <w:noProof/>
                <w:sz w:val="26"/>
                <w:szCs w:val="26"/>
              </w:rPr>
              <w:tab/>
            </w:r>
            <w:r w:rsidRPr="0072600F">
              <w:rPr>
                <w:rStyle w:val="Hyperlink"/>
                <w:noProof/>
                <w:sz w:val="26"/>
                <w:szCs w:val="26"/>
              </w:rPr>
              <w:t>Conflicts.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_Toc148703484 \h </w:instrText>
            </w:r>
            <w:r w:rsidRPr="0072600F">
              <w:rPr>
                <w:b/>
                <w:bCs/>
                <w:i/>
                <w:iCs/>
                <w:noProof/>
                <w:webHidden/>
                <w:sz w:val="26"/>
                <w:szCs w:val="26"/>
              </w:rPr>
              <w:fldChar w:fldCharType="separate"/>
            </w:r>
            <w:r w:rsidR="00C46123">
              <w:rPr>
                <w:noProof/>
                <w:webHidden/>
                <w:sz w:val="26"/>
                <w:szCs w:val="26"/>
              </w:rPr>
              <w:t>- 101 -</w:t>
            </w:r>
            <w:r w:rsidRPr="0072600F">
              <w:rPr>
                <w:b/>
                <w:bCs/>
                <w:i/>
                <w:iCs/>
                <w:noProof/>
                <w:webHidden/>
                <w:sz w:val="26"/>
                <w:szCs w:val="26"/>
              </w:rPr>
              <w:fldChar w:fldCharType="end"/>
            </w:r>
          </w:hyperlink>
        </w:p>
        <w:p w:rsidR="00F3594B" w:rsidRPr="0072600F" w14:paraId="0B1C04D4" w14:textId="77777777">
          <w:pPr>
            <w:pStyle w:val="TOC2"/>
            <w:rPr>
              <w:rFonts w:eastAsiaTheme="minorEastAsia"/>
              <w:b/>
              <w:bCs/>
              <w:i/>
              <w:iCs/>
              <w:noProof/>
              <w:sz w:val="26"/>
              <w:szCs w:val="26"/>
            </w:rPr>
          </w:pPr>
          <w:hyperlink w:anchor="_Toc148703485" w:history="1">
            <w:r w:rsidRPr="0072600F">
              <w:rPr>
                <w:rStyle w:val="Hyperlink"/>
                <w:noProof/>
                <w:sz w:val="26"/>
                <w:szCs w:val="26"/>
              </w:rPr>
              <w:t>30.3</w:t>
            </w:r>
            <w:r w:rsidRPr="0072600F">
              <w:rPr>
                <w:rFonts w:eastAsiaTheme="minorEastAsia"/>
                <w:noProof/>
                <w:sz w:val="26"/>
                <w:szCs w:val="26"/>
              </w:rPr>
              <w:tab/>
            </w:r>
            <w:r w:rsidRPr="0072600F">
              <w:rPr>
                <w:rStyle w:val="Hyperlink"/>
                <w:noProof/>
                <w:sz w:val="26"/>
                <w:szCs w:val="26"/>
              </w:rPr>
              <w:t>Rules of Interpretation.</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_Toc148703485 \h </w:instrText>
            </w:r>
            <w:r w:rsidRPr="0072600F">
              <w:rPr>
                <w:b/>
                <w:bCs/>
                <w:i/>
                <w:iCs/>
                <w:noProof/>
                <w:webHidden/>
                <w:sz w:val="26"/>
                <w:szCs w:val="26"/>
              </w:rPr>
              <w:fldChar w:fldCharType="separate"/>
            </w:r>
            <w:r w:rsidR="00C46123">
              <w:rPr>
                <w:noProof/>
                <w:webHidden/>
                <w:sz w:val="26"/>
                <w:szCs w:val="26"/>
              </w:rPr>
              <w:t>- 101 -</w:t>
            </w:r>
            <w:r w:rsidRPr="0072600F">
              <w:rPr>
                <w:b/>
                <w:bCs/>
                <w:i/>
                <w:iCs/>
                <w:noProof/>
                <w:webHidden/>
                <w:sz w:val="26"/>
                <w:szCs w:val="26"/>
              </w:rPr>
              <w:fldChar w:fldCharType="end"/>
            </w:r>
          </w:hyperlink>
        </w:p>
        <w:p w:rsidR="00F3594B" w:rsidRPr="0072600F" w14:paraId="4CF20059" w14:textId="77777777">
          <w:pPr>
            <w:pStyle w:val="TOC2"/>
            <w:rPr>
              <w:rFonts w:eastAsiaTheme="minorEastAsia"/>
              <w:b/>
              <w:bCs/>
              <w:i/>
              <w:iCs/>
              <w:noProof/>
              <w:sz w:val="26"/>
              <w:szCs w:val="26"/>
            </w:rPr>
          </w:pPr>
          <w:hyperlink w:anchor="_Toc148703486" w:history="1">
            <w:r w:rsidRPr="0072600F">
              <w:rPr>
                <w:rStyle w:val="Hyperlink"/>
                <w:noProof/>
                <w:sz w:val="26"/>
                <w:szCs w:val="26"/>
              </w:rPr>
              <w:t>30.4</w:t>
            </w:r>
            <w:r w:rsidRPr="0072600F">
              <w:rPr>
                <w:rFonts w:eastAsiaTheme="minorEastAsia"/>
                <w:noProof/>
                <w:sz w:val="26"/>
                <w:szCs w:val="26"/>
              </w:rPr>
              <w:tab/>
            </w:r>
            <w:r w:rsidRPr="0072600F">
              <w:rPr>
                <w:rStyle w:val="Hyperlink"/>
                <w:noProof/>
                <w:sz w:val="26"/>
                <w:szCs w:val="26"/>
              </w:rPr>
              <w:t>Entire Agreement.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_Toc148703486 \h </w:instrText>
            </w:r>
            <w:r w:rsidRPr="0072600F">
              <w:rPr>
                <w:b/>
                <w:bCs/>
                <w:i/>
                <w:iCs/>
                <w:noProof/>
                <w:webHidden/>
                <w:sz w:val="26"/>
                <w:szCs w:val="26"/>
              </w:rPr>
              <w:fldChar w:fldCharType="separate"/>
            </w:r>
            <w:r w:rsidR="00C46123">
              <w:rPr>
                <w:noProof/>
                <w:webHidden/>
                <w:sz w:val="26"/>
                <w:szCs w:val="26"/>
              </w:rPr>
              <w:t>- 101 -</w:t>
            </w:r>
            <w:r w:rsidRPr="0072600F">
              <w:rPr>
                <w:b/>
                <w:bCs/>
                <w:i/>
                <w:iCs/>
                <w:noProof/>
                <w:webHidden/>
                <w:sz w:val="26"/>
                <w:szCs w:val="26"/>
              </w:rPr>
              <w:fldChar w:fldCharType="end"/>
            </w:r>
          </w:hyperlink>
        </w:p>
        <w:p w:rsidR="00F3594B" w:rsidRPr="0072600F" w14:paraId="7B042D2C" w14:textId="77777777">
          <w:pPr>
            <w:pStyle w:val="TOC2"/>
            <w:rPr>
              <w:rFonts w:eastAsiaTheme="minorEastAsia"/>
              <w:b/>
              <w:bCs/>
              <w:i/>
              <w:iCs/>
              <w:noProof/>
              <w:sz w:val="26"/>
              <w:szCs w:val="26"/>
            </w:rPr>
          </w:pPr>
          <w:hyperlink w:anchor="_Toc148703487" w:history="1">
            <w:r w:rsidRPr="0072600F">
              <w:rPr>
                <w:rStyle w:val="Hyperlink"/>
                <w:noProof/>
                <w:sz w:val="26"/>
                <w:szCs w:val="26"/>
              </w:rPr>
              <w:t>30.5</w:t>
            </w:r>
            <w:r w:rsidRPr="0072600F">
              <w:rPr>
                <w:rFonts w:eastAsiaTheme="minorEastAsia"/>
                <w:noProof/>
                <w:sz w:val="26"/>
                <w:szCs w:val="26"/>
              </w:rPr>
              <w:tab/>
            </w:r>
            <w:r w:rsidRPr="0072600F">
              <w:rPr>
                <w:rStyle w:val="Hyperlink"/>
                <w:noProof/>
                <w:sz w:val="26"/>
                <w:szCs w:val="26"/>
              </w:rPr>
              <w:t>No Third Party Beneficiaries.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_Toc148703487 \h </w:instrText>
            </w:r>
            <w:r w:rsidRPr="0072600F">
              <w:rPr>
                <w:b/>
                <w:bCs/>
                <w:i/>
                <w:iCs/>
                <w:noProof/>
                <w:webHidden/>
                <w:sz w:val="26"/>
                <w:szCs w:val="26"/>
              </w:rPr>
              <w:fldChar w:fldCharType="separate"/>
            </w:r>
            <w:r w:rsidR="00C46123">
              <w:rPr>
                <w:noProof/>
                <w:webHidden/>
                <w:sz w:val="26"/>
                <w:szCs w:val="26"/>
              </w:rPr>
              <w:t>- 102 -</w:t>
            </w:r>
            <w:r w:rsidRPr="0072600F">
              <w:rPr>
                <w:b/>
                <w:bCs/>
                <w:i/>
                <w:iCs/>
                <w:noProof/>
                <w:webHidden/>
                <w:sz w:val="26"/>
                <w:szCs w:val="26"/>
              </w:rPr>
              <w:fldChar w:fldCharType="end"/>
            </w:r>
          </w:hyperlink>
        </w:p>
        <w:p w:rsidR="00F3594B" w:rsidRPr="0072600F" w14:paraId="6A45DED4" w14:textId="77777777">
          <w:pPr>
            <w:pStyle w:val="TOC2"/>
            <w:rPr>
              <w:rFonts w:eastAsiaTheme="minorEastAsia"/>
              <w:b/>
              <w:bCs/>
              <w:i/>
              <w:iCs/>
              <w:noProof/>
              <w:sz w:val="26"/>
              <w:szCs w:val="26"/>
            </w:rPr>
          </w:pPr>
          <w:hyperlink w:anchor="_Toc148703488" w:history="1">
            <w:r w:rsidRPr="0072600F">
              <w:rPr>
                <w:rStyle w:val="Hyperlink"/>
                <w:noProof/>
                <w:sz w:val="26"/>
                <w:szCs w:val="26"/>
              </w:rPr>
              <w:t>30.6</w:t>
            </w:r>
            <w:r w:rsidRPr="0072600F">
              <w:rPr>
                <w:rFonts w:eastAsiaTheme="minorEastAsia"/>
                <w:noProof/>
                <w:sz w:val="26"/>
                <w:szCs w:val="26"/>
              </w:rPr>
              <w:tab/>
            </w:r>
            <w:r w:rsidRPr="0072600F">
              <w:rPr>
                <w:rStyle w:val="Hyperlink"/>
                <w:noProof/>
                <w:sz w:val="26"/>
                <w:szCs w:val="26"/>
              </w:rPr>
              <w:t>Waiver.</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_Toc148703488 \h </w:instrText>
            </w:r>
            <w:r w:rsidRPr="0072600F">
              <w:rPr>
                <w:b/>
                <w:bCs/>
                <w:i/>
                <w:iCs/>
                <w:noProof/>
                <w:webHidden/>
                <w:sz w:val="26"/>
                <w:szCs w:val="26"/>
              </w:rPr>
              <w:fldChar w:fldCharType="separate"/>
            </w:r>
            <w:r w:rsidR="00C46123">
              <w:rPr>
                <w:noProof/>
                <w:webHidden/>
                <w:sz w:val="26"/>
                <w:szCs w:val="26"/>
              </w:rPr>
              <w:t>- 102 -</w:t>
            </w:r>
            <w:r w:rsidRPr="0072600F">
              <w:rPr>
                <w:b/>
                <w:bCs/>
                <w:i/>
                <w:iCs/>
                <w:noProof/>
                <w:webHidden/>
                <w:sz w:val="26"/>
                <w:szCs w:val="26"/>
              </w:rPr>
              <w:fldChar w:fldCharType="end"/>
            </w:r>
          </w:hyperlink>
        </w:p>
        <w:p w:rsidR="00F3594B" w:rsidRPr="0072600F" w14:paraId="15824FF2" w14:textId="77777777">
          <w:pPr>
            <w:pStyle w:val="TOC2"/>
            <w:rPr>
              <w:rFonts w:eastAsiaTheme="minorEastAsia"/>
              <w:b/>
              <w:bCs/>
              <w:i/>
              <w:iCs/>
              <w:noProof/>
              <w:sz w:val="26"/>
              <w:szCs w:val="26"/>
            </w:rPr>
          </w:pPr>
          <w:hyperlink w:anchor="_Toc148703489" w:history="1">
            <w:r w:rsidRPr="0072600F">
              <w:rPr>
                <w:rStyle w:val="Hyperlink"/>
                <w:noProof/>
                <w:sz w:val="26"/>
                <w:szCs w:val="26"/>
              </w:rPr>
              <w:t>30.7</w:t>
            </w:r>
            <w:r w:rsidRPr="0072600F">
              <w:rPr>
                <w:rFonts w:eastAsiaTheme="minorEastAsia"/>
                <w:noProof/>
                <w:sz w:val="26"/>
                <w:szCs w:val="26"/>
              </w:rPr>
              <w:tab/>
            </w:r>
            <w:r w:rsidRPr="0072600F">
              <w:rPr>
                <w:rStyle w:val="Hyperlink"/>
                <w:noProof/>
                <w:sz w:val="26"/>
                <w:szCs w:val="26"/>
              </w:rPr>
              <w:t>Headings.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_Toc148703489 \h </w:instrText>
            </w:r>
            <w:r w:rsidRPr="0072600F">
              <w:rPr>
                <w:b/>
                <w:bCs/>
                <w:i/>
                <w:iCs/>
                <w:noProof/>
                <w:webHidden/>
                <w:sz w:val="26"/>
                <w:szCs w:val="26"/>
              </w:rPr>
              <w:fldChar w:fldCharType="separate"/>
            </w:r>
            <w:r w:rsidR="00C46123">
              <w:rPr>
                <w:noProof/>
                <w:webHidden/>
                <w:sz w:val="26"/>
                <w:szCs w:val="26"/>
              </w:rPr>
              <w:t>- 102 -</w:t>
            </w:r>
            <w:r w:rsidRPr="0072600F">
              <w:rPr>
                <w:b/>
                <w:bCs/>
                <w:i/>
                <w:iCs/>
                <w:noProof/>
                <w:webHidden/>
                <w:sz w:val="26"/>
                <w:szCs w:val="26"/>
              </w:rPr>
              <w:fldChar w:fldCharType="end"/>
            </w:r>
          </w:hyperlink>
        </w:p>
        <w:p w:rsidR="00F3594B" w:rsidRPr="0072600F" w14:paraId="4341C417" w14:textId="77777777">
          <w:pPr>
            <w:pStyle w:val="TOC2"/>
            <w:rPr>
              <w:rFonts w:eastAsiaTheme="minorEastAsia"/>
              <w:b/>
              <w:bCs/>
              <w:i/>
              <w:iCs/>
              <w:noProof/>
              <w:sz w:val="26"/>
              <w:szCs w:val="26"/>
            </w:rPr>
          </w:pPr>
          <w:hyperlink w:anchor="_Toc148703490" w:history="1">
            <w:r w:rsidRPr="0072600F">
              <w:rPr>
                <w:rStyle w:val="Hyperlink"/>
                <w:noProof/>
                <w:sz w:val="26"/>
                <w:szCs w:val="26"/>
              </w:rPr>
              <w:t>30.8</w:t>
            </w:r>
            <w:r w:rsidRPr="0072600F">
              <w:rPr>
                <w:rFonts w:eastAsiaTheme="minorEastAsia"/>
                <w:noProof/>
                <w:sz w:val="26"/>
                <w:szCs w:val="26"/>
              </w:rPr>
              <w:tab/>
            </w:r>
            <w:r w:rsidRPr="0072600F">
              <w:rPr>
                <w:rStyle w:val="Hyperlink"/>
                <w:noProof/>
                <w:sz w:val="26"/>
                <w:szCs w:val="26"/>
              </w:rPr>
              <w:t>Multiple Counterparts.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_Toc148703490 \h </w:instrText>
            </w:r>
            <w:r w:rsidRPr="0072600F">
              <w:rPr>
                <w:b/>
                <w:bCs/>
                <w:i/>
                <w:iCs/>
                <w:noProof/>
                <w:webHidden/>
                <w:sz w:val="26"/>
                <w:szCs w:val="26"/>
              </w:rPr>
              <w:fldChar w:fldCharType="separate"/>
            </w:r>
            <w:r w:rsidR="00C46123">
              <w:rPr>
                <w:noProof/>
                <w:webHidden/>
                <w:sz w:val="26"/>
                <w:szCs w:val="26"/>
              </w:rPr>
              <w:t>- 102 -</w:t>
            </w:r>
            <w:r w:rsidRPr="0072600F">
              <w:rPr>
                <w:b/>
                <w:bCs/>
                <w:i/>
                <w:iCs/>
                <w:noProof/>
                <w:webHidden/>
                <w:sz w:val="26"/>
                <w:szCs w:val="26"/>
              </w:rPr>
              <w:fldChar w:fldCharType="end"/>
            </w:r>
          </w:hyperlink>
        </w:p>
        <w:p w:rsidR="00F3594B" w:rsidRPr="0072600F" w14:paraId="4D0C83A4" w14:textId="77777777">
          <w:pPr>
            <w:pStyle w:val="TOC2"/>
            <w:rPr>
              <w:rFonts w:eastAsiaTheme="minorEastAsia"/>
              <w:b/>
              <w:bCs/>
              <w:i/>
              <w:iCs/>
              <w:noProof/>
              <w:sz w:val="26"/>
              <w:szCs w:val="26"/>
            </w:rPr>
          </w:pPr>
          <w:hyperlink w:anchor="_Toc148703491" w:history="1">
            <w:r w:rsidRPr="0072600F">
              <w:rPr>
                <w:rStyle w:val="Hyperlink"/>
                <w:noProof/>
                <w:sz w:val="26"/>
                <w:szCs w:val="26"/>
              </w:rPr>
              <w:t>30.9</w:t>
            </w:r>
            <w:r w:rsidRPr="0072600F">
              <w:rPr>
                <w:rFonts w:eastAsiaTheme="minorEastAsia"/>
                <w:noProof/>
                <w:sz w:val="26"/>
                <w:szCs w:val="26"/>
              </w:rPr>
              <w:tab/>
            </w:r>
            <w:r w:rsidRPr="0072600F">
              <w:rPr>
                <w:rStyle w:val="Hyperlink"/>
                <w:noProof/>
                <w:sz w:val="26"/>
                <w:szCs w:val="26"/>
              </w:rPr>
              <w:t>Amendment.</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_Toc148703491 \h </w:instrText>
            </w:r>
            <w:r w:rsidRPr="0072600F">
              <w:rPr>
                <w:b/>
                <w:bCs/>
                <w:i/>
                <w:iCs/>
                <w:noProof/>
                <w:webHidden/>
                <w:sz w:val="26"/>
                <w:szCs w:val="26"/>
              </w:rPr>
              <w:fldChar w:fldCharType="separate"/>
            </w:r>
            <w:r w:rsidR="00C46123">
              <w:rPr>
                <w:noProof/>
                <w:webHidden/>
                <w:sz w:val="26"/>
                <w:szCs w:val="26"/>
              </w:rPr>
              <w:t>- 102 -</w:t>
            </w:r>
            <w:r w:rsidRPr="0072600F">
              <w:rPr>
                <w:b/>
                <w:bCs/>
                <w:i/>
                <w:iCs/>
                <w:noProof/>
                <w:webHidden/>
                <w:sz w:val="26"/>
                <w:szCs w:val="26"/>
              </w:rPr>
              <w:fldChar w:fldCharType="end"/>
            </w:r>
          </w:hyperlink>
        </w:p>
        <w:p w:rsidR="00F3594B" w:rsidRPr="0072600F" w14:paraId="742309E2" w14:textId="77777777">
          <w:pPr>
            <w:pStyle w:val="TOC2"/>
            <w:rPr>
              <w:rFonts w:eastAsiaTheme="minorEastAsia"/>
              <w:b/>
              <w:bCs/>
              <w:i/>
              <w:iCs/>
              <w:noProof/>
              <w:sz w:val="26"/>
              <w:szCs w:val="26"/>
            </w:rPr>
          </w:pPr>
          <w:hyperlink w:anchor="_Toc148703492" w:history="1">
            <w:r w:rsidRPr="0072600F">
              <w:rPr>
                <w:rStyle w:val="Hyperlink"/>
                <w:noProof/>
                <w:sz w:val="26"/>
                <w:szCs w:val="26"/>
              </w:rPr>
              <w:t>30.10</w:t>
            </w:r>
            <w:r w:rsidRPr="0072600F">
              <w:rPr>
                <w:rFonts w:eastAsiaTheme="minorEastAsia"/>
                <w:noProof/>
                <w:sz w:val="26"/>
                <w:szCs w:val="26"/>
              </w:rPr>
              <w:tab/>
            </w:r>
            <w:r w:rsidRPr="0072600F">
              <w:rPr>
                <w:rStyle w:val="Hyperlink"/>
                <w:noProof/>
                <w:sz w:val="26"/>
                <w:szCs w:val="26"/>
              </w:rPr>
              <w:t>Modification by the Parties.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_Toc148703492 \h </w:instrText>
            </w:r>
            <w:r w:rsidRPr="0072600F">
              <w:rPr>
                <w:b/>
                <w:bCs/>
                <w:i/>
                <w:iCs/>
                <w:noProof/>
                <w:webHidden/>
                <w:sz w:val="26"/>
                <w:szCs w:val="26"/>
              </w:rPr>
              <w:fldChar w:fldCharType="separate"/>
            </w:r>
            <w:r w:rsidR="00C46123">
              <w:rPr>
                <w:noProof/>
                <w:webHidden/>
                <w:sz w:val="26"/>
                <w:szCs w:val="26"/>
              </w:rPr>
              <w:t>- 102 -</w:t>
            </w:r>
            <w:r w:rsidRPr="0072600F">
              <w:rPr>
                <w:b/>
                <w:bCs/>
                <w:i/>
                <w:iCs/>
                <w:noProof/>
                <w:webHidden/>
                <w:sz w:val="26"/>
                <w:szCs w:val="26"/>
              </w:rPr>
              <w:fldChar w:fldCharType="end"/>
            </w:r>
          </w:hyperlink>
        </w:p>
        <w:p w:rsidR="00F3594B" w:rsidRPr="0072600F" w14:paraId="7F3F2519" w14:textId="77777777">
          <w:pPr>
            <w:pStyle w:val="TOC2"/>
            <w:rPr>
              <w:rFonts w:eastAsiaTheme="minorEastAsia"/>
              <w:b/>
              <w:bCs/>
              <w:i/>
              <w:iCs/>
              <w:noProof/>
              <w:sz w:val="26"/>
              <w:szCs w:val="26"/>
            </w:rPr>
          </w:pPr>
          <w:hyperlink w:anchor="_Toc148703493" w:history="1">
            <w:r w:rsidRPr="0072600F">
              <w:rPr>
                <w:rStyle w:val="Hyperlink"/>
                <w:noProof/>
                <w:sz w:val="26"/>
                <w:szCs w:val="26"/>
              </w:rPr>
              <w:t>30.11</w:t>
            </w:r>
            <w:r w:rsidRPr="0072600F">
              <w:rPr>
                <w:rFonts w:eastAsiaTheme="minorEastAsia"/>
                <w:noProof/>
                <w:sz w:val="26"/>
                <w:szCs w:val="26"/>
              </w:rPr>
              <w:tab/>
            </w:r>
            <w:r w:rsidRPr="0072600F">
              <w:rPr>
                <w:rStyle w:val="Hyperlink"/>
                <w:noProof/>
                <w:sz w:val="26"/>
                <w:szCs w:val="26"/>
              </w:rPr>
              <w:t>Reservation of Rights.</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_Toc148703493 \h </w:instrText>
            </w:r>
            <w:r w:rsidRPr="0072600F">
              <w:rPr>
                <w:b/>
                <w:bCs/>
                <w:i/>
                <w:iCs/>
                <w:noProof/>
                <w:webHidden/>
                <w:sz w:val="26"/>
                <w:szCs w:val="26"/>
              </w:rPr>
              <w:fldChar w:fldCharType="separate"/>
            </w:r>
            <w:r w:rsidR="00C46123">
              <w:rPr>
                <w:noProof/>
                <w:webHidden/>
                <w:sz w:val="26"/>
                <w:szCs w:val="26"/>
              </w:rPr>
              <w:t>- 103 -</w:t>
            </w:r>
            <w:r w:rsidRPr="0072600F">
              <w:rPr>
                <w:b/>
                <w:bCs/>
                <w:i/>
                <w:iCs/>
                <w:noProof/>
                <w:webHidden/>
                <w:sz w:val="26"/>
                <w:szCs w:val="26"/>
              </w:rPr>
              <w:fldChar w:fldCharType="end"/>
            </w:r>
          </w:hyperlink>
        </w:p>
        <w:p w:rsidR="00F3594B" w:rsidRPr="0072600F" w14:paraId="347F35FB" w14:textId="77777777">
          <w:pPr>
            <w:pStyle w:val="TOC2"/>
            <w:rPr>
              <w:rFonts w:eastAsiaTheme="minorEastAsia"/>
              <w:b/>
              <w:bCs/>
              <w:i/>
              <w:iCs/>
              <w:noProof/>
              <w:sz w:val="26"/>
              <w:szCs w:val="26"/>
            </w:rPr>
          </w:pPr>
          <w:hyperlink w:anchor="_Toc148703494" w:history="1">
            <w:r w:rsidRPr="0072600F">
              <w:rPr>
                <w:rStyle w:val="Hyperlink"/>
                <w:noProof/>
                <w:sz w:val="26"/>
                <w:szCs w:val="26"/>
              </w:rPr>
              <w:t>30.12</w:t>
            </w:r>
            <w:r w:rsidRPr="0072600F">
              <w:rPr>
                <w:rFonts w:eastAsiaTheme="minorEastAsia"/>
                <w:noProof/>
                <w:sz w:val="26"/>
                <w:szCs w:val="26"/>
              </w:rPr>
              <w:tab/>
            </w:r>
            <w:r w:rsidRPr="0072600F">
              <w:rPr>
                <w:rStyle w:val="Hyperlink"/>
                <w:noProof/>
                <w:sz w:val="26"/>
                <w:szCs w:val="26"/>
              </w:rPr>
              <w:t>No Partnership.</w:t>
            </w:r>
            <w:r w:rsidRPr="0072600F">
              <w:rPr>
                <w:noProof/>
                <w:webHidden/>
                <w:sz w:val="26"/>
                <w:szCs w:val="26"/>
              </w:rPr>
              <w:tab/>
            </w:r>
            <w:r w:rsidRPr="0072600F">
              <w:rPr>
                <w:b/>
                <w:bCs/>
                <w:i/>
                <w:iCs/>
                <w:noProof/>
                <w:webHidden/>
                <w:sz w:val="26"/>
                <w:szCs w:val="26"/>
              </w:rPr>
              <w:fldChar w:fldCharType="begin"/>
            </w:r>
            <w:r w:rsidRPr="0072600F">
              <w:rPr>
                <w:noProof/>
                <w:webHidden/>
                <w:sz w:val="26"/>
                <w:szCs w:val="26"/>
              </w:rPr>
              <w:instrText xml:space="preserve"> PAGEREF _Toc148703494 \h </w:instrText>
            </w:r>
            <w:r w:rsidRPr="0072600F">
              <w:rPr>
                <w:b/>
                <w:bCs/>
                <w:i/>
                <w:iCs/>
                <w:noProof/>
                <w:webHidden/>
                <w:sz w:val="26"/>
                <w:szCs w:val="26"/>
              </w:rPr>
              <w:fldChar w:fldCharType="separate"/>
            </w:r>
            <w:r w:rsidR="00C46123">
              <w:rPr>
                <w:noProof/>
                <w:webHidden/>
                <w:sz w:val="26"/>
                <w:szCs w:val="26"/>
              </w:rPr>
              <w:t>- 103 -</w:t>
            </w:r>
            <w:r w:rsidRPr="0072600F">
              <w:rPr>
                <w:b/>
                <w:bCs/>
                <w:i/>
                <w:iCs/>
                <w:noProof/>
                <w:webHidden/>
                <w:sz w:val="26"/>
                <w:szCs w:val="26"/>
              </w:rPr>
              <w:fldChar w:fldCharType="end"/>
            </w:r>
          </w:hyperlink>
        </w:p>
        <w:p w:rsidR="00F3594B" w:rsidRPr="0072600F" w14:paraId="0F46A871" w14:textId="77777777">
          <w:pPr>
            <w:rPr>
              <w:rFonts w:ascii="Times New Roman" w:hAnsi="Times New Roman" w:cs="Times New Roman"/>
              <w:sz w:val="26"/>
              <w:szCs w:val="26"/>
            </w:rPr>
          </w:pPr>
          <w:r w:rsidRPr="0072600F">
            <w:rPr>
              <w:rFonts w:ascii="Times New Roman" w:hAnsi="Times New Roman" w:cs="Times New Roman"/>
              <w:sz w:val="26"/>
              <w:szCs w:val="26"/>
            </w:rPr>
            <w:fldChar w:fldCharType="end"/>
          </w:r>
        </w:p>
      </w:sdtContent>
    </w:sdt>
    <w:p w:rsidR="00F3594B" w:rsidRPr="0072600F" w14:paraId="24B8AAC1" w14:textId="77777777">
      <w:pPr>
        <w:rPr>
          <w:rFonts w:ascii="Times New Roman" w:hAnsi="Times New Roman" w:cs="Times New Roman"/>
          <w:b/>
          <w:sz w:val="26"/>
          <w:szCs w:val="26"/>
        </w:rPr>
      </w:pPr>
    </w:p>
    <w:p w:rsidR="00F3594B" w:rsidRPr="0072600F" w14:paraId="5B7B6E53" w14:textId="77777777">
      <w:pPr>
        <w:rPr>
          <w:rFonts w:ascii="Times New Roman" w:hAnsi="Times New Roman" w:cs="Times New Roman"/>
          <w:bCs/>
          <w:sz w:val="26"/>
          <w:szCs w:val="26"/>
        </w:rPr>
      </w:pPr>
      <w:r w:rsidRPr="0072600F">
        <w:rPr>
          <w:rFonts w:ascii="Times New Roman" w:hAnsi="Times New Roman" w:cs="Times New Roman"/>
          <w:bCs/>
          <w:sz w:val="26"/>
          <w:szCs w:val="26"/>
        </w:rPr>
        <w:br w:type="page"/>
      </w:r>
    </w:p>
    <w:p w:rsidR="00F3594B" w:rsidRPr="0072600F" w14:paraId="2944598B" w14:textId="77777777">
      <w:pPr>
        <w:rPr>
          <w:rFonts w:ascii="Times New Roman" w:hAnsi="Times New Roman" w:cs="Times New Roman"/>
          <w:sz w:val="26"/>
          <w:szCs w:val="26"/>
        </w:rPr>
      </w:pPr>
      <w:r w:rsidRPr="0072600F">
        <w:rPr>
          <w:rFonts w:ascii="Times New Roman" w:hAnsi="Times New Roman" w:cs="Times New Roman"/>
          <w:bCs/>
          <w:sz w:val="26"/>
          <w:szCs w:val="26"/>
        </w:rPr>
        <w:t xml:space="preserve">Appendix A </w:t>
      </w:r>
      <w:r w:rsidRPr="0072600F" w:rsidR="002C0896">
        <w:rPr>
          <w:rFonts w:ascii="Times New Roman" w:hAnsi="Times New Roman" w:cs="Times New Roman"/>
          <w:bCs/>
          <w:sz w:val="26"/>
          <w:szCs w:val="26"/>
        </w:rPr>
        <w:t>–</w:t>
      </w:r>
      <w:r w:rsidRPr="0072600F">
        <w:rPr>
          <w:rFonts w:ascii="Times New Roman" w:hAnsi="Times New Roman" w:cs="Times New Roman"/>
          <w:bCs/>
          <w:sz w:val="26"/>
          <w:szCs w:val="26"/>
        </w:rPr>
        <w:t xml:space="preserve"> I</w:t>
      </w:r>
      <w:r w:rsidRPr="0072600F">
        <w:rPr>
          <w:rFonts w:ascii="Times New Roman" w:hAnsi="Times New Roman" w:cs="Times New Roman"/>
          <w:sz w:val="26"/>
          <w:szCs w:val="26"/>
        </w:rPr>
        <w:t>nterconnection Facilities, Network Upgrades, and Distribution Upgrades</w:t>
      </w:r>
    </w:p>
    <w:p w:rsidR="00F3594B" w:rsidRPr="0072600F" w14:paraId="3E2BF8D8" w14:textId="77777777">
      <w:pPr>
        <w:rPr>
          <w:rFonts w:ascii="Times New Roman" w:hAnsi="Times New Roman" w:cs="Times New Roman"/>
          <w:sz w:val="26"/>
          <w:szCs w:val="26"/>
        </w:rPr>
      </w:pPr>
    </w:p>
    <w:p w:rsidR="00F3594B" w:rsidRPr="0072600F" w14:paraId="37F65E05" w14:textId="77777777">
      <w:pPr>
        <w:rPr>
          <w:rFonts w:ascii="Times New Roman" w:hAnsi="Times New Roman" w:cs="Times New Roman"/>
          <w:sz w:val="26"/>
          <w:szCs w:val="26"/>
        </w:rPr>
      </w:pPr>
      <w:r w:rsidRPr="0072600F">
        <w:rPr>
          <w:rFonts w:ascii="Times New Roman" w:hAnsi="Times New Roman" w:cs="Times New Roman"/>
          <w:sz w:val="26"/>
          <w:szCs w:val="26"/>
        </w:rPr>
        <w:t>Appendix B – Milestones</w:t>
      </w:r>
    </w:p>
    <w:p w:rsidR="00F3594B" w:rsidRPr="0072600F" w14:paraId="0181C0B5" w14:textId="77777777">
      <w:pPr>
        <w:rPr>
          <w:rFonts w:ascii="Times New Roman" w:hAnsi="Times New Roman" w:cs="Times New Roman"/>
          <w:sz w:val="26"/>
          <w:szCs w:val="26"/>
        </w:rPr>
      </w:pPr>
    </w:p>
    <w:p w:rsidR="00F3594B" w:rsidRPr="0072600F" w14:paraId="69CA9FE4" w14:textId="77777777">
      <w:pPr>
        <w:rPr>
          <w:rFonts w:ascii="Times New Roman" w:hAnsi="Times New Roman" w:cs="Times New Roman"/>
          <w:sz w:val="26"/>
          <w:szCs w:val="26"/>
        </w:rPr>
      </w:pPr>
      <w:r w:rsidRPr="0072600F">
        <w:rPr>
          <w:rFonts w:ascii="Times New Roman" w:hAnsi="Times New Roman" w:cs="Times New Roman"/>
          <w:sz w:val="26"/>
          <w:szCs w:val="26"/>
        </w:rPr>
        <w:t>Appendix C – Interconnection Details</w:t>
      </w:r>
    </w:p>
    <w:p w:rsidR="00F3594B" w:rsidRPr="0072600F" w14:paraId="1D64DA41" w14:textId="77777777">
      <w:pPr>
        <w:rPr>
          <w:rFonts w:ascii="Times New Roman" w:hAnsi="Times New Roman" w:cs="Times New Roman"/>
          <w:sz w:val="26"/>
          <w:szCs w:val="26"/>
        </w:rPr>
      </w:pPr>
    </w:p>
    <w:p w:rsidR="00F3594B" w:rsidRPr="0072600F" w14:paraId="4115A82F" w14:textId="77777777">
      <w:pPr>
        <w:rPr>
          <w:rFonts w:ascii="Times New Roman" w:hAnsi="Times New Roman" w:cs="Times New Roman"/>
          <w:sz w:val="26"/>
          <w:szCs w:val="26"/>
        </w:rPr>
      </w:pPr>
      <w:r w:rsidRPr="0072600F">
        <w:rPr>
          <w:rFonts w:ascii="Times New Roman" w:hAnsi="Times New Roman" w:cs="Times New Roman"/>
          <w:sz w:val="26"/>
          <w:szCs w:val="26"/>
        </w:rPr>
        <w:t>Appendix D – Security Arrangements Details</w:t>
      </w:r>
    </w:p>
    <w:p w:rsidR="00F3594B" w:rsidRPr="0072600F" w14:paraId="76E1F23B" w14:textId="77777777">
      <w:pPr>
        <w:rPr>
          <w:rFonts w:ascii="Times New Roman" w:hAnsi="Times New Roman" w:cs="Times New Roman"/>
          <w:sz w:val="26"/>
          <w:szCs w:val="26"/>
        </w:rPr>
      </w:pPr>
    </w:p>
    <w:p w:rsidR="00F3594B" w:rsidRPr="0072600F" w14:paraId="5516B57F" w14:textId="77777777">
      <w:pPr>
        <w:rPr>
          <w:rFonts w:ascii="Times New Roman" w:hAnsi="Times New Roman" w:cs="Times New Roman"/>
          <w:sz w:val="26"/>
          <w:szCs w:val="26"/>
        </w:rPr>
      </w:pPr>
      <w:r w:rsidRPr="0072600F">
        <w:rPr>
          <w:rFonts w:ascii="Times New Roman" w:hAnsi="Times New Roman" w:cs="Times New Roman"/>
          <w:sz w:val="26"/>
          <w:szCs w:val="26"/>
        </w:rPr>
        <w:t>Appendix E – Commercial Operation Date</w:t>
      </w:r>
    </w:p>
    <w:p w:rsidR="00F3594B" w:rsidRPr="0072600F" w14:paraId="633DB0E9" w14:textId="77777777">
      <w:pPr>
        <w:rPr>
          <w:rFonts w:ascii="Times New Roman" w:hAnsi="Times New Roman" w:cs="Times New Roman"/>
          <w:sz w:val="26"/>
          <w:szCs w:val="26"/>
        </w:rPr>
      </w:pPr>
    </w:p>
    <w:p w:rsidR="00F3594B" w:rsidRPr="0072600F" w14:paraId="50B8CA70" w14:textId="77777777">
      <w:pPr>
        <w:rPr>
          <w:rFonts w:ascii="Times New Roman" w:hAnsi="Times New Roman" w:cs="Times New Roman"/>
          <w:sz w:val="26"/>
          <w:szCs w:val="26"/>
        </w:rPr>
      </w:pPr>
      <w:r w:rsidRPr="0072600F">
        <w:rPr>
          <w:rFonts w:ascii="Times New Roman" w:hAnsi="Times New Roman" w:cs="Times New Roman"/>
          <w:sz w:val="26"/>
          <w:szCs w:val="26"/>
        </w:rPr>
        <w:t>Appendix F – Addresses for Delivery of Notices and Billings</w:t>
      </w:r>
    </w:p>
    <w:p w:rsidR="00F3594B" w:rsidRPr="0072600F" w14:paraId="5C3B04D3" w14:textId="77777777">
      <w:pPr>
        <w:rPr>
          <w:rFonts w:ascii="Times New Roman" w:hAnsi="Times New Roman" w:cs="Times New Roman"/>
          <w:sz w:val="26"/>
          <w:szCs w:val="26"/>
        </w:rPr>
      </w:pPr>
    </w:p>
    <w:p w:rsidR="00F3594B" w:rsidRPr="0072600F" w14:paraId="5F350032" w14:textId="77777777">
      <w:pPr>
        <w:rPr>
          <w:rFonts w:ascii="Times New Roman" w:hAnsi="Times New Roman" w:cs="Times New Roman"/>
          <w:bCs/>
          <w:sz w:val="26"/>
          <w:szCs w:val="26"/>
        </w:rPr>
      </w:pPr>
      <w:r w:rsidRPr="0072600F">
        <w:rPr>
          <w:rFonts w:ascii="Times New Roman" w:hAnsi="Times New Roman" w:cs="Times New Roman"/>
          <w:bCs/>
          <w:sz w:val="26"/>
          <w:szCs w:val="26"/>
        </w:rPr>
        <w:t>Appendix G – Interconnection Requirements for a Wind Generating Plant</w:t>
      </w:r>
    </w:p>
    <w:p w:rsidR="00F3594B" w:rsidRPr="0072600F" w14:paraId="0F556D70" w14:textId="77777777">
      <w:pPr>
        <w:rPr>
          <w:rFonts w:ascii="Times New Roman" w:hAnsi="Times New Roman" w:cs="Times New Roman"/>
          <w:bCs/>
          <w:sz w:val="26"/>
          <w:szCs w:val="26"/>
        </w:rPr>
      </w:pPr>
    </w:p>
    <w:p w:rsidR="00F3594B" w:rsidRPr="0072600F" w14:paraId="5B540B0C" w14:textId="77777777">
      <w:pPr>
        <w:rPr>
          <w:rFonts w:ascii="Times New Roman" w:hAnsi="Times New Roman" w:cs="Times New Roman"/>
          <w:sz w:val="26"/>
          <w:szCs w:val="26"/>
        </w:rPr>
      </w:pPr>
      <w:r w:rsidRPr="0072600F">
        <w:rPr>
          <w:rFonts w:ascii="Times New Roman" w:hAnsi="Times New Roman" w:cs="Times New Roman"/>
          <w:bCs/>
          <w:sz w:val="26"/>
          <w:szCs w:val="26"/>
        </w:rPr>
        <w:t>Appendix H – Operating Assumptions for Generating Facility</w:t>
      </w:r>
    </w:p>
    <w:p w:rsidR="00F3594B" w:rsidRPr="0072600F" w14:paraId="4238AF64"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F3594B" w:rsidRPr="0072600F" w14:paraId="13AD559D" w14:textId="77777777">
      <w:pPr>
        <w:rPr>
          <w:rFonts w:ascii="Times New Roman" w:hAnsi="Times New Roman" w:cs="Times New Roman"/>
          <w:b/>
          <w:sz w:val="26"/>
          <w:szCs w:val="26"/>
        </w:rPr>
        <w:sectPr>
          <w:footerReference w:type="default" r:id="rId40"/>
          <w:pgSz w:w="12240" w:h="15840"/>
          <w:pgMar w:top="1440" w:right="1440" w:bottom="1440" w:left="1440" w:header="1440" w:footer="1440" w:gutter="0"/>
          <w:pgNumType w:fmt="lowerRoman" w:start="1"/>
          <w:cols w:space="720"/>
        </w:sectPr>
      </w:pPr>
    </w:p>
    <w:p w:rsidR="00F3594B" w:rsidRPr="0072600F" w14:paraId="7BBA2A0B" w14:textId="77777777">
      <w:pPr>
        <w:jc w:val="center"/>
        <w:rPr>
          <w:rFonts w:ascii="Times New Roman" w:hAnsi="Times New Roman" w:cs="Times New Roman"/>
          <w:sz w:val="26"/>
          <w:szCs w:val="26"/>
        </w:rPr>
      </w:pPr>
      <w:r w:rsidRPr="0072600F">
        <w:rPr>
          <w:rFonts w:ascii="Times New Roman" w:hAnsi="Times New Roman" w:cs="Times New Roman"/>
          <w:sz w:val="26"/>
          <w:szCs w:val="26"/>
          <w:lang w:val="en-CA"/>
        </w:rPr>
        <w:fldChar w:fldCharType="begin"/>
      </w:r>
      <w:r w:rsidRPr="0072600F">
        <w:rPr>
          <w:rFonts w:ascii="Times New Roman" w:hAnsi="Times New Roman" w:cs="Times New Roman"/>
          <w:sz w:val="26"/>
          <w:szCs w:val="26"/>
          <w:lang w:val="en-CA"/>
        </w:rPr>
        <w:instrText xml:space="preserve"> SEQ CHAPTER \h \r 1</w:instrText>
      </w:r>
      <w:r w:rsidRPr="0072600F">
        <w:rPr>
          <w:rFonts w:ascii="Times New Roman" w:hAnsi="Times New Roman" w:cs="Times New Roman"/>
          <w:sz w:val="26"/>
          <w:szCs w:val="26"/>
          <w:lang w:val="en-CA"/>
        </w:rPr>
        <w:fldChar w:fldCharType="separate"/>
      </w:r>
      <w:r w:rsidRPr="0072600F">
        <w:rPr>
          <w:rFonts w:ascii="Times New Roman" w:hAnsi="Times New Roman" w:cs="Times New Roman"/>
          <w:sz w:val="26"/>
          <w:szCs w:val="26"/>
          <w:lang w:val="en-CA"/>
        </w:rPr>
        <w:fldChar w:fldCharType="end"/>
      </w:r>
      <w:r w:rsidRPr="0072600F">
        <w:rPr>
          <w:rFonts w:ascii="Times New Roman" w:hAnsi="Times New Roman" w:cs="Times New Roman"/>
          <w:b/>
          <w:bCs/>
          <w:sz w:val="26"/>
          <w:szCs w:val="26"/>
        </w:rPr>
        <w:t>STANDARD LARGE GENERATOR INTERCONNECTION AGREEMENT</w:t>
      </w:r>
    </w:p>
    <w:p w:rsidR="00F3594B" w:rsidRPr="0072600F" w14:paraId="2FEBE92C" w14:textId="77777777">
      <w:pPr>
        <w:rPr>
          <w:rFonts w:ascii="Times New Roman" w:hAnsi="Times New Roman" w:cs="Times New Roman"/>
          <w:sz w:val="26"/>
          <w:szCs w:val="26"/>
        </w:rPr>
      </w:pPr>
    </w:p>
    <w:p w:rsidR="00F3594B" w:rsidRPr="0072600F" w14:paraId="085D1C86" w14:textId="77777777">
      <w:pPr>
        <w:rPr>
          <w:rFonts w:ascii="Times New Roman" w:hAnsi="Times New Roman" w:cs="Times New Roman"/>
          <w:sz w:val="26"/>
          <w:szCs w:val="26"/>
        </w:rPr>
      </w:pPr>
    </w:p>
    <w:p w:rsidR="00F3594B" w:rsidRPr="0072600F" w14:paraId="771BE47E" w14:textId="77777777">
      <w:pPr>
        <w:rPr>
          <w:rFonts w:ascii="Times New Roman" w:hAnsi="Times New Roman" w:cs="Times New Roman"/>
          <w:sz w:val="26"/>
          <w:szCs w:val="26"/>
        </w:rPr>
      </w:pPr>
    </w:p>
    <w:p w:rsidR="00F3594B" w:rsidRPr="0072600F" w14:paraId="0419AF3C"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THIS STANDARD LARGE GENERATOR INTERCONNECTION AGREEMENT </w:t>
      </w:r>
      <w:r w:rsidRPr="0072600F">
        <w:rPr>
          <w:rFonts w:ascii="Times New Roman" w:hAnsi="Times New Roman" w:cs="Times New Roman"/>
          <w:sz w:val="26"/>
          <w:szCs w:val="26"/>
        </w:rPr>
        <w: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Agreement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is made and entered into this ____ day of ___________ </w:t>
      </w:r>
    </w:p>
    <w:p w:rsidR="00F3594B" w:rsidRPr="0072600F" w14:paraId="68645534" w14:textId="77777777">
      <w:pPr>
        <w:rPr>
          <w:rFonts w:ascii="Times New Roman" w:hAnsi="Times New Roman" w:cs="Times New Roman"/>
          <w:sz w:val="26"/>
          <w:szCs w:val="26"/>
        </w:rPr>
      </w:pPr>
      <w:r w:rsidRPr="0072600F">
        <w:rPr>
          <w:rFonts w:ascii="Times New Roman" w:hAnsi="Times New Roman" w:cs="Times New Roman"/>
          <w:sz w:val="26"/>
          <w:szCs w:val="26"/>
        </w:rPr>
        <w:t>20__, by and between _______________________, a ____________________________</w:t>
      </w:r>
    </w:p>
    <w:p w:rsidR="00F3594B" w:rsidRPr="0072600F" w14:paraId="6C25A5DF" w14:textId="77777777">
      <w:pPr>
        <w:rPr>
          <w:rFonts w:ascii="Times New Roman" w:hAnsi="Times New Roman" w:cs="Times New Roman"/>
          <w:sz w:val="26"/>
          <w:szCs w:val="26"/>
        </w:rPr>
      </w:pPr>
      <w:r w:rsidRPr="0072600F">
        <w:rPr>
          <w:rFonts w:ascii="Times New Roman" w:hAnsi="Times New Roman" w:cs="Times New Roman"/>
          <w:sz w:val="26"/>
          <w:szCs w:val="26"/>
        </w:rPr>
        <w:t>organized and existing under the laws of the State/Commonwealth of ________________</w:t>
      </w:r>
    </w:p>
    <w:p w:rsidR="00F3594B" w:rsidRPr="0072600F" w14:paraId="7B59511F"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with a Large Generating Facility), and</w:t>
      </w:r>
    </w:p>
    <w:p w:rsidR="00F3594B" w:rsidRPr="0072600F" w14:paraId="2C8A0EDE" w14:textId="77777777">
      <w:pPr>
        <w:rPr>
          <w:rFonts w:ascii="Times New Roman" w:hAnsi="Times New Roman" w:cs="Times New Roman"/>
          <w:sz w:val="26"/>
          <w:szCs w:val="26"/>
        </w:rPr>
      </w:pPr>
      <w:r w:rsidRPr="0072600F">
        <w:rPr>
          <w:rFonts w:ascii="Times New Roman" w:hAnsi="Times New Roman" w:cs="Times New Roman"/>
          <w:sz w:val="26"/>
          <w:szCs w:val="26"/>
        </w:rPr>
        <w:t>__________________________________________, a ___________________________</w:t>
      </w:r>
    </w:p>
    <w:p w:rsidR="00F3594B" w:rsidRPr="0072600F" w14:paraId="4769372F" w14:textId="77777777">
      <w:pPr>
        <w:rPr>
          <w:rFonts w:ascii="Times New Roman" w:hAnsi="Times New Roman" w:cs="Times New Roman"/>
          <w:sz w:val="26"/>
          <w:szCs w:val="26"/>
        </w:rPr>
      </w:pPr>
      <w:r w:rsidRPr="0072600F">
        <w:rPr>
          <w:rFonts w:ascii="Times New Roman" w:hAnsi="Times New Roman" w:cs="Times New Roman"/>
          <w:sz w:val="26"/>
          <w:szCs w:val="26"/>
        </w:rPr>
        <w:t>organized and existing under the laws of the State/Commonwealth of ________________</w:t>
      </w:r>
    </w:p>
    <w:p w:rsidR="00F3594B" w:rsidRPr="0072600F" w14:paraId="2A76EC6E"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Transmission Provider and/or Transmission Owner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and Transmission Provider each may be referred to as a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or collectively as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Parties.</w:t>
      </w:r>
      <w:r w:rsidRPr="0072600F" w:rsidR="002C0896">
        <w:rPr>
          <w:rFonts w:ascii="Times New Roman" w:hAnsi="Times New Roman" w:cs="Times New Roman"/>
          <w:sz w:val="26"/>
          <w:szCs w:val="26"/>
        </w:rPr>
        <w:t>”</w:t>
      </w:r>
    </w:p>
    <w:p w:rsidR="00F3594B" w:rsidRPr="0072600F" w14:paraId="2F58F015" w14:textId="77777777">
      <w:pPr>
        <w:rPr>
          <w:rFonts w:ascii="Times New Roman" w:hAnsi="Times New Roman" w:cs="Times New Roman"/>
          <w:sz w:val="26"/>
          <w:szCs w:val="26"/>
        </w:rPr>
      </w:pPr>
    </w:p>
    <w:p w:rsidR="00F3594B" w:rsidRPr="0072600F" w14:paraId="01FF3158" w14:textId="77777777">
      <w:pPr>
        <w:rPr>
          <w:rFonts w:ascii="Times New Roman" w:hAnsi="Times New Roman" w:cs="Times New Roman"/>
          <w:sz w:val="26"/>
          <w:szCs w:val="26"/>
        </w:rPr>
      </w:pPr>
    </w:p>
    <w:p w:rsidR="00F3594B" w:rsidRPr="0072600F" w:rsidP="00F21F10" w14:paraId="3614BD09" w14:textId="77777777">
      <w:pPr>
        <w:pStyle w:val="Heading2"/>
        <w:jc w:val="center"/>
        <w:rPr>
          <w:b/>
          <w:bCs/>
          <w:sz w:val="26"/>
          <w:szCs w:val="26"/>
        </w:rPr>
      </w:pPr>
      <w:bookmarkStart w:id="353" w:name="_Toc148703278"/>
      <w:r w:rsidRPr="0072600F">
        <w:rPr>
          <w:b/>
          <w:bCs/>
          <w:sz w:val="26"/>
          <w:szCs w:val="26"/>
        </w:rPr>
        <w:t>Recitals</w:t>
      </w:r>
      <w:bookmarkEnd w:id="353"/>
    </w:p>
    <w:p w:rsidR="00F3594B" w:rsidRPr="0072600F" w14:paraId="54A4C15C" w14:textId="77777777">
      <w:pPr>
        <w:jc w:val="both"/>
        <w:rPr>
          <w:rFonts w:ascii="Times New Roman" w:hAnsi="Times New Roman" w:cs="Times New Roman"/>
          <w:sz w:val="26"/>
          <w:szCs w:val="26"/>
        </w:rPr>
      </w:pPr>
    </w:p>
    <w:p w:rsidR="00F3594B" w:rsidRPr="0072600F" w14:paraId="4F9AD504" w14:textId="77777777">
      <w:pPr>
        <w:jc w:val="both"/>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Transmission Provider operates the Transmission System; and </w:t>
      </w:r>
    </w:p>
    <w:p w:rsidR="00F3594B" w:rsidRPr="0072600F" w14:paraId="01EAD831" w14:textId="77777777">
      <w:pPr>
        <w:jc w:val="both"/>
        <w:rPr>
          <w:rFonts w:ascii="Times New Roman" w:hAnsi="Times New Roman" w:cs="Times New Roman"/>
          <w:sz w:val="26"/>
          <w:szCs w:val="26"/>
        </w:rPr>
      </w:pPr>
    </w:p>
    <w:p w:rsidR="00F3594B" w:rsidRPr="0072600F" w14:paraId="29748C32" w14:textId="77777777">
      <w:pPr>
        <w:jc w:val="both"/>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 xml:space="preserve">WHEREAS, </w:t>
      </w:r>
      <w:r w:rsidRPr="0072600F">
        <w:rPr>
          <w:rFonts w:ascii="Times New Roman" w:hAnsi="Times New Roman" w:cs="Times New Roman"/>
          <w:sz w:val="26"/>
          <w:szCs w:val="26"/>
        </w:rPr>
        <w:t>Interconnection Customer intends to own, lease and/or control and operate the Generating Facility identified as a Large Generating Facility in Appendix C to this Agreement; and,</w:t>
      </w:r>
    </w:p>
    <w:p w:rsidR="00F3594B" w:rsidRPr="0072600F" w14:paraId="77331D13" w14:textId="77777777">
      <w:pPr>
        <w:jc w:val="both"/>
        <w:rPr>
          <w:rFonts w:ascii="Times New Roman" w:hAnsi="Times New Roman" w:cs="Times New Roman"/>
          <w:sz w:val="26"/>
          <w:szCs w:val="26"/>
        </w:rPr>
      </w:pPr>
    </w:p>
    <w:p w:rsidR="00F3594B" w:rsidRPr="0072600F" w14:paraId="7EEF5A9C" w14:textId="77777777">
      <w:pPr>
        <w:jc w:val="both"/>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WHEREAS,</w:t>
      </w:r>
      <w:r w:rsidRPr="0072600F">
        <w:rPr>
          <w:rFonts w:ascii="Times New Roman" w:hAnsi="Times New Roman" w:cs="Times New Roman"/>
          <w:sz w:val="26"/>
          <w:szCs w:val="26"/>
        </w:rPr>
        <w:t xml:space="preserve"> Interconnection Customer and Transmission Provider have agreed to enter into this Agreement for the purpose of interconnecting the Large Generating Facility with the Transmission System;</w:t>
      </w:r>
    </w:p>
    <w:p w:rsidR="00F3594B" w:rsidRPr="0072600F" w14:paraId="3F74047D" w14:textId="77777777">
      <w:pPr>
        <w:jc w:val="both"/>
        <w:rPr>
          <w:rFonts w:ascii="Times New Roman" w:hAnsi="Times New Roman" w:cs="Times New Roman"/>
          <w:sz w:val="26"/>
          <w:szCs w:val="26"/>
        </w:rPr>
      </w:pPr>
    </w:p>
    <w:p w:rsidR="00F3594B" w:rsidRPr="0072600F" w14:paraId="60DD05F3" w14:textId="77777777">
      <w:pPr>
        <w:jc w:val="both"/>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NOW, THEREFORE,</w:t>
      </w:r>
      <w:r w:rsidRPr="0072600F">
        <w:rPr>
          <w:rFonts w:ascii="Times New Roman" w:hAnsi="Times New Roman" w:cs="Times New Roman"/>
          <w:sz w:val="26"/>
          <w:szCs w:val="26"/>
        </w:rPr>
        <w:t xml:space="preserve"> in consideration of and subject to the mutual covenants contained herein, it is agreed:</w:t>
      </w:r>
    </w:p>
    <w:p w:rsidR="00F3594B" w:rsidRPr="0072600F" w14:paraId="1A3A339D" w14:textId="77777777">
      <w:pPr>
        <w:rPr>
          <w:rFonts w:ascii="Times New Roman" w:hAnsi="Times New Roman" w:cs="Times New Roman"/>
          <w:sz w:val="26"/>
          <w:szCs w:val="26"/>
        </w:rPr>
      </w:pPr>
    </w:p>
    <w:p w:rsidR="00F3594B" w:rsidRPr="0072600F" w14:paraId="45DADCEF" w14:textId="77777777">
      <w:pPr>
        <w:rPr>
          <w:rFonts w:ascii="Times New Roman" w:hAnsi="Times New Roman" w:cs="Times New Roman"/>
          <w:sz w:val="26"/>
          <w:szCs w:val="26"/>
        </w:rPr>
      </w:pPr>
    </w:p>
    <w:p w:rsidR="00F3594B" w:rsidRPr="0072600F" w14:paraId="785AA0ED" w14:textId="77777777">
      <w:pPr>
        <w:rPr>
          <w:rFonts w:ascii="Times New Roman" w:hAnsi="Times New Roman" w:cs="Times New Roman"/>
          <w:sz w:val="26"/>
          <w:szCs w:val="26"/>
        </w:rPr>
      </w:pPr>
      <w:r w:rsidRPr="0072600F">
        <w:rPr>
          <w:rFonts w:ascii="Times New Roman" w:hAnsi="Times New Roman" w:cs="Times New Roman"/>
          <w:sz w:val="26"/>
          <w:szCs w:val="26"/>
        </w:rPr>
        <w:tab/>
        <w:t>When used in this Standard Large Generator Interconnection Agreement, terms with initial capitalization that are not defined in Article 1 shall have the meanings specified in the Article in which they are used or the Open Access Transmission Tariff (Tariff).</w:t>
      </w:r>
    </w:p>
    <w:p w:rsidR="00F3594B" w:rsidRPr="0072600F" w14:paraId="47DC97B6" w14:textId="77777777">
      <w:pPr>
        <w:rPr>
          <w:rFonts w:ascii="Times New Roman" w:hAnsi="Times New Roman" w:cs="Times New Roman"/>
          <w:sz w:val="26"/>
          <w:szCs w:val="26"/>
        </w:rPr>
      </w:pPr>
    </w:p>
    <w:p w:rsidR="00F3594B" w:rsidRPr="0072600F" w14:paraId="74B50571" w14:textId="77777777">
      <w:pPr>
        <w:rPr>
          <w:rFonts w:ascii="Times New Roman" w:hAnsi="Times New Roman" w:cs="Times New Roman"/>
          <w:sz w:val="26"/>
          <w:szCs w:val="26"/>
        </w:rPr>
      </w:pPr>
    </w:p>
    <w:p w:rsidR="00F3594B" w:rsidRPr="0072600F" w:rsidP="004925C3" w14:paraId="5F9EC892" w14:textId="77777777">
      <w:pPr>
        <w:pStyle w:val="Heading2"/>
        <w:rPr>
          <w:b/>
          <w:bCs/>
          <w:sz w:val="26"/>
          <w:szCs w:val="26"/>
        </w:rPr>
      </w:pPr>
      <w:r w:rsidRPr="0072600F">
        <w:rPr>
          <w:b/>
          <w:bCs/>
          <w:sz w:val="26"/>
          <w:szCs w:val="26"/>
        </w:rPr>
        <w:br w:type="page"/>
      </w:r>
      <w:bookmarkStart w:id="354" w:name="_1__1_"/>
      <w:bookmarkStart w:id="355" w:name="_Toc148703279"/>
      <w:bookmarkEnd w:id="354"/>
      <w:r w:rsidRPr="0072600F">
        <w:rPr>
          <w:b/>
          <w:bCs/>
          <w:sz w:val="26"/>
          <w:szCs w:val="26"/>
        </w:rPr>
        <w:t>Article 1.</w:t>
      </w:r>
      <w:r w:rsidRPr="0072600F">
        <w:rPr>
          <w:b/>
          <w:bCs/>
          <w:sz w:val="26"/>
          <w:szCs w:val="26"/>
        </w:rPr>
        <w:tab/>
        <w:t>Definitions</w:t>
      </w:r>
      <w:bookmarkEnd w:id="355"/>
    </w:p>
    <w:p w:rsidR="00F3594B" w:rsidRPr="0072600F" w14:paraId="69816114" w14:textId="77777777">
      <w:pPr>
        <w:rPr>
          <w:rFonts w:ascii="Times New Roman" w:hAnsi="Times New Roman" w:cs="Times New Roman"/>
          <w:sz w:val="26"/>
          <w:szCs w:val="26"/>
        </w:rPr>
      </w:pPr>
    </w:p>
    <w:p w:rsidR="00F3594B" w:rsidRPr="0072600F" w14:paraId="23762684"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Adverse System Impact</w:t>
      </w:r>
      <w:r w:rsidRPr="0072600F">
        <w:rPr>
          <w:rFonts w:ascii="Times New Roman" w:hAnsi="Times New Roman" w:cs="Times New Roman"/>
          <w:sz w:val="26"/>
          <w:szCs w:val="26"/>
        </w:rPr>
        <w:t xml:space="preserve"> shall mean the negative effects due to technical or operational limits on conductors or equipment being exceeded that may compromise the safety and reliability of the electric system.</w:t>
      </w:r>
    </w:p>
    <w:p w:rsidR="00F3594B" w:rsidRPr="0072600F" w14:paraId="06B05F29"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Affected System </w:t>
      </w:r>
      <w:r w:rsidRPr="0072600F">
        <w:rPr>
          <w:rFonts w:ascii="Times New Roman" w:hAnsi="Times New Roman" w:cs="Times New Roman"/>
          <w:sz w:val="26"/>
          <w:szCs w:val="26"/>
        </w:rPr>
        <w:t xml:space="preserve">shall mean an electric system other than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that may be affected by the proposed interconnection.</w:t>
      </w:r>
    </w:p>
    <w:p w:rsidR="00F3594B" w:rsidRPr="0072600F" w14:paraId="373F6D21"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Affected System Operator </w:t>
      </w:r>
      <w:r w:rsidRPr="0072600F">
        <w:rPr>
          <w:rFonts w:ascii="Times New Roman" w:hAnsi="Times New Roman" w:cs="Times New Roman"/>
          <w:sz w:val="26"/>
          <w:szCs w:val="26"/>
        </w:rPr>
        <w:t>shall mean the entity that operates an Affected System.</w:t>
      </w:r>
    </w:p>
    <w:p w:rsidR="00F3594B" w:rsidRPr="0072600F" w14:paraId="174A5E89" w14:textId="77777777">
      <w:pPr>
        <w:rPr>
          <w:rFonts w:ascii="Times New Roman" w:hAnsi="Times New Roman" w:cs="Times New Roman"/>
          <w:sz w:val="26"/>
          <w:szCs w:val="26"/>
        </w:rPr>
      </w:pPr>
      <w:r w:rsidRPr="0072600F">
        <w:rPr>
          <w:rFonts w:ascii="Times New Roman" w:hAnsi="Times New Roman" w:cs="Times New Roman"/>
          <w:b/>
          <w:bCs/>
          <w:sz w:val="26"/>
          <w:szCs w:val="26"/>
        </w:rPr>
        <w:tab/>
        <w:t>Affiliate</w:t>
      </w:r>
      <w:r w:rsidRPr="0072600F">
        <w:rPr>
          <w:rFonts w:ascii="Times New Roman" w:hAnsi="Times New Roman" w:cs="Times New Roman"/>
          <w:sz w:val="26"/>
          <w:szCs w:val="26"/>
        </w:rPr>
        <w:t xml:space="preserve"> 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rsidR="00F3594B" w:rsidRPr="0072600F" w14:paraId="1B19758E"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Ancillary Services </w:t>
      </w:r>
      <w:r w:rsidRPr="0072600F">
        <w:rPr>
          <w:rFonts w:ascii="Times New Roman" w:hAnsi="Times New Roman" w:cs="Times New Roman"/>
          <w:sz w:val="26"/>
          <w:szCs w:val="26"/>
        </w:rPr>
        <w:t xml:space="preserve">shall mean those services that are necessary to support the transmission of capacity and energy from resources to loads while maintaining reliable operation of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 accordance with Good Utility Practice.</w:t>
      </w:r>
    </w:p>
    <w:p w:rsidR="00F3594B" w:rsidRPr="0072600F" w14:paraId="3ABF7C83"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Applicable Laws and Regulations </w:t>
      </w:r>
      <w:r w:rsidRPr="0072600F">
        <w:rPr>
          <w:rFonts w:ascii="Times New Roman" w:hAnsi="Times New Roman" w:cs="Times New Roman"/>
          <w:sz w:val="26"/>
          <w:szCs w:val="26"/>
        </w:rPr>
        <w:t>shall mean all duly promulgated applicable federal, state and local laws, regulations, rules, ordinances, codes, decrees, judgments, directives, or judicial or administrative orders, permits and other duly authorized actions of any Governmental Authority.</w:t>
      </w:r>
    </w:p>
    <w:p w:rsidR="00F3594B" w:rsidRPr="0072600F" w14:paraId="5F1882B5" w14:textId="77777777">
      <w:pPr>
        <w:rPr>
          <w:rFonts w:ascii="Times New Roman" w:hAnsi="Times New Roman" w:cs="Times New Roman"/>
          <w:sz w:val="26"/>
          <w:szCs w:val="26"/>
        </w:rPr>
      </w:pPr>
      <w:r w:rsidRPr="0072600F">
        <w:rPr>
          <w:rFonts w:ascii="Times New Roman" w:hAnsi="Times New Roman" w:cs="Times New Roman"/>
          <w:b/>
          <w:bCs/>
          <w:sz w:val="26"/>
          <w:szCs w:val="26"/>
        </w:rPr>
        <w:tab/>
        <w:t>Applicable Reliability Standards</w:t>
      </w:r>
      <w:r w:rsidRPr="0072600F">
        <w:rPr>
          <w:rFonts w:ascii="Times New Roman" w:hAnsi="Times New Roman" w:cs="Times New Roman"/>
          <w:sz w:val="26"/>
          <w:szCs w:val="26"/>
        </w:rPr>
        <w:t xml:space="preserve"> shall mean the requirements and guidelines of the Electric Reliability Organization and the Balancing Authority Area of the Transmission System to which the Generating Facility is directly interconnected.</w:t>
      </w:r>
    </w:p>
    <w:p w:rsidR="00F3594B" w:rsidRPr="0072600F" w14:paraId="4A5B40C8"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Balancing Authority</w:t>
      </w:r>
      <w:r w:rsidRPr="0072600F">
        <w:rPr>
          <w:rFonts w:ascii="Times New Roman" w:hAnsi="Times New Roman" w:cs="Times New Roman"/>
          <w:sz w:val="26"/>
          <w:szCs w:val="26"/>
        </w:rPr>
        <w:t xml:space="preserve"> shall mean an entity that integrates resource plans ahead of time, maintains demand and resource balance within a Balancing Authority Area, and supports interconnection frequency in real time.</w:t>
      </w:r>
    </w:p>
    <w:p w:rsidR="00F3594B" w:rsidRPr="0072600F" w14:paraId="29D1092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Balancing Authority Area</w:t>
      </w:r>
      <w:r w:rsidRPr="0072600F">
        <w:rPr>
          <w:rFonts w:ascii="Times New Roman" w:hAnsi="Times New Roman" w:cs="Times New Roman"/>
          <w:sz w:val="26"/>
          <w:szCs w:val="26"/>
        </w:rPr>
        <w:t xml:space="preserve"> shall mean the collection of generation, transmission, and loads within the metered boundaries of the Balancing Authority.  The Balancing Authority maintains load-resource balance within this area.</w:t>
      </w:r>
    </w:p>
    <w:p w:rsidR="00F3594B" w:rsidRPr="0072600F" w14:paraId="535813F9"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Base Case </w:t>
      </w:r>
      <w:r w:rsidRPr="0072600F">
        <w:rPr>
          <w:rFonts w:ascii="Times New Roman" w:hAnsi="Times New Roman" w:cs="Times New Roman"/>
          <w:sz w:val="26"/>
          <w:szCs w:val="26"/>
        </w:rPr>
        <w:t>shall mean the base case power flow, short circuit, and stability data bases used for the Interconnection Studies by Transmission Provider or Interconnection Customer.</w:t>
      </w:r>
    </w:p>
    <w:p w:rsidR="00F3594B" w:rsidRPr="0072600F" w14:paraId="75032141" w14:textId="77777777">
      <w:pPr>
        <w:rPr>
          <w:rFonts w:ascii="Times New Roman" w:hAnsi="Times New Roman" w:cs="Times New Roman"/>
          <w:sz w:val="26"/>
          <w:szCs w:val="26"/>
        </w:rPr>
      </w:pPr>
      <w:r w:rsidRPr="0072600F">
        <w:rPr>
          <w:rFonts w:ascii="Times New Roman" w:hAnsi="Times New Roman" w:cs="Times New Roman"/>
          <w:b/>
          <w:bCs/>
          <w:sz w:val="26"/>
          <w:szCs w:val="26"/>
        </w:rPr>
        <w:tab/>
        <w:t>Breach</w:t>
      </w:r>
      <w:r w:rsidRPr="0072600F">
        <w:rPr>
          <w:rFonts w:ascii="Times New Roman" w:hAnsi="Times New Roman" w:cs="Times New Roman"/>
          <w:sz w:val="26"/>
          <w:szCs w:val="26"/>
        </w:rPr>
        <w:t xml:space="preserve"> shall mean the failure of a Party to perform or observe any material term or condition of the Standard Large Generator Interconnection Agreement.</w:t>
      </w:r>
    </w:p>
    <w:p w:rsidR="00F3594B" w:rsidRPr="0072600F" w14:paraId="141FA6BD" w14:textId="77777777">
      <w:pPr>
        <w:rPr>
          <w:rFonts w:ascii="Times New Roman" w:hAnsi="Times New Roman" w:cs="Times New Roman"/>
          <w:sz w:val="26"/>
          <w:szCs w:val="26"/>
        </w:rPr>
      </w:pPr>
      <w:r w:rsidRPr="0072600F">
        <w:rPr>
          <w:rFonts w:ascii="Times New Roman" w:hAnsi="Times New Roman" w:cs="Times New Roman"/>
          <w:b/>
          <w:bCs/>
          <w:sz w:val="26"/>
          <w:szCs w:val="26"/>
        </w:rPr>
        <w:tab/>
        <w:t>Breaching Party</w:t>
      </w:r>
      <w:r w:rsidRPr="0072600F">
        <w:rPr>
          <w:rFonts w:ascii="Times New Roman" w:hAnsi="Times New Roman" w:cs="Times New Roman"/>
          <w:sz w:val="26"/>
          <w:szCs w:val="26"/>
        </w:rPr>
        <w:t xml:space="preserve"> shall mean a Party that is in Breach of the Standard Large Generator Interconnection Agreement.</w:t>
      </w:r>
    </w:p>
    <w:p w:rsidR="00F3594B" w:rsidRPr="0072600F" w14:paraId="1D4C5856" w14:textId="77777777">
      <w:pPr>
        <w:rPr>
          <w:rFonts w:ascii="Times New Roman" w:hAnsi="Times New Roman" w:cs="Times New Roman"/>
          <w:sz w:val="26"/>
          <w:szCs w:val="26"/>
        </w:rPr>
      </w:pPr>
      <w:r w:rsidRPr="0072600F">
        <w:rPr>
          <w:rFonts w:ascii="Times New Roman" w:hAnsi="Times New Roman" w:cs="Times New Roman"/>
          <w:b/>
          <w:bCs/>
          <w:sz w:val="26"/>
          <w:szCs w:val="26"/>
        </w:rPr>
        <w:tab/>
        <w:t>Business Day</w:t>
      </w:r>
      <w:r w:rsidRPr="0072600F">
        <w:rPr>
          <w:rFonts w:ascii="Times New Roman" w:hAnsi="Times New Roman" w:cs="Times New Roman"/>
          <w:sz w:val="26"/>
          <w:szCs w:val="26"/>
        </w:rPr>
        <w:t xml:space="preserve"> shall mean Monday through Friday, excluding Federal Holidays.</w:t>
      </w:r>
    </w:p>
    <w:p w:rsidR="00F3594B" w:rsidRPr="0072600F" w14:paraId="14E58D26" w14:textId="77777777">
      <w:pPr>
        <w:rPr>
          <w:rFonts w:ascii="Times New Roman" w:hAnsi="Times New Roman" w:cs="Times New Roman"/>
          <w:sz w:val="26"/>
          <w:szCs w:val="26"/>
        </w:rPr>
      </w:pPr>
      <w:r w:rsidRPr="0072600F">
        <w:rPr>
          <w:rFonts w:ascii="Times New Roman" w:hAnsi="Times New Roman" w:cs="Times New Roman"/>
          <w:b/>
          <w:bCs/>
          <w:sz w:val="26"/>
          <w:szCs w:val="26"/>
        </w:rPr>
        <w:tab/>
        <w:t>Calendar Day</w:t>
      </w:r>
      <w:r w:rsidRPr="0072600F">
        <w:rPr>
          <w:rFonts w:ascii="Times New Roman" w:hAnsi="Times New Roman" w:cs="Times New Roman"/>
          <w:sz w:val="26"/>
          <w:szCs w:val="26"/>
        </w:rPr>
        <w:t xml:space="preserve"> shall mean any day including Saturday, Sunday or a Federal Holiday.</w:t>
      </w:r>
    </w:p>
    <w:p w:rsidR="00F3594B" w:rsidRPr="0072600F" w14:paraId="45649D3B"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Cluster</w:t>
      </w:r>
      <w:r w:rsidRPr="0072600F">
        <w:rPr>
          <w:rFonts w:ascii="Times New Roman" w:hAnsi="Times New Roman" w:cs="Times New Roman"/>
          <w:sz w:val="26"/>
          <w:szCs w:val="26"/>
        </w:rPr>
        <w:t xml:space="preserve"> shall mean a group of one or more Interconnection Requests that are studied together for the purpose of conducting a Cluster Study.</w:t>
      </w:r>
    </w:p>
    <w:p w:rsidR="00F3594B" w:rsidRPr="0072600F" w14:paraId="3FF0C3A4"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Cluster Restudy</w:t>
      </w:r>
      <w:r w:rsidRPr="0072600F">
        <w:rPr>
          <w:rFonts w:ascii="Times New Roman" w:hAnsi="Times New Roman" w:cs="Times New Roman"/>
          <w:sz w:val="26"/>
          <w:szCs w:val="26"/>
        </w:rPr>
        <w:t xml:space="preserve"> shall mean a restudy of a Cluster Study conducted pursuant to Section 7.5 of the LGIP.</w:t>
      </w:r>
    </w:p>
    <w:p w:rsidR="00F3594B" w:rsidRPr="0072600F" w14:paraId="128E30F0"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Cluster Study</w:t>
      </w:r>
      <w:r w:rsidRPr="0072600F">
        <w:rPr>
          <w:rFonts w:ascii="Times New Roman" w:hAnsi="Times New Roman" w:cs="Times New Roman"/>
          <w:sz w:val="26"/>
          <w:szCs w:val="26"/>
        </w:rPr>
        <w:t xml:space="preserve"> shall mean the evaluation of one or more Interconnection Requests within a Cluster as described in Section 7 of the LGIP.</w:t>
      </w:r>
    </w:p>
    <w:p w:rsidR="00F3594B" w:rsidRPr="0072600F" w14:paraId="73F8302A" w14:textId="77777777">
      <w:pPr>
        <w:rPr>
          <w:rFonts w:ascii="Times New Roman" w:hAnsi="Times New Roman" w:cs="Times New Roman"/>
          <w:sz w:val="26"/>
          <w:szCs w:val="26"/>
        </w:rPr>
      </w:pPr>
      <w:r w:rsidRPr="0072600F">
        <w:rPr>
          <w:rFonts w:ascii="Times New Roman" w:hAnsi="Times New Roman" w:cs="Times New Roman"/>
          <w:b/>
          <w:bCs/>
          <w:sz w:val="26"/>
          <w:szCs w:val="26"/>
        </w:rPr>
        <w:tab/>
        <w:t>Clustering</w:t>
      </w:r>
      <w:r w:rsidRPr="0072600F">
        <w:rPr>
          <w:rFonts w:ascii="Times New Roman" w:hAnsi="Times New Roman" w:cs="Times New Roman"/>
          <w:sz w:val="26"/>
          <w:szCs w:val="26"/>
        </w:rPr>
        <w:t xml:space="preserve"> shall mean the process whereby one or more Interconnection Requests are studied together, instead of serially, as described in Section 7 of the LGIP.</w:t>
      </w:r>
    </w:p>
    <w:p w:rsidR="00F3594B" w:rsidRPr="0072600F" w14:paraId="135CB851"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Commercial Operation</w:t>
      </w:r>
      <w:r w:rsidRPr="0072600F">
        <w:rPr>
          <w:rFonts w:ascii="Times New Roman" w:hAnsi="Times New Roman" w:cs="Times New Roman"/>
          <w:sz w:val="26"/>
          <w:szCs w:val="26"/>
        </w:rPr>
        <w:t xml:space="preserve"> shall mean the status of a Generating Facility that has commenced generating electricity for sale, excluding electricity generated during Trial Operation.</w:t>
      </w:r>
    </w:p>
    <w:p w:rsidR="00F3594B" w:rsidRPr="0072600F" w14:paraId="6717B50B" w14:textId="77777777">
      <w:pPr>
        <w:rPr>
          <w:rFonts w:ascii="Times New Roman" w:hAnsi="Times New Roman" w:cs="Times New Roman"/>
          <w:sz w:val="26"/>
          <w:szCs w:val="26"/>
        </w:rPr>
      </w:pPr>
      <w:r w:rsidRPr="0072600F">
        <w:rPr>
          <w:rFonts w:ascii="Times New Roman" w:hAnsi="Times New Roman" w:cs="Times New Roman"/>
          <w:b/>
          <w:bCs/>
          <w:sz w:val="26"/>
          <w:szCs w:val="26"/>
        </w:rPr>
        <w:tab/>
        <w:t>Commercial Operation Date</w:t>
      </w:r>
      <w:r w:rsidRPr="0072600F">
        <w:rPr>
          <w:rFonts w:ascii="Times New Roman" w:hAnsi="Times New Roman" w:cs="Times New Roman"/>
          <w:sz w:val="26"/>
          <w:szCs w:val="26"/>
        </w:rPr>
        <w:t xml:space="preserve"> of a unit shall mean the date on which the Generating Facility commences Commercial Operation as agreed to by the Parties pursuant to Appendix E to the Standard Large Generator Interconnection Agreement.</w:t>
      </w:r>
    </w:p>
    <w:p w:rsidR="00F3594B" w:rsidRPr="0072600F" w14:paraId="13895AFD"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Confidential Information </w:t>
      </w:r>
      <w:r w:rsidRPr="0072600F">
        <w:rPr>
          <w:rFonts w:ascii="Times New Roman" w:hAnsi="Times New Roman" w:cs="Times New Roman"/>
          <w:sz w:val="26"/>
          <w:szCs w:val="26"/>
        </w:rPr>
        <w:t>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w:t>
      </w:r>
    </w:p>
    <w:p w:rsidR="00F3594B" w:rsidRPr="0072600F" w14:paraId="17745648"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Contingent Facilities</w:t>
      </w:r>
      <w:r w:rsidRPr="0072600F">
        <w:rPr>
          <w:rFonts w:ascii="Times New Roman" w:hAnsi="Times New Roman" w:cs="Times New Roman"/>
          <w:sz w:val="26"/>
          <w:szCs w:val="26"/>
        </w:rPr>
        <w:t xml:space="preserve"> shall mean those unbuilt Interconnection Facilities and Network Upgrades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
    <w:p w:rsidR="00F3594B" w:rsidRPr="0072600F" w14:paraId="651ECEBD"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Default </w:t>
      </w:r>
      <w:r w:rsidRPr="0072600F">
        <w:rPr>
          <w:rFonts w:ascii="Times New Roman" w:hAnsi="Times New Roman" w:cs="Times New Roman"/>
          <w:sz w:val="26"/>
          <w:szCs w:val="26"/>
        </w:rPr>
        <w:t>shall mean the failure of a Breaching Party to cure its Breach in accordance with Article 17 of the Standard Large Generator Interconnection Agreement.</w:t>
      </w:r>
    </w:p>
    <w:p w:rsidR="00F3594B" w:rsidRPr="0072600F" w14:paraId="69EE068B"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Dispute Resolution</w:t>
      </w:r>
      <w:r w:rsidRPr="0072600F">
        <w:rPr>
          <w:rFonts w:ascii="Times New Roman" w:hAnsi="Times New Roman" w:cs="Times New Roman"/>
          <w:sz w:val="26"/>
          <w:szCs w:val="26"/>
        </w:rPr>
        <w:t xml:space="preserve"> shall mean the procedure for resolution of a dispute between the Parties in which they will first attempt to resolve the dispute on an informal basis.</w:t>
      </w:r>
    </w:p>
    <w:p w:rsidR="00F3594B" w:rsidRPr="0072600F" w14:paraId="6B7DF330"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Distribution System</w:t>
      </w:r>
      <w:r w:rsidRPr="0072600F">
        <w:rPr>
          <w:rFonts w:ascii="Times New Roman" w:hAnsi="Times New Roman" w:cs="Times New Roman"/>
          <w:sz w:val="26"/>
          <w:szCs w:val="26"/>
        </w:rPr>
        <w:t xml:space="preserve"> shall mean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F3594B" w:rsidRPr="0072600F" w14:paraId="59E75978" w14:textId="77777777">
      <w:pPr>
        <w:rPr>
          <w:rFonts w:ascii="Times New Roman" w:hAnsi="Times New Roman" w:cs="Times New Roman"/>
          <w:sz w:val="26"/>
          <w:szCs w:val="26"/>
        </w:rPr>
      </w:pPr>
      <w:r w:rsidRPr="0072600F">
        <w:rPr>
          <w:rFonts w:ascii="Times New Roman" w:hAnsi="Times New Roman" w:cs="Times New Roman"/>
          <w:b/>
          <w:bCs/>
          <w:sz w:val="26"/>
          <w:szCs w:val="26"/>
        </w:rPr>
        <w:tab/>
        <w:t>Distribution Upgrades</w:t>
      </w:r>
      <w:r w:rsidRPr="0072600F">
        <w:rPr>
          <w:rFonts w:ascii="Times New Roman" w:hAnsi="Times New Roman" w:cs="Times New Roman"/>
          <w:sz w:val="26"/>
          <w:szCs w:val="26"/>
        </w:rPr>
        <w:t xml:space="preserve"> shall mean the additions, modifications, and upgrades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Distribution System at or beyond the Point of Interconnection to facilitate interconnection of the Generating Facility and render the transmission service necessary to effect Interconnection Customer's wholesale sale of electricity in interstate commerce.  Distribution Upgrades do not include Interconnection Facilities.</w:t>
      </w:r>
    </w:p>
    <w:p w:rsidR="00F3594B" w:rsidRPr="0072600F" w14:paraId="1B603321"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Effective Date</w:t>
      </w:r>
      <w:r w:rsidRPr="0072600F">
        <w:rPr>
          <w:rFonts w:ascii="Times New Roman" w:hAnsi="Times New Roman" w:cs="Times New Roman"/>
          <w:sz w:val="26"/>
          <w:szCs w:val="26"/>
        </w:rPr>
        <w:t xml:space="preserve"> shall mean the date on which the Standard Large Generator Interconnection Agreement becomes effective upon execution by the Parties subject to acceptance by FERC, or if filed unexecuted, upon the date specified by FERC.</w:t>
      </w:r>
    </w:p>
    <w:p w:rsidR="00F3594B" w:rsidRPr="0072600F" w14:paraId="549626FE"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Electric Reliability Organization</w:t>
      </w:r>
      <w:r w:rsidRPr="0072600F">
        <w:rPr>
          <w:rFonts w:ascii="Times New Roman" w:hAnsi="Times New Roman" w:cs="Times New Roman"/>
          <w:sz w:val="26"/>
          <w:szCs w:val="26"/>
        </w:rPr>
        <w:t xml:space="preserve"> shall mean the North American Electric Reliability Corporation </w:t>
      </w:r>
      <w:r w:rsidRPr="0072600F" w:rsidR="00A70197">
        <w:rPr>
          <w:rFonts w:ascii="Times New Roman" w:hAnsi="Times New Roman" w:cs="Times New Roman"/>
          <w:i/>
          <w:sz w:val="26"/>
          <w:szCs w:val="26"/>
        </w:rPr>
        <w:t>(NERC)</w:t>
      </w:r>
      <w:r w:rsidRPr="0072600F" w:rsidR="00A70197">
        <w:rPr>
          <w:rFonts w:ascii="Times New Roman" w:hAnsi="Times New Roman" w:cs="Times New Roman"/>
          <w:sz w:val="26"/>
          <w:szCs w:val="26"/>
        </w:rPr>
        <w:t xml:space="preserve"> </w:t>
      </w:r>
      <w:r w:rsidRPr="0072600F">
        <w:rPr>
          <w:rFonts w:ascii="Times New Roman" w:hAnsi="Times New Roman" w:cs="Times New Roman"/>
          <w:sz w:val="26"/>
          <w:szCs w:val="26"/>
        </w:rPr>
        <w:t>or its successor organization.</w:t>
      </w:r>
    </w:p>
    <w:p w:rsidR="00F3594B" w:rsidRPr="0072600F" w14:paraId="1F62CC58"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Emergency Condition</w:t>
      </w:r>
      <w:r w:rsidRPr="0072600F">
        <w:rPr>
          <w:rFonts w:ascii="Times New Roman" w:hAnsi="Times New Roman" w:cs="Times New Roman"/>
          <w:sz w:val="26"/>
          <w:szCs w:val="26"/>
        </w:rPr>
        <w:t xml:space="preserve"> shall mean a condition or situation:</w:t>
      </w:r>
      <w:r w:rsidRPr="0072600F" w:rsidR="00D46245">
        <w:rPr>
          <w:rFonts w:ascii="Times New Roman" w:hAnsi="Times New Roman" w:cs="Times New Roman"/>
          <w:sz w:val="26"/>
          <w:szCs w:val="26"/>
        </w:rPr>
        <w:t xml:space="preserve"> </w:t>
      </w:r>
      <w:r w:rsidRPr="0072600F">
        <w:rPr>
          <w:rFonts w:ascii="Times New Roman" w:hAnsi="Times New Roman" w:cs="Times New Roman"/>
          <w:sz w:val="26"/>
          <w:szCs w:val="26"/>
        </w:rPr>
        <w:t xml:space="preserve"> (1) that in the judgment of the Party making the claim is imminently likely to endanger life or property; or (2) that, in the case of a Transmission Provider, is imminently likely (as determined in a non-discriminatory manner) to cause a material adverse effect on the security of, or damage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electric systems of others to which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is directly connected; or (3) that, in the case of Interconnection Customer, is imminently likely (as determined in a non-discriminatory manner) to cause a material adverse effect on the security of, or damage to, the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System restoration and black start shall be considered Emergency Conditions; provided, that Interconnection Customer is not obligated by the Standard Large Generator Interconnection Agreement to possess black start capability.</w:t>
      </w:r>
    </w:p>
    <w:p w:rsidR="00F3594B" w:rsidRPr="0072600F" w14:paraId="2C461F4A"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Energy Resource Interconnection Service </w:t>
      </w:r>
      <w:r w:rsidRPr="0072600F">
        <w:rPr>
          <w:rFonts w:ascii="Times New Roman" w:hAnsi="Times New Roman" w:cs="Times New Roman"/>
          <w:sz w:val="26"/>
          <w:szCs w:val="26"/>
        </w:rPr>
        <w:t xml:space="preserve">shall mean an Interconnection Service that allows </w:t>
      </w:r>
      <w:r w:rsidRPr="0072600F" w:rsidR="00244217">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connect its Generating Facility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to be eligible to deliver the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electric output using the existing firm or </w:t>
      </w:r>
      <w:r w:rsidRPr="0072600F">
        <w:rPr>
          <w:rFonts w:ascii="Times New Roman" w:hAnsi="Times New Roman" w:cs="Times New Roman"/>
          <w:sz w:val="26"/>
          <w:szCs w:val="26"/>
        </w:rPr>
        <w:t>nonfirm</w:t>
      </w:r>
      <w:r w:rsidRPr="0072600F">
        <w:rPr>
          <w:rFonts w:ascii="Times New Roman" w:hAnsi="Times New Roman" w:cs="Times New Roman"/>
          <w:sz w:val="26"/>
          <w:szCs w:val="26"/>
        </w:rPr>
        <w:t xml:space="preserve"> capacity of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on an as available basis.  Energy Resource Interconnection Service in and of itself does not convey transmission service.</w:t>
      </w:r>
    </w:p>
    <w:p w:rsidR="00F3594B" w:rsidRPr="0072600F" w14:paraId="192B3320"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Engineering &amp; Procurement (E&amp;P) Agreement</w:t>
      </w:r>
      <w:r w:rsidRPr="0072600F">
        <w:rPr>
          <w:rFonts w:ascii="Times New Roman" w:hAnsi="Times New Roman" w:cs="Times New Roman"/>
          <w:sz w:val="26"/>
          <w:szCs w:val="26"/>
        </w:rPr>
        <w:t xml:space="preserve"> shall mean an agreement that authorizes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begin engineering and procurement of long lead-time items necessary for the establishment of the interconnection in order to advance the implementation of the Interconnection Request.</w:t>
      </w:r>
    </w:p>
    <w:p w:rsidR="00F3594B" w:rsidRPr="0072600F" w14:paraId="295512EA" w14:textId="77777777">
      <w:pPr>
        <w:rPr>
          <w:rFonts w:ascii="Times New Roman" w:hAnsi="Times New Roman" w:cs="Times New Roman"/>
          <w:sz w:val="26"/>
          <w:szCs w:val="26"/>
        </w:rPr>
      </w:pPr>
      <w:r w:rsidRPr="0072600F">
        <w:rPr>
          <w:rFonts w:ascii="Times New Roman" w:hAnsi="Times New Roman" w:cs="Times New Roman"/>
          <w:b/>
          <w:bCs/>
          <w:sz w:val="26"/>
          <w:szCs w:val="26"/>
        </w:rPr>
        <w:tab/>
        <w:t>Environmental Law</w:t>
      </w:r>
      <w:r w:rsidRPr="0072600F">
        <w:rPr>
          <w:rFonts w:ascii="Times New Roman" w:hAnsi="Times New Roman" w:cs="Times New Roman"/>
          <w:sz w:val="26"/>
          <w:szCs w:val="26"/>
        </w:rPr>
        <w:t xml:space="preserve"> shall mean Applicable Laws or Regulations relating to pollution or protection of the environment or natural resources.</w:t>
      </w:r>
    </w:p>
    <w:p w:rsidR="00F3594B" w:rsidRPr="0072600F" w14:paraId="3FC36F01" w14:textId="77777777">
      <w:pPr>
        <w:rPr>
          <w:rFonts w:ascii="Times New Roman" w:hAnsi="Times New Roman" w:cs="Times New Roman"/>
          <w:sz w:val="26"/>
          <w:szCs w:val="26"/>
        </w:rPr>
      </w:pPr>
      <w:r w:rsidRPr="0072600F">
        <w:rPr>
          <w:rFonts w:ascii="Times New Roman" w:hAnsi="Times New Roman" w:cs="Times New Roman"/>
          <w:b/>
          <w:bCs/>
          <w:sz w:val="26"/>
          <w:szCs w:val="26"/>
        </w:rPr>
        <w:tab/>
        <w:t>Federal Power Act</w:t>
      </w:r>
      <w:r w:rsidRPr="0072600F">
        <w:rPr>
          <w:rFonts w:ascii="Times New Roman" w:hAnsi="Times New Roman" w:cs="Times New Roman"/>
          <w:sz w:val="26"/>
          <w:szCs w:val="26"/>
        </w:rPr>
        <w:t xml:space="preserve"> shall mean the Federal Power Act, as amended, 16 U.S.C. §§ 791a </w:t>
      </w:r>
      <w:r w:rsidRPr="0072600F">
        <w:rPr>
          <w:rFonts w:ascii="Times New Roman" w:hAnsi="Times New Roman" w:cs="Times New Roman"/>
          <w:iCs/>
          <w:sz w:val="26"/>
          <w:szCs w:val="26"/>
        </w:rPr>
        <w:t>et seq</w:t>
      </w:r>
      <w:r w:rsidRPr="0072600F">
        <w:rPr>
          <w:rFonts w:ascii="Times New Roman" w:hAnsi="Times New Roman" w:cs="Times New Roman"/>
          <w:sz w:val="26"/>
          <w:szCs w:val="26"/>
        </w:rPr>
        <w:t>.</w:t>
      </w:r>
    </w:p>
    <w:p w:rsidR="00F3594B" w:rsidRPr="0072600F" w14:paraId="47864497" w14:textId="77777777">
      <w:pPr>
        <w:rPr>
          <w:rFonts w:ascii="Times New Roman" w:hAnsi="Times New Roman" w:cs="Times New Roman"/>
          <w:sz w:val="26"/>
          <w:szCs w:val="26"/>
        </w:rPr>
      </w:pPr>
      <w:r w:rsidRPr="0072600F">
        <w:rPr>
          <w:rFonts w:ascii="Times New Roman" w:hAnsi="Times New Roman" w:cs="Times New Roman"/>
          <w:b/>
          <w:bCs/>
          <w:sz w:val="26"/>
          <w:szCs w:val="26"/>
        </w:rPr>
        <w:tab/>
        <w:t>FERC</w:t>
      </w:r>
      <w:r w:rsidRPr="0072600F">
        <w:rPr>
          <w:rFonts w:ascii="Times New Roman" w:hAnsi="Times New Roman" w:cs="Times New Roman"/>
          <w:sz w:val="26"/>
          <w:szCs w:val="26"/>
        </w:rPr>
        <w:t xml:space="preserve"> shall mean the Federal Energy Regulatory Commission (Commission) or its successor.</w:t>
      </w:r>
    </w:p>
    <w:p w:rsidR="00F3594B" w:rsidRPr="0072600F" w14:paraId="05023CC9" w14:textId="77777777">
      <w:pPr>
        <w:rPr>
          <w:rFonts w:ascii="Times New Roman" w:hAnsi="Times New Roman" w:cs="Times New Roman"/>
          <w:sz w:val="26"/>
          <w:szCs w:val="26"/>
        </w:rPr>
      </w:pPr>
      <w:r w:rsidRPr="0072600F">
        <w:rPr>
          <w:rFonts w:ascii="Times New Roman" w:hAnsi="Times New Roman" w:cs="Times New Roman"/>
          <w:b/>
          <w:bCs/>
          <w:sz w:val="26"/>
          <w:szCs w:val="26"/>
        </w:rPr>
        <w:tab/>
        <w:t>Force Majeure</w:t>
      </w:r>
      <w:r w:rsidRPr="0072600F">
        <w:rPr>
          <w:rFonts w:ascii="Times New Roman" w:hAnsi="Times New Roman" w:cs="Times New Roman"/>
          <w:sz w:val="26"/>
          <w:szCs w:val="26"/>
        </w:rPr>
        <w:t xml:space="preserve">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control.  A Force Majeure event does not include acts of negligence or intentional wrongdoing by the Party claiming Force Majeure.</w:t>
      </w:r>
    </w:p>
    <w:p w:rsidR="00F3594B" w:rsidRPr="0072600F" w14:paraId="41E29C06"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Generating Facility </w:t>
      </w:r>
      <w:r w:rsidRPr="0072600F">
        <w:rPr>
          <w:rFonts w:ascii="Times New Roman" w:hAnsi="Times New Roman" w:cs="Times New Roman"/>
          <w:sz w:val="26"/>
          <w:szCs w:val="26"/>
        </w:rPr>
        <w:t>shall mean Interconnection Customer’s devices for the production and/or storage for later injection of electricity identified in the Interconnection Request, but shall not include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w:t>
      </w:r>
    </w:p>
    <w:p w:rsidR="00F3594B" w:rsidRPr="0072600F" w14:paraId="2D886414"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Generating Facility Capacity</w:t>
      </w:r>
      <w:r w:rsidRPr="0072600F">
        <w:rPr>
          <w:rFonts w:ascii="Times New Roman" w:hAnsi="Times New Roman" w:cs="Times New Roman"/>
          <w:sz w:val="26"/>
          <w:szCs w:val="26"/>
        </w:rPr>
        <w:t xml:space="preserve"> shall mean the net capacity of the Generating Facility or the aggregate net capacity of the Generating Facility where it includes more than one device for the production and/or storage for later injection of electricity.</w:t>
      </w:r>
    </w:p>
    <w:p w:rsidR="00F3594B" w:rsidRPr="0072600F" w14:paraId="64741B32" w14:textId="77777777">
      <w:pPr>
        <w:rPr>
          <w:rFonts w:ascii="Times New Roman" w:hAnsi="Times New Roman" w:cs="Times New Roman"/>
          <w:sz w:val="26"/>
          <w:szCs w:val="26"/>
        </w:rPr>
      </w:pPr>
      <w:r w:rsidRPr="0072600F">
        <w:rPr>
          <w:rFonts w:ascii="Times New Roman" w:hAnsi="Times New Roman" w:cs="Times New Roman"/>
          <w:b/>
          <w:bCs/>
          <w:sz w:val="26"/>
          <w:szCs w:val="26"/>
        </w:rPr>
        <w:tab/>
        <w:t>Good Utility Practice</w:t>
      </w:r>
      <w:r w:rsidRPr="0072600F">
        <w:rPr>
          <w:rFonts w:ascii="Times New Roman" w:hAnsi="Times New Roman" w:cs="Times New Roman"/>
          <w:sz w:val="26"/>
          <w:szCs w:val="26"/>
        </w:rP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F3594B" w:rsidRPr="0072600F" w14:paraId="55443563" w14:textId="77777777">
      <w:pPr>
        <w:rPr>
          <w:rFonts w:ascii="Times New Roman" w:hAnsi="Times New Roman" w:cs="Times New Roman"/>
          <w:sz w:val="26"/>
          <w:szCs w:val="26"/>
        </w:rPr>
      </w:pPr>
      <w:r w:rsidRPr="0072600F">
        <w:rPr>
          <w:rFonts w:ascii="Times New Roman" w:hAnsi="Times New Roman" w:cs="Times New Roman"/>
          <w:b/>
          <w:bCs/>
          <w:sz w:val="26"/>
          <w:szCs w:val="26"/>
        </w:rPr>
        <w:tab/>
        <w:t>Governmental Authority</w:t>
      </w:r>
      <w:r w:rsidRPr="0072600F">
        <w:rPr>
          <w:rFonts w:ascii="Times New Roman" w:hAnsi="Times New Roman" w:cs="Times New Roman"/>
          <w:sz w:val="26"/>
          <w:szCs w:val="26"/>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Interconnection Customer, Transmission Provider, or any Affiliate thereof.</w:t>
      </w:r>
    </w:p>
    <w:p w:rsidR="00F3594B" w:rsidRPr="0072600F" w14:paraId="34C10A35" w14:textId="77777777">
      <w:pPr>
        <w:rPr>
          <w:rFonts w:ascii="Times New Roman" w:hAnsi="Times New Roman" w:cs="Times New Roman"/>
          <w:sz w:val="26"/>
          <w:szCs w:val="26"/>
        </w:rPr>
      </w:pPr>
      <w:r w:rsidRPr="0072600F">
        <w:rPr>
          <w:rFonts w:ascii="Times New Roman" w:hAnsi="Times New Roman" w:cs="Times New Roman"/>
          <w:b/>
          <w:bCs/>
          <w:sz w:val="26"/>
          <w:szCs w:val="26"/>
        </w:rPr>
        <w:tab/>
        <w:t>Hazardous Substances</w:t>
      </w:r>
      <w:r w:rsidRPr="0072600F">
        <w:rPr>
          <w:rFonts w:ascii="Times New Roman" w:hAnsi="Times New Roman" w:cs="Times New Roman"/>
          <w:sz w:val="26"/>
          <w:szCs w:val="26"/>
        </w:rPr>
        <w:t xml:space="preserve"> shall mean any chemicals, materials or substances defined as or included in the definition of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hazardous substances,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hazardous wastes,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hazardous materials,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hazardous constituents,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restricted hazardous materials,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extremely hazardous substances,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toxic substances,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radioactive substances,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contaminants,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pollutants,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toxic pollutants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or words of similar meaning and regulatory effect under any applicable Environmental Law, or any other chemical, material or substance, exposure to which is prohibited, limited or regulated by any applicable Environmental Law.</w:t>
      </w:r>
    </w:p>
    <w:p w:rsidR="00F3594B" w:rsidRPr="0072600F" w14:paraId="6CB154AA" w14:textId="77777777">
      <w:pPr>
        <w:rPr>
          <w:rFonts w:ascii="Times New Roman" w:hAnsi="Times New Roman" w:cs="Times New Roman"/>
          <w:sz w:val="26"/>
          <w:szCs w:val="26"/>
        </w:rPr>
      </w:pPr>
      <w:r w:rsidRPr="0072600F">
        <w:rPr>
          <w:rFonts w:ascii="Times New Roman" w:hAnsi="Times New Roman" w:cs="Times New Roman"/>
          <w:b/>
          <w:bCs/>
          <w:sz w:val="26"/>
          <w:szCs w:val="26"/>
        </w:rPr>
        <w:tab/>
        <w:t>Initial Synchronization Date</w:t>
      </w:r>
      <w:r w:rsidRPr="0072600F">
        <w:rPr>
          <w:rFonts w:ascii="Times New Roman" w:hAnsi="Times New Roman" w:cs="Times New Roman"/>
          <w:sz w:val="26"/>
          <w:szCs w:val="26"/>
        </w:rPr>
        <w:t xml:space="preserve"> shall mean the date upon which the Generating Facility is initially synchronized and upon which Trial Operation begins.</w:t>
      </w:r>
    </w:p>
    <w:p w:rsidR="00F3594B" w:rsidRPr="0072600F" w14:paraId="6A09ED8C" w14:textId="77777777">
      <w:pPr>
        <w:rPr>
          <w:rFonts w:ascii="Times New Roman" w:hAnsi="Times New Roman" w:cs="Times New Roman"/>
          <w:sz w:val="26"/>
          <w:szCs w:val="26"/>
        </w:rPr>
      </w:pPr>
      <w:r w:rsidRPr="0072600F">
        <w:rPr>
          <w:rFonts w:ascii="Times New Roman" w:hAnsi="Times New Roman" w:cs="Times New Roman"/>
          <w:b/>
          <w:bCs/>
          <w:sz w:val="26"/>
          <w:szCs w:val="26"/>
        </w:rPr>
        <w:tab/>
        <w:t>In-Service Date</w:t>
      </w:r>
      <w:r w:rsidRPr="0072600F">
        <w:rPr>
          <w:rFonts w:ascii="Times New Roman" w:hAnsi="Times New Roman" w:cs="Times New Roman"/>
          <w:sz w:val="26"/>
          <w:szCs w:val="26"/>
        </w:rPr>
        <w:t xml:space="preserve"> shall mean the date upon which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reasonably expects it will be ready to begin use of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to obtain back feed power.</w:t>
      </w:r>
    </w:p>
    <w:p w:rsidR="00F3594B" w:rsidRPr="0072600F" w14:paraId="19EB145D"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Customer</w:t>
      </w:r>
      <w:r w:rsidRPr="0072600F">
        <w:rPr>
          <w:rFonts w:ascii="Times New Roman" w:hAnsi="Times New Roman" w:cs="Times New Roman"/>
          <w:sz w:val="26"/>
          <w:szCs w:val="26"/>
        </w:rPr>
        <w:t xml:space="preserve"> shall mean any entity, including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Transmission Owner or any of the Affiliates or subsidiaries of either, that proposes to interconnect its Generating Facility with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F3594B" w:rsidRPr="0072600F" w14:paraId="6A78FAF7"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Customer</w:t>
      </w:r>
      <w:r w:rsidRPr="0072600F" w:rsidR="002C0896">
        <w:rPr>
          <w:rFonts w:ascii="Times New Roman" w:hAnsi="Times New Roman" w:cs="Times New Roman"/>
          <w:b/>
          <w:bCs/>
          <w:sz w:val="26"/>
          <w:szCs w:val="26"/>
        </w:rPr>
        <w:t>’</w:t>
      </w:r>
      <w:r w:rsidRPr="0072600F">
        <w:rPr>
          <w:rFonts w:ascii="Times New Roman" w:hAnsi="Times New Roman" w:cs="Times New Roman"/>
          <w:b/>
          <w:bCs/>
          <w:sz w:val="26"/>
          <w:szCs w:val="26"/>
        </w:rPr>
        <w:t>s Interconnection Facilities</w:t>
      </w:r>
      <w:r w:rsidRPr="0072600F">
        <w:rPr>
          <w:rFonts w:ascii="Times New Roman" w:hAnsi="Times New Roman" w:cs="Times New Roman"/>
          <w:sz w:val="26"/>
          <w:szCs w:val="26"/>
        </w:rPr>
        <w:t xml:space="preserve"> shall mean all facilities and equipment, as identified in Appendix A of the Standard Large Generator Interconnection Agreement, that are located between the Generating Facility and the Point of Change of Ownership, including any modification, addition, or upgrades to such facilities and equipment necessary to physically and electrically interconnect the Generating Facility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are sole use facilities.</w:t>
      </w:r>
    </w:p>
    <w:p w:rsidR="00F3594B" w:rsidRPr="0072600F" w14:paraId="3E40C500"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Facilities</w:t>
      </w:r>
      <w:r w:rsidRPr="0072600F">
        <w:rPr>
          <w:rFonts w:ascii="Times New Roman" w:hAnsi="Times New Roman" w:cs="Times New Roman"/>
          <w:sz w:val="26"/>
          <w:szCs w:val="26"/>
        </w:rPr>
        <w:t xml:space="preserve"> shall mean Transmission Provider’s Interconnection Facilities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Collectively, Interconnection Facilities include all facilities and equipment between the Generating Facility and the Point of Interconnection, including any modification, additions or upgrades that are necessary to physically and electrically interconnect the Generating Facility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Interconnection Facilities are sole use facilities and shall not include Distribution Upgrades, Stand Alone Network Upgrades or Network Upgrades.</w:t>
      </w:r>
    </w:p>
    <w:p w:rsidR="00F3594B" w:rsidRPr="0072600F" w14:paraId="55D260B9"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Facilities Study</w:t>
      </w:r>
      <w:r w:rsidRPr="0072600F">
        <w:rPr>
          <w:rFonts w:ascii="Times New Roman" w:hAnsi="Times New Roman" w:cs="Times New Roman"/>
          <w:sz w:val="26"/>
          <w:szCs w:val="26"/>
        </w:rPr>
        <w:t xml:space="preserve"> shall mean a study conducted by Transmission Provider or a third party consultant for Interconnection Customer to determine a list of facilities (including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as identified in the Cluster Study), the cost of those facilities, and the time required to interconnect the Generating Facility with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The scope of the study is defined in Section 8 of the LGIP.</w:t>
      </w:r>
    </w:p>
    <w:p w:rsidR="00F3594B" w:rsidRPr="0072600F" w14:paraId="02D57D3E"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Facilities Study Agreement</w:t>
      </w:r>
      <w:r w:rsidRPr="0072600F">
        <w:rPr>
          <w:rFonts w:ascii="Times New Roman" w:hAnsi="Times New Roman" w:cs="Times New Roman"/>
          <w:sz w:val="26"/>
          <w:szCs w:val="26"/>
        </w:rPr>
        <w:t xml:space="preserve"> shall mean the form of agreement contained in Appendix 3 of the Standard Large Generator Interconnection Procedures for conducting the Interconnection Facilities Study.</w:t>
      </w:r>
    </w:p>
    <w:p w:rsidR="00F3594B" w:rsidRPr="0072600F" w14:paraId="53325371"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Interconnection Request</w:t>
      </w:r>
      <w:r w:rsidRPr="0072600F">
        <w:rPr>
          <w:rFonts w:ascii="Times New Roman" w:hAnsi="Times New Roman" w:cs="Times New Roman"/>
          <w:sz w:val="26"/>
          <w:szCs w:val="26"/>
        </w:rPr>
        <w:t xml:space="preserve"> shall mean an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request, in the form of Appendix 1 to the LGIP, in accordance with the Tariff, to interconnect a new Generating Facility, or to increase the capacity of, or make a Material Modification to the operating characteristics of, an existing Generating Facility that is interconnected with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F3594B" w:rsidRPr="0072600F" w14:paraId="4CB7FE6E"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Service</w:t>
      </w:r>
      <w:r w:rsidRPr="0072600F">
        <w:rPr>
          <w:rFonts w:ascii="Times New Roman" w:hAnsi="Times New Roman" w:cs="Times New Roman"/>
          <w:sz w:val="26"/>
          <w:szCs w:val="26"/>
        </w:rPr>
        <w:t xml:space="preserve"> shall mean the service provided by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associated with interconnecting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Generating Facility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and enabling it to receive electric energy and capacity from the Generating Facility at the Point of Interconnection, pursuant to the terms of the Standard Large Generator Interconnection Agreement and, if applicable,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w:t>
      </w:r>
    </w:p>
    <w:p w:rsidR="00F3594B" w:rsidRPr="0072600F" w14:paraId="49A88D6A" w14:textId="77777777">
      <w:pPr>
        <w:rPr>
          <w:rFonts w:ascii="Times New Roman" w:hAnsi="Times New Roman" w:cs="Times New Roman"/>
          <w:sz w:val="26"/>
          <w:szCs w:val="26"/>
        </w:rPr>
      </w:pPr>
      <w:r w:rsidRPr="0072600F">
        <w:rPr>
          <w:rFonts w:ascii="Times New Roman" w:hAnsi="Times New Roman" w:cs="Times New Roman"/>
          <w:b/>
          <w:bCs/>
          <w:sz w:val="26"/>
          <w:szCs w:val="26"/>
        </w:rPr>
        <w:tab/>
        <w:t>Interconnection Study</w:t>
      </w:r>
      <w:r w:rsidRPr="0072600F">
        <w:rPr>
          <w:rFonts w:ascii="Times New Roman" w:hAnsi="Times New Roman" w:cs="Times New Roman"/>
          <w:sz w:val="26"/>
          <w:szCs w:val="26"/>
        </w:rPr>
        <w:t xml:space="preserve"> shall mean any of the following studies: </w:t>
      </w:r>
      <w:r w:rsidRPr="0072600F" w:rsidR="00D46245">
        <w:rPr>
          <w:rFonts w:ascii="Times New Roman" w:hAnsi="Times New Roman" w:cs="Times New Roman"/>
          <w:sz w:val="26"/>
          <w:szCs w:val="26"/>
        </w:rPr>
        <w:t xml:space="preserve"> </w:t>
      </w:r>
      <w:r w:rsidRPr="0072600F">
        <w:rPr>
          <w:rFonts w:ascii="Times New Roman" w:hAnsi="Times New Roman" w:cs="Times New Roman"/>
          <w:sz w:val="26"/>
          <w:szCs w:val="26"/>
        </w:rPr>
        <w:t xml:space="preserve">the Cluster Study, the Cluster Restudy, the Surplus Interconnection Service </w:t>
      </w:r>
      <w:r w:rsidRPr="0072600F" w:rsidR="00D9205F">
        <w:rPr>
          <w:rFonts w:ascii="Times New Roman" w:hAnsi="Times New Roman" w:cs="Times New Roman"/>
          <w:sz w:val="26"/>
          <w:szCs w:val="26"/>
        </w:rPr>
        <w:t>[</w:t>
      </w:r>
      <w:r w:rsidRPr="0072600F">
        <w:rPr>
          <w:rFonts w:ascii="Times New Roman" w:hAnsi="Times New Roman" w:cs="Times New Roman"/>
          <w:sz w:val="26"/>
          <w:szCs w:val="26"/>
        </w:rPr>
        <w:t>System Impact</w:t>
      </w:r>
      <w:r w:rsidRPr="0072600F" w:rsidR="00D9205F">
        <w:rPr>
          <w:rFonts w:ascii="Times New Roman" w:hAnsi="Times New Roman" w:cs="Times New Roman"/>
          <w:sz w:val="26"/>
          <w:szCs w:val="26"/>
        </w:rPr>
        <w:t>]</w:t>
      </w:r>
      <w:r w:rsidRPr="0072600F">
        <w:rPr>
          <w:rFonts w:ascii="Times New Roman" w:hAnsi="Times New Roman" w:cs="Times New Roman"/>
          <w:sz w:val="26"/>
          <w:szCs w:val="26"/>
        </w:rPr>
        <w:t xml:space="preserve"> Study, </w:t>
      </w:r>
      <w:r w:rsidRPr="0072600F" w:rsidR="00D218F2">
        <w:rPr>
          <w:rFonts w:ascii="Times New Roman" w:hAnsi="Times New Roman" w:cs="Times New Roman"/>
          <w:sz w:val="26"/>
          <w:szCs w:val="26"/>
        </w:rPr>
        <w:t>[</w:t>
      </w:r>
      <w:r w:rsidRPr="0072600F">
        <w:rPr>
          <w:rFonts w:ascii="Times New Roman" w:hAnsi="Times New Roman" w:cs="Times New Roman"/>
          <w:sz w:val="26"/>
          <w:szCs w:val="26"/>
        </w:rPr>
        <w:t>and</w:t>
      </w:r>
      <w:r w:rsidRPr="0072600F" w:rsidR="00D218F2">
        <w:rPr>
          <w:rFonts w:ascii="Times New Roman" w:hAnsi="Times New Roman" w:cs="Times New Roman"/>
          <w:sz w:val="26"/>
          <w:szCs w:val="26"/>
        </w:rPr>
        <w:t>]</w:t>
      </w:r>
      <w:r w:rsidRPr="0072600F">
        <w:rPr>
          <w:rFonts w:ascii="Times New Roman" w:hAnsi="Times New Roman" w:cs="Times New Roman"/>
          <w:sz w:val="26"/>
          <w:szCs w:val="26"/>
        </w:rPr>
        <w:t xml:space="preserve"> the Interconnection Facilities Study</w:t>
      </w:r>
      <w:r w:rsidRPr="0072600F" w:rsidR="00835058">
        <w:rPr>
          <w:rFonts w:ascii="Times New Roman" w:hAnsi="Times New Roman" w:cs="Times New Roman"/>
          <w:i/>
          <w:iCs/>
          <w:sz w:val="26"/>
          <w:szCs w:val="26"/>
        </w:rPr>
        <w:t>, the Affected System Study, Optional Interconnection Study, and Material Modification assessment,</w:t>
      </w:r>
      <w:r w:rsidRPr="0072600F">
        <w:rPr>
          <w:rFonts w:ascii="Times New Roman" w:hAnsi="Times New Roman" w:cs="Times New Roman"/>
          <w:sz w:val="26"/>
          <w:szCs w:val="26"/>
        </w:rPr>
        <w:t xml:space="preserve"> described in the LGIP.</w:t>
      </w:r>
    </w:p>
    <w:p w:rsidR="00F3594B" w:rsidRPr="0072600F" w14:paraId="6245F1F9" w14:textId="77777777">
      <w:pPr>
        <w:rPr>
          <w:rFonts w:ascii="Times New Roman" w:hAnsi="Times New Roman" w:cs="Times New Roman"/>
          <w:sz w:val="26"/>
          <w:szCs w:val="26"/>
        </w:rPr>
      </w:pPr>
      <w:r w:rsidRPr="0072600F">
        <w:rPr>
          <w:rFonts w:ascii="Times New Roman" w:hAnsi="Times New Roman" w:cs="Times New Roman"/>
          <w:b/>
          <w:bCs/>
          <w:sz w:val="26"/>
          <w:szCs w:val="26"/>
        </w:rPr>
        <w:tab/>
        <w:t>IRS</w:t>
      </w:r>
      <w:r w:rsidRPr="0072600F">
        <w:rPr>
          <w:rFonts w:ascii="Times New Roman" w:hAnsi="Times New Roman" w:cs="Times New Roman"/>
          <w:sz w:val="26"/>
          <w:szCs w:val="26"/>
        </w:rPr>
        <w:t xml:space="preserve"> shall mean the Internal Revenue Service.</w:t>
      </w:r>
    </w:p>
    <w:p w:rsidR="00F3594B" w:rsidRPr="0072600F" w14:paraId="3060CED3" w14:textId="77777777">
      <w:pPr>
        <w:rPr>
          <w:rFonts w:ascii="Times New Roman" w:hAnsi="Times New Roman" w:cs="Times New Roman"/>
          <w:sz w:val="26"/>
          <w:szCs w:val="26"/>
        </w:rPr>
      </w:pPr>
      <w:r w:rsidRPr="0072600F">
        <w:rPr>
          <w:rFonts w:ascii="Times New Roman" w:hAnsi="Times New Roman" w:cs="Times New Roman"/>
          <w:b/>
          <w:bCs/>
          <w:sz w:val="26"/>
          <w:szCs w:val="26"/>
        </w:rPr>
        <w:tab/>
        <w:t>Joint Operating Committee</w:t>
      </w:r>
      <w:r w:rsidRPr="0072600F">
        <w:rPr>
          <w:rFonts w:ascii="Times New Roman" w:hAnsi="Times New Roman" w:cs="Times New Roman"/>
          <w:sz w:val="26"/>
          <w:szCs w:val="26"/>
        </w:rPr>
        <w:t xml:space="preserve"> shall be a group made up of representatives from Interconnection Customers and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coordinate operating and technical considerations of Interconnection Service.</w:t>
      </w:r>
    </w:p>
    <w:p w:rsidR="00F3594B" w:rsidRPr="0072600F" w14:paraId="0CEB47AD"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Large Generating Facility</w:t>
      </w:r>
      <w:r w:rsidRPr="0072600F">
        <w:rPr>
          <w:rFonts w:ascii="Times New Roman" w:hAnsi="Times New Roman" w:cs="Times New Roman"/>
          <w:sz w:val="26"/>
          <w:szCs w:val="26"/>
        </w:rPr>
        <w:t xml:space="preserve"> shall mean a Generating Facility having a Generating Facility Capacity of more than 20 MW.</w:t>
      </w:r>
    </w:p>
    <w:p w:rsidR="00F3594B" w:rsidRPr="0072600F" w14:paraId="39297537"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LGIA Deposit</w:t>
      </w:r>
      <w:r w:rsidRPr="0072600F">
        <w:rPr>
          <w:rFonts w:ascii="Times New Roman" w:hAnsi="Times New Roman" w:cs="Times New Roman"/>
          <w:sz w:val="26"/>
          <w:szCs w:val="26"/>
        </w:rPr>
        <w:t xml:space="preserve"> shall mean the deposit Interconnection Customer submits when returning the executed LGIA, or within </w:t>
      </w:r>
      <w:r w:rsidRPr="0072600F" w:rsidR="0088691A">
        <w:rPr>
          <w:rFonts w:ascii="Times New Roman" w:hAnsi="Times New Roman" w:cs="Times New Roman"/>
          <w:i/>
          <w:iCs/>
          <w:sz w:val="26"/>
          <w:szCs w:val="26"/>
        </w:rPr>
        <w:t>ten (</w:t>
      </w:r>
      <w:r w:rsidRPr="0072600F">
        <w:rPr>
          <w:rFonts w:ascii="Times New Roman" w:hAnsi="Times New Roman" w:cs="Times New Roman"/>
          <w:sz w:val="26"/>
          <w:szCs w:val="26"/>
        </w:rPr>
        <w:t>10</w:t>
      </w:r>
      <w:r w:rsidRPr="0072600F" w:rsidR="0088691A">
        <w:rPr>
          <w:rFonts w:ascii="Times New Roman" w:hAnsi="Times New Roman" w:cs="Times New Roman"/>
          <w:i/>
          <w:iCs/>
          <w:sz w:val="26"/>
          <w:szCs w:val="26"/>
        </w:rPr>
        <w:t>)</w:t>
      </w:r>
      <w:r w:rsidRPr="0072600F">
        <w:rPr>
          <w:rFonts w:ascii="Times New Roman" w:hAnsi="Times New Roman" w:cs="Times New Roman"/>
          <w:sz w:val="26"/>
          <w:szCs w:val="26"/>
        </w:rPr>
        <w:t xml:space="preserve"> Business Days of requesting that the LGIA be filed unexecuted at the Commission, in accordance with Section 11.3 of the LGIP.</w:t>
      </w:r>
    </w:p>
    <w:p w:rsidR="00F3594B" w:rsidRPr="0072600F" w14:paraId="06828FC2" w14:textId="77777777">
      <w:pPr>
        <w:rPr>
          <w:rFonts w:ascii="Times New Roman" w:hAnsi="Times New Roman" w:cs="Times New Roman"/>
          <w:sz w:val="26"/>
          <w:szCs w:val="26"/>
        </w:rPr>
      </w:pPr>
      <w:r w:rsidRPr="0072600F">
        <w:rPr>
          <w:rFonts w:ascii="Times New Roman" w:hAnsi="Times New Roman" w:cs="Times New Roman"/>
          <w:b/>
          <w:bCs/>
          <w:sz w:val="26"/>
          <w:szCs w:val="26"/>
        </w:rPr>
        <w:tab/>
        <w:t>Loss</w:t>
      </w:r>
      <w:r w:rsidRPr="0072600F">
        <w:rPr>
          <w:rFonts w:ascii="Times New Roman" w:hAnsi="Times New Roman" w:cs="Times New Roman"/>
          <w:sz w:val="26"/>
          <w:szCs w:val="26"/>
        </w:rPr>
        <w:t xml:space="preserve"> shall mean any and all losses relating to injury to or death of any person or damage to property, demand, suits, recoveries, costs and expenses, court costs, attorney fees, and all other obligations by or to third parties, arising out of or resulting from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performance, or non-performance of its obligations under the Standard Large Generator Interconnection Agreement on behalf of the Indemnifying Party, except in cases of gross negligence or intentional wrongdoing by the Indemnifying Party.</w:t>
      </w:r>
    </w:p>
    <w:p w:rsidR="00F3594B" w:rsidRPr="0072600F" w14:paraId="59D1B19C" w14:textId="77777777">
      <w:pPr>
        <w:rPr>
          <w:rFonts w:ascii="Times New Roman" w:hAnsi="Times New Roman" w:cs="Times New Roman"/>
          <w:sz w:val="26"/>
          <w:szCs w:val="26"/>
        </w:rPr>
      </w:pPr>
      <w:r w:rsidRPr="0072600F">
        <w:rPr>
          <w:rFonts w:ascii="Times New Roman" w:hAnsi="Times New Roman" w:cs="Times New Roman"/>
          <w:b/>
          <w:bCs/>
          <w:sz w:val="26"/>
          <w:szCs w:val="26"/>
        </w:rPr>
        <w:tab/>
        <w:t>Material Modification</w:t>
      </w:r>
      <w:r w:rsidRPr="0072600F">
        <w:rPr>
          <w:rFonts w:ascii="Times New Roman" w:hAnsi="Times New Roman" w:cs="Times New Roman"/>
          <w:sz w:val="26"/>
          <w:szCs w:val="26"/>
        </w:rPr>
        <w:t xml:space="preserve"> shall mean those modifications that have a material impact on the cost or timing of any Interconnection Request with an equal or later Queue Position.</w:t>
      </w:r>
    </w:p>
    <w:p w:rsidR="00F3594B" w:rsidRPr="0072600F" w14:paraId="5C9786FC"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Metering Equipment </w:t>
      </w:r>
      <w:r w:rsidRPr="0072600F">
        <w:rPr>
          <w:rFonts w:ascii="Times New Roman" w:hAnsi="Times New Roman" w:cs="Times New Roman"/>
          <w:sz w:val="26"/>
          <w:szCs w:val="26"/>
        </w:rPr>
        <w:t>shall mean all metering equipment installed or to be installed at the Generating Facility pursuant to the Standard Large Generator Interconnection Agreement at the metering points, including but not limited to instrument transformers, MWh-meters, data acquisition equipment, transducers, remote terminal unit, communications equipment, phone lines, and fiber optics.</w:t>
      </w:r>
    </w:p>
    <w:p w:rsidR="00F3594B" w:rsidRPr="0072600F" w14:paraId="3C225F2B"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Network Resource</w:t>
      </w:r>
      <w:r w:rsidRPr="0072600F">
        <w:rPr>
          <w:rFonts w:ascii="Times New Roman" w:hAnsi="Times New Roman" w:cs="Times New Roman"/>
          <w:sz w:val="26"/>
          <w:szCs w:val="26"/>
        </w:rPr>
        <w:t xml:space="preserve"> shall mean 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Network Load on a non-interruptible basis.</w:t>
      </w:r>
    </w:p>
    <w:p w:rsidR="00F3594B" w:rsidRPr="0072600F" w14:paraId="0DA9C480" w14:textId="77777777">
      <w:pPr>
        <w:rPr>
          <w:rFonts w:ascii="Times New Roman" w:hAnsi="Times New Roman" w:cs="Times New Roman"/>
          <w:sz w:val="26"/>
          <w:szCs w:val="26"/>
        </w:rPr>
      </w:pPr>
      <w:r w:rsidRPr="0072600F">
        <w:rPr>
          <w:rFonts w:ascii="Times New Roman" w:hAnsi="Times New Roman" w:cs="Times New Roman"/>
          <w:b/>
          <w:bCs/>
          <w:sz w:val="26"/>
          <w:szCs w:val="26"/>
        </w:rPr>
        <w:tab/>
        <w:t>Network Resource Interconnection Service</w:t>
      </w:r>
      <w:r w:rsidRPr="0072600F">
        <w:rPr>
          <w:rFonts w:ascii="Times New Roman" w:hAnsi="Times New Roman" w:cs="Times New Roman"/>
          <w:sz w:val="26"/>
          <w:szCs w:val="26"/>
        </w:rPr>
        <w:t xml:space="preserve"> shall mean an Interconnection Service that allows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integrate its Large Generating Facility with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(1) in a manner comparable to that in which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integrates its generating facilities to serve native load customers; or (2) in an RTO or ISO with market based congestion management, in the same manner as Network Resources.  Network Resource Interconnection Service in and of itself does not convey transmission service.</w:t>
      </w:r>
    </w:p>
    <w:p w:rsidR="00F3594B" w:rsidRPr="0072600F" w14:paraId="44E407BD" w14:textId="77777777">
      <w:pPr>
        <w:rPr>
          <w:rFonts w:ascii="Times New Roman" w:hAnsi="Times New Roman" w:cs="Times New Roman"/>
          <w:sz w:val="26"/>
          <w:szCs w:val="26"/>
        </w:rPr>
      </w:pPr>
      <w:r w:rsidRPr="0072600F">
        <w:rPr>
          <w:rFonts w:ascii="Times New Roman" w:hAnsi="Times New Roman" w:cs="Times New Roman"/>
          <w:b/>
          <w:bCs/>
          <w:sz w:val="26"/>
          <w:szCs w:val="26"/>
        </w:rPr>
        <w:tab/>
        <w:t>Network Upgrades</w:t>
      </w:r>
      <w:r w:rsidRPr="0072600F">
        <w:rPr>
          <w:rFonts w:ascii="Times New Roman" w:hAnsi="Times New Roman" w:cs="Times New Roman"/>
          <w:sz w:val="26"/>
          <w:szCs w:val="26"/>
        </w:rPr>
        <w:t xml:space="preserve"> shall mean the additions, modifications, and upgrades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required at or beyond the point at which the Interconnection Facilities connect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to accommodate the interconnection of the Large Generating Facility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F3594B" w:rsidRPr="0072600F" w14:paraId="7B09C210" w14:textId="77777777">
      <w:pPr>
        <w:rPr>
          <w:rFonts w:ascii="Times New Roman" w:hAnsi="Times New Roman" w:cs="Times New Roman"/>
          <w:sz w:val="26"/>
          <w:szCs w:val="26"/>
        </w:rPr>
      </w:pPr>
      <w:r w:rsidRPr="0072600F">
        <w:rPr>
          <w:rFonts w:ascii="Times New Roman" w:hAnsi="Times New Roman" w:cs="Times New Roman"/>
          <w:b/>
          <w:bCs/>
          <w:sz w:val="26"/>
          <w:szCs w:val="26"/>
        </w:rPr>
        <w:tab/>
        <w:t>Notice of Dispute</w:t>
      </w:r>
      <w:r w:rsidRPr="0072600F">
        <w:rPr>
          <w:rFonts w:ascii="Times New Roman" w:hAnsi="Times New Roman" w:cs="Times New Roman"/>
          <w:sz w:val="26"/>
          <w:szCs w:val="26"/>
        </w:rPr>
        <w:t xml:space="preserve"> shall mean a written notice of a dispute or claim that arises out of or in connection with the Standard Large Generator Interconnection Agreement or its performance.</w:t>
      </w:r>
    </w:p>
    <w:p w:rsidR="00F3594B" w:rsidRPr="0072600F" w14:paraId="4066C8F0" w14:textId="77777777">
      <w:pPr>
        <w:rPr>
          <w:rFonts w:ascii="Times New Roman" w:hAnsi="Times New Roman" w:cs="Times New Roman"/>
          <w:sz w:val="26"/>
          <w:szCs w:val="26"/>
        </w:rPr>
      </w:pPr>
      <w:r w:rsidRPr="0072600F">
        <w:rPr>
          <w:rFonts w:ascii="Times New Roman" w:hAnsi="Times New Roman" w:cs="Times New Roman"/>
          <w:b/>
          <w:bCs/>
          <w:sz w:val="26"/>
          <w:szCs w:val="26"/>
        </w:rPr>
        <w:tab/>
        <w:t>Optional Interconnection Study</w:t>
      </w:r>
      <w:r w:rsidRPr="0072600F">
        <w:rPr>
          <w:rFonts w:ascii="Times New Roman" w:hAnsi="Times New Roman" w:cs="Times New Roman"/>
          <w:sz w:val="26"/>
          <w:szCs w:val="26"/>
        </w:rPr>
        <w:t xml:space="preserve"> shall mean a sensitivity analysis based on assumptions specified by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in the Optional Interconnection Study Agreement.</w:t>
      </w:r>
    </w:p>
    <w:p w:rsidR="00F3594B" w:rsidRPr="0072600F" w14:paraId="42377308" w14:textId="77777777">
      <w:pPr>
        <w:rPr>
          <w:rFonts w:ascii="Times New Roman" w:hAnsi="Times New Roman" w:cs="Times New Roman"/>
          <w:sz w:val="26"/>
          <w:szCs w:val="26"/>
        </w:rPr>
      </w:pPr>
      <w:r w:rsidRPr="0072600F">
        <w:rPr>
          <w:rFonts w:ascii="Times New Roman" w:hAnsi="Times New Roman" w:cs="Times New Roman"/>
          <w:b/>
          <w:bCs/>
          <w:sz w:val="26"/>
          <w:szCs w:val="26"/>
        </w:rPr>
        <w:tab/>
        <w:t>Optional Interconnection Study Agreement</w:t>
      </w:r>
      <w:r w:rsidRPr="0072600F">
        <w:rPr>
          <w:rFonts w:ascii="Times New Roman" w:hAnsi="Times New Roman" w:cs="Times New Roman"/>
          <w:sz w:val="26"/>
          <w:szCs w:val="26"/>
        </w:rPr>
        <w:t xml:space="preserve"> shall mean the form of agreement contained in Appendix 4 of the LGIP for conducting the Optional Interconnection Study.</w:t>
      </w:r>
    </w:p>
    <w:p w:rsidR="00F3594B" w:rsidRPr="0072600F" w14:paraId="6444DD8F" w14:textId="77777777">
      <w:pPr>
        <w:rPr>
          <w:rFonts w:ascii="Times New Roman" w:hAnsi="Times New Roman" w:cs="Times New Roman"/>
          <w:sz w:val="26"/>
          <w:szCs w:val="26"/>
        </w:rPr>
      </w:pPr>
      <w:r w:rsidRPr="0072600F">
        <w:rPr>
          <w:rFonts w:ascii="Times New Roman" w:hAnsi="Times New Roman" w:cs="Times New Roman"/>
          <w:b/>
          <w:bCs/>
          <w:sz w:val="26"/>
          <w:szCs w:val="26"/>
        </w:rPr>
        <w:tab/>
        <w:t>Party or Parties</w:t>
      </w:r>
      <w:r w:rsidRPr="0072600F">
        <w:rPr>
          <w:rFonts w:ascii="Times New Roman" w:hAnsi="Times New Roman" w:cs="Times New Roman"/>
          <w:sz w:val="26"/>
          <w:szCs w:val="26"/>
        </w:rPr>
        <w:t xml:space="preserve"> shall mean Transmission Provider, Transmission Owner, Interconnection Customer or any combination of the above.</w:t>
      </w:r>
    </w:p>
    <w:p w:rsidR="00F3594B" w:rsidRPr="0072600F" w14:paraId="40F4A71E" w14:textId="77777777">
      <w:pPr>
        <w:rPr>
          <w:rFonts w:ascii="Times New Roman" w:hAnsi="Times New Roman" w:cs="Times New Roman"/>
          <w:sz w:val="26"/>
          <w:szCs w:val="26"/>
        </w:rPr>
      </w:pPr>
      <w:r w:rsidRPr="0072600F">
        <w:rPr>
          <w:rFonts w:ascii="Times New Roman" w:hAnsi="Times New Roman" w:cs="Times New Roman"/>
          <w:b/>
          <w:bCs/>
          <w:sz w:val="26"/>
          <w:szCs w:val="26"/>
        </w:rPr>
        <w:tab/>
        <w:t>Point of Change of Ownership</w:t>
      </w:r>
      <w:r w:rsidRPr="0072600F">
        <w:rPr>
          <w:rFonts w:ascii="Times New Roman" w:hAnsi="Times New Roman" w:cs="Times New Roman"/>
          <w:sz w:val="26"/>
          <w:szCs w:val="26"/>
        </w:rPr>
        <w:t xml:space="preserve"> shall mean the point, as set forth in Appendix A to the Standard Large Generator Interconnection Agreement, where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connect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w:t>
      </w:r>
    </w:p>
    <w:p w:rsidR="00F3594B" w:rsidRPr="0072600F" w14:paraId="04BC0085" w14:textId="77777777">
      <w:pPr>
        <w:rPr>
          <w:rFonts w:ascii="Times New Roman" w:hAnsi="Times New Roman" w:cs="Times New Roman"/>
          <w:sz w:val="26"/>
          <w:szCs w:val="26"/>
        </w:rPr>
      </w:pPr>
      <w:r w:rsidRPr="0072600F">
        <w:rPr>
          <w:rFonts w:ascii="Times New Roman" w:hAnsi="Times New Roman" w:cs="Times New Roman"/>
          <w:b/>
          <w:bCs/>
          <w:sz w:val="26"/>
          <w:szCs w:val="26"/>
        </w:rPr>
        <w:tab/>
        <w:t>Point of Interconnection</w:t>
      </w:r>
      <w:r w:rsidRPr="0072600F">
        <w:rPr>
          <w:rFonts w:ascii="Times New Roman" w:hAnsi="Times New Roman" w:cs="Times New Roman"/>
          <w:sz w:val="26"/>
          <w:szCs w:val="26"/>
        </w:rPr>
        <w:t xml:space="preserve"> shall mean the point, as set forth in Appendix A to the Standard Large Generator Interconnection Agreement, where the Interconnection Facilities connect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F3594B" w:rsidRPr="0072600F" w14:paraId="3B6CA0E5"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Proportional Impact Method</w:t>
      </w:r>
      <w:r w:rsidRPr="0072600F">
        <w:rPr>
          <w:rFonts w:ascii="Times New Roman" w:hAnsi="Times New Roman" w:cs="Times New Roman"/>
          <w:sz w:val="26"/>
          <w:szCs w:val="26"/>
        </w:rPr>
        <w:t xml:space="preserve"> shall mean a technical analysis conducted by Transmission Provider to determine the degree to which each Generating Facility in the Cluster Study contributes to the need for a specific System Network Upgrade.</w:t>
      </w:r>
    </w:p>
    <w:p w:rsidR="00F3594B" w:rsidRPr="0072600F" w14:paraId="51653BF8"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sz w:val="26"/>
          <w:szCs w:val="26"/>
        </w:rPr>
        <w:t xml:space="preserve">Provisional Interconnection Service </w:t>
      </w:r>
      <w:r w:rsidRPr="0072600F">
        <w:rPr>
          <w:rFonts w:ascii="Times New Roman" w:hAnsi="Times New Roman" w:cs="Times New Roman"/>
          <w:sz w:val="26"/>
          <w:szCs w:val="26"/>
        </w:rPr>
        <w:t xml:space="preserve">shall mean Interconnection Service provided by Transmission Provider associated with interconnecting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Generating Facility to Transmission Provider’s Transmission System and enabling that Transmission System to receive electric energy and capacity from the Generating Facility at the Point of Interconnection, pursuant to the terms of the Provisional Large Generator Interconnection Agreement and, if applicable, the Tariff.</w:t>
      </w:r>
    </w:p>
    <w:p w:rsidR="00F3594B" w:rsidRPr="0072600F" w14:paraId="33BA7D93"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sz w:val="26"/>
          <w:szCs w:val="26"/>
        </w:rPr>
        <w:t xml:space="preserve">Provisional Large Generator Interconnection Agreement </w:t>
      </w:r>
      <w:r w:rsidRPr="0072600F">
        <w:rPr>
          <w:rFonts w:ascii="Times New Roman" w:hAnsi="Times New Roman" w:cs="Times New Roman"/>
          <w:sz w:val="26"/>
          <w:szCs w:val="26"/>
        </w:rPr>
        <w:t xml:space="preserve">shall mean the interconnection agreement for Provisional Interconnection Service established between Transmission Provider and/or the Transmission Owner and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This agreement shall take the form of the </w:t>
      </w:r>
      <w:r w:rsidRPr="0072600F" w:rsidR="008738AE">
        <w:rPr>
          <w:rFonts w:ascii="Times New Roman" w:hAnsi="Times New Roman" w:cs="Times New Roman"/>
          <w:i/>
          <w:iCs/>
          <w:sz w:val="26"/>
          <w:szCs w:val="26"/>
        </w:rPr>
        <w:t>Standard</w:t>
      </w:r>
      <w:r w:rsidRPr="0072600F">
        <w:rPr>
          <w:rFonts w:ascii="Times New Roman" w:hAnsi="Times New Roman" w:cs="Times New Roman"/>
          <w:sz w:val="26"/>
          <w:szCs w:val="26"/>
        </w:rPr>
        <w:t xml:space="preserve"> Large Generator Interconnection Agreement, modified for provisional purposes. </w:t>
      </w:r>
    </w:p>
    <w:p w:rsidR="00F3594B" w:rsidRPr="0072600F" w14:paraId="14703A23"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Queue Position</w:t>
      </w:r>
      <w:r w:rsidRPr="0072600F">
        <w:rPr>
          <w:rFonts w:ascii="Times New Roman" w:hAnsi="Times New Roman" w:cs="Times New Roman"/>
          <w:sz w:val="26"/>
          <w:szCs w:val="26"/>
        </w:rPr>
        <w:t xml:space="preserve"> shall mean the order of a valid Interconnection Request, relative to all other pending valid Interconnection Requests, established pursuant to Section 4.1 of thi</w:t>
      </w:r>
      <w:r w:rsidRPr="0072600F" w:rsidR="00DF65CF">
        <w:rPr>
          <w:rFonts w:ascii="Times New Roman" w:hAnsi="Times New Roman" w:cs="Times New Roman"/>
          <w:i/>
          <w:iCs/>
          <w:sz w:val="26"/>
          <w:szCs w:val="26"/>
        </w:rPr>
        <w:t>s</w:t>
      </w:r>
      <w:r w:rsidRPr="0072600F">
        <w:rPr>
          <w:rFonts w:ascii="Times New Roman" w:hAnsi="Times New Roman" w:cs="Times New Roman"/>
          <w:sz w:val="26"/>
          <w:szCs w:val="26"/>
        </w:rPr>
        <w:t xml:space="preserve"> LGIP.</w:t>
      </w:r>
    </w:p>
    <w:p w:rsidR="00F3594B" w:rsidRPr="0072600F" w14:paraId="3072FA00" w14:textId="77777777">
      <w:pPr>
        <w:rPr>
          <w:rFonts w:ascii="Times New Roman" w:hAnsi="Times New Roman" w:cs="Times New Roman"/>
          <w:sz w:val="26"/>
          <w:szCs w:val="26"/>
        </w:rPr>
      </w:pPr>
      <w:r w:rsidRPr="0072600F">
        <w:rPr>
          <w:rFonts w:ascii="Times New Roman" w:hAnsi="Times New Roman" w:cs="Times New Roman"/>
          <w:b/>
          <w:bCs/>
          <w:sz w:val="26"/>
          <w:szCs w:val="26"/>
        </w:rPr>
        <w:tab/>
        <w:t>Reasonable Efforts</w:t>
      </w:r>
      <w:r w:rsidRPr="0072600F">
        <w:rPr>
          <w:rFonts w:ascii="Times New Roman" w:hAnsi="Times New Roman" w:cs="Times New Roman"/>
          <w:sz w:val="26"/>
          <w:szCs w:val="26"/>
        </w:rPr>
        <w:t xml:space="preserve"> shall mean, with respect to an action required to be attempted or taken by a Party under the Standard Large Generator Interconnection Agreement, efforts that are timely and consistent with Good Utility Practice and are otherwise substantially equivalent to those a Party would use to protect its own interests.</w:t>
      </w:r>
    </w:p>
    <w:p w:rsidR="00F3594B" w:rsidRPr="0072600F" w14:paraId="45EDAF10"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Scoping Meeting</w:t>
      </w:r>
      <w:r w:rsidRPr="0072600F">
        <w:rPr>
          <w:rFonts w:ascii="Times New Roman" w:hAnsi="Times New Roman" w:cs="Times New Roman"/>
          <w:sz w:val="26"/>
          <w:szCs w:val="26"/>
        </w:rPr>
        <w:t xml:space="preserve"> shall mean the meeting between representatives of  Interconnection Customer(s) and Transmission Provider conducted for the purpose of discussing the proposed Interconnection Request and any alternative interconnection options, exchanging information including any transmission data and earlier study evaluations that would be reasonably expected to impact such interconnection options, refining information and models provided by Interconnection Customer(s), discussing the Cluster Study materials posted to OASIS pursuant to Section 3.5 of the LGIP, and analyzing such information.</w:t>
      </w:r>
    </w:p>
    <w:p w:rsidR="00F3594B" w:rsidRPr="0072600F" w14:paraId="4A61C337" w14:textId="77777777">
      <w:pPr>
        <w:rPr>
          <w:rFonts w:ascii="Times New Roman" w:hAnsi="Times New Roman" w:cs="Times New Roman"/>
          <w:sz w:val="26"/>
          <w:szCs w:val="26"/>
        </w:rPr>
      </w:pPr>
      <w:r w:rsidRPr="0072600F">
        <w:rPr>
          <w:rFonts w:ascii="Times New Roman" w:hAnsi="Times New Roman" w:cs="Times New Roman"/>
          <w:b/>
          <w:bCs/>
          <w:sz w:val="26"/>
          <w:szCs w:val="26"/>
        </w:rPr>
        <w:tab/>
        <w:t>Site Control</w:t>
      </w:r>
      <w:r w:rsidRPr="0072600F">
        <w:rPr>
          <w:rFonts w:ascii="Times New Roman" w:hAnsi="Times New Roman" w:cs="Times New Roman"/>
          <w:sz w:val="26"/>
          <w:szCs w:val="26"/>
        </w:rPr>
        <w:t xml:space="preserve"> shall mean the exclusive land right to develop, construct, operate, and maintain the Generating Facility over the term of expected operation of the Generating Facility.  Site Control may be demonstrated by documentation establishing: </w:t>
      </w:r>
      <w:r w:rsidRPr="0072600F" w:rsidR="00D46245">
        <w:rPr>
          <w:rFonts w:ascii="Times New Roman" w:hAnsi="Times New Roman" w:cs="Times New Roman"/>
          <w:sz w:val="26"/>
          <w:szCs w:val="26"/>
        </w:rPr>
        <w:t xml:space="preserve"> </w:t>
      </w:r>
      <w:r w:rsidRPr="0072600F">
        <w:rPr>
          <w:rFonts w:ascii="Times New Roman" w:hAnsi="Times New Roman" w:cs="Times New Roman"/>
          <w:sz w:val="26"/>
          <w:szCs w:val="26"/>
        </w:rPr>
        <w:t>(1) ownership of, a leasehold interest in, or a right to develop a site of sufficient size to construct and operate the Generating Facility; (2) an option to purchase or acquire a leasehold site of sufficient size to construct and operate the Generating Facility for such purpose; or (3) any other documentation that clearly demonstrates the right of Interconnection Customer to exclusively occupy a site of sufficient size to construct and operate the Generating Facility.  Transmission Provider will maintain acreage requirements for each Generating Facility type on its OASIS or public website.</w:t>
      </w:r>
    </w:p>
    <w:p w:rsidR="00F3594B" w:rsidRPr="0072600F" w14:paraId="238AFCFC" w14:textId="77777777">
      <w:pPr>
        <w:rPr>
          <w:rFonts w:ascii="Times New Roman" w:hAnsi="Times New Roman" w:cs="Times New Roman"/>
          <w:sz w:val="26"/>
          <w:szCs w:val="26"/>
        </w:rPr>
      </w:pPr>
      <w:r w:rsidRPr="0072600F">
        <w:rPr>
          <w:rFonts w:ascii="Times New Roman" w:hAnsi="Times New Roman" w:cs="Times New Roman"/>
          <w:b/>
          <w:bCs/>
          <w:sz w:val="26"/>
          <w:szCs w:val="26"/>
        </w:rPr>
        <w:tab/>
        <w:t>Small Generating Facility</w:t>
      </w:r>
      <w:r w:rsidRPr="0072600F">
        <w:rPr>
          <w:rFonts w:ascii="Times New Roman" w:hAnsi="Times New Roman" w:cs="Times New Roman"/>
          <w:sz w:val="26"/>
          <w:szCs w:val="26"/>
        </w:rPr>
        <w:t xml:space="preserve"> shall mean a Generating Facility that has a Generating Facility Capacity of no more than 20 MW.</w:t>
      </w:r>
    </w:p>
    <w:p w:rsidR="00F3594B" w:rsidRPr="0072600F" w14:paraId="26180785" w14:textId="77777777">
      <w:pPr>
        <w:rPr>
          <w:rFonts w:ascii="Times New Roman" w:hAnsi="Times New Roman" w:cs="Times New Roman"/>
          <w:sz w:val="26"/>
          <w:szCs w:val="26"/>
        </w:rPr>
      </w:pPr>
      <w:r w:rsidRPr="0072600F">
        <w:rPr>
          <w:rFonts w:ascii="Times New Roman" w:hAnsi="Times New Roman" w:cs="Times New Roman"/>
          <w:b/>
          <w:bCs/>
          <w:sz w:val="26"/>
          <w:szCs w:val="26"/>
        </w:rPr>
        <w:tab/>
        <w:t>Stand Alone Network Upgrades</w:t>
      </w:r>
      <w:r w:rsidRPr="0072600F">
        <w:rPr>
          <w:rFonts w:ascii="Times New Roman" w:hAnsi="Times New Roman" w:cs="Times New Roman"/>
          <w:sz w:val="26"/>
          <w:szCs w:val="26"/>
        </w:rPr>
        <w:t xml:space="preserve"> shall mean Network Upgrades that are not part of an Affected System that an Interconnection Customer may construct without affecting day-to-day operations of the Transmission System during their construction </w:t>
      </w:r>
      <w:r w:rsidRPr="0072600F" w:rsidR="00724119">
        <w:rPr>
          <w:rFonts w:ascii="Times New Roman" w:hAnsi="Times New Roman" w:cs="Times New Roman"/>
          <w:sz w:val="26"/>
          <w:szCs w:val="26"/>
        </w:rPr>
        <w:t>[</w:t>
      </w:r>
      <w:r w:rsidRPr="0072600F">
        <w:rPr>
          <w:rFonts w:ascii="Times New Roman" w:hAnsi="Times New Roman" w:cs="Times New Roman"/>
          <w:sz w:val="26"/>
          <w:szCs w:val="26"/>
        </w:rPr>
        <w:t xml:space="preserve">and the following conditions are met: </w:t>
      </w:r>
      <w:r w:rsidRPr="0072600F" w:rsidR="00D46245">
        <w:rPr>
          <w:rFonts w:ascii="Times New Roman" w:hAnsi="Times New Roman" w:cs="Times New Roman"/>
          <w:sz w:val="26"/>
          <w:szCs w:val="26"/>
        </w:rPr>
        <w:t xml:space="preserve"> </w:t>
      </w:r>
      <w:r w:rsidRPr="0072600F">
        <w:rPr>
          <w:rFonts w:ascii="Times New Roman" w:hAnsi="Times New Roman" w:cs="Times New Roman"/>
          <w:sz w:val="26"/>
          <w:szCs w:val="26"/>
        </w:rPr>
        <w:t>(1)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Transmission Provider’s Proportional Impact Method</w:t>
      </w:r>
      <w:r w:rsidRPr="0072600F" w:rsidR="00724119">
        <w:rPr>
          <w:rFonts w:ascii="Times New Roman" w:hAnsi="Times New Roman" w:cs="Times New Roman"/>
          <w:sz w:val="26"/>
          <w:szCs w:val="26"/>
        </w:rPr>
        <w:t>]</w:t>
      </w:r>
      <w:r w:rsidRPr="0072600F">
        <w:rPr>
          <w:rFonts w:ascii="Times New Roman" w:hAnsi="Times New Roman" w:cs="Times New Roman"/>
          <w:sz w:val="26"/>
          <w:szCs w:val="26"/>
        </w:rPr>
        <w:t>.  Both Transmission Provider and Interconnection Customer must agree as to what constitutes Stand Alone Network Upgrades and identify them in Appendix A to the Standard Large Generator Interconnection Agreement.  If Transmission Provider and Interconnection Customer disagree about whether a particular Network Upgrade is a Stand Alone Network Upgrade, Transmission Provider must provide Interconnection Customer a written technical explanation outlining why Transmission Provider does not consider the Network Upgrade to be a Stand Alone Network Upgrade within</w:t>
      </w:r>
      <w:r w:rsidRPr="0072600F" w:rsidR="004C249F">
        <w:rPr>
          <w:rFonts w:ascii="Times New Roman" w:hAnsi="Times New Roman" w:cs="Times New Roman"/>
          <w:sz w:val="26"/>
          <w:szCs w:val="26"/>
        </w:rPr>
        <w:t xml:space="preserve"> </w:t>
      </w:r>
      <w:r w:rsidRPr="0072600F" w:rsidR="004C249F">
        <w:rPr>
          <w:rFonts w:ascii="Times New Roman" w:hAnsi="Times New Roman" w:cs="Times New Roman"/>
          <w:i/>
          <w:iCs/>
          <w:sz w:val="26"/>
          <w:szCs w:val="26"/>
        </w:rPr>
        <w:t>fifteen</w:t>
      </w:r>
      <w:r w:rsidRPr="0072600F">
        <w:rPr>
          <w:rFonts w:ascii="Times New Roman" w:hAnsi="Times New Roman" w:cs="Times New Roman"/>
          <w:sz w:val="26"/>
          <w:szCs w:val="26"/>
        </w:rPr>
        <w:t xml:space="preserve"> </w:t>
      </w:r>
      <w:r w:rsidRPr="0072600F" w:rsidR="004C249F">
        <w:rPr>
          <w:rFonts w:ascii="Times New Roman" w:hAnsi="Times New Roman" w:cs="Times New Roman"/>
          <w:i/>
          <w:iCs/>
          <w:sz w:val="26"/>
          <w:szCs w:val="26"/>
        </w:rPr>
        <w:t>(</w:t>
      </w:r>
      <w:r w:rsidRPr="0072600F">
        <w:rPr>
          <w:rFonts w:ascii="Times New Roman" w:hAnsi="Times New Roman" w:cs="Times New Roman"/>
          <w:sz w:val="26"/>
          <w:szCs w:val="26"/>
        </w:rPr>
        <w:t>15</w:t>
      </w:r>
      <w:r w:rsidRPr="0072600F" w:rsidR="004C249F">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4C249F">
        <w:rPr>
          <w:rFonts w:ascii="Times New Roman" w:hAnsi="Times New Roman" w:cs="Times New Roman"/>
          <w:i/>
          <w:iCs/>
          <w:sz w:val="26"/>
          <w:szCs w:val="26"/>
        </w:rPr>
        <w:t xml:space="preserve">Business </w:t>
      </w:r>
      <w:r w:rsidRPr="0072600F" w:rsidR="004C249F">
        <w:rPr>
          <w:rFonts w:ascii="Times New Roman" w:hAnsi="Times New Roman" w:cs="Times New Roman"/>
          <w:sz w:val="26"/>
          <w:szCs w:val="26"/>
        </w:rPr>
        <w:t>[</w:t>
      </w:r>
      <w:r w:rsidRPr="0072600F">
        <w:rPr>
          <w:rFonts w:ascii="Times New Roman" w:hAnsi="Times New Roman" w:cs="Times New Roman"/>
          <w:sz w:val="26"/>
          <w:szCs w:val="26"/>
        </w:rPr>
        <w:t>d</w:t>
      </w:r>
      <w:r w:rsidRPr="0072600F" w:rsidR="004C249F">
        <w:rPr>
          <w:rFonts w:ascii="Times New Roman" w:hAnsi="Times New Roman" w:cs="Times New Roman"/>
          <w:sz w:val="26"/>
          <w:szCs w:val="26"/>
        </w:rPr>
        <w:t>]</w:t>
      </w:r>
      <w:r w:rsidRPr="0072600F" w:rsidR="004C249F">
        <w:rPr>
          <w:rFonts w:ascii="Times New Roman" w:hAnsi="Times New Roman" w:cs="Times New Roman"/>
          <w:i/>
          <w:iCs/>
          <w:sz w:val="26"/>
          <w:szCs w:val="26"/>
        </w:rPr>
        <w:t>D</w:t>
      </w:r>
      <w:r w:rsidRPr="0072600F">
        <w:rPr>
          <w:rFonts w:ascii="Times New Roman" w:hAnsi="Times New Roman" w:cs="Times New Roman"/>
          <w:sz w:val="26"/>
          <w:szCs w:val="26"/>
        </w:rPr>
        <w:t xml:space="preserve">ays of its determination.  </w:t>
      </w:r>
    </w:p>
    <w:p w:rsidR="00F3594B" w:rsidRPr="0072600F" w14:paraId="02E54719" w14:textId="77777777">
      <w:pPr>
        <w:rPr>
          <w:rFonts w:ascii="Times New Roman" w:hAnsi="Times New Roman" w:cs="Times New Roman"/>
          <w:sz w:val="26"/>
          <w:szCs w:val="26"/>
        </w:rPr>
      </w:pPr>
      <w:r w:rsidRPr="0072600F">
        <w:rPr>
          <w:rFonts w:ascii="Times New Roman" w:hAnsi="Times New Roman" w:cs="Times New Roman"/>
          <w:b/>
          <w:bCs/>
          <w:sz w:val="26"/>
          <w:szCs w:val="26"/>
        </w:rPr>
        <w:tab/>
        <w:t>Standard Large Generator Interconnection Agreement (LGIA)</w:t>
      </w:r>
      <w:r w:rsidRPr="0072600F">
        <w:rPr>
          <w:rFonts w:ascii="Times New Roman" w:hAnsi="Times New Roman" w:cs="Times New Roman"/>
          <w:sz w:val="26"/>
          <w:szCs w:val="26"/>
        </w:rPr>
        <w:t xml:space="preserve"> shall mean the form of interconnection agreement applicable to an Interconnection Request pertaining to a Large Generating Facility that is included in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w:t>
      </w:r>
    </w:p>
    <w:p w:rsidR="00F3594B" w:rsidRPr="0072600F" w14:paraId="30E52C07" w14:textId="77777777">
      <w:pPr>
        <w:rPr>
          <w:rFonts w:ascii="Times New Roman" w:hAnsi="Times New Roman" w:cs="Times New Roman"/>
          <w:sz w:val="26"/>
          <w:szCs w:val="26"/>
        </w:rPr>
      </w:pPr>
      <w:r w:rsidRPr="0072600F">
        <w:rPr>
          <w:rFonts w:ascii="Times New Roman" w:hAnsi="Times New Roman" w:cs="Times New Roman"/>
          <w:b/>
          <w:bCs/>
          <w:sz w:val="26"/>
          <w:szCs w:val="26"/>
        </w:rPr>
        <w:tab/>
        <w:t>Standard Large Generator Interconnection Procedures (LGIP)</w:t>
      </w:r>
      <w:r w:rsidRPr="0072600F">
        <w:rPr>
          <w:rFonts w:ascii="Times New Roman" w:hAnsi="Times New Roman" w:cs="Times New Roman"/>
          <w:sz w:val="26"/>
          <w:szCs w:val="26"/>
        </w:rPr>
        <w:t xml:space="preserve"> shall mean the interconnection procedures applicable to an Interconnection Request pertaining to a Large Generating Facility that are included in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w:t>
      </w:r>
    </w:p>
    <w:p w:rsidR="00F3594B" w:rsidRPr="0072600F" w14:paraId="62D6C6E2"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Substation Network Upgrades</w:t>
      </w:r>
      <w:r w:rsidRPr="0072600F">
        <w:rPr>
          <w:rFonts w:ascii="Times New Roman" w:hAnsi="Times New Roman" w:cs="Times New Roman"/>
          <w:sz w:val="26"/>
          <w:szCs w:val="26"/>
        </w:rPr>
        <w:t xml:space="preserve"> shall mean Network Upgrades that are required at the substation located at the Point of Interconnection.</w:t>
      </w:r>
    </w:p>
    <w:p w:rsidR="00F3594B" w:rsidRPr="0072600F" w14:paraId="6498C1BD"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sz w:val="26"/>
          <w:szCs w:val="26"/>
        </w:rPr>
        <w:t xml:space="preserve">Surplus Interconnection Service </w:t>
      </w:r>
      <w:r w:rsidRPr="0072600F">
        <w:rPr>
          <w:rFonts w:ascii="Times New Roman" w:hAnsi="Times New Roman" w:cs="Times New Roman"/>
          <w:sz w:val="26"/>
          <w:szCs w:val="26"/>
        </w:rPr>
        <w:t xml:space="preserve">shall mean any unneeded portion of Interconnection Service established in a </w:t>
      </w:r>
      <w:r w:rsidRPr="0072600F" w:rsidR="006B109F">
        <w:rPr>
          <w:rFonts w:ascii="Times New Roman" w:hAnsi="Times New Roman" w:cs="Times New Roman"/>
          <w:i/>
          <w:iCs/>
          <w:sz w:val="26"/>
          <w:szCs w:val="26"/>
        </w:rPr>
        <w:t>Standard</w:t>
      </w:r>
      <w:r w:rsidRPr="0072600F">
        <w:rPr>
          <w:rFonts w:ascii="Times New Roman" w:hAnsi="Times New Roman" w:cs="Times New Roman"/>
          <w:sz w:val="26"/>
          <w:szCs w:val="26"/>
        </w:rPr>
        <w:t xml:space="preserve"> Large Generator Interconnection Agreement, such that if Surplus Interconnection Service is utilized the total amount of Interconnection Service at the Point of Interconnection would remain the same. </w:t>
      </w:r>
    </w:p>
    <w:p w:rsidR="00F3594B" w:rsidRPr="0072600F" w14:paraId="534D503E"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System Network Upgrades</w:t>
      </w:r>
      <w:r w:rsidRPr="0072600F">
        <w:rPr>
          <w:rFonts w:ascii="Times New Roman" w:hAnsi="Times New Roman" w:cs="Times New Roman"/>
          <w:sz w:val="26"/>
          <w:szCs w:val="26"/>
        </w:rPr>
        <w:t xml:space="preserve"> shall mean Network Upgrades that are required beyond the substation located at the Point of Interconnection.</w:t>
      </w:r>
    </w:p>
    <w:p w:rsidR="00F3594B" w:rsidRPr="0072600F" w14:paraId="580C3988" w14:textId="77777777">
      <w:pPr>
        <w:rPr>
          <w:rFonts w:ascii="Times New Roman" w:hAnsi="Times New Roman" w:cs="Times New Roman"/>
          <w:sz w:val="26"/>
          <w:szCs w:val="26"/>
        </w:rPr>
      </w:pPr>
      <w:r w:rsidRPr="0072600F">
        <w:rPr>
          <w:rFonts w:ascii="Times New Roman" w:hAnsi="Times New Roman" w:cs="Times New Roman"/>
          <w:b/>
          <w:bCs/>
          <w:sz w:val="26"/>
          <w:szCs w:val="26"/>
        </w:rPr>
        <w:tab/>
        <w:t>System Protection Facilities</w:t>
      </w:r>
      <w:r w:rsidRPr="0072600F">
        <w:rPr>
          <w:rFonts w:ascii="Times New Roman" w:hAnsi="Times New Roman" w:cs="Times New Roman"/>
          <w:sz w:val="26"/>
          <w:szCs w:val="26"/>
        </w:rPr>
        <w:t xml:space="preserve"> shall mean the equipment, including necessary protection signal communications equipment, required to protect (1)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from faults or other electrical disturbances occurring at the Generating Facility and (2) the Generating Facility from faults or other electrical system disturbances occurring on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or on other delivery systems or other generating systems to which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is directly connected.</w:t>
      </w:r>
    </w:p>
    <w:p w:rsidR="00F3594B" w:rsidRPr="0072600F" w14:paraId="6807FC88" w14:textId="77777777">
      <w:pPr>
        <w:rPr>
          <w:rFonts w:ascii="Times New Roman" w:hAnsi="Times New Roman" w:cs="Times New Roman"/>
          <w:sz w:val="26"/>
          <w:szCs w:val="26"/>
        </w:rPr>
      </w:pPr>
      <w:r w:rsidRPr="0072600F">
        <w:rPr>
          <w:rFonts w:ascii="Times New Roman" w:hAnsi="Times New Roman" w:cs="Times New Roman"/>
          <w:b/>
          <w:bCs/>
          <w:sz w:val="26"/>
          <w:szCs w:val="26"/>
        </w:rPr>
        <w:tab/>
        <w:t>Tariff</w:t>
      </w:r>
      <w:r w:rsidRPr="0072600F">
        <w:rPr>
          <w:rFonts w:ascii="Times New Roman" w:hAnsi="Times New Roman" w:cs="Times New Roman"/>
          <w:sz w:val="26"/>
          <w:szCs w:val="26"/>
        </w:rPr>
        <w:t xml:space="preserve"> shall mean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through which open access transmission service and Interconnection Service are offered, as filed with FERC, and as amended or supplemented from time to time, or any successor tariff.</w:t>
      </w:r>
    </w:p>
    <w:p w:rsidR="00F3594B" w:rsidRPr="0072600F" w14:paraId="156FDD5A" w14:textId="77777777">
      <w:pPr>
        <w:rPr>
          <w:rFonts w:ascii="Times New Roman" w:hAnsi="Times New Roman" w:cs="Times New Roman"/>
          <w:sz w:val="26"/>
          <w:szCs w:val="26"/>
        </w:rPr>
      </w:pPr>
      <w:r w:rsidRPr="0072600F">
        <w:rPr>
          <w:rFonts w:ascii="Times New Roman" w:hAnsi="Times New Roman" w:cs="Times New Roman"/>
          <w:b/>
          <w:bCs/>
          <w:sz w:val="26"/>
          <w:szCs w:val="26"/>
        </w:rPr>
        <w:tab/>
        <w:t>Transmission Owner</w:t>
      </w:r>
      <w:r w:rsidRPr="0072600F">
        <w:rPr>
          <w:rFonts w:ascii="Times New Roman" w:hAnsi="Times New Roman" w:cs="Times New Roman"/>
          <w:sz w:val="26"/>
          <w:szCs w:val="26"/>
        </w:rPr>
        <w:t xml:space="preserve"> shall mean an entity that owns, leases or otherwise possesses an interest in the portion of the Transmission System at the Point of Interconnection and may be a Party to the Standard Large Generator Interconnection Agreement to the extent necessary.</w:t>
      </w:r>
    </w:p>
    <w:p w:rsidR="00F3594B" w:rsidRPr="0072600F" w14:paraId="7F8B8767" w14:textId="77777777">
      <w:pPr>
        <w:rPr>
          <w:rFonts w:ascii="Times New Roman" w:hAnsi="Times New Roman" w:cs="Times New Roman"/>
          <w:sz w:val="26"/>
          <w:szCs w:val="26"/>
        </w:rPr>
      </w:pPr>
      <w:r w:rsidRPr="0072600F">
        <w:rPr>
          <w:rFonts w:ascii="Times New Roman" w:hAnsi="Times New Roman" w:cs="Times New Roman"/>
          <w:b/>
          <w:bCs/>
          <w:sz w:val="26"/>
          <w:szCs w:val="26"/>
        </w:rPr>
        <w:tab/>
        <w:t>Transmission Provider</w:t>
      </w:r>
      <w:r w:rsidRPr="0072600F">
        <w:rPr>
          <w:rFonts w:ascii="Times New Roman" w:hAnsi="Times New Roman" w:cs="Times New Roman"/>
          <w:sz w:val="26"/>
          <w:szCs w:val="26"/>
        </w:rPr>
        <w:t xml:space="preserve"> shall mean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p>
    <w:p w:rsidR="00F3594B" w:rsidRPr="0072600F" w14:paraId="26D68616" w14:textId="77777777">
      <w:pPr>
        <w:rPr>
          <w:rFonts w:ascii="Times New Roman" w:hAnsi="Times New Roman" w:cs="Times New Roman"/>
          <w:sz w:val="26"/>
          <w:szCs w:val="26"/>
        </w:rPr>
      </w:pPr>
      <w:r w:rsidRPr="0072600F">
        <w:rPr>
          <w:rFonts w:ascii="Times New Roman" w:hAnsi="Times New Roman" w:cs="Times New Roman"/>
          <w:b/>
          <w:bCs/>
          <w:sz w:val="26"/>
          <w:szCs w:val="26"/>
        </w:rPr>
        <w:tab/>
        <w:t>Transmission Provider</w:t>
      </w:r>
      <w:r w:rsidRPr="0072600F" w:rsidR="00BD11B3">
        <w:rPr>
          <w:rFonts w:ascii="Times New Roman" w:hAnsi="Times New Roman" w:cs="Times New Roman"/>
          <w:b/>
          <w:bCs/>
          <w:sz w:val="26"/>
          <w:szCs w:val="26"/>
        </w:rPr>
        <w:t>’</w:t>
      </w:r>
      <w:r w:rsidRPr="0072600F">
        <w:rPr>
          <w:rFonts w:ascii="Times New Roman" w:hAnsi="Times New Roman" w:cs="Times New Roman"/>
          <w:b/>
          <w:bCs/>
          <w:sz w:val="26"/>
          <w:szCs w:val="26"/>
        </w:rPr>
        <w:t>s Interconnection Facilities</w:t>
      </w:r>
      <w:r w:rsidRPr="0072600F">
        <w:rPr>
          <w:rFonts w:ascii="Times New Roman" w:hAnsi="Times New Roman" w:cs="Times New Roman"/>
          <w:sz w:val="26"/>
          <w:szCs w:val="26"/>
        </w:rPr>
        <w:t xml:space="preserve"> shall mean all facilities and equipment owned, controlled, or operated by Transmission Provider from the Point of Change of Ownership to the Point of Interconnection as identified in Appendix A to the Standard Large Generator Interconnection Agreement, including any modifications, additions or upgrades to such facilities and equipment.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are sole use facilities and shall not include Distribution Upgrades, Stand Alone Network Upgrades or Network Upgrades.</w:t>
      </w:r>
    </w:p>
    <w:p w:rsidR="00F3594B" w:rsidRPr="0072600F" w14:paraId="0EE2C3A6" w14:textId="77777777">
      <w:pPr>
        <w:rPr>
          <w:rFonts w:ascii="Times New Roman" w:hAnsi="Times New Roman" w:cs="Times New Roman"/>
          <w:sz w:val="26"/>
          <w:szCs w:val="26"/>
        </w:rPr>
      </w:pPr>
      <w:r w:rsidRPr="0072600F">
        <w:rPr>
          <w:rFonts w:ascii="Times New Roman" w:hAnsi="Times New Roman" w:cs="Times New Roman"/>
          <w:b/>
          <w:bCs/>
          <w:sz w:val="26"/>
          <w:szCs w:val="26"/>
        </w:rPr>
        <w:tab/>
        <w:t>Transmission System</w:t>
      </w:r>
      <w:r w:rsidRPr="0072600F">
        <w:rPr>
          <w:rFonts w:ascii="Times New Roman" w:hAnsi="Times New Roman" w:cs="Times New Roman"/>
          <w:sz w:val="26"/>
          <w:szCs w:val="26"/>
        </w:rPr>
        <w:t xml:space="preserve"> shall mean the facilities owned, controlled or operated by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Transmission Owner that are used to provide transmission service under the Tariff.</w:t>
      </w:r>
    </w:p>
    <w:p w:rsidR="00F3594B" w:rsidRPr="0072600F" w14:paraId="2C787FFD"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r w:rsidRPr="0072600F">
        <w:rPr>
          <w:rFonts w:ascii="Times New Roman" w:hAnsi="Times New Roman" w:cs="Times New Roman"/>
          <w:b/>
          <w:bCs/>
          <w:sz w:val="26"/>
          <w:szCs w:val="26"/>
        </w:rPr>
        <w:tab/>
        <w:t>Trial Operation</w:t>
      </w:r>
      <w:r w:rsidRPr="0072600F">
        <w:rPr>
          <w:rFonts w:ascii="Times New Roman" w:hAnsi="Times New Roman" w:cs="Times New Roman"/>
          <w:sz w:val="26"/>
          <w:szCs w:val="26"/>
        </w:rPr>
        <w:t xml:space="preserve"> shall mean the period during which Interconnection Customer is engaged in on-site test operations and commissioning of the Generating Facility prior to Commercial Operation.</w:t>
      </w:r>
    </w:p>
    <w:p w:rsidR="00F3594B" w:rsidRPr="0072600F" w14:paraId="25D2C7BB"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sz w:val="26"/>
          <w:szCs w:val="26"/>
        </w:rPr>
        <w:t>Variable Energy Resource</w:t>
      </w:r>
      <w:r w:rsidRPr="0072600F">
        <w:rPr>
          <w:rFonts w:ascii="Times New Roman" w:hAnsi="Times New Roman" w:cs="Times New Roman"/>
          <w:sz w:val="26"/>
          <w:szCs w:val="26"/>
        </w:rPr>
        <w:t xml:space="preserve"> shall mean a device for the production of electricity that is characterized by an energy source that:  (1) is renewable; (2) cannot be stored by the facility owner or operator; and (3) has variability that is beyond the control of the facility owner or operator.</w:t>
      </w:r>
    </w:p>
    <w:p w:rsidR="00F3594B" w:rsidRPr="0072600F" w14:paraId="22451AF7" w14:textId="77777777">
      <w:pPr>
        <w:ind w:firstLine="720"/>
        <w:rPr>
          <w:rFonts w:ascii="Times New Roman" w:hAnsi="Times New Roman" w:cs="Times New Roman"/>
          <w:sz w:val="26"/>
          <w:szCs w:val="26"/>
        </w:rPr>
      </w:pPr>
      <w:r w:rsidRPr="0072600F">
        <w:rPr>
          <w:rFonts w:ascii="Times New Roman" w:hAnsi="Times New Roman" w:cs="Times New Roman"/>
          <w:b/>
          <w:bCs/>
          <w:sz w:val="26"/>
          <w:szCs w:val="26"/>
        </w:rPr>
        <w:t>Withdrawal Penalty</w:t>
      </w:r>
      <w:r w:rsidRPr="0072600F">
        <w:rPr>
          <w:rFonts w:ascii="Times New Roman" w:hAnsi="Times New Roman" w:cs="Times New Roman"/>
          <w:sz w:val="26"/>
          <w:szCs w:val="26"/>
        </w:rPr>
        <w:t xml:space="preserve"> shall mean the penalty assessed by Transmission Provider to an Interconnection Customer that chooses to withdraw or is deemed withdrawn from Transmission Provider’s interconnection queue or whose Generating Facility does not otherwise reach Commercial Operation.  The calculation of the Withdrawal Penalty is set forth in Section 3.7.1 of the LGIP.</w:t>
      </w:r>
    </w:p>
    <w:p w:rsidR="00F3594B" w:rsidRPr="0072600F" w14:paraId="50283AE3" w14:textId="77777777">
      <w:pPr>
        <w:rPr>
          <w:rFonts w:ascii="Times New Roman" w:hAnsi="Times New Roman" w:cs="Times New Roman"/>
          <w:sz w:val="26"/>
          <w:szCs w:val="26"/>
        </w:rPr>
      </w:pPr>
    </w:p>
    <w:p w:rsidR="00F3594B" w:rsidRPr="0072600F" w14:paraId="32680968" w14:textId="77777777">
      <w:pPr>
        <w:rPr>
          <w:rFonts w:ascii="Times New Roman" w:hAnsi="Times New Roman" w:cs="Times New Roman"/>
          <w:sz w:val="26"/>
          <w:szCs w:val="26"/>
        </w:rPr>
      </w:pPr>
    </w:p>
    <w:p w:rsidR="00F3594B" w:rsidRPr="0072600F" w:rsidP="004925C3" w14:paraId="5C3DA6AF" w14:textId="77777777">
      <w:pPr>
        <w:pStyle w:val="Heading2"/>
        <w:rPr>
          <w:b/>
          <w:bCs/>
          <w:sz w:val="26"/>
          <w:szCs w:val="26"/>
        </w:rPr>
      </w:pPr>
      <w:r w:rsidRPr="0072600F">
        <w:rPr>
          <w:b/>
          <w:bCs/>
          <w:sz w:val="26"/>
          <w:szCs w:val="26"/>
          <w:lang w:val="en-CA"/>
        </w:rPr>
        <w:fldChar w:fldCharType="begin"/>
      </w:r>
      <w:r w:rsidRPr="0072600F">
        <w:rPr>
          <w:b/>
          <w:bCs/>
          <w:sz w:val="26"/>
          <w:szCs w:val="26"/>
          <w:lang w:val="en-CA"/>
        </w:rPr>
        <w:instrText xml:space="preserve"> SEQ CHAPTER \h \r 1</w:instrText>
      </w:r>
      <w:r w:rsidRPr="0072600F">
        <w:rPr>
          <w:b/>
          <w:bCs/>
          <w:sz w:val="26"/>
          <w:szCs w:val="26"/>
          <w:lang w:val="en-CA"/>
        </w:rPr>
        <w:fldChar w:fldCharType="separate"/>
      </w:r>
      <w:r w:rsidRPr="0072600F">
        <w:rPr>
          <w:b/>
          <w:bCs/>
          <w:sz w:val="26"/>
          <w:szCs w:val="26"/>
          <w:lang w:val="en-CA"/>
        </w:rPr>
        <w:fldChar w:fldCharType="end"/>
      </w:r>
      <w:bookmarkStart w:id="356" w:name="_Toc148703280"/>
      <w:r w:rsidRPr="0072600F">
        <w:rPr>
          <w:b/>
          <w:bCs/>
          <w:sz w:val="26"/>
          <w:szCs w:val="26"/>
        </w:rPr>
        <w:t>Article 2.</w:t>
      </w:r>
      <w:r w:rsidRPr="0072600F">
        <w:rPr>
          <w:b/>
          <w:bCs/>
          <w:sz w:val="26"/>
          <w:szCs w:val="26"/>
        </w:rPr>
        <w:tab/>
        <w:t>Effective Date, Term, and Termination</w:t>
      </w:r>
      <w:bookmarkEnd w:id="356"/>
    </w:p>
    <w:p w:rsidR="00F3594B" w:rsidRPr="0072600F" w14:paraId="4430617D" w14:textId="77777777">
      <w:pPr>
        <w:rPr>
          <w:rFonts w:ascii="Times New Roman" w:hAnsi="Times New Roman" w:cs="Times New Roman"/>
          <w:sz w:val="26"/>
          <w:szCs w:val="26"/>
        </w:rPr>
      </w:pPr>
    </w:p>
    <w:p w:rsidR="00F3594B" w:rsidRPr="0072600F" w14:paraId="0F18D10E" w14:textId="77777777">
      <w:pPr>
        <w:tabs>
          <w:tab w:val="left" w:pos="720"/>
        </w:tabs>
        <w:ind w:left="720" w:hanging="720"/>
        <w:rPr>
          <w:rFonts w:ascii="Times New Roman" w:hAnsi="Times New Roman" w:cs="Times New Roman"/>
          <w:sz w:val="26"/>
          <w:szCs w:val="26"/>
        </w:rPr>
      </w:pPr>
      <w:bookmarkStart w:id="357" w:name="_1__3_"/>
      <w:bookmarkStart w:id="358" w:name="_Toc148703281"/>
      <w:bookmarkEnd w:id="357"/>
      <w:r w:rsidRPr="0072600F">
        <w:rPr>
          <w:rStyle w:val="Heading2Char"/>
          <w:rFonts w:eastAsiaTheme="minorHAnsi"/>
          <w:b/>
          <w:sz w:val="26"/>
          <w:szCs w:val="26"/>
        </w:rPr>
        <w:t>2.1</w:t>
      </w:r>
      <w:r w:rsidRPr="0072600F">
        <w:rPr>
          <w:rStyle w:val="Heading2Char"/>
          <w:rFonts w:eastAsiaTheme="minorHAnsi"/>
          <w:b/>
          <w:sz w:val="26"/>
          <w:szCs w:val="26"/>
        </w:rPr>
        <w:tab/>
        <w:t>Effective Date.</w:t>
      </w:r>
      <w:bookmarkEnd w:id="358"/>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This LGIA shall become effective upon execution by the Parties subject to acceptance by FERC (if applicable), or if filed unexecuted, upon the date specified by FERC.  Transmission Provider shall promptly file this LGIA with FERC upon execution in accordance with Article 3.1, if required.</w:t>
      </w:r>
    </w:p>
    <w:p w:rsidR="00F3594B" w:rsidRPr="0072600F" w14:paraId="4618B4FE" w14:textId="77777777">
      <w:pPr>
        <w:rPr>
          <w:rFonts w:ascii="Times New Roman" w:hAnsi="Times New Roman" w:cs="Times New Roman"/>
          <w:sz w:val="26"/>
          <w:szCs w:val="26"/>
        </w:rPr>
      </w:pPr>
    </w:p>
    <w:p w:rsidR="00F3594B" w:rsidRPr="0072600F" w14:paraId="3CE442E0" w14:textId="77777777">
      <w:pPr>
        <w:tabs>
          <w:tab w:val="left" w:pos="720"/>
        </w:tabs>
        <w:ind w:left="720" w:hanging="720"/>
        <w:rPr>
          <w:rFonts w:ascii="Times New Roman" w:hAnsi="Times New Roman" w:cs="Times New Roman"/>
          <w:sz w:val="26"/>
          <w:szCs w:val="26"/>
        </w:rPr>
      </w:pPr>
      <w:bookmarkStart w:id="359" w:name="_1__4_"/>
      <w:bookmarkStart w:id="360" w:name="_Toc148703282"/>
      <w:bookmarkEnd w:id="359"/>
      <w:r w:rsidRPr="0072600F">
        <w:rPr>
          <w:rStyle w:val="Heading2Char"/>
          <w:rFonts w:eastAsiaTheme="minorHAnsi"/>
          <w:b/>
          <w:sz w:val="26"/>
          <w:szCs w:val="26"/>
        </w:rPr>
        <w:t>2.2</w:t>
      </w:r>
      <w:r w:rsidRPr="0072600F">
        <w:rPr>
          <w:rStyle w:val="Heading2Char"/>
          <w:rFonts w:eastAsiaTheme="minorHAnsi"/>
          <w:b/>
          <w:sz w:val="26"/>
          <w:szCs w:val="26"/>
        </w:rPr>
        <w:tab/>
        <w:t>Term of Agreement.</w:t>
      </w:r>
      <w:bookmarkEnd w:id="360"/>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Subject to the provisions of Article 2.3, this LGIA shall remain in effect for a period of ten (10) years from the Effective Date or such other longer period as Interconnection Customer may request (</w:t>
      </w:r>
      <w:r w:rsidRPr="0072600F">
        <w:rPr>
          <w:rFonts w:ascii="Times New Roman" w:hAnsi="Times New Roman" w:cs="Times New Roman"/>
          <w:iCs/>
          <w:sz w:val="26"/>
          <w:szCs w:val="26"/>
        </w:rPr>
        <w:t>Term to be specified in individual agreements</w:t>
      </w:r>
      <w:r w:rsidRPr="0072600F">
        <w:rPr>
          <w:rFonts w:ascii="Times New Roman" w:hAnsi="Times New Roman" w:cs="Times New Roman"/>
          <w:sz w:val="26"/>
          <w:szCs w:val="26"/>
        </w:rPr>
        <w:t>) and shall be automatically renewed for each successive one-year period thereafter.</w:t>
      </w:r>
    </w:p>
    <w:p w:rsidR="00F3594B" w:rsidRPr="0072600F" w14:paraId="1BE6539C" w14:textId="77777777">
      <w:pPr>
        <w:rPr>
          <w:rFonts w:ascii="Times New Roman" w:hAnsi="Times New Roman" w:cs="Times New Roman"/>
          <w:sz w:val="26"/>
          <w:szCs w:val="26"/>
        </w:rPr>
      </w:pPr>
    </w:p>
    <w:p w:rsidR="00F3594B" w:rsidRPr="0072600F" w:rsidP="004925C3" w14:paraId="6E223F0B" w14:textId="77777777">
      <w:pPr>
        <w:rPr>
          <w:rFonts w:ascii="Times New Roman" w:hAnsi="Times New Roman" w:cs="Times New Roman"/>
          <w:b/>
          <w:sz w:val="26"/>
          <w:szCs w:val="26"/>
        </w:rPr>
      </w:pPr>
      <w:bookmarkStart w:id="361" w:name="_1__5_"/>
      <w:bookmarkStart w:id="362" w:name="_Toc148703283"/>
      <w:bookmarkEnd w:id="361"/>
      <w:r w:rsidRPr="0072600F">
        <w:rPr>
          <w:rFonts w:ascii="Times New Roman" w:hAnsi="Times New Roman" w:cs="Times New Roman"/>
          <w:b/>
          <w:sz w:val="26"/>
          <w:szCs w:val="26"/>
        </w:rPr>
        <w:t>2.3</w:t>
      </w:r>
      <w:r w:rsidRPr="0072600F">
        <w:rPr>
          <w:rFonts w:ascii="Times New Roman" w:hAnsi="Times New Roman" w:cs="Times New Roman"/>
          <w:b/>
          <w:sz w:val="26"/>
          <w:szCs w:val="26"/>
        </w:rPr>
        <w:tab/>
        <w:t>Termination Procedures.</w:t>
      </w:r>
      <w:bookmarkEnd w:id="362"/>
    </w:p>
    <w:p w:rsidR="00F3594B" w:rsidRPr="0072600F" w14:paraId="32D96BC1" w14:textId="77777777">
      <w:pPr>
        <w:rPr>
          <w:rFonts w:ascii="Times New Roman" w:hAnsi="Times New Roman" w:cs="Times New Roman"/>
          <w:sz w:val="26"/>
          <w:szCs w:val="26"/>
        </w:rPr>
      </w:pPr>
    </w:p>
    <w:p w:rsidR="00F3594B" w:rsidRPr="0072600F" w14:paraId="5A078E2C"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363" w:name="_1__6_"/>
      <w:bookmarkStart w:id="364" w:name="_Toc148703284"/>
      <w:bookmarkEnd w:id="363"/>
      <w:r w:rsidRPr="0072600F">
        <w:rPr>
          <w:rStyle w:val="Heading3Char"/>
          <w:rFonts w:eastAsiaTheme="minorHAnsi"/>
          <w:b/>
          <w:sz w:val="26"/>
        </w:rPr>
        <w:t>2.3.1</w:t>
      </w:r>
      <w:r w:rsidRPr="0072600F">
        <w:rPr>
          <w:rStyle w:val="Heading3Char"/>
          <w:rFonts w:eastAsiaTheme="minorHAnsi"/>
          <w:b/>
          <w:sz w:val="26"/>
        </w:rPr>
        <w:tab/>
        <w:t>Written Notice.</w:t>
      </w:r>
      <w:bookmarkEnd w:id="364"/>
      <w:r w:rsidRPr="0072600F">
        <w:rPr>
          <w:rFonts w:ascii="Times New Roman" w:hAnsi="Times New Roman" w:cs="Times New Roman"/>
          <w:sz w:val="26"/>
          <w:szCs w:val="26"/>
        </w:rPr>
        <w:t xml:space="preserve">  This LGIA may be terminated by Interconnection Customer after giving Transmission Provider ninety (90) Calendar Days advance written notice, or by Transmission Provider notifying FERC after the Generating Facility permanently ceases Commercial Operation.</w:t>
      </w:r>
    </w:p>
    <w:p w:rsidR="00F3594B" w:rsidRPr="0072600F" w14:paraId="6EE61DA0" w14:textId="77777777">
      <w:pPr>
        <w:rPr>
          <w:rFonts w:ascii="Times New Roman" w:hAnsi="Times New Roman" w:cs="Times New Roman"/>
          <w:sz w:val="26"/>
          <w:szCs w:val="26"/>
        </w:rPr>
      </w:pPr>
    </w:p>
    <w:p w:rsidR="00F3594B" w:rsidRPr="0072600F" w14:paraId="0D0B75B2"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365" w:name="_1__8_"/>
      <w:bookmarkStart w:id="366" w:name="_Toc148703285"/>
      <w:bookmarkEnd w:id="365"/>
      <w:r w:rsidRPr="0072600F">
        <w:rPr>
          <w:rStyle w:val="Heading3Char"/>
          <w:rFonts w:eastAsiaTheme="minorHAnsi"/>
          <w:b/>
          <w:sz w:val="26"/>
        </w:rPr>
        <w:t>2.3.2</w:t>
      </w:r>
      <w:r w:rsidRPr="0072600F">
        <w:rPr>
          <w:rStyle w:val="Heading3Char"/>
          <w:rFonts w:eastAsiaTheme="minorHAnsi"/>
          <w:b/>
          <w:sz w:val="26"/>
        </w:rPr>
        <w:tab/>
        <w:t>Default.</w:t>
      </w:r>
      <w:bookmarkEnd w:id="366"/>
      <w:r w:rsidRPr="0072600F">
        <w:rPr>
          <w:rFonts w:ascii="Times New Roman" w:hAnsi="Times New Roman" w:cs="Times New Roman"/>
          <w:sz w:val="26"/>
          <w:szCs w:val="26"/>
        </w:rPr>
        <w:t xml:space="preserve">  Either Party may terminate this LGIA in accordance with Article 17.</w:t>
      </w:r>
    </w:p>
    <w:p w:rsidR="00F3594B" w:rsidRPr="0072600F" w14:paraId="0BAED6CE" w14:textId="77777777">
      <w:pPr>
        <w:rPr>
          <w:rFonts w:ascii="Times New Roman" w:hAnsi="Times New Roman" w:cs="Times New Roman"/>
          <w:sz w:val="26"/>
          <w:szCs w:val="26"/>
        </w:rPr>
      </w:pPr>
    </w:p>
    <w:p w:rsidR="00F3594B" w:rsidRPr="0072600F" w14:paraId="4D734599" w14:textId="77777777">
      <w:pPr>
        <w:tabs>
          <w:tab w:val="left" w:pos="720"/>
        </w:tabs>
        <w:ind w:left="1440" w:hanging="1440"/>
        <w:rPr>
          <w:rFonts w:ascii="Times New Roman" w:hAnsi="Times New Roman" w:cs="Times New Roman"/>
          <w:b/>
          <w:bCs/>
          <w:sz w:val="26"/>
          <w:szCs w:val="26"/>
        </w:rPr>
      </w:pPr>
      <w:r w:rsidRPr="0072600F">
        <w:rPr>
          <w:rFonts w:ascii="Times New Roman" w:hAnsi="Times New Roman" w:cs="Times New Roman"/>
          <w:sz w:val="26"/>
          <w:szCs w:val="26"/>
        </w:rPr>
        <w:tab/>
      </w:r>
      <w:r w:rsidRPr="0072600F">
        <w:rPr>
          <w:rFonts w:ascii="Times New Roman" w:hAnsi="Times New Roman" w:cs="Times New Roman"/>
          <w:b/>
          <w:sz w:val="26"/>
          <w:szCs w:val="26"/>
        </w:rPr>
        <w:t>2.3.3</w:t>
      </w:r>
      <w:r w:rsidRPr="0072600F">
        <w:rPr>
          <w:rFonts w:ascii="Times New Roman" w:hAnsi="Times New Roman" w:cs="Times New Roman"/>
          <w:bCs/>
          <w:sz w:val="26"/>
          <w:szCs w:val="26"/>
        </w:rPr>
        <w:tab/>
      </w:r>
      <w:r w:rsidRPr="0072600F">
        <w:rPr>
          <w:rFonts w:ascii="Times New Roman" w:hAnsi="Times New Roman" w:cs="Times New Roman"/>
          <w:sz w:val="26"/>
          <w:szCs w:val="26"/>
        </w:rPr>
        <w:t>Notwithstanding Articles 2.3.1 and 2.3.2, no termination shall become effective until the Parties have complied with all Applicable Laws and Regulations applicable to such termination, including the filing with FERC of a notice of termination of this LGIA, which notice has been accepted for filing by FERC.</w:t>
      </w:r>
    </w:p>
    <w:p w:rsidR="00F3594B" w:rsidRPr="0072600F" w14:paraId="5A41D13A"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F3594B" w:rsidRPr="0072600F" w14:paraId="2A048553" w14:textId="77777777">
      <w:pPr>
        <w:tabs>
          <w:tab w:val="left" w:pos="720"/>
        </w:tabs>
        <w:ind w:left="720" w:hanging="720"/>
        <w:rPr>
          <w:rFonts w:ascii="Times New Roman" w:hAnsi="Times New Roman" w:cs="Times New Roman"/>
          <w:sz w:val="26"/>
          <w:szCs w:val="26"/>
        </w:rPr>
      </w:pPr>
      <w:bookmarkStart w:id="367" w:name="_1__9_"/>
      <w:bookmarkStart w:id="368" w:name="_Toc148703286"/>
      <w:bookmarkEnd w:id="367"/>
      <w:r w:rsidRPr="0072600F">
        <w:rPr>
          <w:rStyle w:val="Heading2Char"/>
          <w:rFonts w:eastAsiaTheme="minorHAnsi"/>
          <w:b/>
          <w:sz w:val="26"/>
          <w:szCs w:val="26"/>
        </w:rPr>
        <w:t>2.4</w:t>
      </w:r>
      <w:r w:rsidRPr="0072600F">
        <w:rPr>
          <w:rStyle w:val="Heading2Char"/>
          <w:rFonts w:eastAsiaTheme="minorHAnsi"/>
          <w:b/>
          <w:sz w:val="26"/>
          <w:szCs w:val="26"/>
        </w:rPr>
        <w:tab/>
        <w:t>Termination Costs.</w:t>
      </w:r>
      <w:bookmarkEnd w:id="368"/>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If a Party elects to terminate this Agreement pursuant to Article 2.3 above, each Party shall pay all costs incurred (including any cancellation costs relating to orders or contracts for Interconnection Facilities and equipment) or charges assessed by the other Party, as of the date of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receipt of such notice of termination, that are the responsibility of the Terminating Party under this LGIA.  In the event of termination by a Party, the Parties shall use commercially Reasonable Efforts to mitigate the costs, damages and charges arising as a consequence of termination.  Upon termination of this LGIA, unless otherwise ordered or approved by FERC: </w:t>
      </w:r>
    </w:p>
    <w:p w:rsidR="00F3594B" w:rsidRPr="0072600F" w14:paraId="0A7B802C" w14:textId="77777777">
      <w:pPr>
        <w:rPr>
          <w:rFonts w:ascii="Times New Roman" w:hAnsi="Times New Roman" w:cs="Times New Roman"/>
          <w:sz w:val="26"/>
          <w:szCs w:val="26"/>
        </w:rPr>
      </w:pPr>
    </w:p>
    <w:p w:rsidR="00F3594B" w:rsidRPr="0072600F" w14:paraId="3EF0C23F"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369" w:name="_1__10_"/>
      <w:bookmarkEnd w:id="369"/>
      <w:r w:rsidRPr="0072600F">
        <w:rPr>
          <w:rFonts w:ascii="Times New Roman" w:hAnsi="Times New Roman" w:cs="Times New Roman"/>
          <w:b/>
          <w:bCs/>
          <w:sz w:val="26"/>
          <w:szCs w:val="26"/>
        </w:rPr>
        <w:t>2.4.1</w:t>
      </w:r>
      <w:r w:rsidRPr="0072600F">
        <w:rPr>
          <w:rFonts w:ascii="Times New Roman" w:hAnsi="Times New Roman" w:cs="Times New Roman"/>
          <w:sz w:val="26"/>
          <w:szCs w:val="26"/>
        </w:rPr>
        <w:tab/>
        <w:t xml:space="preserve">With respect to any portion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that have not yet been constructed or installed, Transmission Provider shall to the extent possible and with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authorization cancel any pending orders of, or return, any materials or equipment for, or contracts for construction of, such facilities; provided that in the event Interconnection Customer elects not to authorize such cancellation, Interconnection Customer shall assume all payment obligations with respect to such materials, equipment, and contracts, and Transmission Provider shall deliver such material and equipment, and, if necessary, assign such contracts, to Interconnection Customer as soon as practicable,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expense.  To the extent that Interconnection Customer has already paid Transmission Provider for any or all such costs of materials or equipment not taken by Interconnection Customer, Transmission Provider shall promptly refund such amounts to Interconnection Customer, less any costs, including penalties incurred by Transmission Provider to cancel any pending orders of or return such materials, equipment, or contracts.</w:t>
      </w:r>
    </w:p>
    <w:p w:rsidR="00F3594B" w:rsidRPr="0072600F" w14:paraId="3558AF72" w14:textId="77777777">
      <w:pPr>
        <w:rPr>
          <w:rFonts w:ascii="Times New Roman" w:hAnsi="Times New Roman" w:cs="Times New Roman"/>
          <w:sz w:val="26"/>
          <w:szCs w:val="26"/>
        </w:rPr>
      </w:pPr>
    </w:p>
    <w:p w:rsidR="00F3594B" w:rsidRPr="0072600F" w14:paraId="264F89F9" w14:textId="77777777">
      <w:pPr>
        <w:ind w:left="1440"/>
        <w:rPr>
          <w:rFonts w:ascii="Times New Roman" w:hAnsi="Times New Roman" w:cs="Times New Roman"/>
          <w:sz w:val="26"/>
          <w:szCs w:val="26"/>
        </w:rPr>
      </w:pPr>
      <w:r w:rsidRPr="0072600F">
        <w:rPr>
          <w:rFonts w:ascii="Times New Roman" w:hAnsi="Times New Roman" w:cs="Times New Roman"/>
          <w:sz w:val="26"/>
          <w:szCs w:val="26"/>
        </w:rPr>
        <w:t>If an Interconnection Customer terminates this LGIA, it shall be responsible for all costs incurred in association with that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including any cancellation costs relating to orders or contracts for Interconnection Facilities and equipment, and other expenses including any Network Upgrades for which Transmission Provider has incurred expenses and has not been reimbursed by Interconnection Customer.</w:t>
      </w:r>
    </w:p>
    <w:p w:rsidR="00F3594B" w:rsidRPr="0072600F" w14:paraId="546CDBF7" w14:textId="77777777">
      <w:pPr>
        <w:rPr>
          <w:rFonts w:ascii="Times New Roman" w:hAnsi="Times New Roman" w:cs="Times New Roman"/>
          <w:sz w:val="26"/>
          <w:szCs w:val="26"/>
        </w:rPr>
      </w:pPr>
    </w:p>
    <w:p w:rsidR="00F3594B" w:rsidRPr="0072600F" w14:paraId="6F3F69A5"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370" w:name="_1__11_"/>
      <w:bookmarkEnd w:id="370"/>
      <w:r w:rsidRPr="0072600F">
        <w:rPr>
          <w:rFonts w:ascii="Times New Roman" w:hAnsi="Times New Roman" w:cs="Times New Roman"/>
          <w:b/>
          <w:bCs/>
          <w:sz w:val="26"/>
          <w:szCs w:val="26"/>
        </w:rPr>
        <w:t>2.4.2</w:t>
      </w:r>
      <w:r w:rsidRPr="0072600F">
        <w:rPr>
          <w:rFonts w:ascii="Times New Roman" w:hAnsi="Times New Roman" w:cs="Times New Roman"/>
          <w:sz w:val="26"/>
          <w:szCs w:val="26"/>
        </w:rPr>
        <w:tab/>
        <w:t>Transmission Provider may, at its option, retain any portion of such materials, equipment, or facilities that Interconnection Customer chooses not to accept delivery of, in which case Transmission Provider shall be responsible for all costs associated with procuring such materials, equipment, or facilities.</w:t>
      </w:r>
    </w:p>
    <w:p w:rsidR="00F3594B" w:rsidRPr="0072600F" w14:paraId="6EC4D3C1" w14:textId="77777777">
      <w:pPr>
        <w:rPr>
          <w:rFonts w:ascii="Times New Roman" w:hAnsi="Times New Roman" w:cs="Times New Roman"/>
          <w:sz w:val="26"/>
          <w:szCs w:val="26"/>
        </w:rPr>
      </w:pPr>
    </w:p>
    <w:p w:rsidR="00F3594B" w:rsidRPr="0072600F" w14:paraId="0FFC73D9"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371" w:name="_1__12_"/>
      <w:bookmarkEnd w:id="371"/>
      <w:r w:rsidRPr="0072600F">
        <w:rPr>
          <w:rFonts w:ascii="Times New Roman" w:hAnsi="Times New Roman" w:cs="Times New Roman"/>
          <w:b/>
          <w:bCs/>
          <w:sz w:val="26"/>
          <w:szCs w:val="26"/>
        </w:rPr>
        <w:t>2.4.3</w:t>
      </w:r>
      <w:r w:rsidRPr="0072600F">
        <w:rPr>
          <w:rFonts w:ascii="Times New Roman" w:hAnsi="Times New Roman" w:cs="Times New Roman"/>
          <w:sz w:val="26"/>
          <w:szCs w:val="26"/>
        </w:rPr>
        <w:tab/>
        <w:t>With respect to any portion of the Interconnection Facilities, and any other facilities already installed or constructed pursuant to the terms of this LGIA, Interconnection Customer shall be responsible for all costs associated with the removal, relocation or other disposition or retirement of such materials, equipment, or facilities.</w:t>
      </w:r>
    </w:p>
    <w:p w:rsidR="00F3594B" w:rsidRPr="0072600F" w14:paraId="62F5127D" w14:textId="77777777">
      <w:pPr>
        <w:rPr>
          <w:rFonts w:ascii="Times New Roman" w:hAnsi="Times New Roman" w:cs="Times New Roman"/>
          <w:sz w:val="26"/>
          <w:szCs w:val="26"/>
        </w:rPr>
      </w:pPr>
    </w:p>
    <w:p w:rsidR="00F3594B" w:rsidRPr="0072600F" w14:paraId="6ED32A43" w14:textId="77777777">
      <w:pPr>
        <w:tabs>
          <w:tab w:val="left" w:pos="720"/>
        </w:tabs>
        <w:ind w:left="720" w:hanging="720"/>
        <w:rPr>
          <w:rFonts w:ascii="Times New Roman" w:hAnsi="Times New Roman" w:cs="Times New Roman"/>
          <w:sz w:val="26"/>
          <w:szCs w:val="26"/>
        </w:rPr>
      </w:pPr>
      <w:bookmarkStart w:id="372" w:name="_1__13_"/>
      <w:bookmarkStart w:id="373" w:name="_Toc148703287"/>
      <w:bookmarkEnd w:id="372"/>
      <w:r w:rsidRPr="0072600F">
        <w:rPr>
          <w:rStyle w:val="Heading2Char"/>
          <w:rFonts w:eastAsiaTheme="minorHAnsi"/>
          <w:b/>
          <w:sz w:val="26"/>
          <w:szCs w:val="26"/>
        </w:rPr>
        <w:t>2.5</w:t>
      </w:r>
      <w:r w:rsidRPr="0072600F">
        <w:rPr>
          <w:rStyle w:val="Heading2Char"/>
          <w:rFonts w:eastAsiaTheme="minorHAnsi"/>
          <w:b/>
          <w:sz w:val="26"/>
          <w:szCs w:val="26"/>
        </w:rPr>
        <w:tab/>
        <w:t>Disconnection.</w:t>
      </w:r>
      <w:bookmarkEnd w:id="373"/>
      <w:r w:rsidRPr="0072600F">
        <w:rPr>
          <w:rFonts w:ascii="Times New Roman" w:hAnsi="Times New Roman" w:cs="Times New Roman"/>
          <w:sz w:val="26"/>
          <w:szCs w:val="26"/>
        </w:rPr>
        <w:t xml:space="preserve">  Upon termination of this LGIA, the Parties will take all appropriate steps to disconnect the Large Generating Facility from the Transmission System.  All costs required to effectuate such disconnection shall be borne by the terminating Party, unless such termination resulted from the non-terminating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Default of this LGIA or such non-terminating Party otherwise is responsible for these costs under this LGIA.</w:t>
      </w:r>
    </w:p>
    <w:p w:rsidR="00F3594B" w:rsidRPr="0072600F" w14:paraId="360938E9" w14:textId="77777777">
      <w:pPr>
        <w:rPr>
          <w:rFonts w:ascii="Times New Roman" w:hAnsi="Times New Roman" w:cs="Times New Roman"/>
          <w:sz w:val="26"/>
          <w:szCs w:val="26"/>
        </w:rPr>
      </w:pPr>
    </w:p>
    <w:p w:rsidR="00F3594B" w:rsidRPr="0072600F" w14:paraId="1AD92421" w14:textId="77777777">
      <w:pPr>
        <w:tabs>
          <w:tab w:val="left" w:pos="720"/>
        </w:tabs>
        <w:ind w:left="720" w:hanging="720"/>
        <w:rPr>
          <w:rFonts w:ascii="Times New Roman" w:hAnsi="Times New Roman" w:cs="Times New Roman"/>
          <w:sz w:val="26"/>
          <w:szCs w:val="26"/>
        </w:rPr>
      </w:pPr>
      <w:bookmarkStart w:id="374" w:name="_1__14_"/>
      <w:bookmarkStart w:id="375" w:name="_Toc148703288"/>
      <w:bookmarkEnd w:id="374"/>
      <w:r w:rsidRPr="0072600F">
        <w:rPr>
          <w:rStyle w:val="Heading2Char"/>
          <w:rFonts w:eastAsiaTheme="minorHAnsi"/>
          <w:b/>
          <w:sz w:val="26"/>
          <w:szCs w:val="26"/>
        </w:rPr>
        <w:t>2.6</w:t>
      </w:r>
      <w:r w:rsidRPr="0072600F">
        <w:rPr>
          <w:rStyle w:val="Heading2Char"/>
          <w:rFonts w:eastAsiaTheme="minorHAnsi"/>
          <w:b/>
          <w:sz w:val="26"/>
          <w:szCs w:val="26"/>
        </w:rPr>
        <w:tab/>
        <w:t>Survival.</w:t>
      </w:r>
      <w:bookmarkEnd w:id="375"/>
      <w:r w:rsidRPr="0072600F">
        <w:rPr>
          <w:rFonts w:ascii="Times New Roman" w:hAnsi="Times New Roman" w:cs="Times New Roman"/>
          <w:sz w:val="26"/>
          <w:szCs w:val="26"/>
        </w:rPr>
        <w:t xml:space="preserve">  This LGIA shall continue in effect after termination to the extent necessary to provide for final billings and payments and for costs incurred hereunder, including billings and payments pursuant to this LGIA; to permit the determination and enforcement of liability and indemnification obligations arising from acts or events that occurred while this LGIA was in effect; and to permit each Party to have access to the lands of the other Party pursuant to this LGIA or other applicable agreements, to disconnect, remove or salvage its own facilities and equipment.</w:t>
      </w:r>
    </w:p>
    <w:p w:rsidR="00F3594B" w:rsidRPr="0072600F" w14:paraId="174BC588" w14:textId="77777777">
      <w:pPr>
        <w:rPr>
          <w:rFonts w:ascii="Times New Roman" w:hAnsi="Times New Roman" w:cs="Times New Roman"/>
          <w:sz w:val="26"/>
          <w:szCs w:val="26"/>
        </w:rPr>
      </w:pPr>
    </w:p>
    <w:p w:rsidR="00F3594B" w:rsidRPr="0072600F" w14:paraId="50E5A715" w14:textId="77777777">
      <w:pPr>
        <w:rPr>
          <w:rFonts w:ascii="Times New Roman" w:hAnsi="Times New Roman" w:cs="Times New Roman"/>
          <w:sz w:val="26"/>
          <w:szCs w:val="26"/>
        </w:rPr>
      </w:pPr>
      <w:bookmarkStart w:id="376" w:name="_1__15_"/>
      <w:bookmarkStart w:id="377" w:name="_1__16_"/>
      <w:bookmarkEnd w:id="376"/>
      <w:bookmarkEnd w:id="377"/>
    </w:p>
    <w:p w:rsidR="00F3594B" w:rsidRPr="0072600F" w:rsidP="00745045" w14:paraId="15479EB5" w14:textId="77777777">
      <w:pPr>
        <w:pStyle w:val="Heading2"/>
        <w:rPr>
          <w:b/>
          <w:bCs/>
          <w:sz w:val="26"/>
          <w:szCs w:val="26"/>
        </w:rPr>
      </w:pPr>
      <w:bookmarkStart w:id="378" w:name="_Toc148703289"/>
      <w:r w:rsidRPr="0072600F">
        <w:rPr>
          <w:b/>
          <w:bCs/>
          <w:sz w:val="26"/>
          <w:szCs w:val="26"/>
        </w:rPr>
        <w:t>Article 3.</w:t>
      </w:r>
      <w:r w:rsidRPr="0072600F">
        <w:rPr>
          <w:b/>
          <w:bCs/>
          <w:sz w:val="26"/>
          <w:szCs w:val="26"/>
        </w:rPr>
        <w:tab/>
        <w:t>Regulatory Filings</w:t>
      </w:r>
      <w:bookmarkEnd w:id="378"/>
    </w:p>
    <w:p w:rsidR="00F3594B" w:rsidRPr="0072600F" w14:paraId="77A04391" w14:textId="77777777">
      <w:pPr>
        <w:rPr>
          <w:rFonts w:ascii="Times New Roman" w:hAnsi="Times New Roman" w:cs="Times New Roman"/>
          <w:sz w:val="26"/>
          <w:szCs w:val="26"/>
        </w:rPr>
      </w:pPr>
    </w:p>
    <w:p w:rsidR="00F3594B" w:rsidRPr="0072600F" w14:paraId="5A4D0C42" w14:textId="77777777">
      <w:pPr>
        <w:tabs>
          <w:tab w:val="left" w:pos="720"/>
        </w:tabs>
        <w:ind w:left="720" w:hanging="720"/>
        <w:rPr>
          <w:rFonts w:ascii="Times New Roman" w:hAnsi="Times New Roman" w:cs="Times New Roman"/>
          <w:sz w:val="26"/>
          <w:szCs w:val="26"/>
        </w:rPr>
      </w:pPr>
      <w:bookmarkStart w:id="379" w:name="_1__17_"/>
      <w:bookmarkStart w:id="380" w:name="_Toc148703290"/>
      <w:bookmarkEnd w:id="379"/>
      <w:r w:rsidRPr="0072600F">
        <w:rPr>
          <w:rStyle w:val="Heading2Char"/>
          <w:rFonts w:eastAsiaTheme="minorHAnsi"/>
          <w:b/>
          <w:sz w:val="26"/>
          <w:szCs w:val="26"/>
        </w:rPr>
        <w:t>3.1</w:t>
      </w:r>
      <w:r w:rsidRPr="0072600F">
        <w:rPr>
          <w:rStyle w:val="Heading2Char"/>
          <w:rFonts w:eastAsiaTheme="minorHAnsi"/>
          <w:b/>
          <w:sz w:val="26"/>
          <w:szCs w:val="26"/>
        </w:rPr>
        <w:tab/>
        <w:t>Filing.</w:t>
      </w:r>
      <w:bookmarkEnd w:id="380"/>
      <w:r w:rsidRPr="0072600F">
        <w:rPr>
          <w:rFonts w:ascii="Times New Roman" w:hAnsi="Times New Roman" w:cs="Times New Roman"/>
          <w:sz w:val="26"/>
          <w:szCs w:val="26"/>
        </w:rPr>
        <w:t xml:space="preserve">  Transmission Provider shall file this LGIA (and any amendment hereto) with the appropriate Governmental Authority, if required.  Interconnection Customer may request that any information so provided be subject to the confidentiality provisions of Article 22.  If Interconnection Customer has executed this LGIA, or any amendment thereto, Interconnection Customer shall reasonably cooperate with Transmission Provider with respect to such filing and to provide any information reasonably requested by Transmission Provider needed to comply with applicable regulatory requirements.</w:t>
      </w:r>
    </w:p>
    <w:p w:rsidR="00F3594B" w:rsidRPr="0072600F" w14:paraId="58DC201C" w14:textId="77777777">
      <w:pPr>
        <w:rPr>
          <w:rFonts w:ascii="Times New Roman" w:hAnsi="Times New Roman" w:cs="Times New Roman"/>
          <w:sz w:val="26"/>
          <w:szCs w:val="26"/>
        </w:rPr>
      </w:pPr>
    </w:p>
    <w:p w:rsidR="00F3594B" w:rsidRPr="0072600F" w:rsidP="00745045" w14:paraId="0FC8ADBD" w14:textId="77777777">
      <w:pPr>
        <w:pStyle w:val="Heading2"/>
        <w:rPr>
          <w:b/>
          <w:bCs/>
          <w:sz w:val="26"/>
          <w:szCs w:val="26"/>
        </w:rPr>
      </w:pPr>
      <w:bookmarkStart w:id="381" w:name="_1__18_"/>
      <w:bookmarkStart w:id="382" w:name="_Toc148703291"/>
      <w:bookmarkEnd w:id="381"/>
      <w:r w:rsidRPr="0072600F">
        <w:rPr>
          <w:b/>
          <w:bCs/>
          <w:sz w:val="26"/>
          <w:szCs w:val="26"/>
        </w:rPr>
        <w:t>Article 4.</w:t>
      </w:r>
      <w:r w:rsidRPr="0072600F">
        <w:rPr>
          <w:b/>
          <w:bCs/>
          <w:sz w:val="26"/>
          <w:szCs w:val="26"/>
        </w:rPr>
        <w:tab/>
        <w:t>Scope of Service</w:t>
      </w:r>
      <w:bookmarkEnd w:id="382"/>
    </w:p>
    <w:p w:rsidR="00F3594B" w:rsidRPr="0072600F" w14:paraId="20BDDDCA" w14:textId="77777777">
      <w:pPr>
        <w:rPr>
          <w:rFonts w:ascii="Times New Roman" w:hAnsi="Times New Roman" w:cs="Times New Roman"/>
          <w:b/>
          <w:bCs/>
          <w:sz w:val="26"/>
          <w:szCs w:val="26"/>
        </w:rPr>
      </w:pPr>
    </w:p>
    <w:p w:rsidR="00F3594B" w:rsidRPr="0072600F" w14:paraId="2EF255B7" w14:textId="77777777">
      <w:pPr>
        <w:tabs>
          <w:tab w:val="left" w:pos="720"/>
        </w:tabs>
        <w:ind w:left="720" w:hanging="720"/>
        <w:rPr>
          <w:rFonts w:ascii="Times New Roman" w:hAnsi="Times New Roman" w:cs="Times New Roman"/>
          <w:b/>
          <w:bCs/>
          <w:sz w:val="26"/>
          <w:szCs w:val="26"/>
        </w:rPr>
      </w:pPr>
      <w:bookmarkStart w:id="383" w:name="_1__19_"/>
      <w:bookmarkStart w:id="384" w:name="_Toc148703292"/>
      <w:bookmarkEnd w:id="383"/>
      <w:r w:rsidRPr="0072600F">
        <w:rPr>
          <w:rStyle w:val="Heading2Char"/>
          <w:rFonts w:eastAsiaTheme="minorHAnsi"/>
          <w:b/>
          <w:sz w:val="26"/>
          <w:szCs w:val="26"/>
        </w:rPr>
        <w:t>4.1</w:t>
      </w:r>
      <w:r w:rsidRPr="0072600F">
        <w:rPr>
          <w:rStyle w:val="Heading2Char"/>
          <w:rFonts w:eastAsiaTheme="minorHAnsi"/>
          <w:b/>
          <w:sz w:val="26"/>
          <w:szCs w:val="26"/>
        </w:rPr>
        <w:tab/>
        <w:t>Interconnection Product Options.</w:t>
      </w:r>
      <w:bookmarkEnd w:id="384"/>
      <w:r w:rsidRPr="0072600F">
        <w:rPr>
          <w:rFonts w:ascii="Times New Roman" w:hAnsi="Times New Roman" w:cs="Times New Roman"/>
          <w:sz w:val="26"/>
          <w:szCs w:val="26"/>
        </w:rPr>
        <w:t xml:space="preserve">  Interconnection Customer has selected the following (checked) type of Interconnection Service:</w:t>
      </w:r>
    </w:p>
    <w:p w:rsidR="00F3594B" w:rsidRPr="0072600F" w14:paraId="21CF2453" w14:textId="77777777">
      <w:pPr>
        <w:rPr>
          <w:rFonts w:ascii="Times New Roman" w:hAnsi="Times New Roman" w:cs="Times New Roman"/>
          <w:sz w:val="26"/>
          <w:szCs w:val="26"/>
        </w:rPr>
      </w:pPr>
    </w:p>
    <w:p w:rsidR="00F3594B" w:rsidRPr="0072600F" w14:paraId="22B14BA3" w14:textId="77777777">
      <w:pPr>
        <w:rPr>
          <w:rFonts w:ascii="Times New Roman" w:hAnsi="Times New Roman" w:cs="Times New Roman"/>
          <w:sz w:val="26"/>
          <w:szCs w:val="26"/>
        </w:rPr>
      </w:pPr>
    </w:p>
    <w:p w:rsidR="00F3594B" w:rsidRPr="0072600F" w:rsidP="003E3320" w14:paraId="06AF6AA2" w14:textId="77777777">
      <w:pPr>
        <w:pStyle w:val="FERCNopara"/>
        <w:rPr>
          <w:b/>
          <w:sz w:val="26"/>
          <w:szCs w:val="26"/>
        </w:rPr>
      </w:pPr>
      <w:bookmarkStart w:id="385" w:name="_1__20_"/>
      <w:bookmarkStart w:id="386" w:name="_Toc148703293"/>
      <w:bookmarkEnd w:id="385"/>
      <w:r w:rsidRPr="0072600F">
        <w:rPr>
          <w:b/>
          <w:sz w:val="26"/>
          <w:szCs w:val="26"/>
        </w:rPr>
        <w:t>4.1.1</w:t>
      </w:r>
      <w:r w:rsidRPr="0072600F">
        <w:rPr>
          <w:b/>
          <w:sz w:val="26"/>
          <w:szCs w:val="26"/>
        </w:rPr>
        <w:tab/>
        <w:t>Energy Resource Interconnection Service.</w:t>
      </w:r>
      <w:bookmarkEnd w:id="386"/>
    </w:p>
    <w:p w:rsidR="00F3594B" w:rsidRPr="0072600F" w14:paraId="129A8818" w14:textId="77777777">
      <w:pPr>
        <w:rPr>
          <w:rFonts w:ascii="Times New Roman" w:hAnsi="Times New Roman" w:cs="Times New Roman"/>
          <w:sz w:val="26"/>
          <w:szCs w:val="26"/>
        </w:rPr>
      </w:pPr>
    </w:p>
    <w:p w:rsidR="00F3594B" w:rsidRPr="0072600F" w14:paraId="4D63BFE2"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bookmarkStart w:id="387" w:name="_1__21_"/>
      <w:bookmarkEnd w:id="387"/>
      <w:r w:rsidRPr="0072600F">
        <w:rPr>
          <w:rStyle w:val="Heading4Char"/>
          <w:rFonts w:eastAsiaTheme="minorHAnsi"/>
          <w:b/>
          <w:sz w:val="26"/>
        </w:rPr>
        <w:t>4.1.1.1</w:t>
      </w:r>
      <w:r w:rsidRPr="0072600F">
        <w:rPr>
          <w:rStyle w:val="Heading4Char"/>
          <w:rFonts w:eastAsiaTheme="minorHAnsi"/>
          <w:b/>
          <w:sz w:val="26"/>
        </w:rPr>
        <w:tab/>
      </w:r>
      <w:r w:rsidRPr="0072600F">
        <w:rPr>
          <w:rStyle w:val="Heading4Char"/>
          <w:rFonts w:eastAsiaTheme="minorHAnsi"/>
          <w:b/>
          <w:sz w:val="26"/>
        </w:rPr>
        <w:tab/>
        <w:t>The Product.</w:t>
      </w:r>
      <w:r w:rsidRPr="0072600F">
        <w:rPr>
          <w:rFonts w:ascii="Times New Roman" w:hAnsi="Times New Roman" w:cs="Times New Roman"/>
          <w:sz w:val="26"/>
          <w:szCs w:val="26"/>
        </w:rPr>
        <w:t xml:space="preserve">  Energy Resource Interconnection Service allows Interconnection Customer to connect the Large Generating Facility to the Transmission System and be eligible to deliver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output using the existing firm or non-firm capacity of the Transmission System on an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as available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basis.  To the extent Interconnection Customer wants to receive Energy Resource Interconnection Service, Transmission Provider shall construct facilities identified in Attachment A.</w:t>
      </w:r>
    </w:p>
    <w:p w:rsidR="00F3594B" w:rsidRPr="0072600F" w14:paraId="06C51FAA" w14:textId="77777777">
      <w:pPr>
        <w:rPr>
          <w:rFonts w:ascii="Times New Roman" w:hAnsi="Times New Roman" w:cs="Times New Roman"/>
          <w:sz w:val="26"/>
          <w:szCs w:val="26"/>
        </w:rPr>
      </w:pPr>
      <w:r w:rsidRPr="0072600F">
        <w:rPr>
          <w:rStyle w:val="Heading4Char"/>
          <w:rFonts w:eastAsiaTheme="minorHAnsi"/>
          <w:b/>
          <w:bCs/>
          <w:sz w:val="26"/>
        </w:rPr>
        <w:t>4.1.1.2</w:t>
      </w:r>
      <w:r w:rsidRPr="0072600F">
        <w:rPr>
          <w:rStyle w:val="Heading4Char"/>
          <w:rFonts w:eastAsiaTheme="minorHAnsi"/>
          <w:b/>
          <w:bCs/>
          <w:sz w:val="26"/>
        </w:rPr>
        <w:tab/>
      </w:r>
      <w:r w:rsidRPr="0072600F">
        <w:rPr>
          <w:rStyle w:val="Heading4Char"/>
          <w:rFonts w:eastAsiaTheme="minorHAnsi"/>
          <w:b/>
          <w:bCs/>
          <w:sz w:val="26"/>
        </w:rPr>
        <w:tab/>
        <w:t>Transmission Delivery Service Implications.</w:t>
      </w:r>
      <w:r w:rsidRPr="0072600F">
        <w:rPr>
          <w:rFonts w:ascii="Times New Roman" w:hAnsi="Times New Roman" w:cs="Times New Roman"/>
          <w:sz w:val="26"/>
          <w:szCs w:val="26"/>
        </w:rPr>
        <w:t xml:space="preserve">  </w:t>
      </w:r>
    </w:p>
    <w:p w:rsidR="00F3594B" w:rsidRPr="0072600F" w14:paraId="535C7913"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bookmarkStart w:id="388" w:name="_1__23_"/>
      <w:bookmarkEnd w:id="388"/>
      <w:r w:rsidRPr="0072600F">
        <w:rPr>
          <w:rFonts w:ascii="Times New Roman" w:hAnsi="Times New Roman" w:cs="Times New Roman"/>
          <w:sz w:val="26"/>
          <w:szCs w:val="26"/>
        </w:rPr>
        <w:t xml:space="preserve">Under Energy Resource Interconnection Service, Interconnection Customer will be eligible to inject power from the Large Generating Facility into and deliver power across the interconnecting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on an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as available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basis up to the amount of MWs identified in the applicable stability and steady state studies to the extent the upgrades initially required to qualify for Energy Resource Interconnection Service have been constructed.  Where eligible to do so (</w:t>
      </w:r>
      <w:r w:rsidRPr="0072600F">
        <w:rPr>
          <w:rFonts w:ascii="Times New Roman" w:hAnsi="Times New Roman" w:cs="Times New Roman"/>
          <w:sz w:val="26"/>
          <w:szCs w:val="26"/>
          <w:u w:val="single"/>
        </w:rPr>
        <w:t>e.g.</w:t>
      </w:r>
      <w:r w:rsidRPr="0072600F">
        <w:rPr>
          <w:rFonts w:ascii="Times New Roman" w:hAnsi="Times New Roman" w:cs="Times New Roman"/>
          <w:sz w:val="26"/>
          <w:szCs w:val="26"/>
        </w:rPr>
        <w:t xml:space="preserve">, PJM, ISO-NE, NYISO), Interconnection Customer may place a bid to sell into the market up to the maximum identified Large Generating Facility output, subject to any conditions specified in the interconnection service approval, and the Large Generating Facility will be dispatched to the extent Interconnection Customer's bid clears.  In all other instances, no transmission delivery service from the Large Generating Facility is assured, but Interconnection Customer may obtain Point-to-Point Transmission Service, Network Integration Transmission Service, or be used for secondary network transmission service, pursuant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up to the maximum output identified in the stability and steady state studies.  In those instances, in order for Interconnection Customer to obtain the right to deliver or inject energy beyond the Large Generating Facility Point of Interconnection or to improve its ability to do so, transmission delivery service must be obtained pursuant to the provisions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w:t>
      </w:r>
      <w:r w:rsidRPr="0072600F" w:rsidR="005352ED">
        <w:rPr>
          <w:rFonts w:ascii="Times New Roman" w:hAnsi="Times New Roman" w:cs="Times New Roman"/>
          <w:sz w:val="26"/>
          <w:szCs w:val="26"/>
        </w:rPr>
        <w:t>[</w:t>
      </w:r>
      <w:r w:rsidRPr="0072600F">
        <w:rPr>
          <w:rFonts w:ascii="Times New Roman" w:hAnsi="Times New Roman" w:cs="Times New Roman"/>
          <w:sz w:val="26"/>
          <w:szCs w:val="26"/>
        </w:rPr>
        <w:t>The</w:t>
      </w:r>
      <w:r w:rsidRPr="0072600F" w:rsidR="005352E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ability to inject its Large Generating Facility output beyond the Point of Interconnection, therefore, will depend on the existing capacity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at such time as a transmission service request is made that would accommodate such delivery.  The provision of firm Point-to-Point Transmission Service or Network Integration Transmission Service may require the construction of additional Network Upgrades.</w:t>
      </w:r>
    </w:p>
    <w:p w:rsidR="00F3594B" w:rsidRPr="0072600F" w14:paraId="1D9DB036" w14:textId="77777777">
      <w:pPr>
        <w:rPr>
          <w:rFonts w:ascii="Times New Roman" w:hAnsi="Times New Roman" w:cs="Times New Roman"/>
          <w:b/>
          <w:bCs/>
          <w:sz w:val="26"/>
          <w:szCs w:val="26"/>
        </w:rPr>
      </w:pPr>
    </w:p>
    <w:p w:rsidR="00F3594B" w:rsidRPr="0072600F" w:rsidP="003E3320" w14:paraId="457DC715" w14:textId="77777777">
      <w:pPr>
        <w:pStyle w:val="FERCNopara"/>
        <w:rPr>
          <w:b/>
          <w:sz w:val="26"/>
          <w:szCs w:val="26"/>
        </w:rPr>
      </w:pPr>
      <w:bookmarkStart w:id="389" w:name="_1__24_"/>
      <w:bookmarkStart w:id="390" w:name="_Toc148703294"/>
      <w:bookmarkEnd w:id="389"/>
      <w:r w:rsidRPr="0072600F">
        <w:rPr>
          <w:b/>
          <w:sz w:val="26"/>
          <w:szCs w:val="26"/>
        </w:rPr>
        <w:t>4.1.2</w:t>
      </w:r>
      <w:r w:rsidRPr="0072600F">
        <w:rPr>
          <w:b/>
          <w:sz w:val="26"/>
          <w:szCs w:val="26"/>
        </w:rPr>
        <w:tab/>
        <w:t>Network Resource Interconnection Service.</w:t>
      </w:r>
      <w:bookmarkEnd w:id="390"/>
    </w:p>
    <w:p w:rsidR="00F3594B" w:rsidRPr="0072600F" w14:paraId="054B44B4" w14:textId="77777777">
      <w:pPr>
        <w:rPr>
          <w:rFonts w:ascii="Times New Roman" w:hAnsi="Times New Roman" w:cs="Times New Roman"/>
          <w:sz w:val="26"/>
          <w:szCs w:val="26"/>
        </w:rPr>
      </w:pPr>
    </w:p>
    <w:p w:rsidR="00F3594B" w:rsidRPr="0072600F" w14:paraId="3397593A"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bookmarkStart w:id="391" w:name="_1__25_"/>
      <w:bookmarkEnd w:id="391"/>
      <w:r w:rsidRPr="0072600F">
        <w:rPr>
          <w:rStyle w:val="Heading4Char"/>
          <w:rFonts w:eastAsiaTheme="minorHAnsi"/>
          <w:b/>
          <w:sz w:val="26"/>
        </w:rPr>
        <w:t>4.1.2.1</w:t>
      </w:r>
      <w:r w:rsidRPr="0072600F">
        <w:rPr>
          <w:rStyle w:val="Heading4Char"/>
          <w:rFonts w:eastAsiaTheme="minorHAnsi"/>
          <w:b/>
          <w:sz w:val="26"/>
        </w:rPr>
        <w:tab/>
      </w:r>
      <w:r w:rsidRPr="0072600F">
        <w:rPr>
          <w:rStyle w:val="Heading4Char"/>
          <w:rFonts w:eastAsiaTheme="minorHAnsi"/>
          <w:b/>
          <w:sz w:val="26"/>
        </w:rPr>
        <w:tab/>
        <w:t>The Product.</w:t>
      </w:r>
      <w:r w:rsidRPr="0072600F">
        <w:rPr>
          <w:rFonts w:ascii="Times New Roman" w:hAnsi="Times New Roman" w:cs="Times New Roman"/>
          <w:sz w:val="26"/>
          <w:szCs w:val="26"/>
        </w:rPr>
        <w:t xml:space="preserve">  Transmission Provider must conduct the necessary studies and construct the Network Upgrades needed to integrate the Large Generating Facility (1) in a manner comparable to that in which Transmission Provider integrates its generating facilities to serve native load customers; or (2) in an ISO or RTO with market based congestion management, in the same manner as all Network Resources.  To the extent Interconnection Customer wants to receive Network Resource Interconnection Service, Transmission Provider shall construct the facilities identified in Attachment A to this LGIA. </w:t>
      </w:r>
    </w:p>
    <w:p w:rsidR="00F3594B" w:rsidRPr="0072600F" w14:paraId="5046C383" w14:textId="77777777">
      <w:pPr>
        <w:rPr>
          <w:rFonts w:ascii="Times New Roman" w:hAnsi="Times New Roman" w:cs="Times New Roman"/>
          <w:sz w:val="26"/>
          <w:szCs w:val="26"/>
        </w:rPr>
      </w:pPr>
    </w:p>
    <w:p w:rsidR="00F3594B" w:rsidRPr="0072600F" w14:paraId="45C75055"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bookmarkStart w:id="392" w:name="_1__27_"/>
      <w:bookmarkEnd w:id="392"/>
      <w:r w:rsidRPr="0072600F">
        <w:rPr>
          <w:rStyle w:val="Heading4Char"/>
          <w:rFonts w:eastAsiaTheme="minorHAnsi"/>
          <w:b/>
          <w:sz w:val="26"/>
        </w:rPr>
        <w:t>4.1.2.2</w:t>
      </w:r>
      <w:r w:rsidRPr="0072600F">
        <w:rPr>
          <w:rStyle w:val="Heading4Char"/>
          <w:rFonts w:eastAsiaTheme="minorHAnsi"/>
          <w:b/>
          <w:sz w:val="26"/>
        </w:rPr>
        <w:tab/>
      </w:r>
      <w:r w:rsidRPr="0072600F">
        <w:rPr>
          <w:rStyle w:val="Heading4Char"/>
          <w:rFonts w:eastAsiaTheme="minorHAnsi"/>
          <w:b/>
          <w:sz w:val="26"/>
        </w:rPr>
        <w:tab/>
        <w:t>Transmission Delivery Service Implications.</w:t>
      </w:r>
      <w:r w:rsidRPr="0072600F">
        <w:rPr>
          <w:rFonts w:ascii="Times New Roman" w:hAnsi="Times New Roman" w:cs="Times New Roman"/>
          <w:sz w:val="26"/>
          <w:szCs w:val="26"/>
        </w:rPr>
        <w:t xml:space="preserve">  Network Resource Interconnection Service allows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Large Generating Facility to be designated by any Network Customer under the Tariff on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as a Network Resource, up to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full output, on the same basis as existing Network Resources interconnected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and to be studied as a Network Resource on the assumption that such a designation will occur.  Although Network Resource Interconnection Service does not convey a reservation of transmission service, any Network Customer under the Tariff can utilize its network service under the Tariff to obtain delivery of energy from the interconnected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Large Generating Facility in the same manner as it accesses Network Resources.  A Large Generating Facility receiving Network Resource Interconnection Service may also be used to provide Ancillary Services after technical studies and/or periodic analyses are performed with respect to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ability to provide any applicable Ancillary Services, provided that such studies and analyses have been or would be required in connection with the provision of such Ancillary Services by any existing Network Resource.  However, if an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Large Generating Facility has not been designated as a Network Resource by any load, it cannot be required to provide Ancillary Services except to the extent such requirements extend to all generating facilities that are similarly situated.  The provision of Network Integration Transmission Service or firm Point-to-Point Transmission Service may require additional studies and the construction of additional upgrades.  Because such studies and upgrades would be associated with a request for delivery service under the Tariff, cost responsibility for the studies and upgrades would be in accordance with FERC</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policy for pricing transmission delivery services.</w:t>
      </w:r>
    </w:p>
    <w:p w:rsidR="00F3594B" w:rsidRPr="0072600F" w14:paraId="0A619B42" w14:textId="77777777">
      <w:pPr>
        <w:rPr>
          <w:rFonts w:ascii="Times New Roman" w:hAnsi="Times New Roman" w:cs="Times New Roman"/>
          <w:sz w:val="26"/>
          <w:szCs w:val="26"/>
        </w:rPr>
      </w:pPr>
    </w:p>
    <w:p w:rsidR="00F3594B" w:rsidRPr="0072600F" w14:paraId="5D8DE64D"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Network Resource Interconnection Service does not necessarily provide Interconnection Customer with the capability to physically deliver the output of its Large Generating Facility to any particular load on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without incurring congestion costs.  In the event of transmission constraints on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Large Generating Facility shall be subject to the applicable congestion management procedures in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 the same manner as Network Resources.</w:t>
      </w:r>
    </w:p>
    <w:p w:rsidR="00F3594B" w:rsidRPr="0072600F" w14:paraId="27C90213" w14:textId="77777777">
      <w:pPr>
        <w:rPr>
          <w:rFonts w:ascii="Times New Roman" w:hAnsi="Times New Roman" w:cs="Times New Roman"/>
          <w:sz w:val="26"/>
          <w:szCs w:val="26"/>
        </w:rPr>
      </w:pPr>
    </w:p>
    <w:p w:rsidR="00F3594B" w:rsidRPr="0072600F" w14:paraId="65614E2B" w14:textId="77777777">
      <w:pPr>
        <w:ind w:left="2880"/>
        <w:rPr>
          <w:rFonts w:ascii="Times New Roman" w:hAnsi="Times New Roman" w:cs="Times New Roman"/>
          <w:sz w:val="26"/>
          <w:szCs w:val="26"/>
        </w:rPr>
      </w:pPr>
      <w:r w:rsidRPr="0072600F">
        <w:rPr>
          <w:rFonts w:ascii="Times New Roman" w:hAnsi="Times New Roman" w:cs="Times New Roman"/>
          <w:sz w:val="26"/>
          <w:szCs w:val="26"/>
        </w:rPr>
        <w:t>There is no requirement either at the time of study or interconnection, or at any point in the future, that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Large Generating Facility be designated as a Network Resource by a Network Service Customer under the Tariff or that Interconnection Customer identify a specific buyer (or sink).  To the extent a Network Customer does designate the Large Generating Facility as a Network Resource, it must do so pursuant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w:t>
      </w:r>
    </w:p>
    <w:p w:rsidR="00F3594B" w:rsidRPr="0072600F" w14:paraId="6100BB75" w14:textId="77777777">
      <w:pPr>
        <w:rPr>
          <w:rFonts w:ascii="Times New Roman" w:hAnsi="Times New Roman" w:cs="Times New Roman"/>
          <w:sz w:val="26"/>
          <w:szCs w:val="26"/>
        </w:rPr>
      </w:pPr>
    </w:p>
    <w:p w:rsidR="00F3594B" w:rsidRPr="0072600F" w14:paraId="742470A9"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Once an Interconnection Customer satisfies the requirements for obtaining Network Resource Interconnection Service, any future transmission service request for delivery from the Large Generating Facility within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of any amount of capacity and/or energy, up to the amount initially studied, will not require that any additional studies be performed or that any further upgrades associated with such Large Generating Facility be undertaken, regardless of whether or not such Large Generating Facility is ever designated by a Network Customer as a Network Resource and regardless of changes in ownership of the Large Generating Facility.  However, the reduction or elimination of congestion or redispatch costs may require additional studies and the construction of additional upgrades.</w:t>
      </w:r>
    </w:p>
    <w:p w:rsidR="00F3594B" w:rsidRPr="0072600F" w14:paraId="3502F895" w14:textId="77777777">
      <w:pPr>
        <w:ind w:left="2880"/>
        <w:rPr>
          <w:rFonts w:ascii="Times New Roman" w:hAnsi="Times New Roman" w:cs="Times New Roman"/>
          <w:sz w:val="26"/>
          <w:szCs w:val="26"/>
        </w:rPr>
      </w:pPr>
    </w:p>
    <w:p w:rsidR="00F3594B" w:rsidRPr="0072600F" w14:paraId="4E074944"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To the extent Interconnection Customer enters into an arrangement for long term transmission service for deliveries from the Large Generating Facility outside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such request may require additional studies and upgrades in order for Transmission Provider to grant such request.</w:t>
      </w:r>
    </w:p>
    <w:p w:rsidR="00F3594B" w:rsidRPr="0072600F" w14:paraId="08928714" w14:textId="77777777">
      <w:pPr>
        <w:rPr>
          <w:rFonts w:ascii="Times New Roman" w:hAnsi="Times New Roman" w:cs="Times New Roman"/>
          <w:sz w:val="26"/>
          <w:szCs w:val="26"/>
        </w:rPr>
      </w:pPr>
    </w:p>
    <w:p w:rsidR="00F3594B" w:rsidRPr="0072600F" w14:paraId="7854C7C7" w14:textId="77777777">
      <w:pPr>
        <w:tabs>
          <w:tab w:val="left" w:pos="720"/>
        </w:tabs>
        <w:ind w:left="720" w:hanging="720"/>
        <w:rPr>
          <w:rFonts w:ascii="Times New Roman" w:hAnsi="Times New Roman" w:cs="Times New Roman"/>
          <w:sz w:val="26"/>
          <w:szCs w:val="26"/>
        </w:rPr>
      </w:pPr>
      <w:bookmarkStart w:id="393" w:name="_1__28_"/>
      <w:bookmarkStart w:id="394" w:name="_Toc148703295"/>
      <w:bookmarkEnd w:id="393"/>
      <w:r w:rsidRPr="0072600F">
        <w:rPr>
          <w:rStyle w:val="Heading2Char"/>
          <w:rFonts w:eastAsiaTheme="minorHAnsi"/>
          <w:b/>
          <w:sz w:val="26"/>
          <w:szCs w:val="26"/>
        </w:rPr>
        <w:t>4.2</w:t>
      </w:r>
      <w:r w:rsidRPr="0072600F">
        <w:rPr>
          <w:rStyle w:val="Heading2Char"/>
          <w:rFonts w:eastAsiaTheme="minorHAnsi"/>
          <w:b/>
          <w:sz w:val="26"/>
          <w:szCs w:val="26"/>
        </w:rPr>
        <w:tab/>
        <w:t>Provision of Service.</w:t>
      </w:r>
      <w:bookmarkEnd w:id="394"/>
      <w:r w:rsidRPr="0072600F">
        <w:rPr>
          <w:rFonts w:ascii="Times New Roman" w:hAnsi="Times New Roman" w:cs="Times New Roman"/>
          <w:sz w:val="26"/>
          <w:szCs w:val="26"/>
        </w:rPr>
        <w:t xml:space="preserve">  Transmission Provider shall provide Interconnection Service for the Large Generating Facility at the Point of Interconnection.</w:t>
      </w:r>
    </w:p>
    <w:p w:rsidR="00F3594B" w:rsidRPr="0072600F" w14:paraId="6781225D" w14:textId="77777777">
      <w:pPr>
        <w:ind w:left="1440" w:hanging="1440"/>
        <w:rPr>
          <w:rFonts w:ascii="Times New Roman" w:hAnsi="Times New Roman" w:cs="Times New Roman"/>
          <w:sz w:val="26"/>
          <w:szCs w:val="26"/>
        </w:rPr>
      </w:pPr>
      <w:bookmarkStart w:id="395" w:name="_1__29_"/>
      <w:bookmarkStart w:id="396" w:name="_1__30_"/>
      <w:bookmarkEnd w:id="395"/>
      <w:bookmarkEnd w:id="396"/>
    </w:p>
    <w:p w:rsidR="00F3594B" w:rsidRPr="0072600F" w14:paraId="60103A67" w14:textId="77777777">
      <w:pPr>
        <w:tabs>
          <w:tab w:val="left" w:pos="720"/>
        </w:tabs>
        <w:ind w:left="720" w:hanging="720"/>
        <w:rPr>
          <w:rFonts w:ascii="Times New Roman" w:hAnsi="Times New Roman" w:cs="Times New Roman"/>
          <w:sz w:val="26"/>
          <w:szCs w:val="26"/>
        </w:rPr>
      </w:pPr>
      <w:bookmarkStart w:id="397" w:name="_1__31_"/>
      <w:bookmarkStart w:id="398" w:name="_Toc148703296"/>
      <w:bookmarkEnd w:id="397"/>
      <w:r w:rsidRPr="0072600F">
        <w:rPr>
          <w:rStyle w:val="Heading2Char"/>
          <w:rFonts w:eastAsiaTheme="minorHAnsi"/>
          <w:b/>
          <w:sz w:val="26"/>
          <w:szCs w:val="26"/>
        </w:rPr>
        <w:t>4.3</w:t>
      </w:r>
      <w:r w:rsidRPr="0072600F">
        <w:rPr>
          <w:rStyle w:val="Heading2Char"/>
          <w:rFonts w:eastAsiaTheme="minorHAnsi"/>
          <w:b/>
          <w:sz w:val="26"/>
          <w:szCs w:val="26"/>
        </w:rPr>
        <w:tab/>
        <w:t>Performance Standards.</w:t>
      </w:r>
      <w:bookmarkEnd w:id="398"/>
      <w:r w:rsidRPr="0072600F">
        <w:rPr>
          <w:rFonts w:ascii="Times New Roman" w:hAnsi="Times New Roman" w:cs="Times New Roman"/>
          <w:sz w:val="26"/>
          <w:szCs w:val="26"/>
        </w:rPr>
        <w:t xml:space="preserve">  Each Party shall perform all of its obligations under this LGIA in accordance with Applicable Laws and Regulations, Applicable Reliability Standards, and Good Utility Practice, and to the extent a Party is required or prevented or limited in taking any action by such regulations and standards, such Party shall not be deemed to be in Breach of this LGIA for its compliance therewith.  If such Party is a Transmission Provider or Transmission Owner, then that Party shall amend the LGIA and submit the amendment to FERC for approval.</w:t>
      </w:r>
    </w:p>
    <w:p w:rsidR="00F3594B" w:rsidRPr="0072600F" w14:paraId="699D5B7B" w14:textId="77777777">
      <w:pPr>
        <w:rPr>
          <w:rFonts w:ascii="Times New Roman" w:hAnsi="Times New Roman" w:cs="Times New Roman"/>
          <w:sz w:val="26"/>
          <w:szCs w:val="26"/>
        </w:rPr>
      </w:pPr>
    </w:p>
    <w:p w:rsidR="00F3594B" w:rsidRPr="0072600F" w14:paraId="54CB6442" w14:textId="77777777">
      <w:pPr>
        <w:tabs>
          <w:tab w:val="left" w:pos="720"/>
        </w:tabs>
        <w:ind w:left="720" w:hanging="720"/>
        <w:rPr>
          <w:rFonts w:ascii="Times New Roman" w:hAnsi="Times New Roman" w:cs="Times New Roman"/>
          <w:sz w:val="26"/>
          <w:szCs w:val="26"/>
        </w:rPr>
      </w:pPr>
      <w:bookmarkStart w:id="399" w:name="_1__32_"/>
      <w:bookmarkStart w:id="400" w:name="_Toc148703297"/>
      <w:bookmarkEnd w:id="399"/>
      <w:r w:rsidRPr="0072600F">
        <w:rPr>
          <w:rStyle w:val="Heading2Char"/>
          <w:rFonts w:eastAsiaTheme="minorHAnsi"/>
          <w:b/>
          <w:sz w:val="26"/>
          <w:szCs w:val="26"/>
        </w:rPr>
        <w:t>4.4</w:t>
      </w:r>
      <w:r w:rsidRPr="0072600F">
        <w:rPr>
          <w:rStyle w:val="Heading2Char"/>
          <w:rFonts w:eastAsiaTheme="minorHAnsi"/>
          <w:b/>
          <w:sz w:val="26"/>
          <w:szCs w:val="26"/>
        </w:rPr>
        <w:tab/>
        <w:t>No Transmission Delivery Service.</w:t>
      </w:r>
      <w:bookmarkEnd w:id="400"/>
      <w:r w:rsidRPr="0072600F">
        <w:rPr>
          <w:rFonts w:ascii="Times New Roman" w:hAnsi="Times New Roman" w:cs="Times New Roman"/>
          <w:sz w:val="26"/>
          <w:szCs w:val="26"/>
        </w:rPr>
        <w:t xml:space="preserve">  The execution of this LGIA does not constitute a request for, nor the provision of, any transmission delivery service under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and does not convey any right to deliver electricity to any specific customer or Point of Delivery.</w:t>
      </w:r>
    </w:p>
    <w:p w:rsidR="00F3594B" w:rsidRPr="0072600F" w14:paraId="19D22B5E" w14:textId="77777777">
      <w:pPr>
        <w:rPr>
          <w:rFonts w:ascii="Times New Roman" w:hAnsi="Times New Roman" w:cs="Times New Roman"/>
          <w:sz w:val="26"/>
          <w:szCs w:val="26"/>
        </w:rPr>
      </w:pPr>
    </w:p>
    <w:p w:rsidR="00F3594B" w:rsidRPr="0072600F" w14:paraId="2ED68480" w14:textId="77777777">
      <w:pPr>
        <w:tabs>
          <w:tab w:val="left" w:pos="720"/>
        </w:tabs>
        <w:ind w:left="720" w:hanging="720"/>
        <w:rPr>
          <w:rFonts w:ascii="Times New Roman" w:hAnsi="Times New Roman" w:cs="Times New Roman"/>
          <w:sz w:val="26"/>
          <w:szCs w:val="26"/>
        </w:rPr>
      </w:pPr>
      <w:bookmarkStart w:id="401" w:name="_1__33_"/>
      <w:bookmarkStart w:id="402" w:name="_Toc148703298"/>
      <w:bookmarkEnd w:id="401"/>
      <w:r w:rsidRPr="0072600F">
        <w:rPr>
          <w:rStyle w:val="Heading2Char"/>
          <w:rFonts w:eastAsiaTheme="minorHAnsi"/>
          <w:b/>
          <w:sz w:val="26"/>
          <w:szCs w:val="26"/>
        </w:rPr>
        <w:t>4.5</w:t>
      </w:r>
      <w:r w:rsidRPr="0072600F">
        <w:rPr>
          <w:rStyle w:val="Heading2Char"/>
          <w:rFonts w:eastAsiaTheme="minorHAnsi"/>
          <w:b/>
          <w:sz w:val="26"/>
          <w:szCs w:val="26"/>
        </w:rPr>
        <w:tab/>
        <w:t>Interconnection Customer Provided Services.</w:t>
      </w:r>
      <w:bookmarkEnd w:id="402"/>
      <w:r w:rsidRPr="0072600F">
        <w:rPr>
          <w:rFonts w:ascii="Times New Roman" w:hAnsi="Times New Roman" w:cs="Times New Roman"/>
          <w:sz w:val="26"/>
          <w:szCs w:val="26"/>
        </w:rPr>
        <w:t xml:space="preserve">  The services provided by Interconnection Customer under this LGIA are set forth in Article 9.6 and Article 13.5.1.  Interconnection Customer shall be paid for such services in accordance with Article 11.6.</w:t>
      </w:r>
    </w:p>
    <w:p w:rsidR="00F3594B" w:rsidRPr="0072600F" w14:paraId="76A5E3AF" w14:textId="77777777">
      <w:pPr>
        <w:rPr>
          <w:rFonts w:ascii="Times New Roman" w:hAnsi="Times New Roman" w:cs="Times New Roman"/>
          <w:sz w:val="26"/>
          <w:szCs w:val="26"/>
        </w:rPr>
      </w:pPr>
    </w:p>
    <w:p w:rsidR="00F3594B" w:rsidRPr="0072600F" w14:paraId="551CB1D3" w14:textId="77777777">
      <w:pPr>
        <w:rPr>
          <w:rFonts w:ascii="Times New Roman" w:hAnsi="Times New Roman" w:cs="Times New Roman"/>
          <w:sz w:val="26"/>
          <w:szCs w:val="26"/>
        </w:rPr>
      </w:pPr>
    </w:p>
    <w:p w:rsidR="00F3594B" w:rsidRPr="0072600F" w:rsidP="00453CBF" w14:paraId="48DED23B" w14:textId="77777777">
      <w:pPr>
        <w:pStyle w:val="Heading2"/>
        <w:rPr>
          <w:b/>
          <w:bCs/>
          <w:sz w:val="26"/>
          <w:szCs w:val="26"/>
        </w:rPr>
      </w:pPr>
      <w:bookmarkStart w:id="403" w:name="_1__34_"/>
      <w:bookmarkStart w:id="404" w:name="_Toc148703299"/>
      <w:bookmarkEnd w:id="403"/>
      <w:r w:rsidRPr="0072600F">
        <w:rPr>
          <w:b/>
          <w:bCs/>
          <w:sz w:val="26"/>
          <w:szCs w:val="26"/>
        </w:rPr>
        <w:t>Article 5.</w:t>
      </w:r>
      <w:r w:rsidRPr="0072600F">
        <w:rPr>
          <w:b/>
          <w:bCs/>
          <w:sz w:val="26"/>
          <w:szCs w:val="26"/>
        </w:rPr>
        <w:tab/>
        <w:t>Interconnection Facilities Engineering, Procurement, and Construction</w:t>
      </w:r>
      <w:bookmarkEnd w:id="404"/>
    </w:p>
    <w:p w:rsidR="00F3594B" w:rsidRPr="0072600F" w14:paraId="2733EE76" w14:textId="77777777">
      <w:pPr>
        <w:rPr>
          <w:rFonts w:ascii="Times New Roman" w:hAnsi="Times New Roman" w:cs="Times New Roman"/>
          <w:sz w:val="26"/>
          <w:szCs w:val="26"/>
        </w:rPr>
      </w:pPr>
    </w:p>
    <w:p w:rsidR="00F3594B" w:rsidRPr="0072600F" w14:paraId="0E4FF438" w14:textId="77777777">
      <w:pPr>
        <w:tabs>
          <w:tab w:val="left" w:pos="720"/>
        </w:tabs>
        <w:ind w:left="720" w:hanging="720"/>
        <w:rPr>
          <w:rFonts w:ascii="Times New Roman" w:hAnsi="Times New Roman" w:cs="Times New Roman"/>
          <w:sz w:val="26"/>
          <w:szCs w:val="26"/>
        </w:rPr>
      </w:pPr>
      <w:bookmarkStart w:id="405" w:name="_1__35_"/>
      <w:bookmarkStart w:id="406" w:name="_Toc148703300"/>
      <w:bookmarkEnd w:id="405"/>
      <w:r w:rsidRPr="0072600F">
        <w:rPr>
          <w:rStyle w:val="Heading2Char"/>
          <w:rFonts w:eastAsiaTheme="minorHAnsi"/>
          <w:b/>
          <w:sz w:val="26"/>
          <w:szCs w:val="26"/>
        </w:rPr>
        <w:t>5.1</w:t>
      </w:r>
      <w:r w:rsidRPr="0072600F">
        <w:rPr>
          <w:rStyle w:val="Heading2Char"/>
          <w:rFonts w:eastAsiaTheme="minorHAnsi"/>
          <w:b/>
          <w:sz w:val="26"/>
          <w:szCs w:val="26"/>
        </w:rPr>
        <w:tab/>
        <w:t>Options.</w:t>
      </w:r>
      <w:bookmarkEnd w:id="406"/>
      <w:r w:rsidRPr="0072600F">
        <w:rPr>
          <w:rFonts w:ascii="Times New Roman" w:hAnsi="Times New Roman" w:cs="Times New Roman"/>
          <w:sz w:val="26"/>
          <w:szCs w:val="26"/>
        </w:rPr>
        <w:t xml:space="preserve">  Unless otherwise mutually agreed to between the Parties, Interconnection Customer shall select the In-Service Date, Initial Synchronization Date, and Commercial Operation Date; and either the Standard Option or Alternate Option set forth below, and such dates and selected option shall be set forth in Appendix B, Milestones.  At the same time, Interconnection Customer shall indicate whether it elects to exercise the Option to Build set forth in Article 5.1.3 below.  If the dates designated by Interconnection Customer are not acceptable to Transmission Provider, Transmission Provider shall so notify Interconnection Customer within thirty (30) Calendar Days.  Upon receipt of the notification that Interconnection Customer’s designated dates are not acceptable to Transmission Provider,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notify Transmission Provider within thirty (30) Calendar Days whether it elects to exercise the Option to Build if it has not already elected to exercise the Option to Build. </w:t>
      </w:r>
    </w:p>
    <w:p w:rsidR="00F3594B" w:rsidRPr="0072600F" w14:paraId="2C58C988" w14:textId="77777777">
      <w:pPr>
        <w:rPr>
          <w:rFonts w:ascii="Times New Roman" w:hAnsi="Times New Roman" w:cs="Times New Roman"/>
          <w:sz w:val="26"/>
          <w:szCs w:val="26"/>
        </w:rPr>
      </w:pPr>
    </w:p>
    <w:p w:rsidR="00F3594B" w:rsidRPr="0072600F" w14:paraId="6538414B" w14:textId="77777777">
      <w:pPr>
        <w:tabs>
          <w:tab w:val="left" w:pos="720"/>
          <w:tab w:val="left" w:pos="1440"/>
        </w:tabs>
        <w:ind w:left="1440" w:hanging="720"/>
        <w:rPr>
          <w:rFonts w:ascii="Times New Roman" w:hAnsi="Times New Roman" w:cs="Times New Roman"/>
          <w:sz w:val="26"/>
          <w:szCs w:val="26"/>
        </w:rPr>
      </w:pPr>
      <w:bookmarkStart w:id="407" w:name="_Toc148703301"/>
      <w:r w:rsidRPr="0072600F">
        <w:rPr>
          <w:rStyle w:val="Heading3Char"/>
          <w:rFonts w:eastAsiaTheme="minorHAnsi"/>
          <w:b/>
          <w:sz w:val="26"/>
        </w:rPr>
        <w:t>5.1.1</w:t>
      </w:r>
      <w:r w:rsidRPr="0072600F">
        <w:rPr>
          <w:rStyle w:val="Heading3Char"/>
          <w:rFonts w:eastAsiaTheme="minorHAnsi"/>
          <w:b/>
          <w:sz w:val="26"/>
        </w:rPr>
        <w:tab/>
        <w:t>Standard Option.</w:t>
      </w:r>
      <w:bookmarkEnd w:id="407"/>
      <w:r w:rsidRPr="0072600F">
        <w:rPr>
          <w:rFonts w:ascii="Times New Roman" w:hAnsi="Times New Roman" w:cs="Times New Roman"/>
          <w:sz w:val="26"/>
          <w:szCs w:val="26"/>
        </w:rPr>
        <w:t xml:space="preserve">  Transmission Provider shall design, procure, and construct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using Reasonable Efforts to complete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by the dates set forth in Appendix B, Milestones.  Transmission Provider shall not be required to undertake any action which is inconsistent with its standard safety practices, its material and equipment specifications, its design criteria and construction procedures, its labor agreements, and Applicable Laws and Regulations.  In the event Transmission Provider reasonably expects that it will not be able to complete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by the specified dates, Transmission Provider shall promptly provide written notice to Interconnection Customer and shall undertake Reasonable Efforts to meet the earliest dates thereafter.</w:t>
      </w:r>
    </w:p>
    <w:p w:rsidR="00F3594B" w:rsidRPr="0072600F" w14:paraId="3A2DC0C0" w14:textId="77777777">
      <w:pPr>
        <w:rPr>
          <w:rFonts w:ascii="Times New Roman" w:hAnsi="Times New Roman" w:cs="Times New Roman"/>
          <w:sz w:val="26"/>
          <w:szCs w:val="26"/>
        </w:rPr>
      </w:pPr>
    </w:p>
    <w:p w:rsidR="00F3594B" w:rsidRPr="0072600F" w14:paraId="08484BD0" w14:textId="77777777">
      <w:pPr>
        <w:tabs>
          <w:tab w:val="left" w:pos="720"/>
          <w:tab w:val="left" w:pos="1440"/>
        </w:tabs>
        <w:ind w:left="1440" w:hanging="720"/>
        <w:rPr>
          <w:rFonts w:ascii="Times New Roman" w:hAnsi="Times New Roman" w:cs="Times New Roman"/>
          <w:sz w:val="26"/>
          <w:szCs w:val="26"/>
        </w:rPr>
      </w:pPr>
      <w:bookmarkStart w:id="408" w:name="_Toc148703302"/>
      <w:r w:rsidRPr="0072600F">
        <w:rPr>
          <w:rStyle w:val="Heading3Char"/>
          <w:rFonts w:eastAsiaTheme="minorHAnsi"/>
          <w:b/>
          <w:sz w:val="26"/>
        </w:rPr>
        <w:t>5.1.2</w:t>
      </w:r>
      <w:r w:rsidRPr="0072600F">
        <w:rPr>
          <w:rStyle w:val="Heading3Char"/>
          <w:rFonts w:eastAsiaTheme="minorHAnsi"/>
          <w:b/>
          <w:sz w:val="26"/>
        </w:rPr>
        <w:tab/>
        <w:t>Alternate Option.</w:t>
      </w:r>
      <w:bookmarkEnd w:id="408"/>
      <w:r w:rsidRPr="0072600F">
        <w:rPr>
          <w:rFonts w:ascii="Times New Roman" w:hAnsi="Times New Roman" w:cs="Times New Roman"/>
          <w:sz w:val="26"/>
          <w:szCs w:val="26"/>
        </w:rPr>
        <w:t xml:space="preserve">  If the dates designated by Interconnection Customer are acceptable to Transmission Provider, Transmission Provider shall so notify Interconnection Customer within thirty (30) Calendar Days, and shall assume responsibility for the design, procurement and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by the designated dates.</w:t>
      </w:r>
    </w:p>
    <w:p w:rsidR="00F3594B" w:rsidRPr="0072600F" w14:paraId="589117AB" w14:textId="77777777">
      <w:pPr>
        <w:rPr>
          <w:rFonts w:ascii="Times New Roman" w:hAnsi="Times New Roman" w:cs="Times New Roman"/>
          <w:sz w:val="26"/>
          <w:szCs w:val="26"/>
        </w:rPr>
      </w:pPr>
    </w:p>
    <w:p w:rsidR="00F3594B" w:rsidRPr="0072600F" w14:paraId="5145E24C"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If Transmission Provider subsequently fails to complete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Appendix B, Milestones; Transmission Provider shall pay Interconnection Customer liquidated damages in accordance with Article 5.3, Liquidated Damages, provided, however, the dates designated by Interconnection Customer shall be extended day for day for each day that the applicable RTO or ISO refuses to grant clearances to install equipment.</w:t>
      </w:r>
    </w:p>
    <w:p w:rsidR="00F3594B" w:rsidRPr="0072600F" w14:paraId="01075C06" w14:textId="77777777">
      <w:pPr>
        <w:rPr>
          <w:rFonts w:ascii="Times New Roman" w:hAnsi="Times New Roman" w:cs="Times New Roman"/>
          <w:sz w:val="26"/>
          <w:szCs w:val="26"/>
        </w:rPr>
      </w:pPr>
    </w:p>
    <w:p w:rsidR="00F3594B" w:rsidRPr="0072600F" w14:paraId="12620090" w14:textId="77777777">
      <w:pPr>
        <w:tabs>
          <w:tab w:val="left" w:pos="720"/>
          <w:tab w:val="left" w:pos="1440"/>
        </w:tabs>
        <w:ind w:left="1440" w:hanging="720"/>
        <w:rPr>
          <w:rFonts w:ascii="Times New Roman" w:hAnsi="Times New Roman" w:cs="Times New Roman"/>
          <w:sz w:val="26"/>
          <w:szCs w:val="26"/>
        </w:rPr>
      </w:pPr>
      <w:bookmarkStart w:id="409" w:name="_Toc148703303"/>
      <w:r w:rsidRPr="0072600F">
        <w:rPr>
          <w:rStyle w:val="Heading3Char"/>
          <w:rFonts w:eastAsiaTheme="minorHAnsi"/>
          <w:b/>
          <w:sz w:val="26"/>
        </w:rPr>
        <w:t>5.1.3</w:t>
      </w:r>
      <w:r w:rsidRPr="0072600F">
        <w:rPr>
          <w:rStyle w:val="Heading3Char"/>
          <w:rFonts w:eastAsiaTheme="minorHAnsi"/>
          <w:b/>
          <w:sz w:val="26"/>
        </w:rPr>
        <w:tab/>
        <w:t>Option to Build.</w:t>
      </w:r>
      <w:bookmarkEnd w:id="409"/>
      <w:r w:rsidRPr="0072600F">
        <w:rPr>
          <w:rFonts w:ascii="Times New Roman" w:hAnsi="Times New Roman" w:cs="Times New Roman"/>
          <w:sz w:val="26"/>
          <w:szCs w:val="26"/>
        </w:rPr>
        <w:t xml:space="preserve">  </w:t>
      </w:r>
      <w:r w:rsidRPr="0072600F" w:rsidR="003829B4">
        <w:rPr>
          <w:rFonts w:ascii="Times New Roman" w:hAnsi="Times New Roman" w:cs="Times New Roman"/>
          <w:i/>
          <w:iCs/>
          <w:sz w:val="26"/>
          <w:szCs w:val="26"/>
        </w:rPr>
        <w:t xml:space="preserve">Individual or Multiple </w:t>
      </w:r>
      <w:r w:rsidRPr="0072600F">
        <w:rPr>
          <w:rFonts w:ascii="Times New Roman" w:hAnsi="Times New Roman" w:cs="Times New Roman"/>
          <w:sz w:val="26"/>
          <w:szCs w:val="26"/>
        </w:rPr>
        <w:t xml:space="preserve">Interconnection Customer shall have the option to assume responsibility for the design, procurement and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on the dates specified in Article 5.1.2</w:t>
      </w:r>
      <w:r w:rsidRPr="0072600F" w:rsidR="003829B4">
        <w:rPr>
          <w:rFonts w:ascii="Times New Roman" w:hAnsi="Times New Roman" w:cs="Times New Roman"/>
          <w:i/>
          <w:iCs/>
          <w:sz w:val="26"/>
          <w:szCs w:val="26"/>
        </w:rPr>
        <w:t>, if the requirements of this Article 5.1.3 are met</w:t>
      </w:r>
      <w:r w:rsidRPr="0072600F">
        <w:rPr>
          <w:rFonts w:ascii="Times New Roman" w:hAnsi="Times New Roman" w:cs="Times New Roman"/>
          <w:sz w:val="26"/>
          <w:szCs w:val="26"/>
        </w:rPr>
        <w:t xml:space="preserve">.  </w:t>
      </w:r>
      <w:r w:rsidRPr="0072600F" w:rsidR="003829B4">
        <w:rPr>
          <w:rFonts w:ascii="Times New Roman" w:hAnsi="Times New Roman" w:cs="Times New Roman"/>
          <w:i/>
          <w:iCs/>
          <w:sz w:val="26"/>
          <w:szCs w:val="26"/>
        </w:rPr>
        <w:t>When m</w:t>
      </w:r>
      <w:r w:rsidRPr="0072600F" w:rsidR="00CA4DE1">
        <w:rPr>
          <w:rFonts w:ascii="Times New Roman" w:hAnsi="Times New Roman" w:cs="Times New Roman"/>
          <w:i/>
          <w:iCs/>
          <w:sz w:val="26"/>
          <w:szCs w:val="26"/>
        </w:rPr>
        <w:t>ultiple Interconnection Customers exercise this option</w:t>
      </w:r>
      <w:r w:rsidRPr="0072600F" w:rsidR="003829B4">
        <w:rPr>
          <w:rFonts w:ascii="Times New Roman" w:hAnsi="Times New Roman" w:cs="Times New Roman"/>
          <w:i/>
          <w:iCs/>
          <w:sz w:val="26"/>
          <w:szCs w:val="26"/>
        </w:rPr>
        <w:t>, multiple Interconnection Customers may agree to exercise this option</w:t>
      </w:r>
      <w:r w:rsidRPr="0072600F" w:rsidR="00CA4DE1">
        <w:rPr>
          <w:rFonts w:ascii="Times New Roman" w:hAnsi="Times New Roman" w:cs="Times New Roman"/>
          <w:i/>
          <w:iCs/>
          <w:sz w:val="26"/>
          <w:szCs w:val="26"/>
        </w:rPr>
        <w:t xml:space="preserve"> provided (1) all Transmission Provider’s Interconnection Facilities and Stand Alone Network upgrades constructed under this option are only required for Interconnection Customers in a single Cluster and (2) all impacted Interconnection Customers execute and provide to Transmission Provider an agreement regarding responsibilities and payment for the construction of Transmission Provider’s Interconnection Facilities and Stand Alone Network Upgrades planned to be built under this option.  </w:t>
      </w:r>
      <w:r w:rsidRPr="0072600F">
        <w:rPr>
          <w:rFonts w:ascii="Times New Roman" w:hAnsi="Times New Roman" w:cs="Times New Roman"/>
          <w:sz w:val="26"/>
          <w:szCs w:val="26"/>
        </w:rPr>
        <w:t xml:space="preserve">Transmission Provider and </w:t>
      </w:r>
      <w:r w:rsidRPr="0072600F" w:rsidR="003829B4">
        <w:rPr>
          <w:rFonts w:ascii="Times New Roman" w:hAnsi="Times New Roman" w:cs="Times New Roman"/>
          <w:i/>
          <w:iCs/>
          <w:sz w:val="26"/>
          <w:szCs w:val="26"/>
        </w:rPr>
        <w:t xml:space="preserve">the individual Interconnection Customer or each of the multiple </w:t>
      </w:r>
      <w:r w:rsidRPr="0072600F">
        <w:rPr>
          <w:rFonts w:ascii="Times New Roman" w:hAnsi="Times New Roman" w:cs="Times New Roman"/>
          <w:sz w:val="26"/>
          <w:szCs w:val="26"/>
        </w:rPr>
        <w:t>Interconnection Customer</w:t>
      </w:r>
      <w:r w:rsidRPr="0072600F" w:rsidR="003829B4">
        <w:rPr>
          <w:rFonts w:ascii="Times New Roman" w:hAnsi="Times New Roman" w:cs="Times New Roman"/>
          <w:i/>
          <w:iCs/>
          <w:sz w:val="26"/>
          <w:szCs w:val="26"/>
        </w:rPr>
        <w:t>s</w:t>
      </w:r>
      <w:r w:rsidRPr="0072600F">
        <w:rPr>
          <w:rFonts w:ascii="Times New Roman" w:hAnsi="Times New Roman" w:cs="Times New Roman"/>
          <w:sz w:val="26"/>
          <w:szCs w:val="26"/>
        </w:rPr>
        <w:t xml:space="preserve"> must agree as to what constitutes Stand Alone Network Upgrades and identify such Stand Alone Network Upgrades in Appendix A.  Except for Stand Alone Network Upgrades, Interconnection Customer shall have no right to construct Network Upgrades under this option.</w:t>
      </w:r>
    </w:p>
    <w:p w:rsidR="00F3594B" w:rsidRPr="0072600F" w14:paraId="54BC587F" w14:textId="77777777">
      <w:pPr>
        <w:rPr>
          <w:rFonts w:ascii="Times New Roman" w:hAnsi="Times New Roman" w:cs="Times New Roman"/>
          <w:sz w:val="26"/>
          <w:szCs w:val="26"/>
        </w:rPr>
      </w:pPr>
    </w:p>
    <w:p w:rsidR="00F3594B" w:rsidRPr="0072600F" w14:paraId="589BF0B7" w14:textId="77777777">
      <w:pPr>
        <w:tabs>
          <w:tab w:val="left" w:pos="720"/>
          <w:tab w:val="left" w:pos="1440"/>
        </w:tabs>
        <w:ind w:left="1440" w:hanging="720"/>
        <w:rPr>
          <w:rFonts w:ascii="Times New Roman" w:hAnsi="Times New Roman" w:cs="Times New Roman"/>
          <w:sz w:val="26"/>
          <w:szCs w:val="26"/>
        </w:rPr>
      </w:pPr>
      <w:bookmarkStart w:id="410" w:name="_Toc148703304"/>
      <w:r w:rsidRPr="0072600F">
        <w:rPr>
          <w:rStyle w:val="Heading3Char"/>
          <w:rFonts w:eastAsiaTheme="minorHAnsi"/>
          <w:b/>
          <w:sz w:val="26"/>
        </w:rPr>
        <w:t>5.1.4</w:t>
      </w:r>
      <w:r w:rsidRPr="0072600F">
        <w:rPr>
          <w:rStyle w:val="Heading3Char"/>
          <w:rFonts w:eastAsiaTheme="minorHAnsi"/>
          <w:b/>
          <w:sz w:val="26"/>
        </w:rPr>
        <w:tab/>
        <w:t>Negotiated Option.</w:t>
      </w:r>
      <w:bookmarkEnd w:id="410"/>
      <w:r w:rsidRPr="0072600F">
        <w:rPr>
          <w:rFonts w:ascii="Times New Roman" w:hAnsi="Times New Roman" w:cs="Times New Roman"/>
          <w:sz w:val="26"/>
          <w:szCs w:val="26"/>
        </w:rPr>
        <w:t xml:space="preserve">  If the dates designated by Interconnection Customer are not acceptable to Transmission Provider, the Parties shall in good faith attempt to negotiate terms and conditions (including revision of the specified dates and liquidated damages, the provision of incentives, or the procurement and construction of all facilities other than Transmission Provider’s Interconnection Facilities and Stand Alone Network Upgrades if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elects to exercise the Option to Build under Article 5.1.3).  If the Parties are unable to reach agreement on such terms and conditions, then pursuant to Article 5.1.1 (Standard Option), Transmission Provider shall assume responsibility for the design, procurement and construction of all facilities other than Transmission Provider’s Interconnection Facilities and Stand Alone Network Upgrades if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elects to exercise the Option to Build.</w:t>
      </w:r>
    </w:p>
    <w:p w:rsidR="00F3594B" w:rsidRPr="0072600F" w14:paraId="716E8647" w14:textId="77777777">
      <w:pPr>
        <w:rPr>
          <w:rFonts w:ascii="Times New Roman" w:hAnsi="Times New Roman" w:cs="Times New Roman"/>
          <w:sz w:val="26"/>
          <w:szCs w:val="26"/>
        </w:rPr>
      </w:pPr>
    </w:p>
    <w:p w:rsidR="00F3594B" w:rsidRPr="0072600F" w14:paraId="38223DEA" w14:textId="77777777">
      <w:pPr>
        <w:tabs>
          <w:tab w:val="left" w:pos="720"/>
        </w:tabs>
        <w:ind w:left="720" w:hanging="720"/>
        <w:rPr>
          <w:rFonts w:ascii="Times New Roman" w:hAnsi="Times New Roman" w:cs="Times New Roman"/>
          <w:sz w:val="26"/>
          <w:szCs w:val="26"/>
        </w:rPr>
      </w:pPr>
      <w:bookmarkStart w:id="411" w:name="_Toc148703305"/>
      <w:r w:rsidRPr="0072600F">
        <w:rPr>
          <w:rStyle w:val="Heading2Char"/>
          <w:rFonts w:eastAsiaTheme="minorHAnsi"/>
          <w:b/>
          <w:sz w:val="26"/>
          <w:szCs w:val="26"/>
        </w:rPr>
        <w:t>5.2</w:t>
      </w:r>
      <w:r w:rsidRPr="0072600F">
        <w:rPr>
          <w:rStyle w:val="Heading2Char"/>
          <w:rFonts w:eastAsiaTheme="minorHAnsi"/>
          <w:b/>
          <w:sz w:val="26"/>
          <w:szCs w:val="26"/>
        </w:rPr>
        <w:tab/>
        <w:t>General Conditions Applicable to Option to Build.</w:t>
      </w:r>
      <w:bookmarkEnd w:id="411"/>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If Interconnection Customer assumes responsibility for the design, procurement and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w:t>
      </w:r>
    </w:p>
    <w:p w:rsidR="00F3594B" w:rsidRPr="0072600F" w14:paraId="14AE180C" w14:textId="77777777">
      <w:pPr>
        <w:rPr>
          <w:rFonts w:ascii="Times New Roman" w:hAnsi="Times New Roman" w:cs="Times New Roman"/>
          <w:sz w:val="26"/>
          <w:szCs w:val="26"/>
        </w:rPr>
      </w:pPr>
    </w:p>
    <w:p w:rsidR="00F3594B" w:rsidRPr="0072600F" w:rsidP="002C0896" w14:paraId="75DD3642"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(1) Interconnection Customer shall engineer, procure equipment, and construct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(or portions thereof) using Good Utility Practice and using standards and specifications provided in advance by Transmission Provider;</w:t>
      </w:r>
    </w:p>
    <w:p w:rsidR="00F3594B" w:rsidRPr="0072600F" w14:paraId="42778121" w14:textId="77777777">
      <w:pPr>
        <w:rPr>
          <w:rFonts w:ascii="Times New Roman" w:hAnsi="Times New Roman" w:cs="Times New Roman"/>
          <w:sz w:val="26"/>
          <w:szCs w:val="26"/>
        </w:rPr>
      </w:pPr>
    </w:p>
    <w:p w:rsidR="00F3594B" w:rsidRPr="0072600F" w:rsidP="002C0896" w14:paraId="7DA1B244"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(2) Interconnection Customer's engineering, procurement and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shall comply with all requirements of law to which Transmission Provider would be subject in the engineering, procurement or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w:t>
      </w:r>
    </w:p>
    <w:p w:rsidR="00F3594B" w:rsidRPr="0072600F" w14:paraId="3F40CE65" w14:textId="77777777">
      <w:pPr>
        <w:rPr>
          <w:rFonts w:ascii="Times New Roman" w:hAnsi="Times New Roman" w:cs="Times New Roman"/>
          <w:sz w:val="26"/>
          <w:szCs w:val="26"/>
        </w:rPr>
      </w:pPr>
    </w:p>
    <w:p w:rsidR="00F3594B" w:rsidRPr="0072600F" w:rsidP="002C0896" w14:paraId="343ABD8D"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(3) Transmission Provider shall review and approve the engineering design, equipment acceptance tests, and the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w:t>
      </w:r>
    </w:p>
    <w:p w:rsidR="00F3594B" w:rsidRPr="0072600F" w14:paraId="4C86A14A" w14:textId="77777777">
      <w:pPr>
        <w:rPr>
          <w:rFonts w:ascii="Times New Roman" w:hAnsi="Times New Roman" w:cs="Times New Roman"/>
          <w:sz w:val="26"/>
          <w:szCs w:val="26"/>
        </w:rPr>
      </w:pPr>
    </w:p>
    <w:p w:rsidR="00F3594B" w:rsidRPr="0072600F" w:rsidP="002C0896" w14:paraId="63E67044"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(4) prior to commencement of construction, Interconnection Customer shall provide to Transmission Provider a schedule for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and shall promptly respond to requests for information from Transmission Provider;</w:t>
      </w:r>
    </w:p>
    <w:p w:rsidR="00F3594B" w:rsidRPr="0072600F" w14:paraId="1A6DDF7C" w14:textId="77777777">
      <w:pPr>
        <w:rPr>
          <w:rFonts w:ascii="Times New Roman" w:hAnsi="Times New Roman" w:cs="Times New Roman"/>
          <w:sz w:val="26"/>
          <w:szCs w:val="26"/>
        </w:rPr>
      </w:pPr>
    </w:p>
    <w:p w:rsidR="00F3594B" w:rsidRPr="0072600F" w:rsidP="002C0896" w14:paraId="0423586A"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(5) at any time during construction, Transmission Provider shall have the right to gain unrestricted access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and to conduct inspections of the same;</w:t>
      </w:r>
    </w:p>
    <w:p w:rsidR="00F3594B" w:rsidRPr="0072600F" w14:paraId="5B038F1B" w14:textId="77777777">
      <w:pPr>
        <w:rPr>
          <w:rFonts w:ascii="Times New Roman" w:hAnsi="Times New Roman" w:cs="Times New Roman"/>
          <w:sz w:val="26"/>
          <w:szCs w:val="26"/>
        </w:rPr>
      </w:pPr>
    </w:p>
    <w:p w:rsidR="00F3594B" w:rsidRPr="0072600F" w:rsidP="002C0896" w14:paraId="3295EC48"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(6) at any time during construction, should any phase of the engineering, equipment procurement, or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not meet the standards and specifications provided by Transmission Provider, Interconnection Customer shall be obligated to remedy deficiencies in that portion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w:t>
      </w:r>
    </w:p>
    <w:p w:rsidR="00F3594B" w:rsidRPr="0072600F" w14:paraId="3C964818" w14:textId="77777777">
      <w:pPr>
        <w:rPr>
          <w:rFonts w:ascii="Times New Roman" w:hAnsi="Times New Roman" w:cs="Times New Roman"/>
          <w:sz w:val="26"/>
          <w:szCs w:val="26"/>
        </w:rPr>
      </w:pPr>
    </w:p>
    <w:p w:rsidR="00F3594B" w:rsidRPr="0072600F" w:rsidP="002C0896" w14:paraId="6C589490"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(7) Interconnection Customer shall indemnify Transmission Provider for claims arising from Interconnection Customer's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under the terms and procedures applicable to Article 18.1 Indemnity;</w:t>
      </w:r>
    </w:p>
    <w:p w:rsidR="00F3594B" w:rsidRPr="0072600F" w14:paraId="1D483BF8" w14:textId="77777777">
      <w:pPr>
        <w:rPr>
          <w:rFonts w:ascii="Times New Roman" w:hAnsi="Times New Roman" w:cs="Times New Roman"/>
          <w:sz w:val="26"/>
          <w:szCs w:val="26"/>
        </w:rPr>
      </w:pPr>
    </w:p>
    <w:p w:rsidR="00F3594B" w:rsidRPr="0072600F" w14:paraId="7731630C"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(8) Interconnection Customer shall transfer control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to Transmission Provider;</w:t>
      </w:r>
    </w:p>
    <w:p w:rsidR="00F3594B" w:rsidRPr="0072600F" w14:paraId="3CB1A7EA" w14:textId="77777777">
      <w:pPr>
        <w:ind w:left="1440"/>
        <w:rPr>
          <w:rFonts w:ascii="Times New Roman" w:hAnsi="Times New Roman" w:cs="Times New Roman"/>
          <w:sz w:val="26"/>
          <w:szCs w:val="26"/>
        </w:rPr>
      </w:pPr>
    </w:p>
    <w:p w:rsidR="00F3594B" w:rsidRPr="0072600F" w14:paraId="06838CDC"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(9) Unless Parties otherwise agree, Interconnection Customer shall transfer ownership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Stand-Alone Network Upgrades to Transmission Provider;</w:t>
      </w:r>
    </w:p>
    <w:p w:rsidR="00F3594B" w:rsidRPr="0072600F" w14:paraId="7FBF8705" w14:textId="77777777">
      <w:pPr>
        <w:rPr>
          <w:rFonts w:ascii="Times New Roman" w:hAnsi="Times New Roman" w:cs="Times New Roman"/>
          <w:sz w:val="26"/>
          <w:szCs w:val="26"/>
        </w:rPr>
      </w:pPr>
    </w:p>
    <w:p w:rsidR="00F3594B" w:rsidRPr="0072600F" w:rsidP="002C0896" w14:paraId="71ABC65F"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(10) Transmission Provider shall approve and accept for operation and maintenance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to the extent engineered, procured, and constructed in accordance with this Article 5.2; and</w:t>
      </w:r>
    </w:p>
    <w:p w:rsidR="00F3594B" w:rsidRPr="0072600F" w14:paraId="65E61894" w14:textId="77777777">
      <w:pPr>
        <w:ind w:left="1440"/>
        <w:rPr>
          <w:rFonts w:ascii="Times New Roman" w:hAnsi="Times New Roman" w:cs="Times New Roman"/>
          <w:sz w:val="26"/>
          <w:szCs w:val="26"/>
        </w:rPr>
      </w:pPr>
    </w:p>
    <w:p w:rsidR="00F3594B" w:rsidRPr="0072600F" w:rsidP="002C0896" w14:paraId="4749DF86" w14:textId="77777777">
      <w:pPr>
        <w:ind w:left="1440"/>
        <w:rPr>
          <w:rFonts w:ascii="Times New Roman" w:hAnsi="Times New Roman" w:cs="Times New Roman"/>
          <w:sz w:val="26"/>
          <w:szCs w:val="26"/>
        </w:rPr>
      </w:pPr>
      <w:r w:rsidRPr="0072600F">
        <w:rPr>
          <w:rFonts w:ascii="Times New Roman" w:hAnsi="Times New Roman" w:cs="Times New Roman"/>
          <w:sz w:val="26"/>
          <w:szCs w:val="26"/>
        </w:rPr>
        <w:t>(11) Interconnection Customer shall deliver to Transmission Provider "as-built" drawings, information, and any other documents that are reasonably required by Transmission Provider to assure that the Interconnection Facilities and Stand-Alone Network Upgrades are built to the standards and specifications required by Transmission Provider.</w:t>
      </w:r>
    </w:p>
    <w:p w:rsidR="00F3594B" w:rsidRPr="0072600F" w14:paraId="7810F7E2" w14:textId="77777777">
      <w:pPr>
        <w:ind w:left="1440"/>
        <w:rPr>
          <w:rFonts w:ascii="Times New Roman" w:hAnsi="Times New Roman" w:cs="Times New Roman"/>
          <w:sz w:val="26"/>
          <w:szCs w:val="26"/>
        </w:rPr>
      </w:pPr>
    </w:p>
    <w:p w:rsidR="00F3594B" w:rsidRPr="0072600F" w14:paraId="3E02A1FF" w14:textId="77777777">
      <w:pPr>
        <w:ind w:left="1440"/>
        <w:rPr>
          <w:rFonts w:ascii="Times New Roman" w:hAnsi="Times New Roman" w:cs="Times New Roman"/>
          <w:sz w:val="26"/>
          <w:szCs w:val="26"/>
        </w:rPr>
      </w:pPr>
      <w:r w:rsidRPr="0072600F">
        <w:rPr>
          <w:rFonts w:ascii="Times New Roman" w:hAnsi="Times New Roman" w:cs="Times New Roman"/>
          <w:sz w:val="26"/>
          <w:szCs w:val="26"/>
        </w:rPr>
        <w:t xml:space="preserve">(12)  If Interconnection Customer exercises the Option to Build pursuant to Article 5.1.3, Interconnection Customer shall pay Transmission Provider the agreed upon amount of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PLACEHOLDER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for Transmission Provider to execute the responsibilities enumerated to Transmission Provider under Article 5.2.  Transmission Provider shall invoice Interconnection Customer for this total amount to be divided on a monthly basis pursuant to Article 12.  </w:t>
      </w:r>
    </w:p>
    <w:p w:rsidR="00F3594B" w:rsidRPr="0072600F" w14:paraId="060D8816" w14:textId="77777777">
      <w:pPr>
        <w:ind w:left="720"/>
        <w:rPr>
          <w:rFonts w:ascii="Times New Roman" w:hAnsi="Times New Roman" w:cs="Times New Roman"/>
          <w:sz w:val="26"/>
          <w:szCs w:val="26"/>
        </w:rPr>
      </w:pPr>
    </w:p>
    <w:p w:rsidR="00F3594B" w:rsidRPr="0072600F" w14:paraId="502A5C4E" w14:textId="77777777">
      <w:pPr>
        <w:tabs>
          <w:tab w:val="left" w:pos="720"/>
        </w:tabs>
        <w:ind w:left="720" w:hanging="720"/>
        <w:rPr>
          <w:rFonts w:ascii="Times New Roman" w:hAnsi="Times New Roman" w:cs="Times New Roman"/>
          <w:sz w:val="26"/>
          <w:szCs w:val="26"/>
        </w:rPr>
      </w:pPr>
      <w:bookmarkStart w:id="412" w:name="_Toc148703306"/>
      <w:r w:rsidRPr="0072600F">
        <w:rPr>
          <w:rStyle w:val="Heading2Char"/>
          <w:rFonts w:eastAsiaTheme="minorHAnsi"/>
          <w:b/>
          <w:sz w:val="26"/>
          <w:szCs w:val="26"/>
        </w:rPr>
        <w:t>5.3</w:t>
      </w:r>
      <w:r w:rsidRPr="0072600F">
        <w:rPr>
          <w:rStyle w:val="Heading2Char"/>
          <w:rFonts w:eastAsiaTheme="minorHAnsi"/>
          <w:b/>
          <w:sz w:val="26"/>
          <w:szCs w:val="26"/>
        </w:rPr>
        <w:tab/>
        <w:t>Liquidated Damages.</w:t>
      </w:r>
      <w:bookmarkEnd w:id="412"/>
      <w:r w:rsidRPr="0072600F">
        <w:rPr>
          <w:rFonts w:ascii="Times New Roman" w:hAnsi="Times New Roman" w:cs="Times New Roman"/>
          <w:sz w:val="26"/>
          <w:szCs w:val="26"/>
        </w:rPr>
        <w:t xml:space="preserve">  The actual damages to Interconnection Customer, in the event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are not completed by the dates designated by Interconnection Customer and accepted by Transmission Provider pursuant to subparagraphs 5.1.2 or 5.1.4, above, may include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fixed operation and maintenance costs and lost opportunity costs.  Such actual damages are uncertain and impossible to determine at this time.  Because of such uncertainty, any liquidated damages paid by Transmission Provider to Interconnection Customer in the event that Transmission Provider does not complete any portion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by the applicable dates, shall be an amount equal to ½ of 1 percent per day of the actual cost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in the aggregate, for which Transmission Provider has assumed responsibility to design, procure and construct.</w:t>
      </w:r>
    </w:p>
    <w:p w:rsidR="00F3594B" w:rsidRPr="0072600F" w14:paraId="0423EB8A" w14:textId="77777777">
      <w:pPr>
        <w:rPr>
          <w:rFonts w:ascii="Times New Roman" w:hAnsi="Times New Roman" w:cs="Times New Roman"/>
          <w:sz w:val="26"/>
          <w:szCs w:val="26"/>
        </w:rPr>
      </w:pPr>
    </w:p>
    <w:p w:rsidR="00F3594B" w:rsidRPr="0072600F" w14:paraId="710FC062"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However, in no event shall the total liquidated damages exceed 20 percent of the actual cost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for which Transmission Provider has assumed responsibility to design, procure, and construct.  The foregoing payments will be made by Transmission Provider to Interconnection Customer as just compensation for the damages caused to Interconnection Customer, which actual damages are uncertain and impossible to determine at this time, and as reasonable liquidated damages, but not as a penalty or a method to secure performance of this LGIA.  Liquidated damages, when the Parties agree to them, are the exclusive remedy for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failure to meet its schedule.</w:t>
      </w:r>
    </w:p>
    <w:p w:rsidR="00F3594B" w:rsidRPr="0072600F" w14:paraId="045452BC" w14:textId="77777777">
      <w:pPr>
        <w:rPr>
          <w:rFonts w:ascii="Times New Roman" w:hAnsi="Times New Roman" w:cs="Times New Roman"/>
          <w:sz w:val="26"/>
          <w:szCs w:val="26"/>
        </w:rPr>
      </w:pPr>
    </w:p>
    <w:p w:rsidR="00F3594B" w:rsidRPr="0072600F" w14:paraId="31F6B5C3"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No liquidated damages shall be paid to Interconnection Customer if: </w:t>
      </w:r>
      <w:r w:rsidRPr="0072600F" w:rsidR="00D46245">
        <w:rPr>
          <w:rFonts w:ascii="Times New Roman" w:hAnsi="Times New Roman" w:cs="Times New Roman"/>
          <w:sz w:val="26"/>
          <w:szCs w:val="26"/>
        </w:rPr>
        <w:t xml:space="preserve"> </w:t>
      </w:r>
      <w:r w:rsidRPr="0072600F">
        <w:rPr>
          <w:rFonts w:ascii="Times New Roman" w:hAnsi="Times New Roman" w:cs="Times New Roman"/>
          <w:sz w:val="26"/>
          <w:szCs w:val="26"/>
        </w:rPr>
        <w:t xml:space="preserve">(1) Interconnection Customer is not ready to commence use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to take the delivery of power for the Large Generating Facility's Trial Operation or to export power from the Large Generating Facility on the specified dates, unless Interconnection Customer would have been able to commence use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to take the delivery of power for Large Generating Facility's Trial Operation or to export power from the Large Generating Facility, but for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delay; (2)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failure to meet the specified dates is the result of the action or inaction of Interconnection Customer or any other Interconnection Customer who has entered into an LGIA with Transmission Provider or any cause beyond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reasonable control or reasonable ability to cure; (3)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has assumed responsibility for the design, procurement and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or (4) the Parties have otherwise agreed.</w:t>
      </w:r>
    </w:p>
    <w:p w:rsidR="00F3594B" w:rsidRPr="0072600F" w14:paraId="60A7CDE8" w14:textId="77777777">
      <w:pPr>
        <w:rPr>
          <w:rFonts w:ascii="Times New Roman" w:hAnsi="Times New Roman" w:cs="Times New Roman"/>
          <w:sz w:val="26"/>
          <w:szCs w:val="26"/>
        </w:rPr>
      </w:pPr>
    </w:p>
    <w:p w:rsidR="00F3594B" w:rsidRPr="0072600F" w14:paraId="209335D8" w14:textId="77777777">
      <w:pPr>
        <w:tabs>
          <w:tab w:val="left" w:pos="720"/>
        </w:tabs>
        <w:ind w:left="720" w:hanging="720"/>
        <w:rPr>
          <w:rFonts w:ascii="Times New Roman" w:hAnsi="Times New Roman" w:cs="Times New Roman"/>
          <w:sz w:val="26"/>
          <w:szCs w:val="26"/>
        </w:rPr>
      </w:pPr>
      <w:bookmarkStart w:id="413" w:name="_1__36_"/>
      <w:bookmarkStart w:id="414" w:name="_Toc148703307"/>
      <w:bookmarkEnd w:id="413"/>
      <w:r w:rsidRPr="0072600F">
        <w:rPr>
          <w:rStyle w:val="Heading2Char"/>
          <w:rFonts w:eastAsiaTheme="minorHAnsi"/>
          <w:b/>
          <w:sz w:val="26"/>
          <w:szCs w:val="26"/>
        </w:rPr>
        <w:t>5.4</w:t>
      </w:r>
      <w:r w:rsidRPr="0072600F">
        <w:rPr>
          <w:rStyle w:val="Heading2Char"/>
          <w:rFonts w:eastAsiaTheme="minorHAnsi"/>
          <w:b/>
          <w:sz w:val="26"/>
          <w:szCs w:val="26"/>
        </w:rPr>
        <w:tab/>
        <w:t>Power System Stabilizers.</w:t>
      </w:r>
      <w:bookmarkEnd w:id="414"/>
      <w:r w:rsidRPr="0072600F">
        <w:rPr>
          <w:rFonts w:ascii="Times New Roman" w:hAnsi="Times New Roman" w:cs="Times New Roman"/>
          <w:sz w:val="26"/>
          <w:szCs w:val="26"/>
        </w:rPr>
        <w:t xml:space="preserve">  Interconnection Customer shall procure, install, maintain and operate Power System Stabilizers in accordance with the guidelines and procedures established by the Electric Reliability Organization.  Transmission Provider reserves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Interconnection Customer shall immediately notify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system operator, or its designated representative.  The requirements of this paragraph shall not apply to wind generators.</w:t>
      </w:r>
    </w:p>
    <w:p w:rsidR="00F3594B" w:rsidRPr="0072600F" w14:paraId="4A855CE9" w14:textId="77777777">
      <w:pPr>
        <w:rPr>
          <w:rFonts w:ascii="Times New Roman" w:hAnsi="Times New Roman" w:cs="Times New Roman"/>
          <w:sz w:val="26"/>
          <w:szCs w:val="26"/>
        </w:rPr>
      </w:pPr>
    </w:p>
    <w:p w:rsidR="00F3594B" w:rsidRPr="0072600F" w14:paraId="794A2E62" w14:textId="77777777">
      <w:pPr>
        <w:tabs>
          <w:tab w:val="left" w:pos="720"/>
        </w:tabs>
        <w:ind w:left="720" w:hanging="720"/>
        <w:rPr>
          <w:rFonts w:ascii="Times New Roman" w:hAnsi="Times New Roman" w:cs="Times New Roman"/>
          <w:sz w:val="26"/>
          <w:szCs w:val="26"/>
        </w:rPr>
      </w:pPr>
      <w:bookmarkStart w:id="415" w:name="_1__37_"/>
      <w:bookmarkStart w:id="416" w:name="_Toc148703308"/>
      <w:bookmarkEnd w:id="415"/>
      <w:r w:rsidRPr="0072600F">
        <w:rPr>
          <w:rStyle w:val="Heading2Char"/>
          <w:rFonts w:eastAsiaTheme="minorHAnsi"/>
          <w:b/>
          <w:sz w:val="26"/>
          <w:szCs w:val="26"/>
        </w:rPr>
        <w:t>5.5</w:t>
      </w:r>
      <w:r w:rsidRPr="0072600F">
        <w:rPr>
          <w:rStyle w:val="Heading2Char"/>
          <w:rFonts w:eastAsiaTheme="minorHAnsi"/>
          <w:b/>
          <w:sz w:val="26"/>
          <w:szCs w:val="26"/>
        </w:rPr>
        <w:tab/>
        <w:t>Equipment Procurement.</w:t>
      </w:r>
      <w:bookmarkEnd w:id="416"/>
      <w:r w:rsidRPr="0072600F">
        <w:rPr>
          <w:rFonts w:ascii="Times New Roman" w:hAnsi="Times New Roman" w:cs="Times New Roman"/>
          <w:sz w:val="26"/>
          <w:szCs w:val="26"/>
        </w:rPr>
        <w:t xml:space="preserve">  If responsibility for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is to be borne by Transmission Provider, then Transmission Provider shall commence design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and procure necessary equipment as soon as practicable after all of the following conditions are satisfied, unless the Parties otherwise agree in writing:</w:t>
      </w:r>
    </w:p>
    <w:p w:rsidR="00F3594B" w:rsidRPr="0072600F" w14:paraId="2DE25A57" w14:textId="77777777">
      <w:pPr>
        <w:rPr>
          <w:rFonts w:ascii="Times New Roman" w:hAnsi="Times New Roman" w:cs="Times New Roman"/>
          <w:sz w:val="26"/>
          <w:szCs w:val="26"/>
        </w:rPr>
      </w:pPr>
    </w:p>
    <w:p w:rsidR="00F3594B" w:rsidRPr="0072600F" w14:paraId="5FB09571"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417" w:name="_1__38_"/>
      <w:bookmarkEnd w:id="417"/>
      <w:r w:rsidRPr="0072600F">
        <w:rPr>
          <w:rFonts w:ascii="Times New Roman" w:hAnsi="Times New Roman" w:cs="Times New Roman"/>
          <w:b/>
          <w:bCs/>
          <w:sz w:val="26"/>
          <w:szCs w:val="26"/>
        </w:rPr>
        <w:t>5.5.1</w:t>
      </w:r>
      <w:r w:rsidRPr="0072600F">
        <w:rPr>
          <w:rFonts w:ascii="Times New Roman" w:hAnsi="Times New Roman" w:cs="Times New Roman"/>
          <w:sz w:val="26"/>
          <w:szCs w:val="26"/>
        </w:rPr>
        <w:tab/>
        <w:t>Transmission Provider has completed the</w:t>
      </w:r>
      <w:r w:rsidRPr="0072600F" w:rsidR="00DF65CF">
        <w:rPr>
          <w:rFonts w:ascii="Times New Roman" w:hAnsi="Times New Roman" w:cs="Times New Roman"/>
          <w:sz w:val="26"/>
          <w:szCs w:val="26"/>
        </w:rPr>
        <w:t xml:space="preserve"> </w:t>
      </w:r>
      <w:r w:rsidRPr="0072600F" w:rsidR="00DF65CF">
        <w:rPr>
          <w:rFonts w:ascii="Times New Roman" w:hAnsi="Times New Roman" w:cs="Times New Roman"/>
          <w:i/>
          <w:iCs/>
          <w:sz w:val="26"/>
          <w:szCs w:val="26"/>
        </w:rPr>
        <w:t>Interconnection</w:t>
      </w:r>
      <w:r w:rsidRPr="0072600F">
        <w:rPr>
          <w:rFonts w:ascii="Times New Roman" w:hAnsi="Times New Roman" w:cs="Times New Roman"/>
          <w:sz w:val="26"/>
          <w:szCs w:val="26"/>
        </w:rPr>
        <w:t xml:space="preserve"> Facilities Study pursuant to the</w:t>
      </w:r>
      <w:r w:rsidRPr="0072600F" w:rsidR="00DF65CF">
        <w:rPr>
          <w:rFonts w:ascii="Times New Roman" w:hAnsi="Times New Roman" w:cs="Times New Roman"/>
          <w:sz w:val="26"/>
          <w:szCs w:val="26"/>
        </w:rPr>
        <w:t xml:space="preserve"> </w:t>
      </w:r>
      <w:r w:rsidRPr="0072600F" w:rsidR="00DF65CF">
        <w:rPr>
          <w:rFonts w:ascii="Times New Roman" w:hAnsi="Times New Roman" w:cs="Times New Roman"/>
          <w:i/>
          <w:iCs/>
          <w:sz w:val="26"/>
          <w:szCs w:val="26"/>
        </w:rPr>
        <w:t>Interconnection</w:t>
      </w:r>
      <w:r w:rsidRPr="0072600F">
        <w:rPr>
          <w:rFonts w:ascii="Times New Roman" w:hAnsi="Times New Roman" w:cs="Times New Roman"/>
          <w:sz w:val="26"/>
          <w:szCs w:val="26"/>
        </w:rPr>
        <w:t xml:space="preserve"> Facilities Study Agreement;</w:t>
      </w:r>
    </w:p>
    <w:p w:rsidR="00F3594B" w:rsidRPr="0072600F" w14:paraId="14620817" w14:textId="77777777">
      <w:pPr>
        <w:rPr>
          <w:rFonts w:ascii="Times New Roman" w:hAnsi="Times New Roman" w:cs="Times New Roman"/>
          <w:sz w:val="26"/>
          <w:szCs w:val="26"/>
        </w:rPr>
      </w:pPr>
    </w:p>
    <w:p w:rsidR="00F3594B" w:rsidRPr="0072600F" w14:paraId="0FDD0D63"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418" w:name="_1__39_"/>
      <w:bookmarkEnd w:id="418"/>
      <w:r w:rsidRPr="0072600F">
        <w:rPr>
          <w:rFonts w:ascii="Times New Roman" w:hAnsi="Times New Roman" w:cs="Times New Roman"/>
          <w:b/>
          <w:bCs/>
          <w:sz w:val="26"/>
          <w:szCs w:val="26"/>
        </w:rPr>
        <w:t>5.5.2</w:t>
      </w:r>
      <w:r w:rsidRPr="0072600F">
        <w:rPr>
          <w:rFonts w:ascii="Times New Roman" w:hAnsi="Times New Roman" w:cs="Times New Roman"/>
          <w:sz w:val="26"/>
          <w:szCs w:val="26"/>
        </w:rPr>
        <w:tab/>
        <w:t>Transmission Provider has received written authorization to proceed with design and procurement from Interconnection Customer by the date specified in Appendix B, Milestones; and</w:t>
      </w:r>
    </w:p>
    <w:p w:rsidR="00F3594B" w:rsidRPr="0072600F" w14:paraId="2E5736D4" w14:textId="77777777">
      <w:pPr>
        <w:rPr>
          <w:rFonts w:ascii="Times New Roman" w:hAnsi="Times New Roman" w:cs="Times New Roman"/>
          <w:sz w:val="26"/>
          <w:szCs w:val="26"/>
        </w:rPr>
      </w:pPr>
    </w:p>
    <w:p w:rsidR="00F3594B" w:rsidRPr="0072600F" w14:paraId="62DF2EC4"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419" w:name="_1__40_"/>
      <w:bookmarkEnd w:id="419"/>
      <w:r w:rsidRPr="0072600F">
        <w:rPr>
          <w:rFonts w:ascii="Times New Roman" w:hAnsi="Times New Roman" w:cs="Times New Roman"/>
          <w:b/>
          <w:bCs/>
          <w:sz w:val="26"/>
          <w:szCs w:val="26"/>
        </w:rPr>
        <w:t>5.5.3</w:t>
      </w:r>
      <w:r w:rsidRPr="0072600F">
        <w:rPr>
          <w:rFonts w:ascii="Times New Roman" w:hAnsi="Times New Roman" w:cs="Times New Roman"/>
          <w:sz w:val="26"/>
          <w:szCs w:val="26"/>
        </w:rPr>
        <w:tab/>
        <w:t>Interconnection Customer has provided security to Transmission Provider in accordance with Article 11.5 by the dates specified in Appendix B, Milestones.</w:t>
      </w:r>
    </w:p>
    <w:p w:rsidR="00F3594B" w:rsidRPr="0072600F" w14:paraId="2712078C" w14:textId="77777777">
      <w:pPr>
        <w:rPr>
          <w:rFonts w:ascii="Times New Roman" w:hAnsi="Times New Roman" w:cs="Times New Roman"/>
          <w:sz w:val="26"/>
          <w:szCs w:val="26"/>
        </w:rPr>
      </w:pPr>
    </w:p>
    <w:p w:rsidR="00F3594B" w:rsidRPr="0072600F" w14:paraId="79B84060" w14:textId="77777777">
      <w:pPr>
        <w:tabs>
          <w:tab w:val="left" w:pos="720"/>
        </w:tabs>
        <w:ind w:left="720" w:hanging="720"/>
        <w:rPr>
          <w:rFonts w:ascii="Times New Roman" w:hAnsi="Times New Roman" w:cs="Times New Roman"/>
          <w:sz w:val="26"/>
          <w:szCs w:val="26"/>
        </w:rPr>
      </w:pPr>
      <w:bookmarkStart w:id="420" w:name="_1__41_"/>
      <w:bookmarkStart w:id="421" w:name="_Toc148703309"/>
      <w:bookmarkEnd w:id="420"/>
      <w:r w:rsidRPr="0072600F">
        <w:rPr>
          <w:rStyle w:val="Heading2Char"/>
          <w:rFonts w:eastAsiaTheme="minorHAnsi"/>
          <w:b/>
          <w:sz w:val="26"/>
          <w:szCs w:val="26"/>
        </w:rPr>
        <w:t>5.6</w:t>
      </w:r>
      <w:r w:rsidRPr="0072600F">
        <w:rPr>
          <w:rStyle w:val="Heading2Char"/>
          <w:rFonts w:eastAsiaTheme="minorHAnsi"/>
          <w:b/>
          <w:sz w:val="26"/>
          <w:szCs w:val="26"/>
        </w:rPr>
        <w:tab/>
        <w:t>Construction Commencement.</w:t>
      </w:r>
      <w:bookmarkEnd w:id="421"/>
      <w:r w:rsidRPr="0072600F">
        <w:rPr>
          <w:rFonts w:ascii="Times New Roman" w:hAnsi="Times New Roman" w:cs="Times New Roman"/>
          <w:sz w:val="26"/>
          <w:szCs w:val="26"/>
        </w:rPr>
        <w:t xml:space="preserve">  Transmission Provider shall commence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for which it is responsible as soon as practicable after the following additional conditions are satisfied:</w:t>
      </w:r>
    </w:p>
    <w:p w:rsidR="00F3594B" w:rsidRPr="0072600F" w14:paraId="2C8A9DC2" w14:textId="77777777">
      <w:pPr>
        <w:rPr>
          <w:rFonts w:ascii="Times New Roman" w:hAnsi="Times New Roman" w:cs="Times New Roman"/>
          <w:sz w:val="26"/>
          <w:szCs w:val="26"/>
        </w:rPr>
      </w:pPr>
    </w:p>
    <w:p w:rsidR="00F3594B" w:rsidRPr="0072600F" w14:paraId="5CD2F11E"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422" w:name="_1__42_"/>
      <w:bookmarkEnd w:id="422"/>
      <w:r w:rsidRPr="0072600F">
        <w:rPr>
          <w:rFonts w:ascii="Times New Roman" w:hAnsi="Times New Roman" w:cs="Times New Roman"/>
          <w:b/>
          <w:bCs/>
          <w:sz w:val="26"/>
          <w:szCs w:val="26"/>
        </w:rPr>
        <w:t>5.6.1</w:t>
      </w:r>
      <w:r w:rsidRPr="0072600F">
        <w:rPr>
          <w:rFonts w:ascii="Times New Roman" w:hAnsi="Times New Roman" w:cs="Times New Roman"/>
          <w:sz w:val="26"/>
          <w:szCs w:val="26"/>
        </w:rPr>
        <w:tab/>
        <w:t xml:space="preserve">Approval of the appropriate Governmental Authority has been obtained for any facilities requiring regulatory approval; </w:t>
      </w:r>
    </w:p>
    <w:p w:rsidR="00F3594B" w:rsidRPr="0072600F" w14:paraId="2378FD58" w14:textId="77777777">
      <w:pPr>
        <w:rPr>
          <w:rFonts w:ascii="Times New Roman" w:hAnsi="Times New Roman" w:cs="Times New Roman"/>
          <w:sz w:val="26"/>
          <w:szCs w:val="26"/>
        </w:rPr>
      </w:pPr>
    </w:p>
    <w:p w:rsidR="00F3594B" w:rsidRPr="0072600F" w14:paraId="739BCC97"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423" w:name="_1__43_"/>
      <w:bookmarkEnd w:id="423"/>
      <w:r w:rsidRPr="0072600F">
        <w:rPr>
          <w:rFonts w:ascii="Times New Roman" w:hAnsi="Times New Roman" w:cs="Times New Roman"/>
          <w:b/>
          <w:bCs/>
          <w:sz w:val="26"/>
          <w:szCs w:val="26"/>
        </w:rPr>
        <w:t>5.6.2</w:t>
      </w:r>
      <w:r w:rsidRPr="0072600F">
        <w:rPr>
          <w:rFonts w:ascii="Times New Roman" w:hAnsi="Times New Roman" w:cs="Times New Roman"/>
          <w:sz w:val="26"/>
          <w:szCs w:val="26"/>
        </w:rPr>
        <w:tab/>
        <w:t xml:space="preserve">Necessary real property rights and rights-of-way have been obtained, to the extent required for the construction of a discrete aspect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w:t>
      </w:r>
    </w:p>
    <w:p w:rsidR="00F3594B" w:rsidRPr="0072600F" w14:paraId="3B04C2D4" w14:textId="77777777">
      <w:pPr>
        <w:rPr>
          <w:rFonts w:ascii="Times New Roman" w:hAnsi="Times New Roman" w:cs="Times New Roman"/>
          <w:sz w:val="26"/>
          <w:szCs w:val="26"/>
        </w:rPr>
      </w:pPr>
    </w:p>
    <w:p w:rsidR="00F3594B" w:rsidRPr="0072600F" w14:paraId="40B3102A"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424" w:name="_1__44_"/>
      <w:bookmarkEnd w:id="424"/>
      <w:r w:rsidRPr="0072600F">
        <w:rPr>
          <w:rFonts w:ascii="Times New Roman" w:hAnsi="Times New Roman" w:cs="Times New Roman"/>
          <w:b/>
          <w:bCs/>
          <w:sz w:val="26"/>
          <w:szCs w:val="26"/>
        </w:rPr>
        <w:t>5.6.3</w:t>
      </w:r>
      <w:r w:rsidRPr="0072600F">
        <w:rPr>
          <w:rFonts w:ascii="Times New Roman" w:hAnsi="Times New Roman" w:cs="Times New Roman"/>
          <w:sz w:val="26"/>
          <w:szCs w:val="26"/>
        </w:rPr>
        <w:tab/>
        <w:t>Transmission Provider has received written authorization to proceed with construction from Interconnection Customer by the date specified in Appendix B, Milestones; and</w:t>
      </w:r>
    </w:p>
    <w:p w:rsidR="00F3594B" w:rsidRPr="0072600F" w14:paraId="307FEA3C" w14:textId="77777777">
      <w:pPr>
        <w:rPr>
          <w:rFonts w:ascii="Times New Roman" w:hAnsi="Times New Roman" w:cs="Times New Roman"/>
          <w:sz w:val="26"/>
          <w:szCs w:val="26"/>
        </w:rPr>
      </w:pPr>
    </w:p>
    <w:p w:rsidR="00F3594B" w:rsidRPr="0072600F" w14:paraId="3649C482"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425" w:name="_1__45_"/>
      <w:bookmarkEnd w:id="425"/>
      <w:r w:rsidRPr="0072600F">
        <w:rPr>
          <w:rFonts w:ascii="Times New Roman" w:hAnsi="Times New Roman" w:cs="Times New Roman"/>
          <w:b/>
          <w:bCs/>
          <w:sz w:val="26"/>
          <w:szCs w:val="26"/>
        </w:rPr>
        <w:t>5.6.4</w:t>
      </w:r>
      <w:r w:rsidRPr="0072600F">
        <w:rPr>
          <w:rFonts w:ascii="Times New Roman" w:hAnsi="Times New Roman" w:cs="Times New Roman"/>
          <w:sz w:val="26"/>
          <w:szCs w:val="26"/>
        </w:rPr>
        <w:tab/>
        <w:t>Interconnection Customer has provided security to Transmission Provider in accordance with Article 11.5 by the dates specified in Appendix B, Milestones.</w:t>
      </w:r>
    </w:p>
    <w:p w:rsidR="00F3594B" w:rsidRPr="0072600F" w14:paraId="4704785B" w14:textId="77777777">
      <w:pPr>
        <w:rPr>
          <w:rFonts w:ascii="Times New Roman" w:hAnsi="Times New Roman" w:cs="Times New Roman"/>
          <w:sz w:val="26"/>
          <w:szCs w:val="26"/>
        </w:rPr>
      </w:pPr>
    </w:p>
    <w:p w:rsidR="00F3594B" w:rsidRPr="0072600F" w14:paraId="118A1FB1" w14:textId="77777777">
      <w:pPr>
        <w:tabs>
          <w:tab w:val="left" w:pos="720"/>
        </w:tabs>
        <w:ind w:left="720" w:hanging="720"/>
        <w:rPr>
          <w:rFonts w:ascii="Times New Roman" w:hAnsi="Times New Roman" w:cs="Times New Roman"/>
          <w:sz w:val="26"/>
          <w:szCs w:val="26"/>
        </w:rPr>
      </w:pPr>
      <w:bookmarkStart w:id="426" w:name="_1__46_"/>
      <w:bookmarkStart w:id="427" w:name="_Toc148703310"/>
      <w:bookmarkEnd w:id="426"/>
      <w:r w:rsidRPr="0072600F">
        <w:rPr>
          <w:rStyle w:val="Heading2Char"/>
          <w:rFonts w:eastAsiaTheme="minorHAnsi"/>
          <w:b/>
          <w:sz w:val="26"/>
          <w:szCs w:val="26"/>
        </w:rPr>
        <w:t>5.7</w:t>
      </w:r>
      <w:r w:rsidRPr="0072600F">
        <w:rPr>
          <w:rStyle w:val="Heading2Char"/>
          <w:rFonts w:eastAsiaTheme="minorHAnsi"/>
          <w:b/>
          <w:sz w:val="26"/>
          <w:szCs w:val="26"/>
        </w:rPr>
        <w:tab/>
        <w:t>Work Progress.</w:t>
      </w:r>
      <w:bookmarkEnd w:id="427"/>
      <w:r w:rsidRPr="0072600F">
        <w:rPr>
          <w:rFonts w:ascii="Times New Roman" w:hAnsi="Times New Roman" w:cs="Times New Roman"/>
          <w:sz w:val="26"/>
          <w:szCs w:val="26"/>
        </w:rPr>
        <w:t xml:space="preserve">  The Parties will keep each other advised periodically as to the progress of their respective design, procurement and construction efforts.  Either Party may, at any time, request a progress report from the other Party.  If, at any time, Interconnection Customer determines that the completion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will not be required until after the specified In-Service Date, Interconnection Customer will provide written notice to Transmission Provider of such later date upon which the completion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will be required.</w:t>
      </w:r>
    </w:p>
    <w:p w:rsidR="00F3594B" w:rsidRPr="0072600F" w14:paraId="7AEE7A9A" w14:textId="77777777">
      <w:pPr>
        <w:rPr>
          <w:rFonts w:ascii="Times New Roman" w:hAnsi="Times New Roman" w:cs="Times New Roman"/>
          <w:sz w:val="26"/>
          <w:szCs w:val="26"/>
        </w:rPr>
      </w:pPr>
    </w:p>
    <w:p w:rsidR="00F3594B" w:rsidRPr="0072600F" w14:paraId="29E253B8" w14:textId="77777777">
      <w:pPr>
        <w:tabs>
          <w:tab w:val="left" w:pos="720"/>
        </w:tabs>
        <w:ind w:left="720" w:hanging="720"/>
        <w:rPr>
          <w:rFonts w:ascii="Times New Roman" w:hAnsi="Times New Roman" w:cs="Times New Roman"/>
          <w:sz w:val="26"/>
          <w:szCs w:val="26"/>
        </w:rPr>
      </w:pPr>
      <w:bookmarkStart w:id="428" w:name="_1__47_"/>
      <w:bookmarkStart w:id="429" w:name="_Toc148703311"/>
      <w:bookmarkEnd w:id="428"/>
      <w:r w:rsidRPr="0072600F">
        <w:rPr>
          <w:rStyle w:val="Heading2Char"/>
          <w:rFonts w:eastAsiaTheme="minorHAnsi"/>
          <w:b/>
          <w:sz w:val="26"/>
          <w:szCs w:val="26"/>
        </w:rPr>
        <w:t>5.8</w:t>
      </w:r>
      <w:r w:rsidRPr="0072600F">
        <w:rPr>
          <w:rStyle w:val="Heading2Char"/>
          <w:rFonts w:eastAsiaTheme="minorHAnsi"/>
          <w:b/>
          <w:sz w:val="26"/>
          <w:szCs w:val="26"/>
        </w:rPr>
        <w:tab/>
        <w:t>Information Exchange</w:t>
      </w:r>
      <w:r w:rsidRPr="0072600F">
        <w:rPr>
          <w:rStyle w:val="Heading2Char"/>
          <w:rFonts w:eastAsiaTheme="minorHAnsi"/>
          <w:sz w:val="26"/>
          <w:szCs w:val="26"/>
        </w:rPr>
        <w:t>.</w:t>
      </w:r>
      <w:bookmarkEnd w:id="429"/>
      <w:r w:rsidRPr="0072600F">
        <w:rPr>
          <w:rFonts w:ascii="Times New Roman" w:hAnsi="Times New Roman" w:cs="Times New Roman"/>
          <w:sz w:val="26"/>
          <w:szCs w:val="26"/>
        </w:rPr>
        <w:t xml:space="preserve">  As soon as reasonably practicable after the Effective Date, the Parties shall exchange information regarding the design and compatibility of the Parties' Interconnection Facilities and compatibility of the Interconnection Facilities with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and shall work diligently and in good faith to make any necessary design changes.</w:t>
      </w:r>
    </w:p>
    <w:p w:rsidR="00F3594B" w:rsidRPr="0072600F" w14:paraId="6AB2715D" w14:textId="77777777">
      <w:pPr>
        <w:rPr>
          <w:rFonts w:ascii="Times New Roman" w:hAnsi="Times New Roman" w:cs="Times New Roman"/>
          <w:sz w:val="26"/>
          <w:szCs w:val="26"/>
        </w:rPr>
      </w:pPr>
    </w:p>
    <w:p w:rsidR="00F3594B" w:rsidRPr="0072600F" w:rsidP="00E925A1" w14:paraId="5AB3ED7A" w14:textId="77777777">
      <w:pPr>
        <w:rPr>
          <w:rFonts w:ascii="Times New Roman" w:hAnsi="Times New Roman" w:cs="Times New Roman"/>
          <w:b/>
          <w:sz w:val="26"/>
          <w:szCs w:val="26"/>
        </w:rPr>
      </w:pPr>
      <w:bookmarkStart w:id="430" w:name="_1_0"/>
      <w:bookmarkStart w:id="431" w:name="_Toc148703312"/>
      <w:bookmarkStart w:id="432" w:name="fivepoint9"/>
      <w:bookmarkEnd w:id="430"/>
      <w:r w:rsidRPr="0072600F">
        <w:rPr>
          <w:rFonts w:ascii="Times New Roman" w:hAnsi="Times New Roman" w:cs="Times New Roman"/>
          <w:b/>
          <w:sz w:val="26"/>
          <w:szCs w:val="26"/>
        </w:rPr>
        <w:t>5.9</w:t>
      </w:r>
      <w:r w:rsidRPr="0072600F">
        <w:rPr>
          <w:rFonts w:ascii="Times New Roman" w:hAnsi="Times New Roman" w:cs="Times New Roman"/>
          <w:b/>
          <w:sz w:val="26"/>
          <w:szCs w:val="26"/>
        </w:rPr>
        <w:tab/>
        <w:t>Other Interconnection Options.</w:t>
      </w:r>
      <w:bookmarkEnd w:id="431"/>
    </w:p>
    <w:bookmarkEnd w:id="432"/>
    <w:p w:rsidR="00F3594B" w:rsidRPr="0072600F" w14:paraId="43AA425A" w14:textId="77777777">
      <w:pPr>
        <w:tabs>
          <w:tab w:val="left" w:pos="720"/>
        </w:tabs>
        <w:ind w:left="720" w:hanging="720"/>
        <w:rPr>
          <w:rFonts w:ascii="Times New Roman" w:hAnsi="Times New Roman" w:cs="Times New Roman"/>
          <w:sz w:val="26"/>
          <w:szCs w:val="26"/>
        </w:rPr>
      </w:pPr>
    </w:p>
    <w:p w:rsidR="00F3594B" w:rsidRPr="0072600F" w:rsidP="00A10825" w14:paraId="75C05926" w14:textId="77777777">
      <w:pPr>
        <w:tabs>
          <w:tab w:val="left" w:pos="720"/>
        </w:tabs>
        <w:ind w:left="1440" w:hanging="1440"/>
        <w:rPr>
          <w:rFonts w:ascii="Times New Roman" w:hAnsi="Times New Roman" w:cs="Times New Roman"/>
          <w:sz w:val="26"/>
          <w:szCs w:val="26"/>
        </w:rPr>
      </w:pPr>
      <w:r w:rsidRPr="0072600F">
        <w:rPr>
          <w:rFonts w:ascii="Times New Roman" w:hAnsi="Times New Roman" w:cs="Times New Roman"/>
          <w:b/>
          <w:sz w:val="26"/>
          <w:szCs w:val="26"/>
        </w:rPr>
        <w:tab/>
      </w:r>
      <w:bookmarkStart w:id="433" w:name="_Toc148703313"/>
      <w:bookmarkStart w:id="434" w:name="fivepointninepoint1"/>
      <w:r w:rsidRPr="0072600F">
        <w:rPr>
          <w:rStyle w:val="Heading3Char"/>
          <w:rFonts w:eastAsiaTheme="minorHAnsi"/>
          <w:b/>
          <w:sz w:val="26"/>
        </w:rPr>
        <w:t>5.9.1</w:t>
      </w:r>
      <w:r w:rsidRPr="0072600F">
        <w:rPr>
          <w:rStyle w:val="Heading3Char"/>
          <w:rFonts w:eastAsiaTheme="minorHAnsi"/>
          <w:b/>
          <w:sz w:val="26"/>
        </w:rPr>
        <w:tab/>
        <w:t>Limited Operation.</w:t>
      </w:r>
      <w:bookmarkEnd w:id="433"/>
      <w:r w:rsidRPr="0072600F">
        <w:rPr>
          <w:rFonts w:ascii="Times New Roman" w:hAnsi="Times New Roman" w:cs="Times New Roman"/>
          <w:sz w:val="26"/>
          <w:szCs w:val="26"/>
        </w:rPr>
        <w:t xml:space="preserve">  </w:t>
      </w:r>
      <w:bookmarkEnd w:id="434"/>
      <w:r w:rsidRPr="0072600F">
        <w:rPr>
          <w:rFonts w:ascii="Times New Roman" w:hAnsi="Times New Roman" w:cs="Times New Roman"/>
          <w:sz w:val="26"/>
          <w:szCs w:val="26"/>
        </w:rPr>
        <w:t xml:space="preserve">If any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are not reasonably expected to be completed prior to the Commercial Operation Date of the Large Generating Facility, Transmission Provider shall, upon the request and at the expense of Interconnection Customer, perform operating studies on a timely basis to determine the extent to which the Large Generating Facility and Interconnection Customer's Interconnection Facilities may operate prior to the completion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consistent with Applicable Laws and Regulations, Applicable Reliability Standards, Good Utility Practice, and this LGIA.  Transmission Provider shall permit Interconnection Customer to operate the Large Generating Facility and Interconnection Customer's Interconnection Facilities in accordance with the results of such studies.</w:t>
      </w:r>
    </w:p>
    <w:p w:rsidR="00F3594B" w:rsidRPr="0072600F" w14:paraId="6F28FA91" w14:textId="77777777">
      <w:pPr>
        <w:tabs>
          <w:tab w:val="left" w:pos="720"/>
        </w:tabs>
        <w:ind w:left="720" w:hanging="720"/>
        <w:rPr>
          <w:rFonts w:ascii="Times New Roman" w:hAnsi="Times New Roman" w:cs="Times New Roman"/>
          <w:sz w:val="26"/>
          <w:szCs w:val="26"/>
        </w:rPr>
      </w:pPr>
    </w:p>
    <w:p w:rsidR="00F3594B" w:rsidRPr="0072600F" w:rsidP="00A10825" w14:paraId="12217EF2" w14:textId="77777777">
      <w:pPr>
        <w:tabs>
          <w:tab w:val="left" w:pos="720"/>
        </w:tabs>
        <w:ind w:left="1440" w:hanging="1440"/>
        <w:rPr>
          <w:rFonts w:ascii="Times New Roman" w:hAnsi="Times New Roman" w:cs="Times New Roman"/>
          <w:sz w:val="26"/>
          <w:szCs w:val="26"/>
        </w:rPr>
      </w:pPr>
      <w:r w:rsidRPr="0072600F">
        <w:rPr>
          <w:rFonts w:ascii="Times New Roman" w:hAnsi="Times New Roman" w:cs="Times New Roman"/>
          <w:b/>
          <w:sz w:val="26"/>
          <w:szCs w:val="26"/>
        </w:rPr>
        <w:tab/>
      </w:r>
      <w:bookmarkStart w:id="435" w:name="fivepointninepoint2"/>
      <w:hyperlink w:anchor="fivepointninepoint2" w:history="1">
        <w:bookmarkStart w:id="436" w:name="_Toc148703314"/>
        <w:r w:rsidRPr="0072600F">
          <w:rPr>
            <w:rStyle w:val="Heading3Char"/>
            <w:rFonts w:eastAsiaTheme="minorHAnsi"/>
            <w:b/>
            <w:sz w:val="26"/>
          </w:rPr>
          <w:t>5.9.2</w:t>
        </w:r>
        <w:r w:rsidRPr="0072600F">
          <w:rPr>
            <w:rStyle w:val="Heading3Char"/>
            <w:rFonts w:eastAsiaTheme="minorHAnsi"/>
            <w:b/>
            <w:sz w:val="26"/>
          </w:rPr>
          <w:tab/>
          <w:t>Provisional Interconnection Service.</w:t>
        </w:r>
        <w:bookmarkEnd w:id="436"/>
      </w:hyperlink>
      <w:r w:rsidRPr="0072600F">
        <w:rPr>
          <w:rFonts w:ascii="Times New Roman" w:hAnsi="Times New Roman" w:cs="Times New Roman"/>
          <w:b/>
          <w:sz w:val="26"/>
          <w:szCs w:val="26"/>
        </w:rPr>
        <w:t xml:space="preserve"> </w:t>
      </w:r>
      <w:bookmarkEnd w:id="435"/>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Upon the request of Interconnection Customer, and prior to completion of requisite Interconnection Facilities, Network Upgrades, Distribution Upgrades, or System Protection Facilities Transmission Provider may execute a Provisional Large Generator Interconnection Agreement or Interconnection Customer may request the filing of an unexecuted Provisional Large Generator Interconnection Agreement with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for limited Interconnection Service at the discretion of Transmission Provider based upon an evaluation that will consider the results of available studies.  Transmission Provider shall determine, through available studies or additional studies as necessary, whether stability, short circuit, thermal, and/or voltage issues would arise if Interconnection Customer interconnects without modifications to the Generating Facility or Transmission System.  Transmission Provider shall determine whether any Interconnection Facilities, Network Upgrades, Distribution Upgrades, or System Protection Facilities that are necessary to meet the requirements of the Electric Reliability Organization, or any applicable Regional Entity for the interconnection of a new, modified and/or expanded Generating Facility are in place prior to the commencement of Interconnection Service from the Generating Facility.  Where available studies indicate that such, Interconnection Facilities, Network Upgrades, Distribution Upgrades, and/or System Protection Facilities that are required for the interconnection of a new, modified and/or expanded Generating Facility are not currently in place, Transmission Provider will perform a study, at </w:t>
      </w:r>
      <w:r w:rsidRPr="0072600F" w:rsidR="00B77483">
        <w:rPr>
          <w:rFonts w:ascii="Times New Roman" w:hAnsi="Times New Roman" w:cs="Times New Roman"/>
          <w:sz w:val="26"/>
          <w:szCs w:val="26"/>
        </w:rPr>
        <w:t>[</w:t>
      </w:r>
      <w:r w:rsidRPr="0072600F">
        <w:rPr>
          <w:rFonts w:ascii="Times New Roman" w:hAnsi="Times New Roman" w:cs="Times New Roman"/>
          <w:sz w:val="26"/>
          <w:szCs w:val="26"/>
        </w:rPr>
        <w:t>the</w:t>
      </w:r>
      <w:r w:rsidRPr="0072600F" w:rsidR="00B77483">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expense, to confirm the facilities that are required for Provisional Interconnection Service.  The maximum permissible output of the Generating Facility in the Provisional Large Generator Interconnection Agreement shall be studied and updated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on a frequency determined by Transmission Provider and at </w:t>
      </w:r>
      <w:r w:rsidRPr="0072600F" w:rsidR="00B77483">
        <w:rPr>
          <w:rFonts w:ascii="Times New Roman" w:hAnsi="Times New Roman" w:cs="Times New Roman"/>
          <w:sz w:val="26"/>
          <w:szCs w:val="26"/>
        </w:rPr>
        <w:t>[</w:t>
      </w:r>
      <w:r w:rsidRPr="0072600F">
        <w:rPr>
          <w:rFonts w:ascii="Times New Roman" w:hAnsi="Times New Roman" w:cs="Times New Roman"/>
          <w:sz w:val="26"/>
          <w:szCs w:val="26"/>
        </w:rPr>
        <w:t>the</w:t>
      </w:r>
      <w:r w:rsidRPr="0072600F" w:rsidR="00B77483">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expense</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assumes all risk and liabilities with respect to changes between the Provisional Large Generator Interconnection Agreement and the Large Generator Interconnection Agreement, including changes in output limits and Interconnection Facilities, Network Upgrades, Distribution Upgrades, and/or System Protection Facilities cost responsibilities.  </w:t>
      </w:r>
    </w:p>
    <w:p w:rsidR="00F3594B" w:rsidRPr="0072600F" w14:paraId="2A0FBD8B" w14:textId="77777777">
      <w:pPr>
        <w:rPr>
          <w:rFonts w:ascii="Times New Roman" w:hAnsi="Times New Roman" w:cs="Times New Roman"/>
          <w:sz w:val="26"/>
          <w:szCs w:val="26"/>
        </w:rPr>
      </w:pPr>
    </w:p>
    <w:p w:rsidR="00F3594B" w:rsidRPr="0072600F" w14:paraId="38E736BE" w14:textId="77777777">
      <w:pPr>
        <w:tabs>
          <w:tab w:val="left" w:pos="720"/>
        </w:tabs>
        <w:ind w:left="720" w:hanging="720"/>
        <w:rPr>
          <w:rFonts w:ascii="Times New Roman" w:hAnsi="Times New Roman" w:cs="Times New Roman"/>
          <w:sz w:val="26"/>
          <w:szCs w:val="26"/>
        </w:rPr>
      </w:pPr>
      <w:bookmarkStart w:id="437" w:name="_1_1"/>
      <w:bookmarkStart w:id="438" w:name="_Toc148703315"/>
      <w:bookmarkEnd w:id="437"/>
      <w:r w:rsidRPr="0072600F">
        <w:rPr>
          <w:rStyle w:val="Heading2Char"/>
          <w:rFonts w:eastAsiaTheme="minorHAnsi"/>
          <w:b/>
          <w:sz w:val="26"/>
          <w:szCs w:val="26"/>
        </w:rPr>
        <w:t>5.10</w:t>
      </w:r>
      <w:r w:rsidRPr="0072600F">
        <w:rPr>
          <w:rStyle w:val="Heading2Char"/>
          <w:rFonts w:eastAsiaTheme="minorHAnsi"/>
          <w:b/>
          <w:sz w:val="26"/>
          <w:szCs w:val="26"/>
        </w:rPr>
        <w:tab/>
        <w:t>Interconnection Customer's Interconnection Facilities ('ICIF').</w:t>
      </w:r>
      <w:bookmarkEnd w:id="438"/>
      <w:r w:rsidRPr="0072600F">
        <w:rPr>
          <w:rFonts w:ascii="Times New Roman" w:hAnsi="Times New Roman" w:cs="Times New Roman"/>
          <w:sz w:val="26"/>
          <w:szCs w:val="26"/>
        </w:rPr>
        <w:t xml:space="preserve">  Interconnection Customer shall, at its expense, design, procure, construct, own and install the ICIF, as set forth in Appendix A, Interconnection Facilities, Network Upgrades and Distribution Upgrades.</w:t>
      </w:r>
    </w:p>
    <w:p w:rsidR="00F3594B" w:rsidRPr="0072600F" w14:paraId="192BE82C" w14:textId="77777777">
      <w:pPr>
        <w:rPr>
          <w:rFonts w:ascii="Times New Roman" w:hAnsi="Times New Roman" w:cs="Times New Roman"/>
          <w:sz w:val="26"/>
          <w:szCs w:val="26"/>
        </w:rPr>
      </w:pPr>
    </w:p>
    <w:p w:rsidR="00F3594B" w:rsidRPr="0072600F" w14:paraId="4476AEF5" w14:textId="77777777">
      <w:pPr>
        <w:tabs>
          <w:tab w:val="left" w:pos="720"/>
          <w:tab w:val="left" w:pos="1440"/>
          <w:tab w:val="left" w:pos="2160"/>
        </w:tabs>
        <w:ind w:left="2160" w:hanging="1440"/>
        <w:rPr>
          <w:rFonts w:ascii="Times New Roman" w:hAnsi="Times New Roman" w:cs="Times New Roman"/>
          <w:sz w:val="26"/>
          <w:szCs w:val="26"/>
        </w:rPr>
      </w:pPr>
      <w:bookmarkStart w:id="439" w:name="_Toc148703316"/>
      <w:r w:rsidRPr="0072600F">
        <w:rPr>
          <w:rStyle w:val="Heading3Char"/>
          <w:rFonts w:eastAsiaTheme="minorHAnsi"/>
          <w:b/>
          <w:sz w:val="26"/>
        </w:rPr>
        <w:t>5.10.1</w:t>
      </w:r>
      <w:r w:rsidRPr="0072600F">
        <w:rPr>
          <w:rStyle w:val="Heading3Char"/>
          <w:rFonts w:eastAsiaTheme="minorHAnsi"/>
          <w:b/>
          <w:sz w:val="26"/>
        </w:rPr>
        <w:tab/>
      </w:r>
      <w:r w:rsidRPr="0072600F">
        <w:rPr>
          <w:rStyle w:val="Heading3Char"/>
          <w:rFonts w:eastAsiaTheme="minorHAnsi"/>
          <w:b/>
          <w:sz w:val="26"/>
        </w:rPr>
        <w:tab/>
        <w:t>Interconnection Customer's Interconnection Facility Specifications.</w:t>
      </w:r>
      <w:bookmarkEnd w:id="439"/>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 Interconnection Customer shall submit initial specifications for the ICIF, including System Protection Facilities, to Transmission Provider at least one hundred eighty (180) Calendar Days prior to the Initial Synchronization Date; and final specifications for review and comment at least ninety (90) Calendar Days prior to the Initial Synchronization Date.  Transmission Provider shall review such specifications to ensure that the ICIF are compatible with the technical specifications, operational control, and safety requirements of Transmission Provider and comment on such specifications within thirty (30) Calendar Days of Interconnection Customer's submission.  All specifications provided hereunder shall be deemed confidential.</w:t>
      </w:r>
    </w:p>
    <w:p w:rsidR="00F3594B" w:rsidRPr="0072600F" w14:paraId="1822D814" w14:textId="77777777">
      <w:pPr>
        <w:rPr>
          <w:rFonts w:ascii="Times New Roman" w:hAnsi="Times New Roman" w:cs="Times New Roman"/>
          <w:sz w:val="26"/>
          <w:szCs w:val="26"/>
        </w:rPr>
      </w:pPr>
    </w:p>
    <w:p w:rsidR="00F3594B" w:rsidRPr="0072600F" w14:paraId="0BC84066"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40" w:name="_1_3"/>
      <w:bookmarkStart w:id="441" w:name="_Toc148703317"/>
      <w:bookmarkEnd w:id="440"/>
      <w:r w:rsidRPr="0072600F">
        <w:rPr>
          <w:rStyle w:val="Heading3Char"/>
          <w:rFonts w:eastAsiaTheme="minorHAnsi"/>
          <w:b/>
          <w:sz w:val="26"/>
        </w:rPr>
        <w:t>5.10.2</w:t>
      </w:r>
      <w:r w:rsidRPr="0072600F">
        <w:rPr>
          <w:rStyle w:val="Heading3Char"/>
          <w:rFonts w:eastAsiaTheme="minorHAnsi"/>
          <w:b/>
          <w:sz w:val="26"/>
        </w:rPr>
        <w:tab/>
      </w:r>
      <w:r w:rsidRPr="0072600F">
        <w:rPr>
          <w:rStyle w:val="Heading3Char"/>
          <w:rFonts w:eastAsiaTheme="minorHAnsi"/>
          <w:b/>
          <w:sz w:val="26"/>
        </w:rPr>
        <w:tab/>
      </w:r>
      <w:r w:rsidRPr="0072600F" w:rsidR="00BD11B3">
        <w:rPr>
          <w:rStyle w:val="Heading3Char"/>
          <w:rFonts w:eastAsiaTheme="minorHAnsi"/>
          <w:b/>
          <w:sz w:val="26"/>
        </w:rPr>
        <w:t>Transmission Provider’s</w:t>
      </w:r>
      <w:r w:rsidRPr="0072600F">
        <w:rPr>
          <w:rStyle w:val="Heading3Char"/>
          <w:rFonts w:eastAsiaTheme="minorHAnsi"/>
          <w:b/>
          <w:sz w:val="26"/>
        </w:rPr>
        <w:t xml:space="preserve"> Review.</w:t>
      </w:r>
      <w:bookmarkEnd w:id="441"/>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review of Interconnection Customer's final specifications shall not be construed as confirming, endorsing, or providing a warranty as to the design, fitness, safety, durability or reliability of the Large Generating Facility, or the ICIF.  Interconnection Customer shall make such changes to the ICIF as may reasonably be required by Transmission Provider, in accordance with Good Utility Practice, to ensure that the ICIF are compatible with the technical specifications, operational control, and safety requirements of Transmission Provider.</w:t>
      </w:r>
    </w:p>
    <w:p w:rsidR="00F3594B" w:rsidRPr="0072600F" w14:paraId="1C5B4753" w14:textId="77777777">
      <w:pPr>
        <w:tabs>
          <w:tab w:val="left" w:pos="720"/>
          <w:tab w:val="left" w:pos="1440"/>
          <w:tab w:val="left" w:pos="2160"/>
        </w:tabs>
        <w:ind w:left="2160" w:hanging="2160"/>
        <w:rPr>
          <w:rFonts w:ascii="Times New Roman" w:hAnsi="Times New Roman" w:cs="Times New Roman"/>
          <w:sz w:val="26"/>
          <w:szCs w:val="26"/>
        </w:rPr>
      </w:pPr>
    </w:p>
    <w:p w:rsidR="00F3594B" w:rsidRPr="0072600F" w14:paraId="74CBEC74"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42" w:name="_1_4"/>
      <w:bookmarkStart w:id="443" w:name="_Toc148703318"/>
      <w:bookmarkEnd w:id="442"/>
      <w:r w:rsidRPr="0072600F">
        <w:rPr>
          <w:rStyle w:val="Heading3Char"/>
          <w:rFonts w:eastAsiaTheme="minorHAnsi"/>
          <w:b/>
          <w:sz w:val="26"/>
        </w:rPr>
        <w:t>5.10.3</w:t>
      </w:r>
      <w:r w:rsidRPr="0072600F">
        <w:rPr>
          <w:rStyle w:val="Heading3Char"/>
          <w:rFonts w:eastAsiaTheme="minorHAnsi"/>
          <w:b/>
          <w:sz w:val="26"/>
        </w:rPr>
        <w:tab/>
      </w:r>
      <w:r w:rsidRPr="0072600F">
        <w:rPr>
          <w:rStyle w:val="Heading3Char"/>
          <w:rFonts w:eastAsiaTheme="minorHAnsi"/>
          <w:b/>
          <w:sz w:val="26"/>
        </w:rPr>
        <w:tab/>
        <w:t>ICIF Construction.</w:t>
      </w:r>
      <w:bookmarkEnd w:id="443"/>
      <w:r w:rsidRPr="0072600F">
        <w:rPr>
          <w:rFonts w:ascii="Times New Roman" w:hAnsi="Times New Roman" w:cs="Times New Roman"/>
          <w:sz w:val="26"/>
          <w:szCs w:val="26"/>
        </w:rPr>
        <w:t xml:space="preserve">  The ICIF shall be designed and constructed in accordance with Good Utility Practice.  Within one hundred twenty (120) Calendar Days after the Commercial Operation Date, unless the Parties agree on another mutually acceptable deadline, Interconnection Customer shall deliver to Transmission Provider "as-built" drawings, information and documents for the ICIF, such as:</w:t>
      </w:r>
      <w:r w:rsidRPr="0072600F" w:rsidR="00D46245">
        <w:rPr>
          <w:rFonts w:ascii="Times New Roman" w:hAnsi="Times New Roman" w:cs="Times New Roman"/>
          <w:sz w:val="26"/>
          <w:szCs w:val="26"/>
        </w:rPr>
        <w:t xml:space="preserve"> </w:t>
      </w:r>
      <w:r w:rsidRPr="0072600F">
        <w:rPr>
          <w:rFonts w:ascii="Times New Roman" w:hAnsi="Times New Roman" w:cs="Times New Roman"/>
          <w:sz w:val="26"/>
          <w:szCs w:val="26"/>
        </w:rPr>
        <w:t xml:space="preserve"> a one-line diagram, a site plan showing the Large Generating Facility and the ICIF, plan and elevation drawings showing the layout of the ICIF, a relay functional diagram, relaying AC and DC schematic wiring diagrams and relay settings for all facilities associated with Interconnection Customer's step-up transformers, the facilities connecting the Large Generating Facility to the step-up transformers and the ICIF, and the impedances (determined by factory tests) for the associated step-up transformers and the Large Generating Facility.  </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provide Transmission Provider specifications for the excitation system, automatic voltage regulator, Large Generating Facility control and protection settings, transformer tap settings, and communications, if applicable.</w:t>
      </w:r>
    </w:p>
    <w:p w:rsidR="00F3594B" w:rsidRPr="0072600F" w14:paraId="4E3B0BE9" w14:textId="77777777">
      <w:pPr>
        <w:tabs>
          <w:tab w:val="left" w:pos="720"/>
        </w:tabs>
        <w:ind w:left="720" w:hanging="720"/>
        <w:rPr>
          <w:rFonts w:ascii="Times New Roman" w:hAnsi="Times New Roman" w:cs="Times New Roman"/>
          <w:b/>
          <w:bCs/>
          <w:sz w:val="26"/>
          <w:szCs w:val="26"/>
        </w:rPr>
      </w:pPr>
      <w:bookmarkStart w:id="444" w:name="_1_5"/>
      <w:bookmarkEnd w:id="444"/>
    </w:p>
    <w:p w:rsidR="00F3594B" w:rsidRPr="0072600F" w14:paraId="4A44C788" w14:textId="77777777">
      <w:pPr>
        <w:tabs>
          <w:tab w:val="left" w:pos="720"/>
        </w:tabs>
        <w:ind w:left="720" w:hanging="720"/>
        <w:rPr>
          <w:rFonts w:ascii="Times New Roman" w:hAnsi="Times New Roman" w:cs="Times New Roman"/>
          <w:sz w:val="26"/>
          <w:szCs w:val="26"/>
        </w:rPr>
      </w:pPr>
      <w:bookmarkStart w:id="445" w:name="_Toc148703319"/>
      <w:r w:rsidRPr="0072600F">
        <w:rPr>
          <w:rStyle w:val="Heading2Char"/>
          <w:rFonts w:eastAsiaTheme="minorHAnsi"/>
          <w:b/>
          <w:sz w:val="26"/>
          <w:szCs w:val="26"/>
        </w:rPr>
        <w:t>5.11</w:t>
      </w:r>
      <w:r w:rsidRPr="0072600F">
        <w:rPr>
          <w:rStyle w:val="Heading2Char"/>
          <w:rFonts w:eastAsiaTheme="minorHAnsi"/>
          <w:b/>
          <w:sz w:val="26"/>
          <w:szCs w:val="26"/>
        </w:rPr>
        <w:tab/>
      </w:r>
      <w:r w:rsidRPr="0072600F" w:rsidR="00BD11B3">
        <w:rPr>
          <w:rStyle w:val="Heading2Char"/>
          <w:rFonts w:eastAsiaTheme="minorHAnsi"/>
          <w:b/>
          <w:sz w:val="26"/>
          <w:szCs w:val="26"/>
        </w:rPr>
        <w:t>Transmission Provider’s</w:t>
      </w:r>
      <w:r w:rsidRPr="0072600F">
        <w:rPr>
          <w:rStyle w:val="Heading2Char"/>
          <w:rFonts w:eastAsiaTheme="minorHAnsi"/>
          <w:b/>
          <w:sz w:val="26"/>
          <w:szCs w:val="26"/>
        </w:rPr>
        <w:t xml:space="preserve"> Interconnection Facilities Construction.</w:t>
      </w:r>
      <w:bookmarkEnd w:id="445"/>
      <w:r w:rsidRPr="0072600F">
        <w:rPr>
          <w:rFonts w:ascii="Times New Roman" w:hAnsi="Times New Roman" w:cs="Times New Roman"/>
          <w:b/>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shall be designed and constructed in accordance with Good Utility Practice.  Upon request, within one hundred twenty (120) Calendar Days after the Commercial Operation Date, unless the Parties agree on another mutually acceptable deadline, Transmission Provider shall deliver to Interconnection Customer the following "as-built" drawings, information and documents for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include appropriate drawings and relay diagrams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F3594B" w:rsidRPr="0072600F" w14:paraId="4BA776BC" w14:textId="77777777">
      <w:pPr>
        <w:rPr>
          <w:rFonts w:ascii="Times New Roman" w:hAnsi="Times New Roman" w:cs="Times New Roman"/>
          <w:sz w:val="26"/>
          <w:szCs w:val="26"/>
        </w:rPr>
      </w:pPr>
    </w:p>
    <w:p w:rsidR="00F3594B" w:rsidRPr="0072600F" w14:paraId="7282EB54"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Transmission Provider will obtain control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Stand Alone Network Upgrades upon completion of such facilities.</w:t>
      </w:r>
    </w:p>
    <w:p w:rsidR="00F3594B" w:rsidRPr="0072600F" w14:paraId="238AD7F9" w14:textId="77777777">
      <w:pPr>
        <w:rPr>
          <w:rFonts w:ascii="Times New Roman" w:hAnsi="Times New Roman" w:cs="Times New Roman"/>
          <w:sz w:val="26"/>
          <w:szCs w:val="26"/>
        </w:rPr>
      </w:pPr>
    </w:p>
    <w:p w:rsidR="00F3594B" w:rsidRPr="0072600F" w14:paraId="208C3903" w14:textId="77777777">
      <w:pPr>
        <w:tabs>
          <w:tab w:val="left" w:pos="720"/>
        </w:tabs>
        <w:ind w:left="720" w:hanging="720"/>
        <w:rPr>
          <w:rFonts w:ascii="Times New Roman" w:hAnsi="Times New Roman" w:cs="Times New Roman"/>
          <w:sz w:val="26"/>
          <w:szCs w:val="26"/>
        </w:rPr>
      </w:pPr>
      <w:bookmarkStart w:id="446" w:name="_1_6"/>
      <w:bookmarkStart w:id="447" w:name="_Toc148703320"/>
      <w:bookmarkEnd w:id="446"/>
      <w:r w:rsidRPr="0072600F">
        <w:rPr>
          <w:rStyle w:val="Heading2Char"/>
          <w:rFonts w:eastAsiaTheme="minorHAnsi"/>
          <w:b/>
          <w:sz w:val="26"/>
          <w:szCs w:val="26"/>
        </w:rPr>
        <w:t>5.12</w:t>
      </w:r>
      <w:r w:rsidRPr="0072600F">
        <w:rPr>
          <w:rStyle w:val="Heading2Char"/>
          <w:rFonts w:eastAsiaTheme="minorHAnsi"/>
          <w:b/>
          <w:sz w:val="26"/>
          <w:szCs w:val="26"/>
        </w:rPr>
        <w:tab/>
        <w:t>Access Rights.</w:t>
      </w:r>
      <w:bookmarkEnd w:id="447"/>
      <w:r w:rsidRPr="0072600F">
        <w:rPr>
          <w:rFonts w:ascii="Times New Roman" w:hAnsi="Times New Roman" w:cs="Times New Roman"/>
          <w:sz w:val="26"/>
          <w:szCs w:val="26"/>
        </w:rPr>
        <w:t xml:space="preserve">  Upon reasonable notice and supervision by a Party, and subject to any required or necessary regulatory approvals, a Party ("Granting Party") shall furnish at no cost to the other Party ("Access Party") any rights of</w:t>
      </w:r>
      <w:r w:rsidRPr="0072600F">
        <w:rPr>
          <w:rFonts w:ascii="Times New Roman" w:hAnsi="Times New Roman" w:cs="Times New Roman"/>
          <w:i/>
          <w:iCs/>
          <w:sz w:val="26"/>
          <w:szCs w:val="26"/>
        </w:rPr>
        <w:t xml:space="preserve"> </w:t>
      </w:r>
      <w:r w:rsidRPr="0072600F">
        <w:rPr>
          <w:rFonts w:ascii="Times New Roman" w:hAnsi="Times New Roman" w:cs="Times New Roman"/>
          <w:sz w:val="26"/>
          <w:szCs w:val="26"/>
        </w:rPr>
        <w:t xml:space="preserve">use, licenses, rights of way and easements with respect to lands owned or controlled by the Granting Party, its agents (if allowed under the applicable agency agreement), or any Affiliate, that are necessary to enable the Access Party to obtain ingress and egress to construct, operate, maintain, repair, test (or witness testing), inspect, replace or remove facilities and equipment to: </w:t>
      </w:r>
      <w:r w:rsidRPr="0072600F" w:rsidR="00B779A3">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interconnect the Large Generating Facility with the Transmission System; (ii) operate and maintain the Large Generating Facility, the Interconnection Facilities and the Transmission System; and (iii) disconnect or remove the Access Party's facilities and equipment upon termination of this LGIA.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w:t>
      </w:r>
    </w:p>
    <w:p w:rsidR="00F3594B" w:rsidRPr="0072600F" w14:paraId="3E73DB7E" w14:textId="77777777">
      <w:pPr>
        <w:rPr>
          <w:rFonts w:ascii="Times New Roman" w:hAnsi="Times New Roman" w:cs="Times New Roman"/>
          <w:sz w:val="26"/>
          <w:szCs w:val="26"/>
        </w:rPr>
      </w:pPr>
    </w:p>
    <w:p w:rsidR="00F3594B" w:rsidRPr="0072600F" w14:paraId="7DB83B79" w14:textId="77777777">
      <w:pPr>
        <w:tabs>
          <w:tab w:val="left" w:pos="720"/>
        </w:tabs>
        <w:ind w:left="720" w:hanging="720"/>
        <w:rPr>
          <w:rFonts w:ascii="Times New Roman" w:hAnsi="Times New Roman" w:cs="Times New Roman"/>
          <w:sz w:val="26"/>
          <w:szCs w:val="26"/>
        </w:rPr>
      </w:pPr>
      <w:bookmarkStart w:id="448" w:name="_1_7"/>
      <w:bookmarkStart w:id="449" w:name="_Toc148703321"/>
      <w:bookmarkEnd w:id="448"/>
      <w:r w:rsidRPr="0072600F">
        <w:rPr>
          <w:rStyle w:val="Heading2Char"/>
          <w:rFonts w:eastAsiaTheme="minorHAnsi"/>
          <w:b/>
          <w:sz w:val="26"/>
          <w:szCs w:val="26"/>
        </w:rPr>
        <w:t>5.13</w:t>
      </w:r>
      <w:r w:rsidRPr="0072600F">
        <w:rPr>
          <w:rStyle w:val="Heading2Char"/>
          <w:rFonts w:eastAsiaTheme="minorHAnsi"/>
          <w:b/>
          <w:sz w:val="26"/>
          <w:szCs w:val="26"/>
        </w:rPr>
        <w:tab/>
        <w:t>Lands of Other Property Owners.</w:t>
      </w:r>
      <w:bookmarkEnd w:id="449"/>
      <w:r w:rsidRPr="0072600F">
        <w:rPr>
          <w:rFonts w:ascii="Times New Roman" w:hAnsi="Times New Roman" w:cs="Times New Roman"/>
          <w:sz w:val="26"/>
          <w:szCs w:val="26"/>
        </w:rPr>
        <w:t xml:space="preserve">  If any part of Transmission Provider or Transmission Owner's Interconnection Facilities and/or Network Upgrades is to be installed on property owned by persons other than Interconnection Customer or Transmission Provider or Transmission Owner, Transmission Provider or Transmission Owner shall at Interconnection Customer's expense use efforts, similar in nature and extent to those that it typically undertakes on its own behalf or on behalf of its Affiliates, including use of its eminent domain authority, and to the extent consistent with state law, to procure from such persons any rights of use, licenses, rights of way and easements that are necessary to construct, operate, maintain, test, inspect, replace or remove Transmission Provider or Transmission Owner's Interconnection Facilities and/or Network Upgrades upon such property.</w:t>
      </w:r>
    </w:p>
    <w:p w:rsidR="00F3594B" w:rsidRPr="0072600F" w14:paraId="1FCE94D5" w14:textId="77777777">
      <w:pPr>
        <w:rPr>
          <w:rFonts w:ascii="Times New Roman" w:hAnsi="Times New Roman" w:cs="Times New Roman"/>
          <w:sz w:val="26"/>
          <w:szCs w:val="26"/>
        </w:rPr>
      </w:pPr>
    </w:p>
    <w:p w:rsidR="00F3594B" w:rsidRPr="0072600F" w14:paraId="53307D3B" w14:textId="77777777">
      <w:pPr>
        <w:tabs>
          <w:tab w:val="left" w:pos="720"/>
        </w:tabs>
        <w:ind w:left="720" w:hanging="720"/>
        <w:rPr>
          <w:rFonts w:ascii="Times New Roman" w:hAnsi="Times New Roman" w:cs="Times New Roman"/>
          <w:sz w:val="26"/>
          <w:szCs w:val="26"/>
        </w:rPr>
      </w:pPr>
      <w:bookmarkStart w:id="450" w:name="_Toc148703322"/>
      <w:r w:rsidRPr="0072600F">
        <w:rPr>
          <w:rStyle w:val="Heading2Char"/>
          <w:rFonts w:eastAsiaTheme="minorHAnsi"/>
          <w:b/>
          <w:sz w:val="26"/>
          <w:szCs w:val="26"/>
        </w:rPr>
        <w:t>5.14</w:t>
      </w:r>
      <w:r w:rsidRPr="0072600F">
        <w:rPr>
          <w:rStyle w:val="Heading2Char"/>
          <w:rFonts w:eastAsiaTheme="minorHAnsi"/>
          <w:b/>
          <w:sz w:val="26"/>
          <w:szCs w:val="26"/>
        </w:rPr>
        <w:tab/>
        <w:t>Permits.</w:t>
      </w:r>
      <w:bookmarkEnd w:id="450"/>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 Transmission Provider or Transmission Owner and Interconnection Customer shall cooperate with each other in good faith in obtaining all permits, licenses, and authorizations that are necessary to accomplish the interconnection in compliance with Applicable Laws and Regulations.  With respect to this paragraph, Transmission Provider or Transmission Owner shall provide permitting assistance to Interconnection Customer comparable to that provided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own, or an Affiliate's generation.</w:t>
      </w:r>
    </w:p>
    <w:p w:rsidR="00F3594B" w:rsidRPr="0072600F" w14:paraId="06410FB6" w14:textId="77777777">
      <w:pPr>
        <w:rPr>
          <w:rFonts w:ascii="Times New Roman" w:hAnsi="Times New Roman" w:cs="Times New Roman"/>
          <w:sz w:val="26"/>
          <w:szCs w:val="26"/>
        </w:rPr>
      </w:pPr>
    </w:p>
    <w:p w:rsidR="00F3594B" w:rsidRPr="0072600F" w14:paraId="09047357" w14:textId="77777777">
      <w:pPr>
        <w:tabs>
          <w:tab w:val="left" w:pos="720"/>
        </w:tabs>
        <w:ind w:left="720" w:hanging="720"/>
        <w:rPr>
          <w:rFonts w:ascii="Times New Roman" w:hAnsi="Times New Roman" w:cs="Times New Roman"/>
          <w:sz w:val="26"/>
          <w:szCs w:val="26"/>
        </w:rPr>
      </w:pPr>
      <w:bookmarkStart w:id="451" w:name="_1_8"/>
      <w:bookmarkStart w:id="452" w:name="_Toc148703323"/>
      <w:bookmarkEnd w:id="451"/>
      <w:r w:rsidRPr="0072600F">
        <w:rPr>
          <w:rStyle w:val="Heading2Char"/>
          <w:rFonts w:eastAsiaTheme="minorHAnsi"/>
          <w:b/>
          <w:sz w:val="26"/>
          <w:szCs w:val="26"/>
        </w:rPr>
        <w:t>5.15</w:t>
      </w:r>
      <w:r w:rsidRPr="0072600F">
        <w:rPr>
          <w:rStyle w:val="Heading2Char"/>
          <w:rFonts w:eastAsiaTheme="minorHAnsi"/>
          <w:b/>
          <w:sz w:val="26"/>
          <w:szCs w:val="26"/>
        </w:rPr>
        <w:tab/>
        <w:t>Early Construction of Base Case Facilities.</w:t>
      </w:r>
      <w:bookmarkEnd w:id="452"/>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Interconnection Customer may request Transmission Provider to construct, and Transmission Provider shall construct, using Reasonable Efforts to accommodate Interconnection Customer's In-Service Date, all or any portion of any Network Upgrades required for Interconnection Customer to be interconnected to the Transmission System which are included in the Base Case of the </w:t>
      </w:r>
      <w:r w:rsidRPr="0072600F" w:rsidR="00DF65CF">
        <w:rPr>
          <w:rFonts w:ascii="Times New Roman" w:hAnsi="Times New Roman" w:cs="Times New Roman"/>
          <w:i/>
          <w:iCs/>
          <w:sz w:val="26"/>
          <w:szCs w:val="26"/>
        </w:rPr>
        <w:t xml:space="preserve">Interconnection </w:t>
      </w:r>
      <w:r w:rsidRPr="0072600F">
        <w:rPr>
          <w:rFonts w:ascii="Times New Roman" w:hAnsi="Times New Roman" w:cs="Times New Roman"/>
          <w:sz w:val="26"/>
          <w:szCs w:val="26"/>
        </w:rPr>
        <w:t>Facilities Study for Interconnection Customer, and which also are required to be constructed for another Interconnection Customer, but where such construction is not scheduled to be completed in time to achieve Interconnection Customer's In-Service Date.</w:t>
      </w:r>
    </w:p>
    <w:p w:rsidR="00F3594B" w:rsidRPr="0072600F" w14:paraId="0AC98941" w14:textId="77777777">
      <w:pPr>
        <w:rPr>
          <w:rFonts w:ascii="Times New Roman" w:hAnsi="Times New Roman" w:cs="Times New Roman"/>
          <w:sz w:val="26"/>
          <w:szCs w:val="26"/>
        </w:rPr>
      </w:pPr>
    </w:p>
    <w:p w:rsidR="00F3594B" w:rsidRPr="0072600F" w14:paraId="70A34260" w14:textId="77777777">
      <w:pPr>
        <w:tabs>
          <w:tab w:val="left" w:pos="720"/>
        </w:tabs>
        <w:ind w:left="720" w:hanging="720"/>
        <w:rPr>
          <w:rFonts w:ascii="Times New Roman" w:hAnsi="Times New Roman" w:cs="Times New Roman"/>
          <w:sz w:val="26"/>
          <w:szCs w:val="26"/>
        </w:rPr>
      </w:pPr>
      <w:bookmarkStart w:id="453" w:name="_1_9"/>
      <w:bookmarkStart w:id="454" w:name="_Toc148703324"/>
      <w:bookmarkEnd w:id="453"/>
      <w:r w:rsidRPr="0072600F">
        <w:rPr>
          <w:rStyle w:val="Heading2Char"/>
          <w:rFonts w:eastAsiaTheme="minorHAnsi"/>
          <w:b/>
          <w:sz w:val="26"/>
          <w:szCs w:val="26"/>
        </w:rPr>
        <w:t>5.16</w:t>
      </w:r>
      <w:r w:rsidRPr="0072600F">
        <w:rPr>
          <w:rStyle w:val="Heading2Char"/>
          <w:rFonts w:eastAsiaTheme="minorHAnsi"/>
          <w:b/>
          <w:sz w:val="26"/>
          <w:szCs w:val="26"/>
        </w:rPr>
        <w:tab/>
        <w:t>Suspension.</w:t>
      </w:r>
      <w:bookmarkEnd w:id="454"/>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Interconnection Customer reserves the right, upon written notice to Transmission Provider, to suspend at any time all work by Transmission Provider associated with the construction and installation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and/or Network Upgrades required under this LGIA with the condition that Transmission System shall be left in a safe and reliable condition in accordance with Good Utility Practice and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safety and reliability criteria.  In such event, Interconnection Customer shall be responsible for all reasonable and necessary costs which Transmission Provider (</w:t>
      </w:r>
      <w:r w:rsidRPr="0072600F">
        <w:rPr>
          <w:rFonts w:ascii="Times New Roman" w:hAnsi="Times New Roman" w:cs="Times New Roman"/>
          <w:sz w:val="26"/>
          <w:szCs w:val="26"/>
        </w:rPr>
        <w:t>i</w:t>
      </w:r>
      <w:r w:rsidRPr="0072600F">
        <w:rPr>
          <w:rFonts w:ascii="Times New Roman" w:hAnsi="Times New Roman" w:cs="Times New Roman"/>
          <w:sz w:val="26"/>
          <w:szCs w:val="26"/>
        </w:rPr>
        <w:t>) has incurred pursuant to this LGIA prior to the suspension and (ii) incurs in suspending such work, including any costs incurred to perform such work as may be necessary to ensure the safety of persons and property and the integrity of the Transmission System during such suspension and, if applicable, any costs incurred in connection with the cancellation or suspension of material, equipment and labor contracts which Transmission Provider cannot reasonably avoid; provided, however, that prior to canceling or suspending any such material, equipment or labor contract, Transmission Provider shall obtain Interconnection Customer's authorization to do so.</w:t>
      </w:r>
    </w:p>
    <w:p w:rsidR="00F3594B" w:rsidRPr="0072600F" w14:paraId="42364CD1" w14:textId="77777777">
      <w:pPr>
        <w:rPr>
          <w:rFonts w:ascii="Times New Roman" w:hAnsi="Times New Roman" w:cs="Times New Roman"/>
          <w:sz w:val="26"/>
          <w:szCs w:val="26"/>
        </w:rPr>
      </w:pPr>
    </w:p>
    <w:p w:rsidR="00F3594B" w:rsidRPr="0072600F" w14:paraId="382DD627" w14:textId="77777777">
      <w:pPr>
        <w:ind w:left="720"/>
        <w:rPr>
          <w:rFonts w:ascii="Times New Roman" w:hAnsi="Times New Roman" w:cs="Times New Roman"/>
          <w:sz w:val="26"/>
          <w:szCs w:val="26"/>
        </w:rPr>
      </w:pPr>
      <w:r w:rsidRPr="0072600F">
        <w:rPr>
          <w:rFonts w:ascii="Times New Roman" w:hAnsi="Times New Roman" w:cs="Times New Roman"/>
          <w:sz w:val="26"/>
          <w:szCs w:val="26"/>
        </w:rPr>
        <w:t>Transmission Provider shall invoice Interconnection Customer for such costs pursuant to Article 12 and shall use due diligence to minimize its costs.  In the event Interconnection Customer suspends work by Transmission Provider required under this LGIA pursuant to this Article 5.16, and has not requested Transmission Provider to recommence the work required under this LGIA on or before the expiration of three (3) years following commencement of such suspension, this LGIA shall be deemed terminated.  The three-year period shall begin on the date the suspension is requested, or the date of the written notice to Transmission Provider, if no effective date is specified.</w:t>
      </w:r>
    </w:p>
    <w:p w:rsidR="00F3594B" w:rsidRPr="0072600F" w14:paraId="517D630B" w14:textId="77777777">
      <w:pPr>
        <w:rPr>
          <w:rFonts w:ascii="Times New Roman" w:hAnsi="Times New Roman" w:cs="Times New Roman"/>
          <w:sz w:val="26"/>
          <w:szCs w:val="26"/>
        </w:rPr>
      </w:pPr>
    </w:p>
    <w:p w:rsidR="00F3594B" w:rsidRPr="0072600F" w:rsidP="00E925A1" w14:paraId="524D84C5" w14:textId="77777777">
      <w:pPr>
        <w:rPr>
          <w:rFonts w:ascii="Times New Roman" w:hAnsi="Times New Roman" w:cs="Times New Roman"/>
          <w:b/>
          <w:sz w:val="26"/>
          <w:szCs w:val="26"/>
        </w:rPr>
      </w:pPr>
      <w:bookmarkStart w:id="455" w:name="_1__58_"/>
      <w:bookmarkStart w:id="456" w:name="_Toc148703325"/>
      <w:bookmarkEnd w:id="455"/>
      <w:r w:rsidRPr="0072600F">
        <w:rPr>
          <w:rFonts w:ascii="Times New Roman" w:hAnsi="Times New Roman" w:cs="Times New Roman"/>
          <w:b/>
          <w:sz w:val="26"/>
          <w:szCs w:val="26"/>
        </w:rPr>
        <w:t>5.17</w:t>
      </w:r>
      <w:r w:rsidRPr="0072600F">
        <w:rPr>
          <w:rFonts w:ascii="Times New Roman" w:hAnsi="Times New Roman" w:cs="Times New Roman"/>
          <w:b/>
          <w:sz w:val="26"/>
          <w:szCs w:val="26"/>
        </w:rPr>
        <w:tab/>
        <w:t>Taxes.</w:t>
      </w:r>
      <w:bookmarkEnd w:id="456"/>
    </w:p>
    <w:p w:rsidR="00F3594B" w:rsidRPr="0072600F" w14:paraId="02EB695D" w14:textId="77777777">
      <w:pPr>
        <w:rPr>
          <w:rFonts w:ascii="Times New Roman" w:hAnsi="Times New Roman" w:cs="Times New Roman"/>
          <w:sz w:val="26"/>
          <w:szCs w:val="26"/>
        </w:rPr>
      </w:pPr>
    </w:p>
    <w:p w:rsidR="00F3594B" w:rsidRPr="0072600F" w14:paraId="1C35C890"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57" w:name="_1__59_"/>
      <w:bookmarkStart w:id="458" w:name="_Toc148703326"/>
      <w:bookmarkEnd w:id="457"/>
      <w:r w:rsidRPr="0072600F">
        <w:rPr>
          <w:rStyle w:val="Heading3Char"/>
          <w:rFonts w:eastAsiaTheme="minorHAnsi"/>
          <w:b/>
          <w:sz w:val="26"/>
        </w:rPr>
        <w:t>5.17.1</w:t>
      </w:r>
      <w:r w:rsidRPr="0072600F">
        <w:rPr>
          <w:rStyle w:val="Heading3Char"/>
          <w:rFonts w:eastAsiaTheme="minorHAnsi"/>
          <w:b/>
          <w:sz w:val="26"/>
        </w:rPr>
        <w:tab/>
      </w:r>
      <w:r w:rsidRPr="0072600F">
        <w:rPr>
          <w:rStyle w:val="Heading3Char"/>
          <w:rFonts w:eastAsiaTheme="minorHAnsi"/>
          <w:b/>
          <w:sz w:val="26"/>
        </w:rPr>
        <w:tab/>
        <w:t>Interconnection Customer Payments Not Taxable</w:t>
      </w:r>
      <w:r w:rsidRPr="0072600F">
        <w:rPr>
          <w:rStyle w:val="Heading3Char"/>
          <w:rFonts w:eastAsiaTheme="minorHAnsi"/>
          <w:sz w:val="26"/>
        </w:rPr>
        <w:t>.</w:t>
      </w:r>
      <w:bookmarkEnd w:id="458"/>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The Parties intend that all payments or property transfers made by Interconnection Customer to Transmission Provider for the installation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the Network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  </w:t>
      </w:r>
    </w:p>
    <w:p w:rsidR="00F3594B" w:rsidRPr="0072600F" w14:paraId="565C037F" w14:textId="77777777">
      <w:pPr>
        <w:rPr>
          <w:rFonts w:ascii="Times New Roman" w:hAnsi="Times New Roman" w:cs="Times New Roman"/>
          <w:sz w:val="26"/>
          <w:szCs w:val="26"/>
        </w:rPr>
      </w:pPr>
    </w:p>
    <w:p w:rsidR="00F3594B" w:rsidRPr="0072600F" w14:paraId="22FEFF0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59" w:name="_1__60_"/>
      <w:bookmarkStart w:id="460" w:name="_Toc148703327"/>
      <w:bookmarkEnd w:id="459"/>
      <w:r w:rsidRPr="0072600F">
        <w:rPr>
          <w:rStyle w:val="Heading3Char"/>
          <w:rFonts w:eastAsiaTheme="minorHAnsi"/>
          <w:b/>
          <w:sz w:val="26"/>
        </w:rPr>
        <w:t>5.17.2</w:t>
      </w:r>
      <w:r w:rsidRPr="0072600F">
        <w:rPr>
          <w:rStyle w:val="Heading3Char"/>
          <w:rFonts w:eastAsiaTheme="minorHAnsi"/>
          <w:b/>
          <w:sz w:val="26"/>
        </w:rPr>
        <w:tab/>
      </w:r>
      <w:r w:rsidRPr="0072600F">
        <w:rPr>
          <w:rStyle w:val="Heading3Char"/>
          <w:rFonts w:eastAsiaTheme="minorHAnsi"/>
          <w:b/>
          <w:sz w:val="26"/>
        </w:rPr>
        <w:tab/>
        <w:t>Representations and Covenants.</w:t>
      </w:r>
      <w:bookmarkEnd w:id="460"/>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In accordance with IRS Notice 2001-82 and IRS Notice 88-129, Interconnection Customer represents and covenants that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ownership of the electricity generated at the Large Generating Facility will pass to another party prior to the transmission of the electricity on the Transmission System, (ii) for income tax purposes, the amount of any payments and the cost of any property transferred to Transmission Provider for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will be capitalized by Interconnection Customer as an intangible asset and recovered using the straight-line method over a useful life of twenty (20) years, and (iii) any portion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F3594B" w:rsidRPr="0072600F" w14:paraId="2B8B3605" w14:textId="77777777">
      <w:pPr>
        <w:rPr>
          <w:rFonts w:ascii="Times New Roman" w:hAnsi="Times New Roman" w:cs="Times New Roman"/>
          <w:sz w:val="26"/>
          <w:szCs w:val="26"/>
        </w:rPr>
      </w:pPr>
    </w:p>
    <w:p w:rsidR="00F3594B" w:rsidRPr="0072600F" w14:paraId="16A41C4F"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At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request, Interconnection Customer shall provide Transmission Provider with a report from an independent engineer confirming its representation in clause (iii), above.  Transmission Provider represents and covenants that the cost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paid for by Interconnection Customer will have no net effect on the base upon which rates are determined.</w:t>
      </w:r>
      <w:bookmarkStart w:id="461" w:name="_1__61_"/>
      <w:bookmarkStart w:id="462" w:name="_Toc148703328"/>
      <w:bookmarkEnd w:id="461"/>
    </w:p>
    <w:p w:rsidR="00F3594B" w:rsidRPr="0072600F" w14:paraId="30DEC8E9" w14:textId="77777777">
      <w:pPr>
        <w:ind w:left="2160" w:hanging="1440"/>
        <w:rPr>
          <w:rFonts w:ascii="Times New Roman" w:hAnsi="Times New Roman" w:cs="Times New Roman"/>
          <w:sz w:val="26"/>
          <w:szCs w:val="26"/>
        </w:rPr>
      </w:pPr>
      <w:r w:rsidRPr="0072600F">
        <w:rPr>
          <w:rStyle w:val="Heading3Char"/>
          <w:rFonts w:eastAsiaTheme="minorHAnsi"/>
          <w:b/>
          <w:sz w:val="26"/>
        </w:rPr>
        <w:t>5.17.3</w:t>
      </w:r>
      <w:r w:rsidRPr="0072600F">
        <w:rPr>
          <w:rStyle w:val="Heading3Char"/>
          <w:rFonts w:eastAsiaTheme="minorHAnsi"/>
          <w:b/>
          <w:sz w:val="26"/>
        </w:rPr>
        <w:tab/>
        <w:t xml:space="preserve">Indemnification for the Cost Consequences of Current Tax Liability Imposed Upon </w:t>
      </w:r>
      <w:r w:rsidRPr="0072600F" w:rsidR="002C0896">
        <w:rPr>
          <w:rStyle w:val="Heading3Char"/>
          <w:rFonts w:eastAsiaTheme="minorHAnsi"/>
          <w:b/>
          <w:sz w:val="26"/>
        </w:rPr>
        <w:t>[</w:t>
      </w:r>
      <w:r w:rsidRPr="0072600F">
        <w:rPr>
          <w:rStyle w:val="Heading3Char"/>
          <w:rFonts w:eastAsiaTheme="minorHAnsi"/>
          <w:b/>
          <w:sz w:val="26"/>
        </w:rPr>
        <w:t>the</w:t>
      </w:r>
      <w:r w:rsidRPr="0072600F" w:rsidR="002C0896">
        <w:rPr>
          <w:rStyle w:val="Heading3Char"/>
          <w:rFonts w:eastAsiaTheme="minorHAnsi"/>
          <w:b/>
          <w:sz w:val="26"/>
        </w:rPr>
        <w:t>]</w:t>
      </w:r>
      <w:r w:rsidRPr="0072600F">
        <w:rPr>
          <w:rStyle w:val="Heading3Char"/>
          <w:rFonts w:eastAsiaTheme="minorHAnsi"/>
          <w:b/>
          <w:sz w:val="26"/>
        </w:rPr>
        <w:t xml:space="preserve"> Transmission Provider.</w:t>
      </w:r>
      <w:bookmarkEnd w:id="462"/>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Notwithstanding Article 5.17.1, Interconnection Customer shall protect, indemnify and hold harmless Transmission Provider from the cost consequences of any current tax liability imposed against Transmission Provider as the result of payments or property transfers made by Interconnection Customer to Transmission Provider under this LGIA for Interconnection Facilities, as well as any interest and penalties, other than interest and penalties attributable to any delay caused by Transmission Provider.</w:t>
      </w:r>
    </w:p>
    <w:p w:rsidR="00F3594B" w:rsidRPr="0072600F" w14:paraId="6DCE4DB0" w14:textId="77777777">
      <w:pPr>
        <w:rPr>
          <w:rFonts w:ascii="Times New Roman" w:hAnsi="Times New Roman" w:cs="Times New Roman"/>
          <w:sz w:val="26"/>
          <w:szCs w:val="26"/>
        </w:rPr>
      </w:pPr>
    </w:p>
    <w:p w:rsidR="00F3594B" w:rsidRPr="0072600F" w14:paraId="1E8737E0" w14:textId="77777777">
      <w:pPr>
        <w:ind w:left="2160"/>
        <w:rPr>
          <w:rFonts w:ascii="Times New Roman" w:hAnsi="Times New Roman" w:cs="Times New Roman"/>
          <w:sz w:val="26"/>
          <w:szCs w:val="26"/>
        </w:rPr>
      </w:pPr>
      <w:r w:rsidRPr="0072600F">
        <w:rPr>
          <w:rFonts w:ascii="Times New Roman" w:hAnsi="Times New Roman" w:cs="Times New Roman"/>
          <w:sz w:val="26"/>
          <w:szCs w:val="26"/>
        </w:rPr>
        <w:t>Transmission Provider shall not include a gross-up for the cost consequences of any current tax liability in the amounts it charges Interconnection Customer under this LGIA unless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Transmission Provider has determined, in good faith, that the payments or property transfers made by Interconnection Customer to Transmission Provider should be reported as income subject to taxation or (ii) any Governmental Authority directs Transmission Provider to report payments or property as income subject to taxation; </w:t>
      </w:r>
      <w:r w:rsidRPr="0072600F">
        <w:rPr>
          <w:rFonts w:ascii="Times New Roman" w:hAnsi="Times New Roman" w:cs="Times New Roman"/>
          <w:sz w:val="26"/>
          <w:szCs w:val="26"/>
          <w:u w:val="single"/>
        </w:rPr>
        <w:t>provided, however</w:t>
      </w:r>
      <w:r w:rsidRPr="0072600F">
        <w:rPr>
          <w:rFonts w:ascii="Times New Roman" w:hAnsi="Times New Roman" w:cs="Times New Roman"/>
          <w:sz w:val="26"/>
          <w:szCs w:val="26"/>
        </w:rPr>
        <w:t>, that Transmission Provider may require Interconnection Customer to provide security for Interconnection Facilities, in a form reasonably acceptable to Transmission Provider (such as a parental guarantee or a letter of credit), in an amount equal to the cost consequences of any current tax liability under this Article 5.17.  Interconnection Customer shall reimburse Transmission Provider for such costs on a fully grossed-up basis, in accordance with Article 5.17.4, within thirty (30) Calendar Days of receiving written notification from Transmission Provider of the amount due, including detail about how the amount was calculated.</w:t>
      </w:r>
    </w:p>
    <w:p w:rsidR="00F3594B" w:rsidRPr="0072600F" w14:paraId="4477453F" w14:textId="77777777">
      <w:pPr>
        <w:ind w:left="2160"/>
        <w:rPr>
          <w:rFonts w:ascii="Times New Roman" w:hAnsi="Times New Roman" w:cs="Times New Roman"/>
          <w:sz w:val="26"/>
          <w:szCs w:val="26"/>
        </w:rPr>
      </w:pPr>
    </w:p>
    <w:p w:rsidR="00F3594B" w:rsidRPr="0072600F" w14:paraId="2EA8568F" w14:textId="77777777">
      <w:pPr>
        <w:ind w:left="2160"/>
        <w:rPr>
          <w:rFonts w:ascii="Times New Roman" w:hAnsi="Times New Roman" w:cs="Times New Roman"/>
          <w:sz w:val="26"/>
          <w:szCs w:val="26"/>
        </w:rPr>
      </w:pPr>
      <w:r w:rsidRPr="0072600F">
        <w:rPr>
          <w:rFonts w:ascii="Times New Roman" w:hAnsi="Times New Roman" w:cs="Times New Roman"/>
          <w:sz w:val="26"/>
          <w:szCs w:val="26"/>
        </w:rPr>
        <w:t>The indemnification obligation shall terminate at the earlier</w:t>
      </w:r>
      <w:r w:rsidRPr="0072600F" w:rsidR="002C0896">
        <w:rPr>
          <w:rFonts w:ascii="Times New Roman" w:hAnsi="Times New Roman" w:cs="Times New Roman"/>
          <w:sz w:val="26"/>
          <w:szCs w:val="26"/>
        </w:rPr>
        <w:t xml:space="preserve"> </w:t>
      </w:r>
      <w:r w:rsidRPr="0072600F">
        <w:rPr>
          <w:rFonts w:ascii="Times New Roman" w:hAnsi="Times New Roman" w:cs="Times New Roman"/>
          <w:sz w:val="26"/>
          <w:szCs w:val="26"/>
        </w:rPr>
        <w:t xml:space="preserve">of (1) the expiration of the ten year testing period and the applicable statute of limitation, as it may be extended by Transmission Provider upon request of the IRS, to keep these years open for audit or adjustment, </w:t>
      </w:r>
    </w:p>
    <w:p w:rsidR="00F3594B" w:rsidRPr="0072600F" w14:paraId="0B0D692B" w14:textId="77777777">
      <w:pPr>
        <w:ind w:left="2160"/>
        <w:rPr>
          <w:rFonts w:ascii="Times New Roman" w:hAnsi="Times New Roman" w:cs="Times New Roman"/>
          <w:sz w:val="26"/>
          <w:szCs w:val="26"/>
        </w:rPr>
      </w:pPr>
      <w:r w:rsidRPr="0072600F">
        <w:rPr>
          <w:rFonts w:ascii="Times New Roman" w:hAnsi="Times New Roman" w:cs="Times New Roman"/>
          <w:sz w:val="26"/>
          <w:szCs w:val="26"/>
        </w:rPr>
        <w:t>or (2) the occurrence of a subsequent taxable event and the payment of any related indemnification obligations as contemplated by this Article 5.17.</w:t>
      </w:r>
    </w:p>
    <w:p w:rsidR="00F3594B" w:rsidRPr="0072600F" w14:paraId="1C885976" w14:textId="77777777">
      <w:pPr>
        <w:rPr>
          <w:rFonts w:ascii="Times New Roman" w:hAnsi="Times New Roman" w:cs="Times New Roman"/>
          <w:sz w:val="26"/>
          <w:szCs w:val="26"/>
        </w:rPr>
      </w:pPr>
    </w:p>
    <w:p w:rsidR="00F3594B" w:rsidRPr="0072600F" w:rsidP="00961448" w14:paraId="35DCB83E" w14:textId="77777777">
      <w:pPr>
        <w:tabs>
          <w:tab w:val="left" w:pos="720"/>
          <w:tab w:val="left" w:pos="144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63" w:name="_1__62_"/>
      <w:bookmarkStart w:id="464" w:name="_Toc148703329"/>
      <w:bookmarkEnd w:id="463"/>
      <w:r w:rsidRPr="0072600F">
        <w:rPr>
          <w:rStyle w:val="Heading3Char"/>
          <w:rFonts w:eastAsiaTheme="minorHAnsi"/>
          <w:b/>
          <w:sz w:val="26"/>
        </w:rPr>
        <w:t>5.17.4</w:t>
      </w:r>
      <w:r w:rsidRPr="0072600F">
        <w:rPr>
          <w:rStyle w:val="Heading3Char"/>
          <w:rFonts w:eastAsiaTheme="minorHAnsi"/>
          <w:b/>
          <w:sz w:val="26"/>
        </w:rPr>
        <w:tab/>
      </w:r>
      <w:r w:rsidRPr="0072600F">
        <w:rPr>
          <w:rStyle w:val="Heading3Char"/>
          <w:rFonts w:eastAsiaTheme="minorHAnsi"/>
          <w:b/>
          <w:sz w:val="26"/>
        </w:rPr>
        <w:tab/>
        <w:t>Tax Gross-Up Amount.</w:t>
      </w:r>
      <w:bookmarkEnd w:id="464"/>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liability for the cost consequences of any current tax liability under this Article 5.17 shall be calculated on a fully grossed-up basis.  Except as may otherwise be agreed to by the parties, this means that Interconnection Customer will pay Transmission Provider, in addition to the amount paid for the Interconnection Facilities and Network Upgrades, an amount equal to (1) the current taxes imposed on Transmission Provider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Current Taxes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on the excess of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a) the gross income realized by Transmission Provider as a result of payments or property transfers made by Interconnection Customer to Transmission Provider under this LGIA (without regard to any payments under this Article 5.17)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Gross Income Amount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over (b) the present value </w:t>
      </w:r>
      <w:r w:rsidRPr="0072600F">
        <w:rPr>
          <w:rFonts w:ascii="Times New Roman" w:hAnsi="Times New Roman" w:cs="Times New Roman"/>
          <w:sz w:val="26"/>
          <w:szCs w:val="26"/>
          <w:lang w:val="en-CA"/>
        </w:rPr>
        <w:fldChar w:fldCharType="begin"/>
      </w:r>
      <w:r w:rsidRPr="0072600F">
        <w:rPr>
          <w:rFonts w:ascii="Times New Roman" w:hAnsi="Times New Roman" w:cs="Times New Roman"/>
          <w:sz w:val="26"/>
          <w:szCs w:val="26"/>
          <w:lang w:val="en-CA"/>
        </w:rPr>
        <w:instrText xml:space="preserve"> SEQ CHAPTER \h \r 1</w:instrText>
      </w:r>
      <w:r w:rsidRPr="0072600F">
        <w:rPr>
          <w:rFonts w:ascii="Times New Roman" w:hAnsi="Times New Roman" w:cs="Times New Roman"/>
          <w:sz w:val="26"/>
          <w:szCs w:val="26"/>
          <w:lang w:val="en-CA"/>
        </w:rPr>
        <w:fldChar w:fldCharType="separate"/>
      </w:r>
      <w:r w:rsidRPr="0072600F">
        <w:rPr>
          <w:rFonts w:ascii="Times New Roman" w:hAnsi="Times New Roman" w:cs="Times New Roman"/>
          <w:sz w:val="26"/>
          <w:szCs w:val="26"/>
          <w:lang w:val="en-CA"/>
        </w:rPr>
        <w:fldChar w:fldCharType="end"/>
      </w:r>
      <w:r w:rsidRPr="0072600F">
        <w:rPr>
          <w:rFonts w:ascii="Times New Roman" w:hAnsi="Times New Roman" w:cs="Times New Roman"/>
          <w:sz w:val="26"/>
          <w:szCs w:val="26"/>
        </w:rPr>
        <w:t xml:space="preserve">of future tax deductions for depreciation that will be available as a result of such payments or property transfers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Present Value Depreciation Amount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plus (2) an additional amount sufficient to permit Transmission Provider to receive and retain, after the payment of all Current Taxes, an amount equal to the net amount described in clause (1).</w:t>
      </w:r>
    </w:p>
    <w:p w:rsidR="00F3594B" w:rsidRPr="0072600F" w14:paraId="6F94FB16" w14:textId="77777777">
      <w:pPr>
        <w:rPr>
          <w:rFonts w:ascii="Times New Roman" w:hAnsi="Times New Roman" w:cs="Times New Roman"/>
          <w:sz w:val="26"/>
          <w:szCs w:val="26"/>
        </w:rPr>
      </w:pPr>
    </w:p>
    <w:p w:rsidR="00F3594B" w:rsidRPr="0072600F" w14:paraId="41716FA8" w14:textId="77777777">
      <w:pPr>
        <w:ind w:left="2160"/>
        <w:rPr>
          <w:rFonts w:ascii="Times New Roman" w:hAnsi="Times New Roman" w:cs="Times New Roman"/>
          <w:sz w:val="26"/>
          <w:szCs w:val="26"/>
        </w:rPr>
      </w:pPr>
      <w:r w:rsidRPr="0072600F">
        <w:rPr>
          <w:rFonts w:ascii="Times New Roman" w:hAnsi="Times New Roman" w:cs="Times New Roman"/>
          <w:sz w:val="26"/>
          <w:szCs w:val="26"/>
        </w:rPr>
        <w:t>For this purpose,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Current Taxes shall be computed based on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composite federal and state tax rates at the time the payments or property transfers are received and Transmission Provider will be treated as being subject to tax at the highest marginal rates in effect at that time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Current Tax Rate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and (ii) the Present Value Depreciation Amount shall be computed by discounting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anticipated tax depreciation deductions as a result of such payments or property transfers by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current weighted average cost of capital.  Thus, the formula for calculating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liability to Transmission Owner pursuant to this Article 5.17.4 can be expressed as follows: </w:t>
      </w:r>
      <w:r w:rsidRPr="0072600F" w:rsidR="00B779A3">
        <w:rPr>
          <w:rFonts w:ascii="Times New Roman" w:hAnsi="Times New Roman" w:cs="Times New Roman"/>
          <w:sz w:val="26"/>
          <w:szCs w:val="26"/>
        </w:rPr>
        <w:t xml:space="preserve"> </w:t>
      </w:r>
      <w:r w:rsidRPr="0072600F">
        <w:rPr>
          <w:rFonts w:ascii="Times New Roman" w:hAnsi="Times New Roman" w:cs="Times New Roman"/>
          <w:sz w:val="26"/>
          <w:szCs w:val="26"/>
        </w:rPr>
        <w:t>(Current Tax Rate x (Gross Income Amount – Present Value of Tax Depreciation))/(1-Current Tax Rate).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estimated tax liability in the event taxes are imposed shall be stated in Appendix A, Interconnection Facilities, Network Upgrades and Distribution Upgrades.</w:t>
      </w:r>
    </w:p>
    <w:p w:rsidR="00F3594B" w:rsidRPr="0072600F" w14:paraId="37D552D4" w14:textId="77777777">
      <w:pPr>
        <w:rPr>
          <w:rFonts w:ascii="Times New Roman" w:hAnsi="Times New Roman" w:cs="Times New Roman"/>
          <w:sz w:val="26"/>
          <w:szCs w:val="26"/>
        </w:rPr>
      </w:pPr>
    </w:p>
    <w:p w:rsidR="00F3594B" w:rsidRPr="0072600F" w:rsidP="00961448" w14:paraId="0DD75DD8"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65" w:name="_1__63_"/>
      <w:bookmarkStart w:id="466" w:name="_Toc148703330"/>
      <w:bookmarkEnd w:id="465"/>
      <w:r w:rsidRPr="0072600F">
        <w:rPr>
          <w:rStyle w:val="Heading3Char"/>
          <w:rFonts w:eastAsiaTheme="minorHAnsi"/>
          <w:b/>
          <w:sz w:val="26"/>
        </w:rPr>
        <w:t>5.17.5</w:t>
      </w:r>
      <w:r w:rsidRPr="0072600F">
        <w:rPr>
          <w:rStyle w:val="Heading3Char"/>
          <w:rFonts w:eastAsiaTheme="minorHAnsi"/>
          <w:b/>
          <w:sz w:val="26"/>
        </w:rPr>
        <w:tab/>
      </w:r>
      <w:r w:rsidRPr="0072600F">
        <w:rPr>
          <w:rStyle w:val="Heading3Char"/>
          <w:rFonts w:eastAsiaTheme="minorHAnsi"/>
          <w:b/>
          <w:sz w:val="26"/>
        </w:rPr>
        <w:tab/>
        <w:t>Private Letter Ruling or Change or Clarification of Law.</w:t>
      </w:r>
      <w:bookmarkEnd w:id="466"/>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request and expense, Transmission Provider shall file with the IRS a request for a private letter ruling as to whether any property transferred or sums paid, or to be paid, by Interconnection Customer to Transmission Provider under this LGIA are subject to federal income taxation.  Interconnection Customer will prepare the initial draft of the request for a private letter ruling, and will certify under penalties of perjury that all facts represented in such request are true and accurate to the best of Interconnection Customer's knowledge.  Transmission Provider and Interconnection Customer shall cooperate in good faith with respect to the submission of such request.</w:t>
      </w:r>
    </w:p>
    <w:p w:rsidR="00F3594B" w:rsidRPr="0072600F" w14:paraId="1A37DE3E" w14:textId="77777777">
      <w:pPr>
        <w:rPr>
          <w:rFonts w:ascii="Times New Roman" w:hAnsi="Times New Roman" w:cs="Times New Roman"/>
          <w:sz w:val="26"/>
          <w:szCs w:val="26"/>
        </w:rPr>
      </w:pPr>
    </w:p>
    <w:p w:rsidR="00F3594B" w:rsidRPr="0072600F" w14:paraId="6C55C1E5" w14:textId="77777777">
      <w:pPr>
        <w:ind w:left="2160"/>
        <w:rPr>
          <w:rFonts w:ascii="Times New Roman" w:hAnsi="Times New Roman" w:cs="Times New Roman"/>
          <w:sz w:val="26"/>
          <w:szCs w:val="26"/>
        </w:rPr>
      </w:pPr>
      <w:r w:rsidRPr="0072600F">
        <w:rPr>
          <w:rFonts w:ascii="Times New Roman" w:hAnsi="Times New Roman" w:cs="Times New Roman"/>
          <w:sz w:val="26"/>
          <w:szCs w:val="26"/>
        </w:rPr>
        <w:t>Transmission Provider shall keep Interconnection Customer fully informed of the status of such request for a private letter ruling and shall execute either a privacy act waiver or a limited power of attorney, in a form acceptable to the IRS, that authorizes Interconnection Customer to participate in all discussions with the IRS regarding such request for a private letter ruling.  Transmission Provider shall allow Interconnection Customer to attend all meetings with IRS officials about the request and shall permit Interconnection Customer to prepare the initial drafts of any follow-up letters in connection with the request.</w:t>
      </w:r>
    </w:p>
    <w:p w:rsidR="00F3594B" w:rsidRPr="0072600F" w14:paraId="30FC5212" w14:textId="77777777">
      <w:pPr>
        <w:rPr>
          <w:rFonts w:ascii="Times New Roman" w:hAnsi="Times New Roman" w:cs="Times New Roman"/>
          <w:sz w:val="26"/>
          <w:szCs w:val="26"/>
        </w:rPr>
      </w:pPr>
    </w:p>
    <w:p w:rsidR="00F3594B" w:rsidRPr="0072600F" w14:paraId="5AE55B52" w14:textId="77777777">
      <w:pPr>
        <w:tabs>
          <w:tab w:val="left" w:pos="720"/>
          <w:tab w:val="left" w:pos="1440"/>
          <w:tab w:val="left" w:pos="2160"/>
        </w:tabs>
        <w:ind w:left="2160" w:hanging="1440"/>
        <w:rPr>
          <w:rFonts w:ascii="Times New Roman" w:hAnsi="Times New Roman" w:cs="Times New Roman"/>
          <w:sz w:val="26"/>
          <w:szCs w:val="26"/>
        </w:rPr>
      </w:pPr>
      <w:bookmarkStart w:id="467" w:name="_Toc148703331"/>
      <w:r w:rsidRPr="0072600F">
        <w:rPr>
          <w:rStyle w:val="Heading3Char"/>
          <w:rFonts w:eastAsiaTheme="minorHAnsi"/>
          <w:b/>
          <w:sz w:val="26"/>
        </w:rPr>
        <w:t>5.17.6</w:t>
      </w:r>
      <w:r w:rsidRPr="0072600F">
        <w:rPr>
          <w:rStyle w:val="Heading3Char"/>
          <w:rFonts w:eastAsiaTheme="minorHAnsi"/>
          <w:b/>
          <w:sz w:val="26"/>
        </w:rPr>
        <w:tab/>
      </w:r>
      <w:r w:rsidRPr="0072600F">
        <w:rPr>
          <w:rStyle w:val="Heading3Char"/>
          <w:rFonts w:eastAsiaTheme="minorHAnsi"/>
          <w:b/>
          <w:sz w:val="26"/>
        </w:rPr>
        <w:tab/>
        <w:t>Subsequent Taxable Events.</w:t>
      </w:r>
      <w:bookmarkEnd w:id="467"/>
      <w:r w:rsidRPr="0072600F">
        <w:rPr>
          <w:rFonts w:ascii="Times New Roman" w:hAnsi="Times New Roman" w:cs="Times New Roman"/>
          <w:sz w:val="26"/>
          <w:szCs w:val="26"/>
        </w:rPr>
        <w:t xml:space="preserve">  If, within 10 years from the date on which the relevant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are placed in service,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Interconnection Customer Breaches the covenants contained in Article 5.17.2, (ii) a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disqualification event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occurs within the meaning of IRS Notice 88-129, or (iii) this LGIA terminates and Transmission Provider retains ownership of the Interconnection Facilities and Network Upgrades, Interconnection Customer shall pay a tax gross-up for the cost consequences of any current tax liability imposed on Transmission Provider, calculated using the methodology described in Article 5.17.4 and in accordance with IRS Notice 90-60.</w:t>
      </w:r>
    </w:p>
    <w:p w:rsidR="00F3594B" w:rsidRPr="0072600F" w14:paraId="2BED5060" w14:textId="77777777">
      <w:pPr>
        <w:rPr>
          <w:rFonts w:ascii="Times New Roman" w:hAnsi="Times New Roman" w:cs="Times New Roman"/>
          <w:sz w:val="26"/>
          <w:szCs w:val="26"/>
        </w:rPr>
      </w:pPr>
    </w:p>
    <w:p w:rsidR="00F3594B" w:rsidRPr="0072600F" w14:paraId="4A3148D1"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68" w:name="_1__64_"/>
      <w:bookmarkStart w:id="469" w:name="_Toc148703332"/>
      <w:bookmarkEnd w:id="468"/>
      <w:r w:rsidRPr="0072600F">
        <w:rPr>
          <w:rStyle w:val="Heading3Char"/>
          <w:rFonts w:eastAsiaTheme="minorHAnsi"/>
          <w:b/>
          <w:sz w:val="26"/>
        </w:rPr>
        <w:t>5.17.7</w:t>
      </w:r>
      <w:r w:rsidRPr="0072600F">
        <w:rPr>
          <w:rStyle w:val="Heading3Char"/>
          <w:rFonts w:eastAsiaTheme="minorHAnsi"/>
          <w:b/>
          <w:sz w:val="26"/>
        </w:rPr>
        <w:tab/>
      </w:r>
      <w:r w:rsidRPr="0072600F">
        <w:rPr>
          <w:rStyle w:val="Heading3Char"/>
          <w:rFonts w:eastAsiaTheme="minorHAnsi"/>
          <w:b/>
          <w:sz w:val="26"/>
        </w:rPr>
        <w:tab/>
        <w:t>Contests.</w:t>
      </w:r>
      <w:bookmarkEnd w:id="469"/>
      <w:r w:rsidRPr="0072600F">
        <w:rPr>
          <w:rFonts w:ascii="Times New Roman" w:hAnsi="Times New Roman" w:cs="Times New Roman"/>
          <w:sz w:val="26"/>
          <w:szCs w:val="26"/>
        </w:rPr>
        <w:t xml:space="preserve">  In the event any Governmental Authority determines that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receipt of payments or property constitutes income that is subject to taxation, Transmission Provider shall notify Interconnection Customer, in writing, within thirty (30) Calendar Days of receiving notification of such determination by a Governmental Authority.  Upon the timely written request by Interconnection Customer and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sole expense, Transmission Provider may appeal, protest, seek abatement of, or otherwise oppose such determination.  Upon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written request and sole expense, Transmission Provider may file a claim for refund with respect to any taxes paid under this Article 5.17, whether or not it has received such a determination.  Transmission Provider reserves the right to make all decisions with regard to the prosecution of such appeal, protest, abatement or other contest, including the selection of counsel and compromise or settlement of the claim, but Transmission Provider shall keep Interconnection Customer informed, shall consider in good faith suggestions from Interconnection Customer about the conduct of the contest, and shall reasonably permit Interconnection Customer or an Interconnection Customer representative to attend contest proceedings.</w:t>
      </w:r>
    </w:p>
    <w:p w:rsidR="00F3594B" w:rsidRPr="0072600F" w14:paraId="5FC360E0" w14:textId="77777777">
      <w:pPr>
        <w:rPr>
          <w:rFonts w:ascii="Times New Roman" w:hAnsi="Times New Roman" w:cs="Times New Roman"/>
          <w:sz w:val="26"/>
          <w:szCs w:val="26"/>
        </w:rPr>
      </w:pPr>
    </w:p>
    <w:p w:rsidR="00F3594B" w:rsidRPr="0072600F" w14:paraId="6568613E"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Interconnection Customer shall pay to Transmission Provider on a periodic basis, as invoiced by Transmission Provider,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documented reasonable costs of prosecuting such appeal, protest, abatement or other contest.  At any time during the contest, Transmission Provider may agree to a settlement either with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consent or after obtaining written advice from nationally-recognized tax counsel, selected by Transmission Provider, but reasonably acceptable to Interconnection Customer, that the proposed settlement represents a reasonable settlement given the hazards of litigation.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obligation shall be based on the amount of the settlement agreed to by Interconnection Customer,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consent or such written advice will relieve Interconnection Customer from any obligation to indemnify Transmission Provider for the tax at issue in the contest.</w:t>
      </w:r>
    </w:p>
    <w:p w:rsidR="00F3594B" w:rsidRPr="0072600F" w14:paraId="706768A1" w14:textId="77777777">
      <w:pPr>
        <w:rPr>
          <w:rFonts w:ascii="Times New Roman" w:hAnsi="Times New Roman" w:cs="Times New Roman"/>
          <w:sz w:val="26"/>
          <w:szCs w:val="26"/>
        </w:rPr>
      </w:pPr>
    </w:p>
    <w:p w:rsidR="00F3594B" w:rsidRPr="0072600F" w14:paraId="4A25D1E9"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70" w:name="_Toc148703333"/>
      <w:r w:rsidRPr="0072600F">
        <w:rPr>
          <w:rStyle w:val="Heading3Char"/>
          <w:rFonts w:eastAsiaTheme="minorHAnsi"/>
          <w:b/>
          <w:sz w:val="26"/>
        </w:rPr>
        <w:t>5.17.8</w:t>
      </w:r>
      <w:r w:rsidRPr="0072600F">
        <w:rPr>
          <w:rStyle w:val="Heading3Char"/>
          <w:rFonts w:eastAsiaTheme="minorHAnsi"/>
          <w:b/>
          <w:sz w:val="26"/>
        </w:rPr>
        <w:tab/>
      </w:r>
      <w:r w:rsidRPr="0072600F">
        <w:rPr>
          <w:rStyle w:val="Heading3Char"/>
          <w:rFonts w:eastAsiaTheme="minorHAnsi"/>
          <w:b/>
          <w:sz w:val="26"/>
        </w:rPr>
        <w:tab/>
        <w:t>Refund.</w:t>
      </w:r>
      <w:bookmarkEnd w:id="470"/>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In the event that (a) a private letter ruling is issued to Transmission Provider which holds that any amount paid or the value of any property transferred by Interconnection Customer to Transmission Provider under the terms of this LGIA is not subject to federal income taxation, (b) any legislative change or administrative announcement, notice, ruling or other determination makes it reasonably clear to Transmission Provider in good faith that any amount paid or the value of any property transferred by Interconnection Customer to Transmission Provider under the terms of this LGIA is not taxable to Transmission Provider, (c) any abatement, appeal, protest, or other contest results in a determination that any payments or transfers made by Interconnection Customer to Transmission Provider are not subject to federal income tax, or (d) if Transmission Provider receives a refund from any taxing authority for any overpayment of tax attributable to any payment or property transfer made by Interconnection Customer to Transmission Provider pursuant to this LGIA, Transmission Provider shall promptly refund to Interconnection Customer the following:</w:t>
      </w:r>
    </w:p>
    <w:p w:rsidR="00F3594B" w:rsidRPr="0072600F" w14:paraId="27F2C75D" w14:textId="77777777">
      <w:pPr>
        <w:rPr>
          <w:rFonts w:ascii="Times New Roman" w:hAnsi="Times New Roman" w:cs="Times New Roman"/>
          <w:sz w:val="26"/>
          <w:szCs w:val="26"/>
        </w:rPr>
      </w:pPr>
    </w:p>
    <w:p w:rsidR="00F3594B" w:rsidRPr="0072600F" w:rsidP="00150333" w14:paraId="27D70DF5" w14:textId="77777777">
      <w:pPr>
        <w:ind w:left="288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any payment made by Interconnection Customer under this Article 5.17 for taxes that is attributable to the amount determined to be non-taxable, together with interest thereon,</w:t>
      </w:r>
    </w:p>
    <w:p w:rsidR="00F3594B" w:rsidRPr="0072600F" w14:paraId="003F3B50" w14:textId="77777777">
      <w:pPr>
        <w:rPr>
          <w:rFonts w:ascii="Times New Roman" w:hAnsi="Times New Roman" w:cs="Times New Roman"/>
          <w:sz w:val="26"/>
          <w:szCs w:val="26"/>
        </w:rPr>
      </w:pPr>
    </w:p>
    <w:p w:rsidR="00F3594B" w:rsidRPr="0072600F" w14:paraId="14D30E3C" w14:textId="77777777">
      <w:pPr>
        <w:ind w:left="2880"/>
        <w:rPr>
          <w:rFonts w:ascii="Times New Roman" w:hAnsi="Times New Roman" w:cs="Times New Roman"/>
          <w:sz w:val="26"/>
          <w:szCs w:val="26"/>
        </w:rPr>
      </w:pPr>
      <w:r w:rsidRPr="0072600F">
        <w:rPr>
          <w:rFonts w:ascii="Times New Roman" w:hAnsi="Times New Roman" w:cs="Times New Roman"/>
          <w:sz w:val="26"/>
          <w:szCs w:val="26"/>
        </w:rPr>
        <w:t>(ii) interest on any amounts paid by Interconnection Customer to Transmission Provider for such taxes which Transmission Provider did not submit to the taxing authority, calculated in accordance with the methodology set forth in FERC</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regulations at 18 CFR §35.19a(a)(2)(iii) from the date payment was made by Interconnection Customer to the date Transmission Provider refunds such payment to Interconnection Customer, and</w:t>
      </w:r>
    </w:p>
    <w:p w:rsidR="00F3594B" w:rsidRPr="0072600F" w14:paraId="7FD5C0AD" w14:textId="77777777">
      <w:pPr>
        <w:rPr>
          <w:rFonts w:ascii="Times New Roman" w:hAnsi="Times New Roman" w:cs="Times New Roman"/>
          <w:sz w:val="26"/>
          <w:szCs w:val="26"/>
        </w:rPr>
      </w:pPr>
    </w:p>
    <w:p w:rsidR="00F3594B" w:rsidRPr="0072600F" w14:paraId="464DB3DA" w14:textId="77777777">
      <w:pPr>
        <w:ind w:left="2880"/>
        <w:rPr>
          <w:rFonts w:ascii="Times New Roman" w:hAnsi="Times New Roman" w:cs="Times New Roman"/>
          <w:sz w:val="26"/>
          <w:szCs w:val="26"/>
        </w:rPr>
      </w:pPr>
      <w:r w:rsidRPr="0072600F">
        <w:rPr>
          <w:rFonts w:ascii="Times New Roman" w:hAnsi="Times New Roman" w:cs="Times New Roman"/>
          <w:sz w:val="26"/>
          <w:szCs w:val="26"/>
        </w:rPr>
        <w:t>(iii) with respect to any such taxes paid by Transmission Provider, any refund or credit Transmission Provider receives or to which it may be entitled from any Governmental Authority, interest (or that portion thereof attributable to the payment described in clause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above) owed to Transmission Provider for such overpayment of taxes (including any reduction in interest otherwise payable by Transmission Provider to any Governmental Authority resulting from an offset or credit); </w:t>
      </w:r>
      <w:r w:rsidRPr="0072600F">
        <w:rPr>
          <w:rFonts w:ascii="Times New Roman" w:hAnsi="Times New Roman" w:cs="Times New Roman"/>
          <w:sz w:val="26"/>
          <w:szCs w:val="26"/>
          <w:u w:val="single"/>
        </w:rPr>
        <w:t>provided, however</w:t>
      </w:r>
      <w:r w:rsidRPr="0072600F">
        <w:rPr>
          <w:rFonts w:ascii="Times New Roman" w:hAnsi="Times New Roman" w:cs="Times New Roman"/>
          <w:sz w:val="26"/>
          <w:szCs w:val="26"/>
        </w:rPr>
        <w:t xml:space="preserve">, that Transmission Provider will remit such amount promptly to Interconnection Customer only after and to the extent that Transmission Provider has received a tax refund, credit or offset from any Governmental Authority for any applicable overpayment of income tax related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w:t>
      </w:r>
    </w:p>
    <w:p w:rsidR="00F3594B" w:rsidRPr="0072600F" w14:paraId="2DF979C1" w14:textId="77777777">
      <w:pPr>
        <w:rPr>
          <w:rFonts w:ascii="Times New Roman" w:hAnsi="Times New Roman" w:cs="Times New Roman"/>
          <w:sz w:val="26"/>
          <w:szCs w:val="26"/>
        </w:rPr>
      </w:pPr>
    </w:p>
    <w:p w:rsidR="00F3594B" w:rsidRPr="0072600F" w14:paraId="56C0A67F" w14:textId="77777777">
      <w:pPr>
        <w:ind w:left="2160"/>
        <w:rPr>
          <w:rFonts w:ascii="Times New Roman" w:hAnsi="Times New Roman" w:cs="Times New Roman"/>
          <w:sz w:val="26"/>
          <w:szCs w:val="26"/>
        </w:rPr>
      </w:pPr>
      <w:r w:rsidRPr="0072600F">
        <w:rPr>
          <w:rFonts w:ascii="Times New Roman" w:hAnsi="Times New Roman" w:cs="Times New Roman"/>
          <w:sz w:val="26"/>
          <w:szCs w:val="26"/>
        </w:rPr>
        <w:t>The intent of this provision is to leave the Parties, to the extent practicable, in the event that no taxes are due with respect to any payment for Interconnection Facilities and Network Upgrades hereunder, in the same position they would have been in had no such tax payments been made.</w:t>
      </w:r>
    </w:p>
    <w:p w:rsidR="00F3594B" w:rsidRPr="0072600F" w14:paraId="37C0379F" w14:textId="77777777">
      <w:pPr>
        <w:rPr>
          <w:rFonts w:ascii="Times New Roman" w:hAnsi="Times New Roman" w:cs="Times New Roman"/>
          <w:sz w:val="26"/>
          <w:szCs w:val="26"/>
        </w:rPr>
      </w:pPr>
    </w:p>
    <w:p w:rsidR="00F3594B" w:rsidRPr="0072600F" w14:paraId="64228E4D" w14:textId="77777777">
      <w:pPr>
        <w:tabs>
          <w:tab w:val="left" w:pos="720"/>
          <w:tab w:val="left" w:pos="144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471" w:name="_Toc148703334"/>
      <w:r w:rsidRPr="0072600F">
        <w:rPr>
          <w:rStyle w:val="Heading3Char"/>
          <w:rFonts w:eastAsiaTheme="minorHAnsi"/>
          <w:b/>
          <w:sz w:val="26"/>
        </w:rPr>
        <w:t>5.17.9</w:t>
      </w:r>
      <w:r w:rsidRPr="0072600F">
        <w:rPr>
          <w:rStyle w:val="Heading3Char"/>
          <w:rFonts w:eastAsiaTheme="minorHAnsi"/>
          <w:b/>
          <w:sz w:val="26"/>
        </w:rPr>
        <w:tab/>
      </w:r>
      <w:r w:rsidRPr="0072600F">
        <w:rPr>
          <w:rStyle w:val="Heading3Char"/>
          <w:rFonts w:eastAsiaTheme="minorHAnsi"/>
          <w:b/>
          <w:sz w:val="26"/>
        </w:rPr>
        <w:tab/>
        <w:t>Taxes Other Than Income Taxes.</w:t>
      </w:r>
      <w:bookmarkEnd w:id="471"/>
      <w:r w:rsidRPr="0072600F">
        <w:rPr>
          <w:rFonts w:ascii="Times New Roman" w:hAnsi="Times New Roman" w:cs="Times New Roman"/>
          <w:sz w:val="26"/>
          <w:szCs w:val="26"/>
        </w:rPr>
        <w:t xml:space="preserve">  Upon the timely request by Interconnection Customer, and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sole expense, Transmission Provider may appeal, protest, seek abatement of, or otherwise contest any tax (other than federal or state income tax) asserted or assessed against Transmission Provider for which Interconnection Customer may be required to reimburse Transmission Provider under the terms of this LGIA.  Interconnection Customer shall pay to Transmission Provider on a periodic basis, as invoiced by Transmission Provider,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documented reasonable costs of prosecuting such appeal, protest, abatement, or other contest.  </w:t>
      </w:r>
      <w:r w:rsidRPr="0072600F">
        <w:rPr>
          <w:rFonts w:ascii="Times New Roman" w:hAnsi="Times New Roman" w:cs="Times New Roman"/>
          <w:sz w:val="26"/>
          <w:szCs w:val="26"/>
          <w:lang w:val="en-CA"/>
        </w:rPr>
        <w:fldChar w:fldCharType="begin"/>
      </w:r>
      <w:r w:rsidRPr="0072600F">
        <w:rPr>
          <w:rFonts w:ascii="Times New Roman" w:hAnsi="Times New Roman" w:cs="Times New Roman"/>
          <w:sz w:val="26"/>
          <w:szCs w:val="26"/>
          <w:lang w:val="en-CA"/>
        </w:rPr>
        <w:instrText xml:space="preserve"> SEQ CHAPTER \h \r 1</w:instrText>
      </w:r>
      <w:r w:rsidRPr="0072600F">
        <w:rPr>
          <w:rFonts w:ascii="Times New Roman" w:hAnsi="Times New Roman" w:cs="Times New Roman"/>
          <w:sz w:val="26"/>
          <w:szCs w:val="26"/>
          <w:lang w:val="en-CA"/>
        </w:rPr>
        <w:fldChar w:fldCharType="separate"/>
      </w:r>
      <w:r w:rsidRPr="0072600F">
        <w:rPr>
          <w:rFonts w:ascii="Times New Roman" w:hAnsi="Times New Roman" w:cs="Times New Roman"/>
          <w:sz w:val="26"/>
          <w:szCs w:val="26"/>
          <w:lang w:val="en-CA"/>
        </w:rPr>
        <w:fldChar w:fldCharType="end"/>
      </w:r>
      <w:r w:rsidRPr="0072600F">
        <w:rPr>
          <w:rFonts w:ascii="Times New Roman" w:hAnsi="Times New Roman" w:cs="Times New Roman"/>
          <w:sz w:val="26"/>
          <w:szCs w:val="26"/>
        </w:rPr>
        <w:t>Interconnection Customer and Transmission Provider shall cooperate in good faith with respect to any such contest.  Unless the payment of such taxes is a prerequisite to an appeal or abatement or cannot be deferred, no amount shall be payable by Interconnection Customer to Transmission Provider for such taxes until they are assessed by a final, non-appealable order by any court or agency of competent jurisdiction.  In the event that a tax payment is withheld and ultimately due and payable after appeal, Interconnection Customer will be responsible for all taxes, interest and penalties, other than penalties attributable to any delay caused by Transmission Provider.</w:t>
      </w:r>
    </w:p>
    <w:p w:rsidR="00F3594B" w:rsidRPr="0072600F" w14:paraId="1CB9FB03" w14:textId="77777777">
      <w:pPr>
        <w:rPr>
          <w:rFonts w:ascii="Times New Roman" w:hAnsi="Times New Roman" w:cs="Times New Roman"/>
          <w:b/>
          <w:sz w:val="26"/>
          <w:szCs w:val="26"/>
        </w:rPr>
      </w:pPr>
    </w:p>
    <w:p w:rsidR="00F3594B" w:rsidRPr="0072600F" w14:paraId="25DF702B"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sz w:val="26"/>
          <w:szCs w:val="26"/>
        </w:rPr>
        <w:tab/>
      </w:r>
      <w:bookmarkStart w:id="472" w:name="_Toc148703335"/>
      <w:r w:rsidRPr="0072600F">
        <w:rPr>
          <w:rStyle w:val="Heading3Char"/>
          <w:rFonts w:eastAsiaTheme="minorHAnsi"/>
          <w:b/>
          <w:sz w:val="26"/>
        </w:rPr>
        <w:t>5.17.10</w:t>
      </w:r>
      <w:r w:rsidRPr="0072600F">
        <w:rPr>
          <w:rStyle w:val="Heading3Char"/>
          <w:rFonts w:eastAsiaTheme="minorHAnsi"/>
          <w:b/>
          <w:sz w:val="26"/>
        </w:rPr>
        <w:tab/>
        <w:t>Transmission Owners Who Are Not Transmission Providers.</w:t>
      </w:r>
      <w:bookmarkEnd w:id="472"/>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If Transmission Provider is not the same entity as the Transmission Owner, then (</w:t>
      </w:r>
      <w:r w:rsidRPr="0072600F">
        <w:rPr>
          <w:rFonts w:ascii="Times New Roman" w:hAnsi="Times New Roman" w:cs="Times New Roman"/>
          <w:sz w:val="26"/>
          <w:szCs w:val="26"/>
        </w:rPr>
        <w:t>i</w:t>
      </w:r>
      <w:r w:rsidRPr="0072600F">
        <w:rPr>
          <w:rFonts w:ascii="Times New Roman" w:hAnsi="Times New Roman" w:cs="Times New Roman"/>
          <w:sz w:val="26"/>
          <w:szCs w:val="26"/>
        </w:rPr>
        <w:t>) all references in this Article 5.17 to Transmission Provider shall be deemed also to refer to and to include the Transmission Owner, as appropriate, and (ii) this LGIA shall not become effective until such Transmission Owner shall have agreed in writing to assume all of the duties and obligations of Transmission Provider under this Article 5.17 of this LGIA.</w:t>
      </w:r>
    </w:p>
    <w:p w:rsidR="00F3594B" w:rsidRPr="0072600F" w14:paraId="07DEDF71" w14:textId="77777777">
      <w:pPr>
        <w:rPr>
          <w:rFonts w:ascii="Times New Roman" w:hAnsi="Times New Roman" w:cs="Times New Roman"/>
          <w:sz w:val="26"/>
          <w:szCs w:val="26"/>
        </w:rPr>
      </w:pPr>
    </w:p>
    <w:p w:rsidR="00F3594B" w:rsidRPr="0072600F" w:rsidP="00150333" w14:paraId="0C2E9FE9" w14:textId="77777777">
      <w:pPr>
        <w:tabs>
          <w:tab w:val="left" w:pos="720"/>
        </w:tabs>
        <w:ind w:left="720" w:hanging="720"/>
        <w:rPr>
          <w:rFonts w:ascii="Times New Roman" w:hAnsi="Times New Roman" w:cs="Times New Roman"/>
          <w:sz w:val="26"/>
          <w:szCs w:val="26"/>
        </w:rPr>
      </w:pPr>
      <w:bookmarkStart w:id="473" w:name="_1_D"/>
      <w:bookmarkStart w:id="474" w:name="_Toc148703336"/>
      <w:bookmarkEnd w:id="473"/>
      <w:r w:rsidRPr="0072600F">
        <w:rPr>
          <w:rStyle w:val="Heading2Char"/>
          <w:rFonts w:eastAsiaTheme="minorHAnsi"/>
          <w:b/>
          <w:sz w:val="26"/>
          <w:szCs w:val="26"/>
        </w:rPr>
        <w:t>5.18</w:t>
      </w:r>
      <w:r w:rsidRPr="0072600F">
        <w:rPr>
          <w:rStyle w:val="Heading2Char"/>
          <w:rFonts w:eastAsiaTheme="minorHAnsi"/>
          <w:b/>
          <w:sz w:val="26"/>
          <w:szCs w:val="26"/>
        </w:rPr>
        <w:tab/>
        <w:t>Tax Status.</w:t>
      </w:r>
      <w:bookmarkEnd w:id="474"/>
      <w:r w:rsidRPr="0072600F">
        <w:rPr>
          <w:rFonts w:ascii="Times New Roman" w:hAnsi="Times New Roman" w:cs="Times New Roman"/>
          <w:sz w:val="26"/>
          <w:szCs w:val="26"/>
        </w:rPr>
        <w:t xml:space="preserve">  Each Party shall cooperate with the other to maintain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tax status.  Nothing in this LGIA is intended to adversely affect any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tax exempt status with respect to the issuance of bonds including, but not limited to, Local Furnishing Bonds.</w:t>
      </w:r>
    </w:p>
    <w:p w:rsidR="00F3594B" w:rsidRPr="0072600F" w14:paraId="73B96769" w14:textId="77777777">
      <w:pPr>
        <w:rPr>
          <w:rFonts w:ascii="Times New Roman" w:hAnsi="Times New Roman" w:cs="Times New Roman"/>
          <w:sz w:val="26"/>
          <w:szCs w:val="26"/>
        </w:rPr>
      </w:pPr>
    </w:p>
    <w:p w:rsidR="00F3594B" w:rsidRPr="0072600F" w:rsidP="00150333" w14:paraId="2AC12912" w14:textId="77777777">
      <w:pPr>
        <w:rPr>
          <w:rFonts w:ascii="Times New Roman" w:hAnsi="Times New Roman" w:cs="Times New Roman"/>
          <w:b/>
          <w:sz w:val="26"/>
          <w:szCs w:val="26"/>
        </w:rPr>
      </w:pPr>
      <w:bookmarkStart w:id="475" w:name="_Toc148703337"/>
      <w:r w:rsidRPr="0072600F">
        <w:rPr>
          <w:rFonts w:ascii="Times New Roman" w:hAnsi="Times New Roman" w:cs="Times New Roman"/>
          <w:b/>
          <w:sz w:val="26"/>
          <w:szCs w:val="26"/>
        </w:rPr>
        <w:t>5</w:t>
      </w:r>
      <w:r w:rsidRPr="0072600F">
        <w:rPr>
          <w:rFonts w:ascii="Times New Roman" w:hAnsi="Times New Roman" w:cs="Times New Roman"/>
          <w:b/>
          <w:sz w:val="26"/>
          <w:szCs w:val="26"/>
        </w:rPr>
        <w:t>.19</w:t>
      </w:r>
      <w:r w:rsidRPr="0072600F">
        <w:rPr>
          <w:rFonts w:ascii="Times New Roman" w:hAnsi="Times New Roman" w:cs="Times New Roman"/>
          <w:b/>
          <w:sz w:val="26"/>
          <w:szCs w:val="26"/>
        </w:rPr>
        <w:tab/>
      </w:r>
      <w:bookmarkStart w:id="476" w:name="_1_E"/>
      <w:bookmarkEnd w:id="476"/>
      <w:r w:rsidRPr="0072600F">
        <w:rPr>
          <w:rFonts w:ascii="Times New Roman" w:hAnsi="Times New Roman" w:cs="Times New Roman"/>
          <w:b/>
          <w:sz w:val="26"/>
          <w:szCs w:val="26"/>
        </w:rPr>
        <w:t>Modification.</w:t>
      </w:r>
      <w:bookmarkEnd w:id="475"/>
    </w:p>
    <w:p w:rsidR="00F3594B" w:rsidRPr="0072600F" w14:paraId="4F51702E" w14:textId="77777777">
      <w:pPr>
        <w:rPr>
          <w:rFonts w:ascii="Times New Roman" w:hAnsi="Times New Roman" w:cs="Times New Roman"/>
          <w:sz w:val="26"/>
          <w:szCs w:val="26"/>
        </w:rPr>
      </w:pPr>
    </w:p>
    <w:p w:rsidR="00F3594B" w:rsidRPr="0072600F" w14:paraId="024969F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477" w:name="_1_F"/>
      <w:bookmarkStart w:id="478" w:name="_Toc148703338"/>
      <w:bookmarkEnd w:id="477"/>
      <w:r w:rsidRPr="0072600F">
        <w:rPr>
          <w:rStyle w:val="Heading3Char"/>
          <w:rFonts w:eastAsiaTheme="minorHAnsi"/>
          <w:b/>
          <w:sz w:val="26"/>
        </w:rPr>
        <w:t>5.19.1</w:t>
      </w:r>
      <w:r w:rsidRPr="0072600F">
        <w:rPr>
          <w:rStyle w:val="Heading3Char"/>
          <w:rFonts w:eastAsiaTheme="minorHAnsi"/>
          <w:b/>
          <w:sz w:val="26"/>
        </w:rPr>
        <w:tab/>
      </w:r>
      <w:r w:rsidRPr="0072600F">
        <w:rPr>
          <w:rStyle w:val="Heading3Char"/>
          <w:rFonts w:eastAsiaTheme="minorHAnsi"/>
          <w:b/>
          <w:sz w:val="26"/>
        </w:rPr>
        <w:tab/>
        <w:t>General.</w:t>
      </w:r>
      <w:bookmarkEnd w:id="478"/>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Either Party may undertake modifications to its facilities.  If a Party plans to undertake a modification that reasonably may be expected to affect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facilities, that Party shall provide to the other Party sufficient information regarding such modification so that the other Party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at least ninety (90) Calendar Days in advance of the commencement of the work or such shorter period upon which the Parties may agree, which agreement shall not unreasonably be withheld, conditioned or delayed.</w:t>
      </w:r>
    </w:p>
    <w:p w:rsidR="00F3594B" w:rsidRPr="0072600F" w14:paraId="557390C8" w14:textId="77777777">
      <w:pPr>
        <w:rPr>
          <w:rFonts w:ascii="Times New Roman" w:hAnsi="Times New Roman" w:cs="Times New Roman"/>
          <w:sz w:val="26"/>
          <w:szCs w:val="26"/>
        </w:rPr>
      </w:pPr>
    </w:p>
    <w:p w:rsidR="00F3594B" w:rsidRPr="0072600F" w14:paraId="4D863741"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In the case of Large Generating Facility modifications that do not require Interconnection Customer to submit an Interconnection Request, Transmission Provider shall provide, within thirty (30) Calendar Days (or such other time as the Parties may agree), an estimate of any additional modifications to the Transmission System,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Network Upgrades necessitated by such Interconnection Customer modification and a good faith estimate of the costs thereof.</w:t>
      </w:r>
    </w:p>
    <w:p w:rsidR="00F3594B" w:rsidRPr="0072600F" w14:paraId="310286FD" w14:textId="77777777">
      <w:pPr>
        <w:rPr>
          <w:rFonts w:ascii="Times New Roman" w:hAnsi="Times New Roman" w:cs="Times New Roman"/>
          <w:sz w:val="26"/>
          <w:szCs w:val="26"/>
        </w:rPr>
      </w:pPr>
    </w:p>
    <w:p w:rsidR="00F3594B" w:rsidRPr="0072600F" w14:paraId="49017199"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sz w:val="26"/>
          <w:szCs w:val="26"/>
        </w:rPr>
        <w:tab/>
      </w:r>
      <w:bookmarkStart w:id="479" w:name="_1_G"/>
      <w:bookmarkStart w:id="480" w:name="_Toc148703339"/>
      <w:bookmarkEnd w:id="479"/>
      <w:r w:rsidRPr="0072600F" w:rsidR="24518CB6">
        <w:rPr>
          <w:rStyle w:val="Heading3Char"/>
          <w:rFonts w:eastAsiaTheme="minorEastAsia"/>
          <w:b/>
          <w:bCs/>
          <w:sz w:val="26"/>
        </w:rPr>
        <w:t>5.19.2</w:t>
      </w:r>
      <w:r w:rsidRPr="0072600F">
        <w:rPr>
          <w:rStyle w:val="Heading3Char"/>
          <w:rFonts w:eastAsiaTheme="minorHAnsi"/>
          <w:b/>
          <w:sz w:val="26"/>
        </w:rPr>
        <w:tab/>
      </w:r>
      <w:r w:rsidRPr="0072600F">
        <w:rPr>
          <w:rStyle w:val="Heading3Char"/>
          <w:rFonts w:eastAsiaTheme="minorHAnsi"/>
          <w:b/>
          <w:sz w:val="26"/>
        </w:rPr>
        <w:tab/>
      </w:r>
      <w:r w:rsidRPr="0072600F" w:rsidR="24518CB6">
        <w:rPr>
          <w:rStyle w:val="Heading3Char"/>
          <w:rFonts w:eastAsiaTheme="minorEastAsia"/>
          <w:b/>
          <w:bCs/>
          <w:sz w:val="26"/>
        </w:rPr>
        <w:t>Standards.</w:t>
      </w:r>
      <w:bookmarkEnd w:id="480"/>
      <w:r w:rsidRPr="0072600F" w:rsidR="24518CB6">
        <w:rPr>
          <w:rFonts w:ascii="Times New Roman" w:hAnsi="Times New Roman" w:cs="Times New Roman"/>
          <w:b/>
          <w:bCs/>
          <w:sz w:val="26"/>
          <w:szCs w:val="26"/>
        </w:rPr>
        <w:t xml:space="preserve">  </w:t>
      </w:r>
      <w:r w:rsidRPr="0072600F" w:rsidR="24518CB6">
        <w:rPr>
          <w:rFonts w:ascii="Times New Roman" w:hAnsi="Times New Roman" w:cs="Times New Roman"/>
          <w:sz w:val="26"/>
          <w:szCs w:val="26"/>
        </w:rPr>
        <w:t>Any additions, modifications, or replacements made to a Party</w:t>
      </w:r>
      <w:r w:rsidRPr="0072600F" w:rsidR="356B268A">
        <w:rPr>
          <w:rFonts w:ascii="Times New Roman" w:hAnsi="Times New Roman" w:cs="Times New Roman"/>
          <w:sz w:val="26"/>
          <w:szCs w:val="26"/>
        </w:rPr>
        <w:t>’</w:t>
      </w:r>
      <w:r w:rsidRPr="0072600F" w:rsidR="24518CB6">
        <w:rPr>
          <w:rFonts w:ascii="Times New Roman" w:hAnsi="Times New Roman" w:cs="Times New Roman"/>
          <w:sz w:val="26"/>
          <w:szCs w:val="26"/>
        </w:rPr>
        <w:t>s facilities shall be designed, constructed and operated in accordance with this LGIA and Good Utility Practice</w:t>
      </w:r>
      <w:r w:rsidRPr="0072600F">
        <w:rPr>
          <w:rFonts w:ascii="Times New Roman" w:hAnsi="Times New Roman" w:cs="Times New Roman"/>
          <w:sz w:val="26"/>
          <w:szCs w:val="26"/>
        </w:rPr>
        <w:t>.</w:t>
      </w:r>
    </w:p>
    <w:p w:rsidR="00F3594B" w:rsidRPr="0072600F" w14:paraId="576FE4AE" w14:textId="77777777">
      <w:pPr>
        <w:rPr>
          <w:rFonts w:ascii="Times New Roman" w:hAnsi="Times New Roman" w:cs="Times New Roman"/>
          <w:sz w:val="26"/>
          <w:szCs w:val="26"/>
        </w:rPr>
      </w:pPr>
    </w:p>
    <w:p w:rsidR="00FD7DDD" w:rsidRPr="0072600F" w:rsidP="00FD7DDD" w14:paraId="7AA4C8D7"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sz w:val="26"/>
          <w:szCs w:val="26"/>
        </w:rPr>
        <w:tab/>
      </w:r>
      <w:bookmarkStart w:id="481" w:name="_1_H"/>
      <w:bookmarkStart w:id="482" w:name="_Toc148703340"/>
      <w:bookmarkEnd w:id="481"/>
      <w:r w:rsidRPr="0072600F">
        <w:rPr>
          <w:rStyle w:val="Heading3Char"/>
          <w:rFonts w:eastAsiaTheme="minorHAnsi"/>
          <w:b/>
          <w:sz w:val="26"/>
        </w:rPr>
        <w:t>5.19.3</w:t>
      </w:r>
      <w:r w:rsidRPr="0072600F">
        <w:rPr>
          <w:rStyle w:val="Heading3Char"/>
          <w:rFonts w:eastAsiaTheme="minorHAnsi"/>
          <w:b/>
          <w:sz w:val="26"/>
        </w:rPr>
        <w:tab/>
      </w:r>
      <w:r w:rsidRPr="0072600F">
        <w:rPr>
          <w:rStyle w:val="Heading3Char"/>
          <w:rFonts w:eastAsiaTheme="minorHAnsi"/>
          <w:b/>
          <w:sz w:val="26"/>
        </w:rPr>
        <w:tab/>
        <w:t>Modification Costs.</w:t>
      </w:r>
      <w:bookmarkEnd w:id="482"/>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Interconnection Customer shall not be directly assigned for the costs of any additions, modifications, or replacements that Transmission Provider makes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Transmission System to facilitate the interconnection of a third party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Transmission System, or to provide transmission service to a third party under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Interconnection Customer shall be responsible for the costs of any additions, modifications, or replacements to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that may be necessary to maintain or upgrade such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consistent with Applicable Laws and Regulations, Applicable Reliability Standards or Good Utility Practice.</w:t>
      </w:r>
    </w:p>
    <w:p w:rsidR="00FD7DDD" w:rsidRPr="0072600F" w:rsidP="00FD7DDD" w14:paraId="1EB9D3F2" w14:textId="77777777">
      <w:pPr>
        <w:tabs>
          <w:tab w:val="left" w:pos="720"/>
          <w:tab w:val="left" w:pos="1440"/>
          <w:tab w:val="left" w:pos="2160"/>
        </w:tabs>
        <w:ind w:left="2160" w:hanging="2160"/>
        <w:rPr>
          <w:rFonts w:ascii="Times New Roman" w:hAnsi="Times New Roman" w:cs="Times New Roman"/>
          <w:sz w:val="26"/>
          <w:szCs w:val="26"/>
        </w:rPr>
      </w:pPr>
    </w:p>
    <w:p w:rsidR="00F3594B" w:rsidRPr="0072600F" w:rsidP="00FF3584" w14:paraId="5A04BDDC" w14:textId="77777777">
      <w:pPr>
        <w:pStyle w:val="Heading2"/>
        <w:rPr>
          <w:b/>
          <w:bCs/>
          <w:sz w:val="26"/>
          <w:szCs w:val="26"/>
        </w:rPr>
      </w:pPr>
      <w:bookmarkStart w:id="483" w:name="_1_I"/>
      <w:bookmarkStart w:id="484" w:name="_Toc148703341"/>
      <w:bookmarkEnd w:id="483"/>
      <w:r w:rsidRPr="0072600F">
        <w:rPr>
          <w:b/>
          <w:bCs/>
          <w:sz w:val="26"/>
          <w:szCs w:val="26"/>
        </w:rPr>
        <w:t>Article 6.</w:t>
      </w:r>
      <w:r w:rsidRPr="0072600F">
        <w:rPr>
          <w:b/>
          <w:bCs/>
          <w:sz w:val="26"/>
          <w:szCs w:val="26"/>
        </w:rPr>
        <w:tab/>
        <w:t>Testing and Inspection</w:t>
      </w:r>
      <w:bookmarkEnd w:id="484"/>
    </w:p>
    <w:p w:rsidR="00F3594B" w:rsidRPr="0072600F" w14:paraId="02F47DB0" w14:textId="77777777">
      <w:pPr>
        <w:rPr>
          <w:rFonts w:ascii="Times New Roman" w:hAnsi="Times New Roman" w:cs="Times New Roman"/>
          <w:sz w:val="26"/>
          <w:szCs w:val="26"/>
        </w:rPr>
      </w:pPr>
    </w:p>
    <w:p w:rsidR="00F3594B" w:rsidRPr="0072600F" w:rsidP="00150333" w14:paraId="78867777" w14:textId="77777777">
      <w:pPr>
        <w:tabs>
          <w:tab w:val="left" w:pos="720"/>
        </w:tabs>
        <w:ind w:left="720" w:hanging="720"/>
        <w:rPr>
          <w:rFonts w:ascii="Times New Roman" w:hAnsi="Times New Roman" w:cs="Times New Roman"/>
          <w:sz w:val="26"/>
          <w:szCs w:val="26"/>
        </w:rPr>
      </w:pPr>
      <w:bookmarkStart w:id="485" w:name="_1_J"/>
      <w:bookmarkStart w:id="486" w:name="_Toc148703342"/>
      <w:bookmarkEnd w:id="485"/>
      <w:r w:rsidRPr="0072600F">
        <w:rPr>
          <w:rStyle w:val="Heading2Char"/>
          <w:rFonts w:eastAsiaTheme="minorHAnsi"/>
          <w:b/>
          <w:sz w:val="26"/>
          <w:szCs w:val="26"/>
        </w:rPr>
        <w:t>6.1</w:t>
      </w:r>
      <w:r w:rsidRPr="0072600F">
        <w:rPr>
          <w:rStyle w:val="Heading2Char"/>
          <w:rFonts w:eastAsiaTheme="minorHAnsi"/>
          <w:b/>
          <w:sz w:val="26"/>
          <w:szCs w:val="26"/>
        </w:rPr>
        <w:tab/>
        <w:t>Pre-Commercial Operation Date Testing and Modifications.</w:t>
      </w:r>
      <w:bookmarkEnd w:id="486"/>
      <w:r w:rsidRPr="0072600F">
        <w:rPr>
          <w:rFonts w:ascii="Times New Roman" w:hAnsi="Times New Roman" w:cs="Times New Roman"/>
          <w:sz w:val="26"/>
          <w:szCs w:val="26"/>
        </w:rPr>
        <w:t xml:space="preserve">  Prior to the Commercial Operation Date, Transmission Provider shall test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and Interconnection Customer shall test the Large Generating Facility and Interconnection Customer's Interconnection Facilities to ensure their safe and reliable operation.  Similar testing may be required after initial operation.  Each Party shall make any modifications to its facilities that are found to be necessary as a result of such testing.  Interconnection Customer shall bear the cost of all such testing and modifications.  Interconnection Customer shall generate test energy at the Large Generating Facility only if it has arranged for the delivery of such test energy.</w:t>
      </w:r>
    </w:p>
    <w:p w:rsidR="00F3594B" w:rsidRPr="0072600F" w14:paraId="59A208B7" w14:textId="77777777">
      <w:pPr>
        <w:rPr>
          <w:rFonts w:ascii="Times New Roman" w:hAnsi="Times New Roman" w:cs="Times New Roman"/>
          <w:sz w:val="26"/>
          <w:szCs w:val="26"/>
        </w:rPr>
      </w:pPr>
    </w:p>
    <w:p w:rsidR="00F3594B" w:rsidRPr="0072600F" w:rsidP="00150333" w14:paraId="38354865" w14:textId="77777777">
      <w:pPr>
        <w:tabs>
          <w:tab w:val="left" w:pos="720"/>
        </w:tabs>
        <w:ind w:left="720" w:hanging="720"/>
        <w:rPr>
          <w:rFonts w:ascii="Times New Roman" w:hAnsi="Times New Roman" w:cs="Times New Roman"/>
          <w:sz w:val="26"/>
          <w:szCs w:val="26"/>
        </w:rPr>
      </w:pPr>
      <w:bookmarkStart w:id="487" w:name="_1_K"/>
      <w:bookmarkStart w:id="488" w:name="_Toc148703343"/>
      <w:bookmarkEnd w:id="487"/>
      <w:r w:rsidRPr="0072600F">
        <w:rPr>
          <w:rStyle w:val="Heading2Char"/>
          <w:rFonts w:eastAsiaTheme="minorHAnsi"/>
          <w:b/>
          <w:sz w:val="26"/>
          <w:szCs w:val="26"/>
        </w:rPr>
        <w:t>6.2</w:t>
      </w:r>
      <w:r w:rsidRPr="0072600F">
        <w:rPr>
          <w:rStyle w:val="Heading2Char"/>
          <w:rFonts w:eastAsiaTheme="minorHAnsi"/>
          <w:b/>
          <w:sz w:val="26"/>
          <w:szCs w:val="26"/>
        </w:rPr>
        <w:tab/>
        <w:t>Post-Commercial Operation Date Testing and Modifications.</w:t>
      </w:r>
      <w:bookmarkEnd w:id="488"/>
      <w:r w:rsidRPr="0072600F">
        <w:rPr>
          <w:rFonts w:ascii="Times New Roman" w:hAnsi="Times New Roman" w:cs="Times New Roman"/>
          <w:sz w:val="26"/>
          <w:szCs w:val="26"/>
        </w:rPr>
        <w:t xml:space="preserve">  Each Party shall at its own expense perform routine inspection and testing of its facilities and equipment in accordance with Good Utility Practice as may be necessary to ensure the continued interconnection of the Large Generating Facility with the Transmission System in a safe and reliable manner.  Each Party shall have the right, upon advance written notice, to require reasonable additional testing of the other Party's facilities, at the requesting Party's expense, as may be in accordance with Good Utility Practice.</w:t>
      </w:r>
    </w:p>
    <w:p w:rsidR="00F3594B" w:rsidRPr="0072600F" w14:paraId="6F272474" w14:textId="77777777">
      <w:pPr>
        <w:rPr>
          <w:rFonts w:ascii="Times New Roman" w:hAnsi="Times New Roman" w:cs="Times New Roman"/>
          <w:sz w:val="26"/>
          <w:szCs w:val="26"/>
        </w:rPr>
      </w:pPr>
    </w:p>
    <w:p w:rsidR="00F3594B" w:rsidRPr="0072600F" w:rsidP="00150333" w14:paraId="4BAE6735" w14:textId="77777777">
      <w:pPr>
        <w:tabs>
          <w:tab w:val="left" w:pos="720"/>
        </w:tabs>
        <w:ind w:left="720" w:hanging="720"/>
        <w:rPr>
          <w:rFonts w:ascii="Times New Roman" w:hAnsi="Times New Roman" w:cs="Times New Roman"/>
          <w:sz w:val="26"/>
          <w:szCs w:val="26"/>
        </w:rPr>
      </w:pPr>
      <w:bookmarkStart w:id="489" w:name="_1_L"/>
      <w:bookmarkStart w:id="490" w:name="_Toc148703344"/>
      <w:bookmarkEnd w:id="489"/>
      <w:r w:rsidRPr="0072600F">
        <w:rPr>
          <w:rStyle w:val="Heading2Char"/>
          <w:rFonts w:eastAsiaTheme="minorHAnsi"/>
          <w:b/>
          <w:sz w:val="26"/>
          <w:szCs w:val="26"/>
        </w:rPr>
        <w:t>6.3</w:t>
      </w:r>
      <w:r w:rsidRPr="0072600F">
        <w:rPr>
          <w:rStyle w:val="Heading2Char"/>
          <w:rFonts w:eastAsiaTheme="minorHAnsi"/>
          <w:b/>
          <w:sz w:val="26"/>
          <w:szCs w:val="26"/>
        </w:rPr>
        <w:tab/>
        <w:t>Right to Observe Testing.</w:t>
      </w:r>
      <w:bookmarkEnd w:id="490"/>
      <w:r w:rsidRPr="0072600F">
        <w:rPr>
          <w:rFonts w:ascii="Times New Roman" w:hAnsi="Times New Roman" w:cs="Times New Roman"/>
          <w:sz w:val="26"/>
          <w:szCs w:val="26"/>
        </w:rPr>
        <w:t xml:space="preserve">  Each Party shall notify the other Party in advance of its performance of tests of its Interconnection Facilities.  The other Party has the right, at its own expense, to observe such testing.</w:t>
      </w:r>
    </w:p>
    <w:p w:rsidR="00F3594B" w:rsidRPr="0072600F" w14:paraId="7CBA39D6" w14:textId="77777777">
      <w:pPr>
        <w:rPr>
          <w:rFonts w:ascii="Times New Roman" w:hAnsi="Times New Roman" w:cs="Times New Roman"/>
          <w:sz w:val="26"/>
          <w:szCs w:val="26"/>
        </w:rPr>
      </w:pPr>
    </w:p>
    <w:p w:rsidR="00F3594B" w:rsidRPr="0072600F" w:rsidP="00150333" w14:paraId="0F49C1ED" w14:textId="77777777">
      <w:pPr>
        <w:tabs>
          <w:tab w:val="left" w:pos="720"/>
        </w:tabs>
        <w:ind w:left="720" w:hanging="720"/>
        <w:rPr>
          <w:rFonts w:ascii="Times New Roman" w:hAnsi="Times New Roman" w:cs="Times New Roman"/>
          <w:sz w:val="26"/>
          <w:szCs w:val="26"/>
        </w:rPr>
      </w:pPr>
      <w:bookmarkStart w:id="491" w:name="_1_M"/>
      <w:bookmarkStart w:id="492" w:name="_Toc148703345"/>
      <w:bookmarkEnd w:id="491"/>
      <w:r w:rsidRPr="0072600F">
        <w:rPr>
          <w:rStyle w:val="Heading2Char"/>
          <w:rFonts w:eastAsiaTheme="minorHAnsi"/>
          <w:b/>
          <w:sz w:val="26"/>
          <w:szCs w:val="26"/>
        </w:rPr>
        <w:t>6.4</w:t>
      </w:r>
      <w:r w:rsidRPr="0072600F">
        <w:rPr>
          <w:rStyle w:val="Heading2Char"/>
          <w:rFonts w:eastAsiaTheme="minorHAnsi"/>
          <w:b/>
          <w:sz w:val="26"/>
          <w:szCs w:val="26"/>
        </w:rPr>
        <w:tab/>
        <w:t>Right to Inspect.</w:t>
      </w:r>
      <w:bookmarkEnd w:id="492"/>
      <w:r w:rsidRPr="0072600F">
        <w:rPr>
          <w:rFonts w:ascii="Times New Roman" w:hAnsi="Times New Roman" w:cs="Times New Roman"/>
          <w:sz w:val="26"/>
          <w:szCs w:val="26"/>
        </w:rPr>
        <w:t xml:space="preserve">  Each Party shall have the right, but shall have no obligation to: (</w:t>
      </w:r>
      <w:r w:rsidRPr="0072600F">
        <w:rPr>
          <w:rFonts w:ascii="Times New Roman" w:hAnsi="Times New Roman" w:cs="Times New Roman"/>
          <w:sz w:val="26"/>
          <w:szCs w:val="26"/>
        </w:rPr>
        <w:t>i</w:t>
      </w:r>
      <w:r w:rsidRPr="0072600F">
        <w:rPr>
          <w:rFonts w:ascii="Times New Roman" w:hAnsi="Times New Roman" w:cs="Times New Roman"/>
          <w:sz w:val="26"/>
          <w:szCs w:val="26"/>
        </w:rPr>
        <w:t>)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Interconnection Facilities, the System Protection Facilities and other protective equipment.  A Party may exercise these rights from time to time as it deems necessary upon reasonable notice to the other Party.  The exercise or non-exercise by a Party of any such rights shall not be construed as an endorsement or confirmation of any element or condition of the Interconnection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deemed to be Confidential Information and treated pursuant to Article 22 of this LGIA.</w:t>
      </w:r>
    </w:p>
    <w:p w:rsidR="00F3594B" w:rsidRPr="0072600F" w14:paraId="1BA16C41" w14:textId="77777777">
      <w:pPr>
        <w:rPr>
          <w:rFonts w:ascii="Times New Roman" w:hAnsi="Times New Roman" w:cs="Times New Roman"/>
          <w:sz w:val="26"/>
          <w:szCs w:val="26"/>
        </w:rPr>
      </w:pPr>
    </w:p>
    <w:p w:rsidR="00F3594B" w:rsidRPr="0072600F" w14:paraId="1AC2B436"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F3594B" w:rsidRPr="0072600F" w:rsidP="00FF3584" w14:paraId="3A8830BE" w14:textId="77777777">
      <w:pPr>
        <w:pStyle w:val="Heading2"/>
        <w:rPr>
          <w:b/>
          <w:bCs/>
          <w:sz w:val="26"/>
          <w:szCs w:val="26"/>
        </w:rPr>
      </w:pPr>
      <w:bookmarkStart w:id="493" w:name="_1_N"/>
      <w:bookmarkStart w:id="494" w:name="_Toc148703346"/>
      <w:bookmarkEnd w:id="493"/>
      <w:r w:rsidRPr="0072600F">
        <w:rPr>
          <w:b/>
          <w:bCs/>
          <w:sz w:val="26"/>
          <w:szCs w:val="26"/>
        </w:rPr>
        <w:t>Article 7.</w:t>
      </w:r>
      <w:r w:rsidRPr="0072600F">
        <w:rPr>
          <w:b/>
          <w:bCs/>
          <w:sz w:val="26"/>
          <w:szCs w:val="26"/>
        </w:rPr>
        <w:tab/>
        <w:t>Metering</w:t>
      </w:r>
      <w:bookmarkEnd w:id="494"/>
    </w:p>
    <w:p w:rsidR="00F3594B" w:rsidRPr="0072600F" w14:paraId="15C2BA8C" w14:textId="77777777">
      <w:pPr>
        <w:rPr>
          <w:rFonts w:ascii="Times New Roman" w:hAnsi="Times New Roman" w:cs="Times New Roman"/>
          <w:sz w:val="26"/>
          <w:szCs w:val="26"/>
        </w:rPr>
      </w:pPr>
    </w:p>
    <w:p w:rsidR="00F3594B" w:rsidRPr="0072600F" w14:paraId="6A7B584F" w14:textId="77777777">
      <w:pPr>
        <w:tabs>
          <w:tab w:val="left" w:pos="720"/>
        </w:tabs>
        <w:ind w:left="720" w:hanging="720"/>
        <w:rPr>
          <w:rFonts w:ascii="Times New Roman" w:hAnsi="Times New Roman" w:cs="Times New Roman"/>
          <w:sz w:val="26"/>
          <w:szCs w:val="26"/>
        </w:rPr>
      </w:pPr>
      <w:bookmarkStart w:id="495" w:name="_1_O"/>
      <w:bookmarkStart w:id="496" w:name="_Toc148703347"/>
      <w:bookmarkEnd w:id="495"/>
      <w:r w:rsidRPr="0072600F">
        <w:rPr>
          <w:rStyle w:val="Heading2Char"/>
          <w:rFonts w:eastAsiaTheme="minorHAnsi"/>
          <w:b/>
          <w:sz w:val="26"/>
          <w:szCs w:val="26"/>
        </w:rPr>
        <w:t>7.1</w:t>
      </w:r>
      <w:r w:rsidRPr="0072600F">
        <w:rPr>
          <w:rStyle w:val="Heading2Char"/>
          <w:rFonts w:eastAsiaTheme="minorHAnsi"/>
          <w:b/>
          <w:sz w:val="26"/>
          <w:szCs w:val="26"/>
        </w:rPr>
        <w:tab/>
        <w:t>General.</w:t>
      </w:r>
      <w:bookmarkEnd w:id="496"/>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Each Party shall comply with the Electric Reliability Organization requirements.  Unless otherwise agreed by the Parties, Transmission Provider shall install Metering Equipment at the Point of Interconnection prior to any operation of the Large Generating Facility and shall own, operate, test and maintain such Metering Equipment.  Power flows to and from the Large Generating Facility shall be measured at or, at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option, compensated to, the Point of Interconnection.  Transmission Provider shall provide metering quantities, in analog and/or digital form, to Interconnection Customer upon request.  Interconnection Customer shall bear all reasonable documented costs associated with the purchase, installation, operation, testing and maintenance of the Metering Equipment.</w:t>
      </w:r>
    </w:p>
    <w:p w:rsidR="00F3594B" w:rsidRPr="0072600F" w14:paraId="18F7CB88" w14:textId="77777777">
      <w:pPr>
        <w:rPr>
          <w:rFonts w:ascii="Times New Roman" w:hAnsi="Times New Roman" w:cs="Times New Roman"/>
          <w:sz w:val="26"/>
          <w:szCs w:val="26"/>
        </w:rPr>
      </w:pPr>
    </w:p>
    <w:p w:rsidR="00F3594B" w:rsidRPr="0072600F" w14:paraId="7547EB68" w14:textId="77777777">
      <w:pPr>
        <w:tabs>
          <w:tab w:val="left" w:pos="720"/>
        </w:tabs>
        <w:ind w:left="720" w:hanging="720"/>
        <w:rPr>
          <w:rFonts w:ascii="Times New Roman" w:hAnsi="Times New Roman" w:cs="Times New Roman"/>
          <w:sz w:val="26"/>
          <w:szCs w:val="26"/>
        </w:rPr>
      </w:pPr>
      <w:bookmarkStart w:id="497" w:name="_1_P"/>
      <w:bookmarkStart w:id="498" w:name="_Toc148703348"/>
      <w:bookmarkEnd w:id="497"/>
      <w:r w:rsidRPr="0072600F">
        <w:rPr>
          <w:rStyle w:val="Heading2Char"/>
          <w:rFonts w:eastAsiaTheme="minorHAnsi"/>
          <w:b/>
          <w:sz w:val="26"/>
          <w:szCs w:val="26"/>
        </w:rPr>
        <w:t>7.2</w:t>
      </w:r>
      <w:r w:rsidRPr="0072600F">
        <w:rPr>
          <w:rStyle w:val="Heading2Char"/>
          <w:rFonts w:eastAsiaTheme="minorHAnsi"/>
          <w:b/>
          <w:sz w:val="26"/>
          <w:szCs w:val="26"/>
        </w:rPr>
        <w:tab/>
        <w:t>Check Meters.</w:t>
      </w:r>
      <w:bookmarkEnd w:id="498"/>
      <w:r w:rsidRPr="0072600F">
        <w:rPr>
          <w:rFonts w:ascii="Times New Roman" w:hAnsi="Times New Roman" w:cs="Times New Roman"/>
          <w:sz w:val="26"/>
          <w:szCs w:val="26"/>
        </w:rPr>
        <w:t xml:space="preserve">  Interconnection Customer, at its option and expense, may install and operate, on its premises and on its side of the Point of Interconnection, one or more check meters to check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meters.  Such check meters shall be for check purposes only and shall not be used for the measurement of power flows for purposes of this LGIA, except as provided in Article 7.4 below.  The check meters shall be subject at all reasonable times to inspection and examination by Transmission Provider or its designee.  The installation, operation and maintenance thereof shall be performed entirely by Interconnection Customer in accordance with Good Utility Practice.</w:t>
      </w:r>
    </w:p>
    <w:p w:rsidR="00F3594B" w:rsidRPr="0072600F" w14:paraId="631EEE2A" w14:textId="77777777">
      <w:pPr>
        <w:rPr>
          <w:rFonts w:ascii="Times New Roman" w:hAnsi="Times New Roman" w:cs="Times New Roman"/>
          <w:sz w:val="26"/>
          <w:szCs w:val="26"/>
        </w:rPr>
      </w:pPr>
    </w:p>
    <w:p w:rsidR="00F3594B" w:rsidRPr="0072600F" w14:paraId="34A3A4FD" w14:textId="77777777">
      <w:pPr>
        <w:tabs>
          <w:tab w:val="left" w:pos="720"/>
        </w:tabs>
        <w:ind w:left="720" w:hanging="720"/>
        <w:rPr>
          <w:rFonts w:ascii="Times New Roman" w:hAnsi="Times New Roman" w:cs="Times New Roman"/>
          <w:sz w:val="26"/>
          <w:szCs w:val="26"/>
        </w:rPr>
      </w:pPr>
      <w:bookmarkStart w:id="499" w:name="_1_Q"/>
      <w:bookmarkStart w:id="500" w:name="_Toc148703349"/>
      <w:bookmarkEnd w:id="499"/>
      <w:r w:rsidRPr="0072600F">
        <w:rPr>
          <w:rStyle w:val="Heading2Char"/>
          <w:rFonts w:eastAsiaTheme="minorHAnsi"/>
          <w:b/>
          <w:sz w:val="26"/>
          <w:szCs w:val="26"/>
        </w:rPr>
        <w:t>7.3</w:t>
      </w:r>
      <w:r w:rsidRPr="0072600F">
        <w:rPr>
          <w:rStyle w:val="Heading2Char"/>
          <w:rFonts w:eastAsiaTheme="minorHAnsi"/>
          <w:b/>
          <w:sz w:val="26"/>
          <w:szCs w:val="26"/>
        </w:rPr>
        <w:tab/>
        <w:t>Standards.</w:t>
      </w:r>
      <w:bookmarkEnd w:id="500"/>
      <w:r w:rsidRPr="0072600F">
        <w:rPr>
          <w:rFonts w:ascii="Times New Roman" w:hAnsi="Times New Roman" w:cs="Times New Roman"/>
          <w:sz w:val="26"/>
          <w:szCs w:val="26"/>
        </w:rPr>
        <w:t xml:space="preserve">  Transmission Provider shall install, calibrate, and test revenue quality Metering Equipment in accordance with applicable ANSI standards.</w:t>
      </w:r>
    </w:p>
    <w:p w:rsidR="00F3594B" w:rsidRPr="0072600F" w14:paraId="04FD4EB0" w14:textId="77777777">
      <w:pPr>
        <w:rPr>
          <w:rFonts w:ascii="Times New Roman" w:hAnsi="Times New Roman" w:cs="Times New Roman"/>
          <w:sz w:val="26"/>
          <w:szCs w:val="26"/>
        </w:rPr>
      </w:pPr>
    </w:p>
    <w:p w:rsidR="00F3594B" w:rsidRPr="0072600F" w14:paraId="04C06213" w14:textId="77777777">
      <w:pPr>
        <w:tabs>
          <w:tab w:val="left" w:pos="720"/>
        </w:tabs>
        <w:ind w:left="720" w:hanging="720"/>
        <w:rPr>
          <w:rFonts w:ascii="Times New Roman" w:hAnsi="Times New Roman" w:cs="Times New Roman"/>
          <w:sz w:val="26"/>
          <w:szCs w:val="26"/>
        </w:rPr>
      </w:pPr>
      <w:bookmarkStart w:id="501" w:name="_1_R"/>
      <w:bookmarkStart w:id="502" w:name="_Toc148703350"/>
      <w:bookmarkEnd w:id="501"/>
      <w:r w:rsidRPr="0072600F">
        <w:rPr>
          <w:rStyle w:val="Heading2Char"/>
          <w:rFonts w:eastAsiaTheme="minorHAnsi"/>
          <w:b/>
          <w:sz w:val="26"/>
          <w:szCs w:val="26"/>
        </w:rPr>
        <w:t>7.4</w:t>
      </w:r>
      <w:r w:rsidRPr="0072600F">
        <w:rPr>
          <w:rStyle w:val="Heading2Char"/>
          <w:rFonts w:eastAsiaTheme="minorHAnsi"/>
          <w:b/>
          <w:sz w:val="26"/>
          <w:szCs w:val="26"/>
        </w:rPr>
        <w:tab/>
        <w:t>Testing of Metering Equipment.</w:t>
      </w:r>
      <w:bookmarkEnd w:id="502"/>
      <w:r w:rsidRPr="0072600F">
        <w:rPr>
          <w:rFonts w:ascii="Times New Roman" w:hAnsi="Times New Roman" w:cs="Times New Roman"/>
          <w:sz w:val="26"/>
          <w:szCs w:val="26"/>
        </w:rPr>
        <w:t xml:space="preserve">  Transmission Provider shall inspect and test all Transmission Provider-owned Metering Equipment upon installation and at least once every two (2) years thereafter.  If requested to do so by Interconnection Customer, Transmission Provider shall,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expense, inspect or test Metering Equipment more frequently than every two (2) years.  Transmission Provider shall give reasonable notice of the time when any inspection or test shall take place, and Interconnection Customer may have representatives present at the test or inspection.  If at any time Metering Equipment is found to be inaccurate or defective, it shall be adjusted, repaired or replaced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expense, in order to provide accurate metering, unless the inaccuracy or defect is due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failure to maintain, then Transmission Provider shall pay.  If Metering Equipment fails to register, or if the measurement made by Metering Equipment during a test varies by more than two percent from the measurement made by the standard meter used in the test, Transmission Provider shall adjust the measurements by correcting all measurements for the period during which Metering Equipment was in error by using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p>
    <w:p w:rsidR="00F3594B" w:rsidRPr="0072600F" w14:paraId="637F25DA" w14:textId="77777777">
      <w:pPr>
        <w:rPr>
          <w:rFonts w:ascii="Times New Roman" w:hAnsi="Times New Roman" w:cs="Times New Roman"/>
          <w:sz w:val="26"/>
          <w:szCs w:val="26"/>
        </w:rPr>
      </w:pPr>
    </w:p>
    <w:p w:rsidR="00F3594B" w:rsidRPr="0072600F" w14:paraId="1FDC09D1" w14:textId="77777777">
      <w:pPr>
        <w:tabs>
          <w:tab w:val="left" w:pos="720"/>
        </w:tabs>
        <w:ind w:left="720" w:hanging="720"/>
        <w:rPr>
          <w:rFonts w:ascii="Times New Roman" w:hAnsi="Times New Roman" w:cs="Times New Roman"/>
          <w:sz w:val="26"/>
          <w:szCs w:val="26"/>
        </w:rPr>
      </w:pPr>
      <w:bookmarkStart w:id="503" w:name="_1_S"/>
      <w:bookmarkStart w:id="504" w:name="_Toc148703351"/>
      <w:bookmarkEnd w:id="503"/>
      <w:r w:rsidRPr="0072600F">
        <w:rPr>
          <w:rStyle w:val="Heading2Char"/>
          <w:rFonts w:eastAsiaTheme="minorHAnsi"/>
          <w:b/>
          <w:sz w:val="26"/>
          <w:szCs w:val="26"/>
        </w:rPr>
        <w:t>7.5</w:t>
      </w:r>
      <w:r w:rsidRPr="0072600F">
        <w:rPr>
          <w:rStyle w:val="Heading2Char"/>
          <w:rFonts w:eastAsiaTheme="minorHAnsi"/>
          <w:b/>
          <w:sz w:val="26"/>
          <w:szCs w:val="26"/>
        </w:rPr>
        <w:tab/>
        <w:t>Metering Data.</w:t>
      </w:r>
      <w:bookmarkEnd w:id="504"/>
      <w:r w:rsidRPr="0072600F">
        <w:rPr>
          <w:rFonts w:ascii="Times New Roman" w:hAnsi="Times New Roman" w:cs="Times New Roman"/>
          <w:sz w:val="26"/>
          <w:szCs w:val="26"/>
        </w:rPr>
        <w:t xml:space="preserve">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expense, the metered data shall be telemetered to one or more locations designated by Transmission Provider and one or more locations designated by Interconnection Customer.  Such telemetered data shall be used, under normal operating conditions, as the official measurement of the amount of energy delivered from the Large Generating Facility to the Point of Interconnection.</w:t>
      </w:r>
    </w:p>
    <w:p w:rsidR="00F3594B" w:rsidRPr="0072600F" w14:paraId="577166CC" w14:textId="77777777">
      <w:pPr>
        <w:rPr>
          <w:rFonts w:ascii="Times New Roman" w:hAnsi="Times New Roman" w:cs="Times New Roman"/>
          <w:sz w:val="26"/>
          <w:szCs w:val="26"/>
        </w:rPr>
      </w:pPr>
    </w:p>
    <w:p w:rsidR="00F3594B" w:rsidRPr="0072600F" w:rsidP="00A97EB7" w14:paraId="34819214" w14:textId="77777777">
      <w:pPr>
        <w:pStyle w:val="Heading2"/>
        <w:rPr>
          <w:b/>
          <w:bCs/>
          <w:sz w:val="26"/>
          <w:szCs w:val="26"/>
        </w:rPr>
      </w:pPr>
      <w:bookmarkStart w:id="505" w:name="_1_T"/>
      <w:bookmarkStart w:id="506" w:name="_Toc148703352"/>
      <w:bookmarkEnd w:id="505"/>
      <w:r w:rsidRPr="0072600F">
        <w:rPr>
          <w:b/>
          <w:bCs/>
          <w:sz w:val="26"/>
          <w:szCs w:val="26"/>
        </w:rPr>
        <w:t>Article 8.</w:t>
      </w:r>
      <w:r w:rsidRPr="0072600F">
        <w:rPr>
          <w:b/>
          <w:bCs/>
          <w:sz w:val="26"/>
          <w:szCs w:val="26"/>
        </w:rPr>
        <w:tab/>
        <w:t>Communications</w:t>
      </w:r>
      <w:bookmarkEnd w:id="506"/>
    </w:p>
    <w:p w:rsidR="00F3594B" w:rsidRPr="0072600F" w14:paraId="69CDC74E" w14:textId="77777777">
      <w:pPr>
        <w:rPr>
          <w:rFonts w:ascii="Times New Roman" w:hAnsi="Times New Roman" w:cs="Times New Roman"/>
          <w:sz w:val="26"/>
          <w:szCs w:val="26"/>
        </w:rPr>
      </w:pPr>
    </w:p>
    <w:p w:rsidR="00F3594B" w:rsidRPr="0072600F" w14:paraId="1663E477" w14:textId="77777777">
      <w:pPr>
        <w:tabs>
          <w:tab w:val="left" w:pos="720"/>
        </w:tabs>
        <w:ind w:left="720" w:hanging="720"/>
        <w:rPr>
          <w:rFonts w:ascii="Times New Roman" w:hAnsi="Times New Roman" w:cs="Times New Roman"/>
          <w:sz w:val="26"/>
          <w:szCs w:val="26"/>
        </w:rPr>
      </w:pPr>
      <w:bookmarkStart w:id="507" w:name="_1_U"/>
      <w:bookmarkStart w:id="508" w:name="_Toc148703353"/>
      <w:bookmarkEnd w:id="507"/>
      <w:r w:rsidRPr="0072600F">
        <w:rPr>
          <w:rStyle w:val="Heading2Char"/>
          <w:rFonts w:eastAsiaTheme="minorHAnsi"/>
          <w:b/>
          <w:sz w:val="26"/>
          <w:szCs w:val="26"/>
        </w:rPr>
        <w:t>8.1</w:t>
      </w:r>
      <w:r w:rsidRPr="0072600F">
        <w:rPr>
          <w:rStyle w:val="Heading2Char"/>
          <w:rFonts w:eastAsiaTheme="minorHAnsi"/>
          <w:b/>
          <w:sz w:val="26"/>
          <w:szCs w:val="26"/>
        </w:rPr>
        <w:tab/>
        <w:t>Interconnection Customer Obligations.</w:t>
      </w:r>
      <w:bookmarkEnd w:id="508"/>
      <w:r w:rsidRPr="0072600F">
        <w:rPr>
          <w:rFonts w:ascii="Times New Roman" w:hAnsi="Times New Roman" w:cs="Times New Roman"/>
          <w:sz w:val="26"/>
          <w:szCs w:val="26"/>
        </w:rPr>
        <w:t xml:space="preserve">  Interconnection Customer shall maintain satisfactory operating communications with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dispatcher or representative designated by Transmission Provider.  Interconnection Customer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Interconnection Customer shall also provide the dedicated data circuit(s) necessary to provide Interconnection Customer data to Transmission Provider as set forth in Appendix D, Security Arrangements Details.  The data circuit(s) shall extend from the Large Generating Facility to the location(s) specified by Transmission Provider.  Any required maintenance of such communications equipment shall be performed by Interconnection Customer.  Operational communications shall be activated and maintained under, but not be limited to, the following events:  system paralleling or separation, scheduled and unscheduled shutdowns, equipment clearances, and hourly and daily load data.</w:t>
      </w:r>
    </w:p>
    <w:p w:rsidR="00F3594B" w:rsidRPr="0072600F" w14:paraId="114056A4" w14:textId="77777777">
      <w:pPr>
        <w:rPr>
          <w:rFonts w:ascii="Times New Roman" w:hAnsi="Times New Roman" w:cs="Times New Roman"/>
          <w:sz w:val="26"/>
          <w:szCs w:val="26"/>
        </w:rPr>
      </w:pPr>
    </w:p>
    <w:p w:rsidR="00F3594B" w:rsidRPr="0072600F" w14:paraId="6C4887E6" w14:textId="77777777">
      <w:pPr>
        <w:tabs>
          <w:tab w:val="left" w:pos="720"/>
        </w:tabs>
        <w:ind w:left="720" w:hanging="720"/>
        <w:rPr>
          <w:rFonts w:ascii="Times New Roman" w:hAnsi="Times New Roman" w:cs="Times New Roman"/>
          <w:sz w:val="26"/>
          <w:szCs w:val="26"/>
        </w:rPr>
      </w:pPr>
      <w:bookmarkStart w:id="509" w:name="_1_V"/>
      <w:bookmarkStart w:id="510" w:name="_Toc148703354"/>
      <w:bookmarkEnd w:id="509"/>
      <w:r w:rsidRPr="0072600F">
        <w:rPr>
          <w:rStyle w:val="Heading2Char"/>
          <w:rFonts w:eastAsiaTheme="minorHAnsi"/>
          <w:b/>
          <w:sz w:val="26"/>
          <w:szCs w:val="26"/>
        </w:rPr>
        <w:t>8.2</w:t>
      </w:r>
      <w:r w:rsidRPr="0072600F">
        <w:rPr>
          <w:rStyle w:val="Heading2Char"/>
          <w:rFonts w:eastAsiaTheme="minorHAnsi"/>
          <w:b/>
          <w:sz w:val="26"/>
          <w:szCs w:val="26"/>
        </w:rPr>
        <w:tab/>
        <w:t>Remote Terminal Unit.</w:t>
      </w:r>
      <w:bookmarkEnd w:id="510"/>
      <w:r w:rsidRPr="0072600F">
        <w:rPr>
          <w:rFonts w:ascii="Times New Roman" w:hAnsi="Times New Roman" w:cs="Times New Roman"/>
          <w:sz w:val="26"/>
          <w:szCs w:val="26"/>
        </w:rPr>
        <w:t xml:space="preserve">  Prior to the Initial Synchronization Date of the Large Generating Facility, a Remote Terminal Unit, or equivalent data collection and transfer equipment acceptable to the Parties, shall be installed by Interconnection Customer, or by Transmission Provider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expense, to gather accumulated and instantaneous data to be telemetered to the location(s) designated by Transmission Provider through use of a dedicated point-to-point data circuit(s) as indicated in Article 8.1.  The communication protocol for the data circuit(s) shall be specified by Transmission Provider.  Instantaneous bi-directional analog real power and reactive power flow information must be telemetered directly to the location(s) specified by Transmission Provider.</w:t>
      </w:r>
    </w:p>
    <w:p w:rsidR="00F3594B" w:rsidRPr="0072600F" w14:paraId="359276D8" w14:textId="77777777">
      <w:pPr>
        <w:rPr>
          <w:rFonts w:ascii="Times New Roman" w:hAnsi="Times New Roman" w:cs="Times New Roman"/>
          <w:sz w:val="26"/>
          <w:szCs w:val="26"/>
        </w:rPr>
      </w:pPr>
    </w:p>
    <w:p w:rsidR="00F3594B" w:rsidRPr="0072600F" w14:paraId="4EE612B6" w14:textId="77777777">
      <w:pPr>
        <w:ind w:left="720"/>
        <w:rPr>
          <w:rFonts w:ascii="Times New Roman" w:hAnsi="Times New Roman" w:cs="Times New Roman"/>
          <w:sz w:val="26"/>
          <w:szCs w:val="26"/>
        </w:rPr>
      </w:pPr>
      <w:r w:rsidRPr="0072600F">
        <w:rPr>
          <w:rFonts w:ascii="Times New Roman" w:hAnsi="Times New Roman" w:cs="Times New Roman"/>
          <w:sz w:val="26"/>
          <w:szCs w:val="26"/>
        </w:rPr>
        <w:t>Each Party will promptly advise the other Party if it detects or otherwise learns of any metering, telemetry or communications equipment errors or malfunctions that require the attention and/or correction by the other Party.  The Party owning such equipment shall correct such error or malfunction as soon as reasonably feasible.</w:t>
      </w:r>
    </w:p>
    <w:p w:rsidR="00F3594B" w:rsidRPr="0072600F" w14:paraId="6B68AC94" w14:textId="77777777">
      <w:pPr>
        <w:rPr>
          <w:rFonts w:ascii="Times New Roman" w:hAnsi="Times New Roman" w:cs="Times New Roman"/>
          <w:sz w:val="26"/>
          <w:szCs w:val="26"/>
        </w:rPr>
      </w:pPr>
    </w:p>
    <w:p w:rsidR="00F3594B" w:rsidRPr="0072600F" w14:paraId="29B18927" w14:textId="77777777">
      <w:pPr>
        <w:tabs>
          <w:tab w:val="left" w:pos="720"/>
        </w:tabs>
        <w:ind w:left="720" w:hanging="720"/>
        <w:rPr>
          <w:rFonts w:ascii="Times New Roman" w:hAnsi="Times New Roman" w:cs="Times New Roman"/>
          <w:sz w:val="26"/>
          <w:szCs w:val="26"/>
        </w:rPr>
      </w:pPr>
      <w:bookmarkStart w:id="511" w:name="_1_W"/>
      <w:bookmarkStart w:id="512" w:name="_Toc148703355"/>
      <w:bookmarkEnd w:id="511"/>
      <w:r w:rsidRPr="0072600F">
        <w:rPr>
          <w:rStyle w:val="Heading2Char"/>
          <w:rFonts w:eastAsiaTheme="minorHAnsi"/>
          <w:b/>
          <w:sz w:val="26"/>
          <w:szCs w:val="26"/>
        </w:rPr>
        <w:t>8.3</w:t>
      </w:r>
      <w:r w:rsidRPr="0072600F">
        <w:rPr>
          <w:rStyle w:val="Heading2Char"/>
          <w:rFonts w:eastAsiaTheme="minorHAnsi"/>
          <w:b/>
          <w:sz w:val="26"/>
          <w:szCs w:val="26"/>
        </w:rPr>
        <w:tab/>
        <w:t>No Annexation.</w:t>
      </w:r>
      <w:bookmarkEnd w:id="512"/>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Any and all equipment placed on the premises of a Party shall be and remain the property of the Party providing such equipment regardless of the mode and manner of annexation or attachment to real property, unless otherwise mutually agreed by the Parties.</w:t>
      </w:r>
    </w:p>
    <w:p w:rsidR="00F3594B" w:rsidRPr="0072600F" w14:paraId="1AE7597D" w14:textId="77777777">
      <w:pPr>
        <w:tabs>
          <w:tab w:val="left" w:pos="720"/>
        </w:tabs>
        <w:ind w:left="720" w:hanging="720"/>
        <w:rPr>
          <w:rFonts w:ascii="Times New Roman" w:hAnsi="Times New Roman" w:cs="Times New Roman"/>
          <w:b/>
          <w:sz w:val="26"/>
          <w:szCs w:val="26"/>
        </w:rPr>
      </w:pPr>
    </w:p>
    <w:p w:rsidR="00F3594B" w:rsidRPr="0072600F" w14:paraId="3860CC5B" w14:textId="77777777">
      <w:pPr>
        <w:ind w:left="720" w:hanging="720"/>
        <w:rPr>
          <w:rFonts w:ascii="Times New Roman" w:hAnsi="Times New Roman" w:cs="Times New Roman"/>
          <w:sz w:val="26"/>
          <w:szCs w:val="26"/>
        </w:rPr>
      </w:pPr>
      <w:bookmarkStart w:id="513" w:name="eightpoint4"/>
      <w:bookmarkStart w:id="514" w:name="_Toc148703356"/>
      <w:r w:rsidRPr="0072600F">
        <w:rPr>
          <w:rStyle w:val="Heading2Char"/>
          <w:rFonts w:eastAsiaTheme="minorHAnsi"/>
          <w:b/>
          <w:sz w:val="26"/>
          <w:szCs w:val="26"/>
        </w:rPr>
        <w:t>8.4</w:t>
      </w:r>
      <w:r w:rsidRPr="0072600F">
        <w:rPr>
          <w:rStyle w:val="Heading2Char"/>
          <w:rFonts w:eastAsiaTheme="minorHAnsi"/>
          <w:b/>
          <w:sz w:val="26"/>
          <w:szCs w:val="26"/>
        </w:rPr>
        <w:tab/>
        <w:t>Provision of Data from a Variable Energy Resource.</w:t>
      </w:r>
      <w:bookmarkEnd w:id="513"/>
      <w:bookmarkEnd w:id="514"/>
      <w:r w:rsidRPr="0072600F">
        <w:rPr>
          <w:rFonts w:ascii="Times New Roman" w:hAnsi="Times New Roman" w:cs="Times New Roman"/>
          <w:b/>
          <w:bCs/>
          <w:sz w:val="26"/>
          <w:szCs w:val="26"/>
        </w:rPr>
        <w:t xml:space="preserve">  </w:t>
      </w:r>
      <w:r w:rsidRPr="0072600F" w:rsidR="00473FF8">
        <w:rPr>
          <w:rFonts w:ascii="Times New Roman" w:hAnsi="Times New Roman" w:cs="Times New Roman"/>
          <w:b/>
          <w:bCs/>
          <w:sz w:val="26"/>
          <w:szCs w:val="26"/>
        </w:rPr>
        <w:t>[</w:t>
      </w:r>
      <w:r w:rsidRPr="0072600F">
        <w:rPr>
          <w:rFonts w:ascii="Times New Roman" w:hAnsi="Times New Roman" w:cs="Times New Roman"/>
          <w:sz w:val="26"/>
          <w:szCs w:val="26"/>
        </w:rPr>
        <w:t>The</w:t>
      </w:r>
      <w:r w:rsidRPr="0072600F" w:rsidR="00473FF8">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whose Generating Facility contains at least one Variable Energy Resource shall provide meteorological and forced outage data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the extent necessary for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development and deployment of power production forecasts for that class of Variable Energy Resources.  </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The</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 a Variable Energy Resource having wind as the energy source, at a minimum, will be required to provide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with site-specific meteorological data including:  temperature, wind speed, wind direction, and atmospheric pressure.  </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The</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 a Variable Energy Resource having solar as the energy source, at a minimum, will be required to provide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with site-specific meteorological data including:  temperature, atmospheric pressure, and irradiance.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Interconnection Customer whose Generating Facility contains a Variable Energy Resource shall mutually agree to any additional meteorological data that are required for the development and deployment of a power production forecast.  </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The</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whose Generating Facility contains a Variable Energy Resource also shall submit data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regarding all forced outages to the extent necessary for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development and deployment of power production forecasts for that class of Variable Energy Resources.  The exact specifications of the meteorological and forced outage data to be provided by </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the</w:t>
      </w:r>
      <w:r w:rsidRPr="0072600F" w:rsidR="00D1472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including the frequency and timing of data submittals, shall be made taking into account the size and configuration of the Variable Energy Resource, its characteristics, location, and its importance in maintaining generation resource adequacy and transmission system reliability in its area.  All requirements for meteorological and forced outage data must be commensurate with the power production forecasting employed by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Such requirements for meteorological and forced outage data are set forth in Appendix C, Interconnection Details, of this LGIA, as they may change from time to time.</w:t>
      </w:r>
    </w:p>
    <w:p w:rsidR="00F3594B" w:rsidRPr="0072600F" w14:paraId="748C7E85" w14:textId="77777777">
      <w:pPr>
        <w:rPr>
          <w:rFonts w:ascii="Times New Roman" w:hAnsi="Times New Roman" w:cs="Times New Roman"/>
          <w:sz w:val="26"/>
          <w:szCs w:val="26"/>
        </w:rPr>
      </w:pPr>
    </w:p>
    <w:p w:rsidR="00F3594B" w:rsidRPr="0072600F" w14:paraId="4CDEAEC0" w14:textId="77777777">
      <w:pPr>
        <w:rPr>
          <w:rFonts w:ascii="Times New Roman" w:hAnsi="Times New Roman" w:cs="Times New Roman"/>
          <w:sz w:val="26"/>
          <w:szCs w:val="26"/>
        </w:rPr>
      </w:pPr>
    </w:p>
    <w:p w:rsidR="00F3594B" w:rsidRPr="0072600F" w:rsidP="00A97EB7" w14:paraId="15E2CE19" w14:textId="77777777">
      <w:pPr>
        <w:pStyle w:val="Heading2"/>
        <w:rPr>
          <w:b/>
          <w:bCs/>
          <w:sz w:val="26"/>
          <w:szCs w:val="26"/>
        </w:rPr>
      </w:pPr>
      <w:r w:rsidRPr="0072600F">
        <w:rPr>
          <w:b/>
          <w:bCs/>
          <w:sz w:val="26"/>
          <w:szCs w:val="26"/>
          <w:lang w:val="en-CA"/>
        </w:rPr>
        <w:fldChar w:fldCharType="begin"/>
      </w:r>
      <w:r w:rsidRPr="0072600F">
        <w:rPr>
          <w:b/>
          <w:bCs/>
          <w:sz w:val="26"/>
          <w:szCs w:val="26"/>
          <w:lang w:val="en-CA"/>
        </w:rPr>
        <w:instrText xml:space="preserve"> SEQ CHAPTER \h \r 1</w:instrText>
      </w:r>
      <w:r w:rsidRPr="0072600F">
        <w:rPr>
          <w:b/>
          <w:bCs/>
          <w:sz w:val="26"/>
          <w:szCs w:val="26"/>
          <w:lang w:val="en-CA"/>
        </w:rPr>
        <w:fldChar w:fldCharType="separate"/>
      </w:r>
      <w:r w:rsidRPr="0072600F">
        <w:rPr>
          <w:b/>
          <w:bCs/>
          <w:sz w:val="26"/>
          <w:szCs w:val="26"/>
          <w:lang w:val="en-CA"/>
        </w:rPr>
        <w:fldChar w:fldCharType="end"/>
      </w:r>
      <w:bookmarkStart w:id="515" w:name="_Toc148703357"/>
      <w:r w:rsidRPr="0072600F">
        <w:rPr>
          <w:b/>
          <w:bCs/>
          <w:sz w:val="26"/>
          <w:szCs w:val="26"/>
        </w:rPr>
        <w:t>Article 9.</w:t>
      </w:r>
      <w:r w:rsidRPr="0072600F">
        <w:rPr>
          <w:b/>
          <w:bCs/>
          <w:sz w:val="26"/>
          <w:szCs w:val="26"/>
        </w:rPr>
        <w:tab/>
        <w:t>Operations</w:t>
      </w:r>
      <w:bookmarkEnd w:id="515"/>
    </w:p>
    <w:p w:rsidR="00F3594B" w:rsidRPr="0072600F" w:rsidP="00A97EB7" w14:paraId="39096076" w14:textId="77777777">
      <w:pPr>
        <w:jc w:val="both"/>
        <w:rPr>
          <w:rFonts w:ascii="Times New Roman" w:hAnsi="Times New Roman" w:cs="Times New Roman"/>
          <w:b/>
          <w:bCs/>
          <w:sz w:val="26"/>
          <w:szCs w:val="26"/>
        </w:rPr>
      </w:pPr>
    </w:p>
    <w:p w:rsidR="00F3594B" w:rsidRPr="0072600F" w:rsidP="00A97EB7" w14:paraId="37C65E5E" w14:textId="77777777">
      <w:pPr>
        <w:ind w:left="720" w:hanging="720"/>
        <w:jc w:val="both"/>
        <w:rPr>
          <w:rFonts w:ascii="Times New Roman" w:hAnsi="Times New Roman" w:cs="Times New Roman"/>
          <w:sz w:val="26"/>
          <w:szCs w:val="26"/>
        </w:rPr>
      </w:pPr>
      <w:bookmarkStart w:id="516" w:name="_Toc148703358"/>
      <w:r w:rsidRPr="0072600F">
        <w:rPr>
          <w:rStyle w:val="Heading2Char"/>
          <w:rFonts w:eastAsiaTheme="minorHAnsi"/>
          <w:b/>
          <w:sz w:val="26"/>
          <w:szCs w:val="26"/>
        </w:rPr>
        <w:t>9.1</w:t>
      </w:r>
      <w:r w:rsidRPr="0072600F">
        <w:rPr>
          <w:rStyle w:val="Heading2Char"/>
          <w:rFonts w:eastAsiaTheme="minorHAnsi"/>
          <w:b/>
          <w:sz w:val="26"/>
          <w:szCs w:val="26"/>
        </w:rPr>
        <w:tab/>
        <w:t>General.</w:t>
      </w:r>
      <w:bookmarkEnd w:id="516"/>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Each Party shall comply with the Electric Reliability Organization requirements.  Each Party shall provide to the other Party all information that may reasonably be required by the other Party to comply with Applicable Laws and Regulations and Applicable Reliability Standards.</w:t>
      </w:r>
    </w:p>
    <w:p w:rsidR="00F3594B" w:rsidRPr="0072600F" w:rsidP="00A97EB7" w14:paraId="501F0B46" w14:textId="77777777">
      <w:pPr>
        <w:rPr>
          <w:rFonts w:ascii="Times New Roman" w:hAnsi="Times New Roman" w:cs="Times New Roman"/>
          <w:sz w:val="26"/>
          <w:szCs w:val="26"/>
        </w:rPr>
      </w:pPr>
    </w:p>
    <w:p w:rsidR="00F3594B" w:rsidRPr="0072600F" w:rsidP="00A97EB7" w14:paraId="52004F13" w14:textId="77777777">
      <w:pPr>
        <w:tabs>
          <w:tab w:val="left" w:pos="720"/>
        </w:tabs>
        <w:ind w:left="720" w:hanging="720"/>
        <w:rPr>
          <w:rFonts w:ascii="Times New Roman" w:hAnsi="Times New Roman" w:cs="Times New Roman"/>
          <w:sz w:val="26"/>
          <w:szCs w:val="26"/>
        </w:rPr>
      </w:pPr>
      <w:bookmarkStart w:id="517" w:name="_Toc148703359"/>
      <w:r w:rsidRPr="0072600F">
        <w:rPr>
          <w:rStyle w:val="Heading2Char"/>
          <w:rFonts w:eastAsiaTheme="minorHAnsi"/>
          <w:b/>
          <w:sz w:val="26"/>
          <w:szCs w:val="26"/>
        </w:rPr>
        <w:t>9.2</w:t>
      </w:r>
      <w:r w:rsidRPr="0072600F">
        <w:rPr>
          <w:rStyle w:val="Heading2Char"/>
          <w:rFonts w:eastAsiaTheme="minorHAnsi"/>
          <w:b/>
          <w:sz w:val="26"/>
          <w:szCs w:val="26"/>
        </w:rPr>
        <w:tab/>
        <w:t>Balancing Authority Area Notification.</w:t>
      </w:r>
      <w:bookmarkEnd w:id="517"/>
      <w:r w:rsidRPr="0072600F">
        <w:rPr>
          <w:rFonts w:ascii="Times New Roman" w:hAnsi="Times New Roman" w:cs="Times New Roman"/>
          <w:sz w:val="26"/>
          <w:szCs w:val="26"/>
        </w:rPr>
        <w:t xml:space="preserve">  At least three months before Initial Synchronization Date, Interconnection Customer shall notify Transmission Provider in writing of the Balancing Authority Area in which the Large Generating Facility will be located.  If Interconnection Customer elects to locate the Large Generating Facility in a Balancing Authority Area other than the Balancing Authority Area in which the Large Generating Facility is physically located, and if permitted to do so by the relevant transmission tariffs, all necessary arrangements, including but not limited to those set forth in Article 7 and Article 8 of this LGIA, and remote Balancing Authority Area generator interchange agreements, if applicable, and the appropriate measures under such agreements, shall be executed and implemented prior to the placement of the Large Generating Facility in the other Balancing Authority Area.</w:t>
      </w:r>
    </w:p>
    <w:p w:rsidR="00F3594B" w:rsidRPr="0072600F" w:rsidP="00A97EB7" w14:paraId="70E67327" w14:textId="77777777">
      <w:pPr>
        <w:rPr>
          <w:rFonts w:ascii="Times New Roman" w:hAnsi="Times New Roman" w:cs="Times New Roman"/>
          <w:sz w:val="26"/>
          <w:szCs w:val="26"/>
        </w:rPr>
      </w:pPr>
    </w:p>
    <w:p w:rsidR="00F3594B" w:rsidRPr="0072600F" w:rsidP="00A97EB7" w14:paraId="53DC848C" w14:textId="77777777">
      <w:pPr>
        <w:tabs>
          <w:tab w:val="left" w:pos="720"/>
        </w:tabs>
        <w:ind w:left="720" w:hanging="720"/>
        <w:rPr>
          <w:rFonts w:ascii="Times New Roman" w:hAnsi="Times New Roman" w:cs="Times New Roman"/>
          <w:sz w:val="26"/>
          <w:szCs w:val="26"/>
        </w:rPr>
      </w:pPr>
      <w:bookmarkStart w:id="518" w:name="_1__91_"/>
      <w:bookmarkStart w:id="519" w:name="_Toc148703360"/>
      <w:bookmarkEnd w:id="518"/>
      <w:r w:rsidRPr="0072600F">
        <w:rPr>
          <w:rStyle w:val="Heading2Char"/>
          <w:rFonts w:eastAsiaTheme="minorHAnsi"/>
          <w:b/>
          <w:sz w:val="26"/>
          <w:szCs w:val="26"/>
        </w:rPr>
        <w:t>9.3</w:t>
      </w:r>
      <w:r w:rsidRPr="0072600F">
        <w:rPr>
          <w:rStyle w:val="Heading2Char"/>
          <w:rFonts w:eastAsiaTheme="minorHAnsi"/>
          <w:b/>
          <w:sz w:val="26"/>
          <w:szCs w:val="26"/>
        </w:rPr>
        <w:tab/>
        <w:t>Transmission Provider Obligations.</w:t>
      </w:r>
      <w:bookmarkEnd w:id="519"/>
      <w:r w:rsidRPr="0072600F">
        <w:rPr>
          <w:rFonts w:ascii="Times New Roman" w:hAnsi="Times New Roman" w:cs="Times New Roman"/>
          <w:sz w:val="26"/>
          <w:szCs w:val="26"/>
        </w:rPr>
        <w:t xml:space="preserve">  Transmission Provider shall cause the Transmission System and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to be operated, maintained and controlled in a safe and reliable manner and in accordance with this LGIA.  Transmission Provider may provide operating instructions to Interconnection Customer consistent with this LGIA and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operating protocols and procedures as they may change from time to time.  Transmission Provider will consider changes to its operating protocols and procedures proposed by Interconnection Customer.</w:t>
      </w:r>
    </w:p>
    <w:p w:rsidR="00F3594B" w:rsidRPr="0072600F" w:rsidP="00A97EB7" w14:paraId="4DD5BF8E"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F3594B" w:rsidRPr="0072600F" w:rsidP="00A97EB7" w14:paraId="1C229C7B" w14:textId="77777777">
      <w:pPr>
        <w:tabs>
          <w:tab w:val="left" w:pos="720"/>
        </w:tabs>
        <w:ind w:left="720" w:hanging="720"/>
        <w:rPr>
          <w:rFonts w:ascii="Times New Roman" w:hAnsi="Times New Roman" w:cs="Times New Roman"/>
          <w:sz w:val="26"/>
          <w:szCs w:val="26"/>
        </w:rPr>
      </w:pPr>
      <w:bookmarkStart w:id="520" w:name="_1__92_"/>
      <w:bookmarkStart w:id="521" w:name="_Toc148703361"/>
      <w:bookmarkEnd w:id="520"/>
      <w:r w:rsidRPr="0072600F">
        <w:rPr>
          <w:rStyle w:val="Heading2Char"/>
          <w:rFonts w:eastAsiaTheme="minorHAnsi"/>
          <w:b/>
          <w:sz w:val="26"/>
          <w:szCs w:val="26"/>
        </w:rPr>
        <w:t>9.4</w:t>
      </w:r>
      <w:r w:rsidRPr="0072600F">
        <w:rPr>
          <w:rStyle w:val="Heading2Char"/>
          <w:rFonts w:eastAsiaTheme="minorHAnsi"/>
          <w:b/>
          <w:sz w:val="26"/>
          <w:szCs w:val="26"/>
        </w:rPr>
        <w:tab/>
        <w:t>Interconnection Customer Obligations.</w:t>
      </w:r>
      <w:bookmarkEnd w:id="521"/>
      <w:r w:rsidRPr="0072600F">
        <w:rPr>
          <w:rFonts w:ascii="Times New Roman" w:hAnsi="Times New Roman" w:cs="Times New Roman"/>
          <w:sz w:val="26"/>
          <w:szCs w:val="26"/>
        </w:rPr>
        <w:t xml:space="preserve">  Interconnection Customer shall at its own expense operate, maintain and control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in a safe and reliable manner and in accordance with this LGIA.  Interconnection Customer shall operate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in accordance with all applicable requirements of the Balancing Authority Area of which it is part, as such requirements are set forth in Appendix C, Interconnection Details, of this LGIA.  Appendix C, Interconnection Details, will be modified to reflect changes to the requirements as they may change from time to time.  Either Party may request that the other Party provide copies of the requirements set forth in Appendix C, Interconnection Details, of this LGIA.</w:t>
      </w:r>
    </w:p>
    <w:p w:rsidR="00F3594B" w:rsidRPr="0072600F" w:rsidP="00A97EB7" w14:paraId="76D9D1C1" w14:textId="77777777">
      <w:pPr>
        <w:ind w:left="720" w:hanging="720"/>
        <w:rPr>
          <w:rFonts w:ascii="Times New Roman" w:hAnsi="Times New Roman" w:cs="Times New Roman"/>
          <w:sz w:val="26"/>
          <w:szCs w:val="26"/>
        </w:rPr>
      </w:pPr>
    </w:p>
    <w:p w:rsidR="00F3594B" w:rsidRPr="0072600F" w:rsidP="00A97EB7" w14:paraId="1D50C65C" w14:textId="77777777">
      <w:pPr>
        <w:tabs>
          <w:tab w:val="left" w:pos="720"/>
        </w:tabs>
        <w:ind w:left="720" w:hanging="720"/>
        <w:rPr>
          <w:rFonts w:ascii="Times New Roman" w:hAnsi="Times New Roman" w:cs="Times New Roman"/>
          <w:sz w:val="26"/>
          <w:szCs w:val="26"/>
        </w:rPr>
      </w:pPr>
      <w:bookmarkStart w:id="522" w:name="_1__93_"/>
      <w:bookmarkStart w:id="523" w:name="_Toc148703362"/>
      <w:bookmarkEnd w:id="522"/>
      <w:r w:rsidRPr="0072600F">
        <w:rPr>
          <w:rStyle w:val="Heading2Char"/>
          <w:rFonts w:eastAsiaTheme="minorHAnsi"/>
          <w:b/>
          <w:sz w:val="26"/>
          <w:szCs w:val="26"/>
        </w:rPr>
        <w:t>9.5</w:t>
      </w:r>
      <w:r w:rsidRPr="0072600F">
        <w:rPr>
          <w:rStyle w:val="Heading2Char"/>
          <w:rFonts w:eastAsiaTheme="minorHAnsi"/>
          <w:b/>
          <w:sz w:val="26"/>
          <w:szCs w:val="26"/>
        </w:rPr>
        <w:tab/>
        <w:t>Start-Up and Synchronization.</w:t>
      </w:r>
      <w:bookmarkEnd w:id="523"/>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Consistent with the Parties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mutually acceptable procedures, Interconnection Customer is responsible for the proper synchronization of the Large Generating Facility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F3594B" w:rsidRPr="0072600F" w:rsidP="00A97EB7" w14:paraId="3ED68AF8" w14:textId="77777777">
      <w:pPr>
        <w:rPr>
          <w:rFonts w:ascii="Times New Roman" w:hAnsi="Times New Roman" w:cs="Times New Roman"/>
          <w:sz w:val="26"/>
          <w:szCs w:val="26"/>
        </w:rPr>
      </w:pPr>
    </w:p>
    <w:p w:rsidR="00F3594B" w:rsidRPr="0072600F" w:rsidP="00504196" w14:paraId="479E13E0" w14:textId="77777777">
      <w:pPr>
        <w:pStyle w:val="FERCNopara"/>
        <w:ind w:firstLine="0"/>
        <w:rPr>
          <w:b/>
          <w:sz w:val="26"/>
          <w:szCs w:val="26"/>
        </w:rPr>
      </w:pPr>
      <w:bookmarkStart w:id="524" w:name="_1__94_"/>
      <w:bookmarkStart w:id="525" w:name="_Toc148703363"/>
      <w:bookmarkEnd w:id="524"/>
      <w:r w:rsidRPr="0072600F">
        <w:rPr>
          <w:b/>
          <w:sz w:val="26"/>
          <w:szCs w:val="26"/>
        </w:rPr>
        <w:t>9.6</w:t>
      </w:r>
      <w:r w:rsidRPr="0072600F">
        <w:rPr>
          <w:b/>
          <w:sz w:val="26"/>
          <w:szCs w:val="26"/>
        </w:rPr>
        <w:tab/>
        <w:t>Reactive Power and Primary Frequency Response.</w:t>
      </w:r>
      <w:bookmarkEnd w:id="525"/>
    </w:p>
    <w:p w:rsidR="00F3594B" w:rsidRPr="0072600F" w:rsidP="00A97EB7" w14:paraId="166D52AB" w14:textId="77777777">
      <w:pPr>
        <w:rPr>
          <w:rFonts w:ascii="Times New Roman" w:hAnsi="Times New Roman" w:cs="Times New Roman"/>
          <w:sz w:val="26"/>
          <w:szCs w:val="26"/>
        </w:rPr>
      </w:pPr>
    </w:p>
    <w:p w:rsidR="00F3594B" w:rsidRPr="0072600F" w:rsidP="003E3320" w14:paraId="7B0918E0" w14:textId="77777777">
      <w:pPr>
        <w:pStyle w:val="FERCNopara"/>
        <w:rPr>
          <w:b/>
          <w:sz w:val="26"/>
          <w:szCs w:val="26"/>
        </w:rPr>
      </w:pPr>
      <w:bookmarkStart w:id="526" w:name="_1__"/>
      <w:bookmarkStart w:id="527" w:name="_Toc148703364"/>
      <w:bookmarkEnd w:id="526"/>
      <w:r w:rsidRPr="0072600F">
        <w:rPr>
          <w:b/>
          <w:sz w:val="26"/>
          <w:szCs w:val="26"/>
        </w:rPr>
        <w:t>9.6.1</w:t>
      </w:r>
      <w:r w:rsidRPr="0072600F">
        <w:rPr>
          <w:b/>
          <w:sz w:val="26"/>
          <w:szCs w:val="26"/>
        </w:rPr>
        <w:tab/>
        <w:t>Power Factor Design Criteria.</w:t>
      </w:r>
      <w:bookmarkEnd w:id="527"/>
      <w:r w:rsidRPr="0072600F">
        <w:rPr>
          <w:b/>
          <w:sz w:val="26"/>
          <w:szCs w:val="26"/>
        </w:rPr>
        <w:t xml:space="preserve">  </w:t>
      </w:r>
    </w:p>
    <w:p w:rsidR="00F3594B" w:rsidRPr="0072600F" w:rsidP="00A97EB7" w14:paraId="270C3067" w14:textId="77777777">
      <w:pPr>
        <w:tabs>
          <w:tab w:val="left" w:pos="720"/>
          <w:tab w:val="left" w:pos="1440"/>
        </w:tabs>
        <w:ind w:left="1440" w:hanging="1440"/>
        <w:rPr>
          <w:rFonts w:ascii="Times New Roman" w:hAnsi="Times New Roman" w:cs="Times New Roman"/>
          <w:sz w:val="26"/>
          <w:szCs w:val="26"/>
        </w:rPr>
      </w:pPr>
    </w:p>
    <w:p w:rsidR="00F3594B" w:rsidRPr="0072600F" w:rsidP="00A97EB7" w14:paraId="19A9AFF8" w14:textId="77777777">
      <w:pPr>
        <w:tabs>
          <w:tab w:val="left" w:pos="720"/>
          <w:tab w:val="left" w:pos="144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bookmarkStart w:id="528" w:name="ninepointsixpoint1"/>
      <w:bookmarkStart w:id="529" w:name="ninepointsixpoint1point1"/>
      <w:r w:rsidRPr="0072600F">
        <w:rPr>
          <w:rStyle w:val="Heading4Char"/>
          <w:rFonts w:eastAsiaTheme="minorHAnsi"/>
          <w:b/>
          <w:sz w:val="26"/>
        </w:rPr>
        <w:t>9.6.1.1</w:t>
      </w:r>
      <w:r w:rsidRPr="0072600F">
        <w:rPr>
          <w:rStyle w:val="Heading4Char"/>
          <w:rFonts w:eastAsiaTheme="minorHAnsi"/>
          <w:b/>
          <w:sz w:val="26"/>
        </w:rPr>
        <w:tab/>
        <w:t>Synchronous Generation.</w:t>
      </w:r>
      <w:bookmarkEnd w:id="528"/>
      <w:r w:rsidRPr="0072600F">
        <w:rPr>
          <w:rFonts w:ascii="Times New Roman" w:hAnsi="Times New Roman" w:cs="Times New Roman"/>
          <w:b/>
          <w:sz w:val="26"/>
          <w:szCs w:val="26"/>
        </w:rPr>
        <w:t xml:space="preserve">  </w:t>
      </w:r>
      <w:bookmarkEnd w:id="529"/>
      <w:r w:rsidRPr="0072600F">
        <w:rPr>
          <w:rFonts w:ascii="Times New Roman" w:hAnsi="Times New Roman" w:cs="Times New Roman"/>
          <w:sz w:val="26"/>
          <w:szCs w:val="26"/>
        </w:rPr>
        <w:t>Interconnection Customer shall design the Large Generating Facility to maintain a composite power delivery at continuous rated power output at the Point of Interconnection at a power factor within the range of 0.95 leading to 0.95 lagging, unless Transmission Provider has established different requirements that apply to all synchronous generators in the Balancing Authority Area on a comparable basis.</w:t>
      </w:r>
      <w:r w:rsidRPr="0072600F">
        <w:rPr>
          <w:rFonts w:ascii="Times New Roman" w:hAnsi="Times New Roman" w:cs="Times New Roman"/>
          <w:sz w:val="26"/>
          <w:szCs w:val="26"/>
        </w:rPr>
        <w:t xml:space="preserve"> </w:t>
      </w:r>
    </w:p>
    <w:p w:rsidR="00F3594B" w:rsidRPr="0072600F" w:rsidP="00A97EB7" w14:paraId="1DD07AB0" w14:textId="77777777">
      <w:pPr>
        <w:tabs>
          <w:tab w:val="left" w:pos="720"/>
          <w:tab w:val="left" w:pos="1440"/>
        </w:tabs>
        <w:ind w:left="1440" w:hanging="1440"/>
        <w:rPr>
          <w:rFonts w:ascii="Times New Roman" w:hAnsi="Times New Roman" w:cs="Times New Roman"/>
          <w:sz w:val="26"/>
          <w:szCs w:val="26"/>
        </w:rPr>
      </w:pPr>
    </w:p>
    <w:p w:rsidR="00F3594B" w:rsidRPr="0072600F" w:rsidP="00A97EB7" w14:paraId="61FF7140" w14:textId="77777777">
      <w:pPr>
        <w:tabs>
          <w:tab w:val="left" w:pos="720"/>
          <w:tab w:val="left" w:pos="144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bookmarkStart w:id="530" w:name="ninepointsixpoint1point2"/>
      <w:bookmarkStart w:id="531" w:name="ninepointsixpoint2"/>
      <w:r w:rsidRPr="0072600F">
        <w:rPr>
          <w:rStyle w:val="Heading4Char"/>
          <w:rFonts w:eastAsiaTheme="minorHAnsi"/>
          <w:b/>
          <w:sz w:val="26"/>
        </w:rPr>
        <w:t xml:space="preserve">9.6.1.2 </w:t>
      </w:r>
      <w:r w:rsidRPr="0072600F">
        <w:rPr>
          <w:rStyle w:val="Heading4Char"/>
          <w:rFonts w:eastAsiaTheme="minorHAnsi"/>
          <w:b/>
          <w:sz w:val="26"/>
        </w:rPr>
        <w:tab/>
        <w:t>Non-Synchronous Generation</w:t>
      </w:r>
      <w:bookmarkEnd w:id="530"/>
      <w:r w:rsidRPr="0072600F">
        <w:rPr>
          <w:rStyle w:val="Heading4Char"/>
          <w:rFonts w:eastAsiaTheme="minorHAnsi"/>
          <w:sz w:val="26"/>
        </w:rPr>
        <w:t>.</w:t>
      </w:r>
      <w:bookmarkEnd w:id="531"/>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Interconnection Customer shall design the Large Generating Facility to maintain a composite power delivery at continuous rated power output at the high-side of the generator substation at a power factor within the range of 0.95 leading to 0.95 lagging, unless Transmission Provider has established a different power factor range that applies to all non-synchronous generators in the Balancing Authority Area on a comparable basis.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the effective date of the Final Rule establishing this requirement (Order No. 827).   </w:t>
      </w:r>
    </w:p>
    <w:p w:rsidR="00F3594B" w:rsidRPr="0072600F" w:rsidP="00A97EB7" w14:paraId="1FA890C0" w14:textId="77777777">
      <w:pPr>
        <w:rPr>
          <w:rFonts w:ascii="Times New Roman" w:hAnsi="Times New Roman" w:cs="Times New Roman"/>
          <w:sz w:val="26"/>
          <w:szCs w:val="26"/>
        </w:rPr>
      </w:pPr>
    </w:p>
    <w:p w:rsidR="00F3594B" w:rsidRPr="0072600F" w:rsidP="00A97EB7" w14:paraId="20C5C9D4"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532" w:name="_1__96_"/>
      <w:bookmarkStart w:id="533" w:name="_Toc148703365"/>
      <w:bookmarkEnd w:id="532"/>
      <w:r w:rsidRPr="0072600F">
        <w:rPr>
          <w:rStyle w:val="Heading3Char"/>
          <w:rFonts w:eastAsiaTheme="minorHAnsi"/>
          <w:b/>
          <w:sz w:val="26"/>
        </w:rPr>
        <w:t>9.6.2</w:t>
      </w:r>
      <w:r w:rsidRPr="0072600F">
        <w:rPr>
          <w:rStyle w:val="Heading3Char"/>
          <w:rFonts w:eastAsiaTheme="minorHAnsi"/>
          <w:b/>
          <w:sz w:val="26"/>
        </w:rPr>
        <w:tab/>
        <w:t>Voltage Schedules.</w:t>
      </w:r>
      <w:bookmarkEnd w:id="533"/>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Once Interconnection Customer has synchronized the Large Generating Facility with the Transmission System, Transmission Provider shall require Interconnection Customer to operate the Large Generating Facility to produce or absorb reactive power within the design limitations of the Large Generating Facility set forth in Article 9.6.1 (Power Factor Design Criteria).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voltage schedules shall treat all sources of reactive power in the Balancing Authority Area in an equitable and not unduly discriminatory manner.  Transmission Provider shall exercise Reasonable Efforts to provide Interconnection Customer with such schedules at least one (1) day in advance, and may make changes to such schedules as necessary to maintain the reliability of the Transmission System.  Interconnection Customer shall operate the Large Generating Facility to maintain the specified output voltage or power factor at the Point of Interconnection within the design limitations of the Large Generating Facility set forth in Article 9.6.1 (Power Factor Design Criteria).  If Interconnection Customer is unable to maintain the specified voltage or power factor, it shall promptly notify the System Operator.</w:t>
      </w:r>
    </w:p>
    <w:p w:rsidR="00F3594B" w:rsidRPr="0072600F" w:rsidP="00A97EB7" w14:paraId="5EDC86B5" w14:textId="77777777">
      <w:pPr>
        <w:rPr>
          <w:rFonts w:ascii="Times New Roman" w:hAnsi="Times New Roman" w:cs="Times New Roman"/>
          <w:sz w:val="26"/>
          <w:szCs w:val="26"/>
        </w:rPr>
      </w:pPr>
    </w:p>
    <w:p w:rsidR="00F3594B" w:rsidRPr="0072600F" w:rsidP="00A97EB7" w14:paraId="4D28AC8A"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bookmarkStart w:id="534" w:name="_1_a"/>
      <w:bookmarkEnd w:id="534"/>
      <w:r w:rsidRPr="0072600F">
        <w:rPr>
          <w:rStyle w:val="Heading4Char"/>
          <w:rFonts w:eastAsiaTheme="minorHAnsi"/>
          <w:b/>
          <w:sz w:val="26"/>
        </w:rPr>
        <w:t>9.6.2.1</w:t>
      </w:r>
      <w:r w:rsidRPr="0072600F">
        <w:rPr>
          <w:rStyle w:val="Heading4Char"/>
          <w:rFonts w:eastAsiaTheme="minorHAnsi"/>
          <w:b/>
          <w:sz w:val="26"/>
        </w:rPr>
        <w:tab/>
      </w:r>
      <w:r w:rsidRPr="0072600F">
        <w:rPr>
          <w:rStyle w:val="Heading4Char"/>
          <w:rFonts w:eastAsiaTheme="minorHAnsi"/>
          <w:b/>
          <w:sz w:val="26"/>
        </w:rPr>
        <w:tab/>
        <w:t>Voltage Regulators.</w:t>
      </w:r>
      <w:r w:rsidRPr="0072600F">
        <w:rPr>
          <w:rFonts w:ascii="Times New Roman" w:hAnsi="Times New Roman" w:cs="Times New Roman"/>
          <w:sz w:val="26"/>
          <w:szCs w:val="26"/>
        </w:rPr>
        <w:t xml:space="preserve">  Whenever the Large Generating Facility is operated in parallel with the Transmission System and voltage regulators are capable of operation, Interconnection Customer shall operate the Large Generating Facility with its voltage regulators in automatic operation.  If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voltage regulators are not capable of such automatic operation, Interconnection Customer shall immediately notify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system operator, or its designated representative, and ensure that such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reactive power production or absorption (measured in MVARs) are within the design capability of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generating unit(s) and steady state stability limits.  Interconnection Customer shall not cause its Large Generating Facility to disconnect automatically or instantaneously from the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Balancing Authority Area on a comparable basis.</w:t>
      </w:r>
    </w:p>
    <w:p w:rsidR="00F3594B" w:rsidRPr="0072600F" w:rsidP="00A97EB7" w14:paraId="2C6FFB5B" w14:textId="77777777">
      <w:pPr>
        <w:rPr>
          <w:rFonts w:ascii="Times New Roman" w:hAnsi="Times New Roman" w:cs="Times New Roman"/>
          <w:sz w:val="26"/>
          <w:szCs w:val="26"/>
        </w:rPr>
      </w:pPr>
    </w:p>
    <w:p w:rsidR="00F3594B" w:rsidRPr="0072600F" w:rsidP="00A97EB7" w14:paraId="5F0AA800"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sz w:val="26"/>
          <w:szCs w:val="26"/>
        </w:rPr>
        <w:tab/>
      </w:r>
      <w:bookmarkStart w:id="535" w:name="_1_b"/>
      <w:bookmarkStart w:id="536" w:name="_Toc148703366"/>
      <w:bookmarkEnd w:id="535"/>
      <w:r w:rsidRPr="0072600F">
        <w:rPr>
          <w:rStyle w:val="Heading3Char"/>
          <w:rFonts w:eastAsiaTheme="minorHAnsi"/>
          <w:b/>
          <w:sz w:val="26"/>
        </w:rPr>
        <w:t>9.6.3</w:t>
      </w:r>
      <w:r w:rsidRPr="0072600F">
        <w:rPr>
          <w:rStyle w:val="Heading3Char"/>
          <w:rFonts w:eastAsiaTheme="minorHAnsi"/>
          <w:b/>
          <w:sz w:val="26"/>
        </w:rPr>
        <w:tab/>
        <w:t>Payment for Reactive Power</w:t>
      </w:r>
      <w:r w:rsidRPr="0072600F">
        <w:rPr>
          <w:rStyle w:val="Heading3Char"/>
          <w:rFonts w:eastAsiaTheme="minorHAnsi"/>
          <w:sz w:val="26"/>
        </w:rPr>
        <w:t>.</w:t>
      </w:r>
      <w:bookmarkEnd w:id="536"/>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Transmission Provider is required to pay Interconnection Customer for reactive power that Interconnection Customer provides or absorbs from the Large Generating Facility when Transmission Provider requests Interconnection Customer to operate its Large Generating Facility outside the range specified in Article 9.6.1, provided that if Transmission Provider pays its own or affiliated generators for reactive power service within the specified range, it must also pay Interconnection Customer.  Payments shall be pursuant to Article 11.6 or such other agreement to which the Parties have otherwise agreed.</w:t>
      </w:r>
    </w:p>
    <w:p w:rsidR="00F3594B" w:rsidRPr="0072600F" w:rsidP="00A97EB7" w14:paraId="36DBEEF4" w14:textId="77777777">
      <w:pPr>
        <w:tabs>
          <w:tab w:val="left" w:pos="720"/>
          <w:tab w:val="left" w:pos="1440"/>
        </w:tabs>
        <w:ind w:left="1440" w:hanging="1440"/>
        <w:rPr>
          <w:rFonts w:ascii="Times New Roman" w:hAnsi="Times New Roman" w:cs="Times New Roman"/>
          <w:sz w:val="26"/>
          <w:szCs w:val="26"/>
        </w:rPr>
      </w:pPr>
    </w:p>
    <w:p w:rsidR="00F3594B" w:rsidRPr="0072600F" w:rsidP="000113AF" w14:paraId="2E6AD026" w14:textId="77777777">
      <w:pPr>
        <w:tabs>
          <w:tab w:val="left" w:pos="720"/>
        </w:tabs>
        <w:ind w:left="1440" w:hanging="1440"/>
        <w:rPr>
          <w:rFonts w:ascii="Times New Roman" w:hAnsi="Times New Roman" w:cs="Times New Roman"/>
          <w:color w:val="000000"/>
          <w:sz w:val="26"/>
          <w:szCs w:val="26"/>
        </w:rPr>
      </w:pPr>
      <w:r w:rsidRPr="0072600F">
        <w:rPr>
          <w:rFonts w:ascii="Times New Roman" w:hAnsi="Times New Roman" w:cs="Times New Roman"/>
          <w:sz w:val="26"/>
          <w:szCs w:val="26"/>
        </w:rPr>
        <w:tab/>
      </w:r>
      <w:bookmarkStart w:id="537" w:name="_Toc148703367"/>
      <w:bookmarkStart w:id="538" w:name="ninepointsixpoint4"/>
      <w:r w:rsidRPr="0072600F">
        <w:rPr>
          <w:rStyle w:val="Heading3Char"/>
          <w:rFonts w:eastAsiaTheme="minorHAnsi"/>
          <w:b/>
          <w:sz w:val="26"/>
        </w:rPr>
        <w:t>9.6.4</w:t>
      </w:r>
      <w:r w:rsidRPr="0072600F">
        <w:rPr>
          <w:rStyle w:val="Heading3Char"/>
          <w:rFonts w:eastAsiaTheme="minorHAnsi"/>
          <w:b/>
          <w:sz w:val="26"/>
        </w:rPr>
        <w:tab/>
        <w:t>Primary Frequency Response.</w:t>
      </w:r>
      <w:bookmarkEnd w:id="537"/>
      <w:r w:rsidRPr="0072600F">
        <w:rPr>
          <w:rFonts w:ascii="Times New Roman" w:hAnsi="Times New Roman" w:cs="Times New Roman"/>
          <w:b/>
          <w:sz w:val="26"/>
          <w:szCs w:val="26"/>
        </w:rPr>
        <w:t xml:space="preserve">  </w:t>
      </w:r>
      <w:bookmarkEnd w:id="538"/>
      <w:r w:rsidRPr="0072600F">
        <w:rPr>
          <w:rFonts w:ascii="Times New Roman" w:hAnsi="Times New Roman" w:cs="Times New Roman"/>
          <w:color w:val="000000"/>
          <w:sz w:val="26"/>
          <w:szCs w:val="26"/>
        </w:rPr>
        <w:t>Interconnection Customer shall</w:t>
      </w:r>
      <w:r w:rsidRPr="0072600F" w:rsidR="00DF65C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ensure the primary frequency response capability of its Large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Large</w:t>
      </w:r>
      <w:r w:rsidRPr="0072600F" w:rsidR="00DF65C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Generating Facility’s real power output in accordance with the droop and</w:t>
      </w:r>
      <w:r w:rsidRPr="0072600F" w:rsidR="00DF65C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deadband</w:t>
      </w:r>
      <w:r w:rsidRPr="0072600F">
        <w:rPr>
          <w:rFonts w:ascii="Times New Roman" w:hAnsi="Times New Roman" w:cs="Times New Roman"/>
          <w:color w:val="000000"/>
          <w:sz w:val="26"/>
          <w:szCs w:val="26"/>
        </w:rPr>
        <w:t xml:space="preserve"> parameters and in the direction needed to correct frequency</w:t>
      </w:r>
      <w:r w:rsidRPr="0072600F" w:rsidR="00DF65C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deviations.  Interconnection Customer is required to install a governor or</w:t>
      </w:r>
      <w:r w:rsidRPr="0072600F" w:rsidR="00DF65CF">
        <w:rPr>
          <w:rFonts w:ascii="Times New Roman" w:hAnsi="Times New Roman" w:cs="Times New Roman"/>
          <w:color w:val="000000"/>
          <w:sz w:val="26"/>
          <w:szCs w:val="26"/>
        </w:rPr>
        <w:t xml:space="preserve"> </w:t>
      </w:r>
      <w:r w:rsidRPr="0072600F">
        <w:rPr>
          <w:rFonts w:ascii="Times New Roman" w:hAnsi="Times New Roman" w:cs="Times New Roman"/>
          <w:color w:val="000000"/>
          <w:sz w:val="26"/>
          <w:szCs w:val="26"/>
        </w:rPr>
        <w:t>equivalent controls with the capability of operating</w:t>
      </w:r>
      <w:r w:rsidRPr="0072600F">
        <w:rPr>
          <w:rFonts w:ascii="Times New Roman" w:hAnsi="Times New Roman" w:cs="Times New Roman"/>
          <w:sz w:val="26"/>
          <w:szCs w:val="26"/>
        </w:rPr>
        <w:t xml:space="preserve">: </w:t>
      </w:r>
      <w:r w:rsidRPr="0072600F" w:rsidR="000113AF">
        <w:rPr>
          <w:rFonts w:ascii="Times New Roman" w:hAnsi="Times New Roman" w:cs="Times New Roman"/>
          <w:sz w:val="26"/>
          <w:szCs w:val="26"/>
        </w:rPr>
        <w:t xml:space="preserve"> </w:t>
      </w:r>
      <w:r w:rsidRPr="0072600F">
        <w:rPr>
          <w:rFonts w:ascii="Times New Roman" w:hAnsi="Times New Roman" w:cs="Times New Roman"/>
          <w:sz w:val="26"/>
          <w:szCs w:val="26"/>
        </w:rPr>
        <w:t xml:space="preserve">(1) with a maximum 5 percent droop and ±0.036 Hz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or (2) in accordance with the relevant droop, </w:t>
      </w:r>
      <w:r w:rsidRPr="0072600F">
        <w:rPr>
          <w:rFonts w:ascii="Times New Roman" w:hAnsi="Times New Roman" w:cs="Times New Roman"/>
          <w:sz w:val="26"/>
          <w:szCs w:val="26"/>
        </w:rPr>
        <w:t>deadband</w:t>
      </w:r>
      <w:r w:rsidRPr="0072600F">
        <w:rPr>
          <w:rFonts w:ascii="Times New Roman" w:hAnsi="Times New Roman" w:cs="Times New Roman"/>
          <w:sz w:val="26"/>
          <w:szCs w:val="26"/>
        </w:rPr>
        <w:t>, and timely and sustained response settings from</w:t>
      </w:r>
      <w:r w:rsidRPr="0072600F" w:rsidR="00DF65CF">
        <w:rPr>
          <w:rFonts w:ascii="Times New Roman" w:hAnsi="Times New Roman" w:cs="Times New Roman"/>
          <w:sz w:val="26"/>
          <w:szCs w:val="26"/>
        </w:rPr>
        <w:t xml:space="preserve"> </w:t>
      </w:r>
      <w:r w:rsidRPr="0072600F">
        <w:rPr>
          <w:rFonts w:ascii="Times New Roman" w:hAnsi="Times New Roman" w:cs="Times New Roman"/>
          <w:sz w:val="26"/>
          <w:szCs w:val="26"/>
        </w:rPr>
        <w:t xml:space="preserve">an approved Electric Reliability Organization reliability standard providing for equivalent or more stringent parameters.  The droop characteristic shall be: </w:t>
      </w:r>
      <w:r w:rsidRPr="0072600F" w:rsidR="000113AF">
        <w:rPr>
          <w:rFonts w:ascii="Times New Roman" w:hAnsi="Times New Roman" w:cs="Times New Roman"/>
          <w:sz w:val="26"/>
          <w:szCs w:val="26"/>
        </w:rPr>
        <w:t xml:space="preserve"> </w:t>
      </w:r>
      <w:r w:rsidRPr="0072600F">
        <w:rPr>
          <w:rFonts w:ascii="Times New Roman" w:hAnsi="Times New Roman" w:cs="Times New Roman"/>
          <w:sz w:val="26"/>
          <w:szCs w:val="26"/>
        </w:rPr>
        <w:t xml:space="preserve">(1) based on the nameplate capacity of the Large Generating Facility, and shall be linear in the range of frequencies between 59 to 61 Hz that are outside of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or (2) based an approved Electric Reliability Organization reliability standard providing for an equivalent or more stringent parameter.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shall be: </w:t>
      </w:r>
      <w:r w:rsidRPr="0072600F" w:rsidR="00B779A3">
        <w:rPr>
          <w:rFonts w:ascii="Times New Roman" w:hAnsi="Times New Roman" w:cs="Times New Roman"/>
          <w:sz w:val="26"/>
          <w:szCs w:val="26"/>
        </w:rPr>
        <w:t xml:space="preserve"> </w:t>
      </w:r>
      <w:r w:rsidRPr="0072600F">
        <w:rPr>
          <w:rFonts w:ascii="Times New Roman" w:hAnsi="Times New Roman" w:cs="Times New Roman"/>
          <w:sz w:val="26"/>
          <w:szCs w:val="26"/>
        </w:rPr>
        <w:t xml:space="preserve">the range of frequencies above and below nominal (60 Hz) in which the governor or equivalent controls is not expected to adjust the Large Generating Facility’s real power output in response to frequency deviations.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shall be implemented: </w:t>
      </w:r>
      <w:r w:rsidRPr="0072600F" w:rsidR="000113AF">
        <w:rPr>
          <w:rFonts w:ascii="Times New Roman" w:hAnsi="Times New Roman" w:cs="Times New Roman"/>
          <w:sz w:val="26"/>
          <w:szCs w:val="26"/>
        </w:rPr>
        <w:t xml:space="preserve"> </w:t>
      </w:r>
      <w:r w:rsidRPr="0072600F">
        <w:rPr>
          <w:rFonts w:ascii="Times New Roman" w:hAnsi="Times New Roman" w:cs="Times New Roman"/>
          <w:sz w:val="26"/>
          <w:szCs w:val="26"/>
        </w:rPr>
        <w:t xml:space="preserve">(1) without a step to the droop curve, that is, once the frequency deviation exceeds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the expected change in the Large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Electric Reliability Organization reliability standard providing for an equivalent or more stringent parameter.  Interconnection Customer shall notify Transmission Provider </w:t>
      </w:r>
      <w:r w:rsidRPr="0072600F">
        <w:rPr>
          <w:rFonts w:ascii="Times New Roman" w:hAnsi="Times New Roman" w:cs="Times New Roman"/>
          <w:color w:val="000000"/>
          <w:sz w:val="26"/>
          <w:szCs w:val="26"/>
        </w:rPr>
        <w:t xml:space="preserve">that the primary frequency response capability of the Large Generating Facility has been tested and confirmed during commissioning.  Once Interconnection Customer has synchronized the Large Generating Facility with the Transmission </w:t>
      </w:r>
      <w:r w:rsidRPr="0072600F" w:rsidR="002C0896">
        <w:rPr>
          <w:rFonts w:ascii="Times New Roman" w:hAnsi="Times New Roman" w:cs="Times New Roman"/>
          <w:color w:val="000000"/>
          <w:sz w:val="26"/>
          <w:szCs w:val="26"/>
        </w:rPr>
        <w:t>s</w:t>
      </w:r>
      <w:r w:rsidRPr="0072600F">
        <w:rPr>
          <w:rFonts w:ascii="Times New Roman" w:hAnsi="Times New Roman" w:cs="Times New Roman"/>
          <w:color w:val="000000"/>
          <w:sz w:val="26"/>
          <w:szCs w:val="26"/>
        </w:rPr>
        <w:t xml:space="preserve">ystem, Interconnection Customer shall operate the Large Generating Facility consistent with the provisions specified in </w:t>
      </w:r>
      <w:r w:rsidRPr="0072600F" w:rsidR="00DF65CF">
        <w:rPr>
          <w:rFonts w:ascii="Times New Roman" w:hAnsi="Times New Roman" w:cs="Times New Roman"/>
          <w:color w:val="000000"/>
          <w:sz w:val="26"/>
          <w:szCs w:val="26"/>
        </w:rPr>
        <w:t>[</w:t>
      </w:r>
      <w:r w:rsidRPr="0072600F">
        <w:rPr>
          <w:rFonts w:ascii="Times New Roman" w:hAnsi="Times New Roman" w:cs="Times New Roman"/>
          <w:color w:val="000000"/>
          <w:sz w:val="26"/>
          <w:szCs w:val="26"/>
        </w:rPr>
        <w:t>Sections</w:t>
      </w:r>
      <w:r w:rsidRPr="0072600F" w:rsidR="00DF65CF">
        <w:rPr>
          <w:rFonts w:ascii="Times New Roman" w:hAnsi="Times New Roman" w:cs="Times New Roman"/>
          <w:color w:val="000000"/>
          <w:sz w:val="26"/>
          <w:szCs w:val="26"/>
        </w:rPr>
        <w:t xml:space="preserve">] </w:t>
      </w:r>
      <w:r w:rsidRPr="0072600F" w:rsidR="00DF65CF">
        <w:rPr>
          <w:rFonts w:ascii="Times New Roman" w:hAnsi="Times New Roman" w:cs="Times New Roman"/>
          <w:i/>
          <w:iCs/>
          <w:color w:val="000000"/>
          <w:sz w:val="26"/>
          <w:szCs w:val="26"/>
        </w:rPr>
        <w:t>articles</w:t>
      </w:r>
      <w:r w:rsidRPr="0072600F">
        <w:rPr>
          <w:rFonts w:ascii="Times New Roman" w:hAnsi="Times New Roman" w:cs="Times New Roman"/>
          <w:color w:val="000000"/>
          <w:sz w:val="26"/>
          <w:szCs w:val="26"/>
        </w:rPr>
        <w:t xml:space="preserve"> 9.6.4.1 and 9.6.4.2 of this Agreement.  The primary frequency response requirements contained herein shall apply to both synchronous and non-synchronous Large Generating Facilities.</w:t>
      </w:r>
    </w:p>
    <w:p w:rsidR="00F3594B" w:rsidRPr="0072600F" w:rsidP="00A97EB7" w14:paraId="52BFFC8C" w14:textId="77777777">
      <w:pPr>
        <w:rPr>
          <w:rFonts w:ascii="Times New Roman" w:hAnsi="Times New Roman" w:cs="Times New Roman"/>
          <w:b/>
          <w:sz w:val="26"/>
          <w:szCs w:val="26"/>
        </w:rPr>
      </w:pPr>
    </w:p>
    <w:p w:rsidR="00F3594B" w:rsidRPr="0072600F" w:rsidP="00DF65CF" w14:paraId="2A487049" w14:textId="77777777">
      <w:pPr>
        <w:ind w:left="2880" w:hanging="1440"/>
        <w:rPr>
          <w:rFonts w:ascii="Times New Roman" w:hAnsi="Times New Roman" w:cs="Times New Roman"/>
          <w:sz w:val="26"/>
          <w:szCs w:val="26"/>
        </w:rPr>
      </w:pPr>
      <w:bookmarkStart w:id="539" w:name="ninepointsixpoint4point1"/>
      <w:r w:rsidRPr="0072600F">
        <w:rPr>
          <w:rStyle w:val="Heading4Char"/>
          <w:rFonts w:eastAsiaTheme="minorHAnsi"/>
          <w:b/>
          <w:sz w:val="26"/>
        </w:rPr>
        <w:t>9.6.4.1</w:t>
      </w:r>
      <w:r w:rsidRPr="0072600F">
        <w:rPr>
          <w:rStyle w:val="Heading4Char"/>
          <w:rFonts w:eastAsiaTheme="minorHAnsi"/>
          <w:b/>
          <w:sz w:val="26"/>
        </w:rPr>
        <w:tab/>
        <w:t>Governor or Equivalent Controls</w:t>
      </w:r>
      <w:bookmarkEnd w:id="539"/>
      <w:r w:rsidRPr="0072600F">
        <w:rPr>
          <w:rStyle w:val="Heading4Char"/>
          <w:rFonts w:eastAsiaTheme="minorHAnsi"/>
          <w:b/>
          <w:sz w:val="26"/>
        </w:rPr>
        <w:t>.</w:t>
      </w:r>
      <w:r w:rsidRPr="0072600F">
        <w:rPr>
          <w:rFonts w:ascii="Times New Roman" w:hAnsi="Times New Roman" w:cs="Times New Roman"/>
          <w:sz w:val="26"/>
          <w:szCs w:val="26"/>
        </w:rPr>
        <w:t xml:space="preserve">  Whenever the Large</w:t>
      </w:r>
      <w:r w:rsidRPr="0072600F" w:rsidR="00DF65CF">
        <w:rPr>
          <w:rFonts w:ascii="Times New Roman" w:hAnsi="Times New Roman" w:cs="Times New Roman"/>
          <w:sz w:val="26"/>
          <w:szCs w:val="26"/>
        </w:rPr>
        <w:t xml:space="preserve"> </w:t>
      </w:r>
      <w:r w:rsidRPr="0072600F">
        <w:rPr>
          <w:rFonts w:ascii="Times New Roman" w:hAnsi="Times New Roman" w:cs="Times New Roman"/>
          <w:sz w:val="26"/>
          <w:szCs w:val="26"/>
        </w:rPr>
        <w:t xml:space="preserve">Generating Facility is operated in parallel with the Transmission System, Interconnection Customer shall operate the Large Generating Facility with its governor or equivalent controls in service and responsive to frequency.  Interconnection Customer shall: </w:t>
      </w:r>
      <w:r w:rsidRPr="0072600F" w:rsidR="00A13B72">
        <w:rPr>
          <w:rFonts w:ascii="Times New Roman" w:hAnsi="Times New Roman" w:cs="Times New Roman"/>
          <w:sz w:val="26"/>
          <w:szCs w:val="26"/>
        </w:rPr>
        <w:t xml:space="preserve"> </w:t>
      </w:r>
      <w:r w:rsidRPr="0072600F">
        <w:rPr>
          <w:rFonts w:ascii="Times New Roman" w:hAnsi="Times New Roman" w:cs="Times New Roman"/>
          <w:sz w:val="26"/>
          <w:szCs w:val="26"/>
        </w:rPr>
        <w:t xml:space="preserve">(1) in coordination with Transmission Provider and/or the relevant balancing authority, set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to: </w:t>
      </w:r>
      <w:r w:rsidRPr="0072600F" w:rsidR="00A13B72">
        <w:rPr>
          <w:rFonts w:ascii="Times New Roman" w:hAnsi="Times New Roman" w:cs="Times New Roman"/>
          <w:sz w:val="26"/>
          <w:szCs w:val="26"/>
        </w:rPr>
        <w:t xml:space="preserve"> </w:t>
      </w:r>
      <w:r w:rsidRPr="0072600F">
        <w:rPr>
          <w:rFonts w:ascii="Times New Roman" w:hAnsi="Times New Roman" w:cs="Times New Roman"/>
          <w:sz w:val="26"/>
          <w:szCs w:val="26"/>
        </w:rPr>
        <w:t>(1) a</w:t>
      </w:r>
      <w:r w:rsidRPr="0072600F" w:rsidR="00DF65CF">
        <w:rPr>
          <w:rFonts w:ascii="Times New Roman" w:hAnsi="Times New Roman" w:cs="Times New Roman"/>
          <w:sz w:val="26"/>
          <w:szCs w:val="26"/>
        </w:rPr>
        <w:t xml:space="preserve"> </w:t>
      </w:r>
      <w:r w:rsidRPr="0072600F">
        <w:rPr>
          <w:rFonts w:ascii="Times New Roman" w:hAnsi="Times New Roman" w:cs="Times New Roman"/>
          <w:sz w:val="26"/>
          <w:szCs w:val="26"/>
        </w:rPr>
        <w:t xml:space="preserve">maximum of ±0.036 Hz and set the droop parameter to a maximum of 5 percent; or (2) implement the relevant droop and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settings from an approved Electric Reliability Organization reliability standard that provides for equivalent or more stringent parameters.  Interconnection Customer shall be required to provide the status and settings of the governor or equivalent controls to Transmission Provider and/or the relevant balancing authority upon request.  If Interconnection Customer needs to operate the Large Generating Facility with its governor or equivalent controls not in service, Interconnection Customer shall immediately notify Transmission Provider and the relevant balancing authority, and provide both with the following information: </w:t>
      </w:r>
      <w:r w:rsidRPr="0072600F" w:rsidR="00A13B72">
        <w:rPr>
          <w:rFonts w:ascii="Times New Roman" w:hAnsi="Times New Roman" w:cs="Times New Roman"/>
          <w:sz w:val="26"/>
          <w:szCs w:val="26"/>
        </w:rPr>
        <w:t xml:space="preserve"> </w:t>
      </w:r>
      <w:r w:rsidRPr="0072600F">
        <w:rPr>
          <w:rFonts w:ascii="Times New Roman" w:hAnsi="Times New Roman" w:cs="Times New Roman"/>
          <w:sz w:val="26"/>
          <w:szCs w:val="26"/>
        </w:rPr>
        <w:t xml:space="preserve">(1)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w:t>
      </w:r>
      <w:r w:rsidRPr="0072600F" w:rsidR="00DF65CF">
        <w:rPr>
          <w:rFonts w:ascii="Times New Roman" w:hAnsi="Times New Roman" w:cs="Times New Roman"/>
          <w:sz w:val="26"/>
          <w:szCs w:val="26"/>
        </w:rPr>
        <w:t>C</w:t>
      </w:r>
      <w:r w:rsidRPr="0072600F">
        <w:rPr>
          <w:rFonts w:ascii="Times New Roman" w:hAnsi="Times New Roman" w:cs="Times New Roman"/>
          <w:sz w:val="26"/>
          <w:szCs w:val="26"/>
        </w:rPr>
        <w:t>ustomer shall make Reasonable Efforts to return its governor or equivalent controls into service as soon as practicable.  Interconnection Customer shall make Reasonable Efforts to keep outages of the Large Generating Facility’s governor or equivalent controls to a minimum whenever the Large Generating Facility is operated in parallel with the Transmission System.</w:t>
      </w:r>
    </w:p>
    <w:p w:rsidR="00F3594B" w:rsidRPr="0072600F" w:rsidP="00A97EB7" w14:paraId="380869CD" w14:textId="77777777">
      <w:pPr>
        <w:ind w:left="2880"/>
        <w:rPr>
          <w:rFonts w:ascii="Times New Roman" w:hAnsi="Times New Roman" w:cs="Times New Roman"/>
          <w:sz w:val="26"/>
          <w:szCs w:val="26"/>
        </w:rPr>
      </w:pPr>
    </w:p>
    <w:p w:rsidR="00F3594B" w:rsidRPr="0072600F" w:rsidP="00A67733" w14:paraId="35CFA9AD" w14:textId="77777777">
      <w:pPr>
        <w:ind w:left="2880" w:hanging="1440"/>
        <w:rPr>
          <w:rFonts w:ascii="Times New Roman" w:hAnsi="Times New Roman" w:cs="Times New Roman"/>
          <w:sz w:val="26"/>
          <w:szCs w:val="26"/>
        </w:rPr>
      </w:pPr>
      <w:bookmarkStart w:id="540" w:name="ninepointsixpoint4point2"/>
      <w:r w:rsidRPr="0072600F">
        <w:rPr>
          <w:rStyle w:val="Heading4Char"/>
          <w:rFonts w:eastAsiaTheme="minorHAnsi"/>
          <w:b/>
          <w:sz w:val="26"/>
        </w:rPr>
        <w:t>9.6.4.2</w:t>
      </w:r>
      <w:r w:rsidRPr="0072600F">
        <w:rPr>
          <w:rStyle w:val="Heading4Char"/>
          <w:rFonts w:eastAsiaTheme="minorHAnsi"/>
          <w:b/>
          <w:sz w:val="26"/>
        </w:rPr>
        <w:tab/>
        <w:t>Timely and Sustained Response</w:t>
      </w:r>
      <w:bookmarkEnd w:id="540"/>
      <w:r w:rsidRPr="0072600F">
        <w:rPr>
          <w:rStyle w:val="Heading4Char"/>
          <w:rFonts w:eastAsiaTheme="minorHAnsi"/>
          <w:b/>
          <w:sz w:val="26"/>
        </w:rPr>
        <w:t>.</w:t>
      </w:r>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Interconnection Customer shall ensure that the Large Generating Facility’s real power</w:t>
      </w:r>
      <w:r w:rsidRPr="0072600F" w:rsidR="00DF65CF">
        <w:rPr>
          <w:rFonts w:ascii="Times New Roman" w:hAnsi="Times New Roman" w:cs="Times New Roman"/>
          <w:sz w:val="26"/>
          <w:szCs w:val="26"/>
        </w:rPr>
        <w:t xml:space="preserve"> </w:t>
      </w:r>
      <w:r w:rsidRPr="0072600F">
        <w:rPr>
          <w:rFonts w:ascii="Times New Roman" w:hAnsi="Times New Roman" w:cs="Times New Roman"/>
          <w:sz w:val="26"/>
          <w:szCs w:val="26"/>
        </w:rPr>
        <w:t xml:space="preserve">response to sustained frequency deviations outside of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setting is automatically provided and shall begin immediately after frequency deviates outside of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and to the extent the Large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setting of the governor or equivalent controls.  A Commission-approved reliability standard with equivalent or more stringent requirements shall supersede the above requirements.  </w:t>
      </w:r>
    </w:p>
    <w:p w:rsidR="00F3594B" w:rsidRPr="0072600F" w:rsidP="00A97EB7" w14:paraId="7AAD2145" w14:textId="77777777">
      <w:pPr>
        <w:ind w:left="2880"/>
        <w:rPr>
          <w:rFonts w:ascii="Times New Roman" w:hAnsi="Times New Roman" w:cs="Times New Roman"/>
          <w:sz w:val="26"/>
          <w:szCs w:val="26"/>
        </w:rPr>
      </w:pPr>
    </w:p>
    <w:p w:rsidR="00F3594B" w:rsidRPr="0072600F" w:rsidP="00A56210" w14:paraId="5EE24296" w14:textId="77777777">
      <w:pPr>
        <w:ind w:left="2880" w:hanging="1440"/>
        <w:rPr>
          <w:rFonts w:ascii="Times New Roman" w:hAnsi="Times New Roman" w:cs="Times New Roman"/>
          <w:sz w:val="26"/>
          <w:szCs w:val="26"/>
        </w:rPr>
      </w:pPr>
      <w:bookmarkStart w:id="541" w:name="ninepointsixpoint4point3"/>
      <w:r w:rsidRPr="0072600F">
        <w:rPr>
          <w:rStyle w:val="Heading4Char"/>
          <w:rFonts w:eastAsiaTheme="minorHAnsi"/>
          <w:b/>
          <w:sz w:val="26"/>
        </w:rPr>
        <w:t xml:space="preserve">9.6.4.3 </w:t>
      </w:r>
      <w:r w:rsidRPr="0072600F">
        <w:rPr>
          <w:rStyle w:val="Heading4Char"/>
          <w:rFonts w:eastAsiaTheme="minorHAnsi"/>
          <w:b/>
          <w:sz w:val="26"/>
        </w:rPr>
        <w:tab/>
        <w:t>Exemptions</w:t>
      </w:r>
      <w:bookmarkEnd w:id="541"/>
      <w:r w:rsidRPr="0072600F">
        <w:rPr>
          <w:rStyle w:val="Heading4Char"/>
          <w:rFonts w:eastAsiaTheme="minorHAnsi"/>
          <w:b/>
          <w:sz w:val="26"/>
        </w:rPr>
        <w:t>.</w:t>
      </w:r>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Large Generating Facilities that are regulated by the United States Nuclear Regulatory Commission shall be exempt from </w:t>
      </w:r>
      <w:r w:rsidRPr="0072600F" w:rsidR="00672B04">
        <w:rPr>
          <w:rFonts w:ascii="Times New Roman" w:hAnsi="Times New Roman" w:cs="Times New Roman"/>
          <w:sz w:val="26"/>
          <w:szCs w:val="26"/>
        </w:rPr>
        <w:t>[</w:t>
      </w:r>
      <w:r w:rsidRPr="0072600F">
        <w:rPr>
          <w:rFonts w:ascii="Times New Roman" w:hAnsi="Times New Roman" w:cs="Times New Roman"/>
          <w:sz w:val="26"/>
          <w:szCs w:val="26"/>
        </w:rPr>
        <w:t>Sections</w:t>
      </w:r>
      <w:r w:rsidRPr="0072600F" w:rsidR="00672B04">
        <w:rPr>
          <w:rFonts w:ascii="Times New Roman" w:hAnsi="Times New Roman" w:cs="Times New Roman"/>
          <w:sz w:val="26"/>
          <w:szCs w:val="26"/>
        </w:rPr>
        <w:t>]</w:t>
      </w:r>
      <w:r w:rsidRPr="0072600F" w:rsidR="00672B04">
        <w:rPr>
          <w:rFonts w:ascii="Times New Roman" w:hAnsi="Times New Roman" w:cs="Times New Roman"/>
          <w:i/>
          <w:iCs/>
          <w:sz w:val="26"/>
          <w:szCs w:val="26"/>
        </w:rPr>
        <w:t>articles</w:t>
      </w:r>
      <w:r w:rsidRPr="0072600F">
        <w:rPr>
          <w:rFonts w:ascii="Times New Roman" w:hAnsi="Times New Roman" w:cs="Times New Roman"/>
          <w:sz w:val="26"/>
          <w:szCs w:val="26"/>
        </w:rPr>
        <w:t xml:space="preserve"> 9.6.4, 9.6.4.1, and 9.6.4.2 of this Agreement.  Large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w:t>
      </w:r>
      <w:r w:rsidRPr="0072600F" w:rsidR="00DF65CF">
        <w:rPr>
          <w:rFonts w:ascii="Times New Roman" w:hAnsi="Times New Roman" w:cs="Times New Roman"/>
          <w:sz w:val="26"/>
          <w:szCs w:val="26"/>
        </w:rPr>
        <w:t xml:space="preserve"> </w:t>
      </w:r>
      <w:r w:rsidRPr="0072600F">
        <w:rPr>
          <w:rFonts w:ascii="Times New Roman" w:hAnsi="Times New Roman" w:cs="Times New Roman"/>
          <w:sz w:val="26"/>
          <w:szCs w:val="26"/>
        </w:rPr>
        <w:t xml:space="preserve">required to install primary frequency response capability in accordance with the droop and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capability requirements specified in </w:t>
      </w:r>
      <w:r w:rsidRPr="0072600F" w:rsidR="00672B04">
        <w:rPr>
          <w:rFonts w:ascii="Times New Roman" w:hAnsi="Times New Roman" w:cs="Times New Roman"/>
          <w:sz w:val="26"/>
          <w:szCs w:val="26"/>
        </w:rPr>
        <w:t>[</w:t>
      </w:r>
      <w:r w:rsidRPr="0072600F">
        <w:rPr>
          <w:rFonts w:ascii="Times New Roman" w:hAnsi="Times New Roman" w:cs="Times New Roman"/>
          <w:sz w:val="26"/>
          <w:szCs w:val="26"/>
        </w:rPr>
        <w:t>Section</w:t>
      </w:r>
      <w:r w:rsidRPr="0072600F" w:rsidR="00672B04">
        <w:rPr>
          <w:rFonts w:ascii="Times New Roman" w:hAnsi="Times New Roman" w:cs="Times New Roman"/>
          <w:sz w:val="26"/>
          <w:szCs w:val="26"/>
        </w:rPr>
        <w:t>]</w:t>
      </w:r>
      <w:r w:rsidRPr="0072600F" w:rsidR="00672B04">
        <w:rPr>
          <w:rFonts w:ascii="Times New Roman" w:hAnsi="Times New Roman" w:cs="Times New Roman"/>
          <w:i/>
          <w:iCs/>
          <w:sz w:val="26"/>
          <w:szCs w:val="26"/>
        </w:rPr>
        <w:t>article</w:t>
      </w:r>
      <w:r w:rsidRPr="0072600F">
        <w:rPr>
          <w:rFonts w:ascii="Times New Roman" w:hAnsi="Times New Roman" w:cs="Times New Roman"/>
          <w:sz w:val="26"/>
          <w:szCs w:val="26"/>
        </w:rPr>
        <w:t xml:space="preserve"> 9.6.4, but shall be otherwise exempt from the operating requirements in </w:t>
      </w:r>
      <w:r w:rsidRPr="0072600F" w:rsidR="00672B04">
        <w:rPr>
          <w:rFonts w:ascii="Times New Roman" w:hAnsi="Times New Roman" w:cs="Times New Roman"/>
          <w:sz w:val="26"/>
          <w:szCs w:val="26"/>
        </w:rPr>
        <w:t>[</w:t>
      </w:r>
      <w:r w:rsidRPr="0072600F">
        <w:rPr>
          <w:rFonts w:ascii="Times New Roman" w:hAnsi="Times New Roman" w:cs="Times New Roman"/>
          <w:sz w:val="26"/>
          <w:szCs w:val="26"/>
        </w:rPr>
        <w:t>Sections</w:t>
      </w:r>
      <w:r w:rsidRPr="0072600F" w:rsidR="00672B04">
        <w:rPr>
          <w:rFonts w:ascii="Times New Roman" w:hAnsi="Times New Roman" w:cs="Times New Roman"/>
          <w:sz w:val="26"/>
          <w:szCs w:val="26"/>
        </w:rPr>
        <w:t>]</w:t>
      </w:r>
      <w:r w:rsidRPr="0072600F" w:rsidR="00672B04">
        <w:rPr>
          <w:rFonts w:ascii="Times New Roman" w:hAnsi="Times New Roman" w:cs="Times New Roman"/>
          <w:i/>
          <w:iCs/>
          <w:sz w:val="26"/>
          <w:szCs w:val="26"/>
        </w:rPr>
        <w:t>articles</w:t>
      </w:r>
      <w:r w:rsidRPr="0072600F">
        <w:rPr>
          <w:rFonts w:ascii="Times New Roman" w:hAnsi="Times New Roman" w:cs="Times New Roman"/>
          <w:sz w:val="26"/>
          <w:szCs w:val="26"/>
        </w:rPr>
        <w:t xml:space="preserve"> 9.6.4, 9.6.4.1, 9.6.4.2, and 9.6.4.4 of this Agreement.</w:t>
      </w:r>
    </w:p>
    <w:p w:rsidR="00F3594B" w:rsidRPr="0072600F" w:rsidP="00A97EB7" w14:paraId="29214B56" w14:textId="77777777">
      <w:pPr>
        <w:ind w:left="1440"/>
        <w:rPr>
          <w:rFonts w:ascii="Times New Roman" w:hAnsi="Times New Roman" w:cs="Times New Roman"/>
          <w:sz w:val="26"/>
          <w:szCs w:val="26"/>
        </w:rPr>
      </w:pPr>
    </w:p>
    <w:p w:rsidR="00F3594B" w:rsidRPr="0072600F" w:rsidP="00A67733" w14:paraId="7D53E9B8" w14:textId="77777777">
      <w:pPr>
        <w:ind w:left="2880" w:hanging="1440"/>
        <w:rPr>
          <w:rFonts w:ascii="Times New Roman" w:hAnsi="Times New Roman" w:cs="Times New Roman"/>
          <w:sz w:val="26"/>
          <w:szCs w:val="26"/>
        </w:rPr>
      </w:pPr>
      <w:bookmarkStart w:id="542" w:name="ninepointsixpoint4point4"/>
      <w:r w:rsidRPr="0072600F">
        <w:rPr>
          <w:rStyle w:val="Heading4Char"/>
          <w:rFonts w:eastAsiaTheme="minorHAnsi"/>
          <w:b/>
          <w:sz w:val="26"/>
        </w:rPr>
        <w:t>9.6.4.4</w:t>
      </w:r>
      <w:r w:rsidRPr="0072600F" w:rsidR="00504196">
        <w:rPr>
          <w:rStyle w:val="Heading4Char"/>
          <w:rFonts w:eastAsiaTheme="minorHAnsi"/>
          <w:b/>
          <w:bCs/>
          <w:sz w:val="26"/>
        </w:rPr>
        <w:t>[</w:t>
      </w:r>
      <w:r w:rsidRPr="0072600F">
        <w:rPr>
          <w:rStyle w:val="Heading4Char"/>
          <w:rFonts w:eastAsiaTheme="minorHAnsi"/>
          <w:b/>
          <w:bCs/>
          <w:sz w:val="26"/>
        </w:rPr>
        <w:t>.</w:t>
      </w:r>
      <w:r w:rsidRPr="0072600F" w:rsidR="00504196">
        <w:rPr>
          <w:rStyle w:val="Heading4Char"/>
          <w:rFonts w:eastAsiaTheme="minorHAnsi"/>
          <w:b/>
          <w:bCs/>
          <w:sz w:val="26"/>
        </w:rPr>
        <w:t>]</w:t>
      </w:r>
      <w:r w:rsidRPr="0072600F">
        <w:rPr>
          <w:rStyle w:val="Heading4Char"/>
          <w:rFonts w:eastAsiaTheme="minorHAnsi"/>
          <w:b/>
          <w:sz w:val="26"/>
        </w:rPr>
        <w:tab/>
        <w:t>Electric Storage Resources.</w:t>
      </w:r>
      <w:bookmarkEnd w:id="542"/>
      <w:r w:rsidRPr="0072600F">
        <w:rPr>
          <w:rFonts w:ascii="Times New Roman" w:hAnsi="Times New Roman" w:cs="Times New Roman"/>
          <w:sz w:val="26"/>
          <w:szCs w:val="26"/>
        </w:rPr>
        <w:t xml:space="preserve">  Interconnection Customer</w:t>
      </w:r>
      <w:r w:rsidRPr="0072600F" w:rsidR="00DF65CF">
        <w:rPr>
          <w:rFonts w:ascii="Times New Roman" w:hAnsi="Times New Roman" w:cs="Times New Roman"/>
          <w:sz w:val="26"/>
          <w:szCs w:val="26"/>
        </w:rPr>
        <w:t xml:space="preserve"> </w:t>
      </w:r>
      <w:r w:rsidRPr="0072600F">
        <w:rPr>
          <w:rFonts w:ascii="Times New Roman" w:hAnsi="Times New Roman" w:cs="Times New Roman"/>
          <w:sz w:val="26"/>
          <w:szCs w:val="26"/>
        </w:rPr>
        <w:t xml:space="preserve">interconnecting a Generating Facility that contains an electric storage resource shall establish an operating range in Appendix C of its LGIA that specifies a minimum state of charge and a maximum state of charge between which the electric storage resource will be required to provide primary frequency response consistent with the conditions set forth in </w:t>
      </w:r>
      <w:r w:rsidRPr="0072600F" w:rsidR="00672B04">
        <w:rPr>
          <w:rFonts w:ascii="Times New Roman" w:hAnsi="Times New Roman" w:cs="Times New Roman"/>
          <w:sz w:val="26"/>
          <w:szCs w:val="26"/>
        </w:rPr>
        <w:t>[</w:t>
      </w:r>
      <w:r w:rsidRPr="0072600F">
        <w:rPr>
          <w:rFonts w:ascii="Times New Roman" w:hAnsi="Times New Roman" w:cs="Times New Roman"/>
          <w:sz w:val="26"/>
          <w:szCs w:val="26"/>
        </w:rPr>
        <w:t>Sections</w:t>
      </w:r>
      <w:r w:rsidRPr="0072600F" w:rsidR="00672B04">
        <w:rPr>
          <w:rFonts w:ascii="Times New Roman" w:hAnsi="Times New Roman" w:cs="Times New Roman"/>
          <w:sz w:val="26"/>
          <w:szCs w:val="26"/>
        </w:rPr>
        <w:t xml:space="preserve">] </w:t>
      </w:r>
      <w:r w:rsidRPr="0072600F" w:rsidR="00672B04">
        <w:rPr>
          <w:rFonts w:ascii="Times New Roman" w:hAnsi="Times New Roman" w:cs="Times New Roman"/>
          <w:i/>
          <w:iCs/>
          <w:sz w:val="26"/>
          <w:szCs w:val="26"/>
        </w:rPr>
        <w:t>articles</w:t>
      </w:r>
      <w:r w:rsidRPr="0072600F">
        <w:rPr>
          <w:rFonts w:ascii="Times New Roman" w:hAnsi="Times New Roman" w:cs="Times New Roman"/>
          <w:sz w:val="26"/>
          <w:szCs w:val="26"/>
        </w:rPr>
        <w:t xml:space="preserve"> 9.6.4, 9.6.4.1, 9.6.4.2 and 9.6.4.3 of this Agreement.  Appendix C shall specify whether the operating range is static or dynamic, and shall consider (1) the expected magnitude of frequency deviations in the interconnection; (2) the expected duration that system frequency will remain outside of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in the interconnection; (3) the expected incidence of frequency deviations outside of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in the interconnection; (4) the physical capabilities of the electric storage resource; (5) operational limitations of the electric storage resource due to manufacturer specifications; and (6) any other relevant factors agreed to by Transmission Provider and Interconnection Customer, and in consultation with the relevant transmission owner or balancing authority as appropriate.  If the operating range is dynamic, then Appendix C must establish how frequently the operating range will be reevaluated and the factors that may be considered during its reevaluation. </w:t>
      </w:r>
    </w:p>
    <w:p w:rsidR="00F3594B" w:rsidRPr="0072600F" w:rsidP="00A97EB7" w14:paraId="173A42FD" w14:textId="77777777">
      <w:pPr>
        <w:ind w:left="2880"/>
        <w:rPr>
          <w:rFonts w:ascii="Times New Roman" w:hAnsi="Times New Roman" w:cs="Times New Roman"/>
          <w:sz w:val="26"/>
          <w:szCs w:val="26"/>
        </w:rPr>
      </w:pPr>
      <w:r w:rsidRPr="0072600F">
        <w:rPr>
          <w:rFonts w:ascii="Times New Roman" w:hAnsi="Times New Roman" w:cs="Times New Roman"/>
          <w:sz w:val="26"/>
          <w:szCs w:val="26"/>
        </w:rPr>
        <w:t xml:space="preserve">Interconnection Customer’s electric storage resource is required to provide timely and sustained primary frequency response consistent with </w:t>
      </w:r>
      <w:r w:rsidRPr="0072600F" w:rsidR="00672B04">
        <w:rPr>
          <w:rFonts w:ascii="Times New Roman" w:hAnsi="Times New Roman" w:cs="Times New Roman"/>
          <w:sz w:val="26"/>
          <w:szCs w:val="26"/>
        </w:rPr>
        <w:t>[</w:t>
      </w:r>
      <w:r w:rsidRPr="0072600F">
        <w:rPr>
          <w:rFonts w:ascii="Times New Roman" w:hAnsi="Times New Roman" w:cs="Times New Roman"/>
          <w:sz w:val="26"/>
          <w:szCs w:val="26"/>
        </w:rPr>
        <w:t>Section</w:t>
      </w:r>
      <w:r w:rsidRPr="0072600F" w:rsidR="00672B04">
        <w:rPr>
          <w:rFonts w:ascii="Times New Roman" w:hAnsi="Times New Roman" w:cs="Times New Roman"/>
          <w:sz w:val="26"/>
          <w:szCs w:val="26"/>
        </w:rPr>
        <w:t>]</w:t>
      </w:r>
      <w:r w:rsidRPr="0072600F" w:rsidR="00672B04">
        <w:rPr>
          <w:rFonts w:ascii="Times New Roman" w:hAnsi="Times New Roman" w:cs="Times New Roman"/>
          <w:i/>
          <w:iCs/>
          <w:sz w:val="26"/>
          <w:szCs w:val="26"/>
        </w:rPr>
        <w:t>article</w:t>
      </w:r>
      <w:r w:rsidRPr="0072600F">
        <w:rPr>
          <w:rFonts w:ascii="Times New Roman" w:hAnsi="Times New Roman" w:cs="Times New Roman"/>
          <w:sz w:val="26"/>
          <w:szCs w:val="26"/>
        </w:rPr>
        <w:t xml:space="preserve"> 9.6.4.2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w:t>
      </w:r>
    </w:p>
    <w:p w:rsidR="00F3594B" w:rsidRPr="0072600F" w:rsidP="00A97EB7" w14:paraId="3128A33A" w14:textId="77777777">
      <w:pPr>
        <w:ind w:left="2880"/>
        <w:rPr>
          <w:rFonts w:ascii="Times New Roman" w:hAnsi="Times New Roman" w:cs="Times New Roman"/>
          <w:b/>
          <w:sz w:val="26"/>
          <w:szCs w:val="26"/>
        </w:rPr>
      </w:pPr>
      <w:r w:rsidRPr="0072600F">
        <w:rPr>
          <w:rFonts w:ascii="Times New Roman" w:hAnsi="Times New Roman" w:cs="Times New Roman"/>
          <w:sz w:val="26"/>
          <w:szCs w:val="26"/>
        </w:rPr>
        <w:t xml:space="preserve">Customer’s electric storage resource is charging at the time of a frequency deviation outside of its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settings requires it to do so and it is technically capable of making such a transition.</w:t>
      </w:r>
    </w:p>
    <w:p w:rsidR="00F3594B" w:rsidRPr="0072600F" w:rsidP="00A97EB7" w14:paraId="7F0AAE33" w14:textId="77777777">
      <w:pPr>
        <w:rPr>
          <w:rFonts w:ascii="Times New Roman" w:hAnsi="Times New Roman" w:cs="Times New Roman"/>
          <w:sz w:val="26"/>
          <w:szCs w:val="26"/>
        </w:rPr>
      </w:pPr>
    </w:p>
    <w:p w:rsidR="00F3594B" w:rsidRPr="0072600F" w:rsidP="00504196" w14:paraId="57C9DB54" w14:textId="77777777">
      <w:pPr>
        <w:pStyle w:val="FERCNopara"/>
        <w:ind w:firstLine="0"/>
        <w:rPr>
          <w:b/>
          <w:sz w:val="26"/>
          <w:szCs w:val="26"/>
        </w:rPr>
      </w:pPr>
      <w:bookmarkStart w:id="543" w:name="_1_c"/>
      <w:bookmarkStart w:id="544" w:name="_Toc148703368"/>
      <w:bookmarkEnd w:id="543"/>
      <w:r w:rsidRPr="0072600F">
        <w:rPr>
          <w:b/>
          <w:sz w:val="26"/>
          <w:szCs w:val="26"/>
        </w:rPr>
        <w:t>9.7</w:t>
      </w:r>
      <w:r w:rsidRPr="0072600F">
        <w:rPr>
          <w:b/>
          <w:sz w:val="26"/>
          <w:szCs w:val="26"/>
        </w:rPr>
        <w:tab/>
        <w:t>Outages and Interruptions.</w:t>
      </w:r>
      <w:bookmarkEnd w:id="544"/>
    </w:p>
    <w:p w:rsidR="00F3594B" w:rsidRPr="0072600F" w:rsidP="00A97EB7" w14:paraId="75F008A5" w14:textId="77777777">
      <w:pPr>
        <w:keepNext/>
        <w:rPr>
          <w:rFonts w:ascii="Times New Roman" w:hAnsi="Times New Roman" w:cs="Times New Roman"/>
          <w:sz w:val="26"/>
          <w:szCs w:val="26"/>
        </w:rPr>
      </w:pPr>
    </w:p>
    <w:p w:rsidR="00F3594B" w:rsidRPr="0072600F" w:rsidP="003E3320" w14:paraId="148887B2" w14:textId="77777777">
      <w:pPr>
        <w:pStyle w:val="FERCNopara"/>
        <w:rPr>
          <w:b/>
          <w:sz w:val="26"/>
          <w:szCs w:val="26"/>
        </w:rPr>
      </w:pPr>
      <w:bookmarkStart w:id="545" w:name="_Toc148703369"/>
      <w:r w:rsidRPr="0072600F">
        <w:rPr>
          <w:b/>
          <w:sz w:val="26"/>
          <w:szCs w:val="26"/>
        </w:rPr>
        <w:t>9.7.1</w:t>
      </w:r>
      <w:r w:rsidRPr="0072600F">
        <w:rPr>
          <w:b/>
          <w:sz w:val="26"/>
          <w:szCs w:val="26"/>
        </w:rPr>
        <w:tab/>
        <w:t>Outages.</w:t>
      </w:r>
      <w:bookmarkEnd w:id="545"/>
    </w:p>
    <w:p w:rsidR="00F3594B" w:rsidRPr="0072600F" w:rsidP="00A97EB7" w14:paraId="54CA84EA" w14:textId="77777777">
      <w:pPr>
        <w:rPr>
          <w:rFonts w:ascii="Times New Roman" w:hAnsi="Times New Roman" w:cs="Times New Roman"/>
          <w:sz w:val="26"/>
          <w:szCs w:val="26"/>
        </w:rPr>
      </w:pPr>
    </w:p>
    <w:p w:rsidR="00F3594B" w:rsidRPr="0072600F" w:rsidP="00A97EB7" w14:paraId="7859E942"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Style w:val="Heading4Char"/>
          <w:rFonts w:eastAsiaTheme="minorHAnsi"/>
          <w:b/>
          <w:sz w:val="26"/>
        </w:rPr>
        <w:t>9.7.1.1</w:t>
      </w:r>
      <w:r w:rsidRPr="0072600F">
        <w:rPr>
          <w:rStyle w:val="Heading4Char"/>
          <w:rFonts w:eastAsiaTheme="minorHAnsi"/>
          <w:b/>
          <w:sz w:val="26"/>
        </w:rPr>
        <w:tab/>
      </w:r>
      <w:r w:rsidRPr="0072600F">
        <w:rPr>
          <w:rStyle w:val="Heading4Char"/>
          <w:rFonts w:eastAsiaTheme="minorHAnsi"/>
          <w:b/>
          <w:sz w:val="26"/>
        </w:rPr>
        <w:tab/>
        <w:t>Outage Authority and Coordination.</w:t>
      </w:r>
      <w:r w:rsidRPr="0072600F">
        <w:rPr>
          <w:rFonts w:ascii="Times New Roman" w:hAnsi="Times New Roman" w:cs="Times New Roman"/>
          <w:sz w:val="26"/>
          <w:szCs w:val="26"/>
        </w:rPr>
        <w:t xml:space="preserve">  Each Party may in accordance with Good Utility Practice in coordination with the other Party remove from service any of its respective Interconnection Facilities or Network Upgrades that may impact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facilities as necessary to perform maintenance or testing or to install or replace equipment.  Absent an Emergency Condition, the Party scheduling a removal of such facility(</w:t>
      </w:r>
      <w:r w:rsidRPr="0072600F">
        <w:rPr>
          <w:rFonts w:ascii="Times New Roman" w:hAnsi="Times New Roman" w:cs="Times New Roman"/>
          <w:sz w:val="26"/>
          <w:szCs w:val="26"/>
        </w:rPr>
        <w:t>ies</w:t>
      </w:r>
      <w:r w:rsidRPr="0072600F">
        <w:rPr>
          <w:rFonts w:ascii="Times New Roman" w:hAnsi="Times New Roman" w:cs="Times New Roman"/>
          <w:sz w:val="26"/>
          <w:szCs w:val="26"/>
        </w:rPr>
        <w:t>) from service will use Reasonable Efforts to schedule such removal on a date and time mutually acceptable to the Parties.  In all circumstances, any Party planning to remove such facility(</w:t>
      </w:r>
      <w:r w:rsidRPr="0072600F">
        <w:rPr>
          <w:rFonts w:ascii="Times New Roman" w:hAnsi="Times New Roman" w:cs="Times New Roman"/>
          <w:sz w:val="26"/>
          <w:szCs w:val="26"/>
        </w:rPr>
        <w:t>ies</w:t>
      </w:r>
      <w:r w:rsidRPr="0072600F">
        <w:rPr>
          <w:rFonts w:ascii="Times New Roman" w:hAnsi="Times New Roman" w:cs="Times New Roman"/>
          <w:sz w:val="26"/>
          <w:szCs w:val="26"/>
        </w:rPr>
        <w:t>) from service shall use Reasonable Efforts to minimize the effect on the other Party of such removal.</w:t>
      </w:r>
    </w:p>
    <w:p w:rsidR="00F3594B" w:rsidRPr="0072600F" w:rsidP="00A97EB7" w14:paraId="2C568A87" w14:textId="77777777">
      <w:pPr>
        <w:rPr>
          <w:rFonts w:ascii="Times New Roman" w:hAnsi="Times New Roman" w:cs="Times New Roman"/>
          <w:sz w:val="26"/>
          <w:szCs w:val="26"/>
        </w:rPr>
      </w:pPr>
    </w:p>
    <w:p w:rsidR="00F3594B" w:rsidRPr="0072600F" w:rsidP="00A97EB7" w14:paraId="0F0D3922" w14:textId="77777777">
      <w:pPr>
        <w:tabs>
          <w:tab w:val="left" w:pos="720"/>
          <w:tab w:val="left" w:pos="1440"/>
          <w:tab w:val="left" w:pos="2160"/>
          <w:tab w:val="left" w:pos="2880"/>
        </w:tabs>
        <w:ind w:left="2880" w:hanging="1440"/>
        <w:rPr>
          <w:rFonts w:ascii="Times New Roman" w:hAnsi="Times New Roman" w:cs="Times New Roman"/>
          <w:sz w:val="26"/>
          <w:szCs w:val="26"/>
        </w:rPr>
      </w:pPr>
      <w:r w:rsidRPr="0072600F">
        <w:rPr>
          <w:rStyle w:val="Heading4Char"/>
          <w:rFonts w:eastAsiaTheme="minorHAnsi"/>
          <w:b/>
          <w:sz w:val="26"/>
        </w:rPr>
        <w:t>9.7.1.2</w:t>
      </w:r>
      <w:r w:rsidRPr="0072600F">
        <w:rPr>
          <w:rStyle w:val="Heading4Char"/>
          <w:rFonts w:eastAsiaTheme="minorHAnsi"/>
          <w:b/>
          <w:sz w:val="26"/>
        </w:rPr>
        <w:tab/>
      </w:r>
      <w:r w:rsidRPr="0072600F">
        <w:rPr>
          <w:rStyle w:val="Heading4Char"/>
          <w:rFonts w:eastAsiaTheme="minorHAnsi"/>
          <w:b/>
          <w:sz w:val="26"/>
        </w:rPr>
        <w:tab/>
        <w:t>Outage Schedules.</w:t>
      </w:r>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Transmission Provider shall post scheduled outages of its transmission facilities on the OASIS.  Interconnection Customer shall submit its planned maintenance schedules for the Large Generating Facility to Transmission Provider for a minimum of a rolling twenty-four month period.  Interconnection Customer shall update its planned maintenance schedules as necessary.  Transmission Provider may request Interconnection Customer to reschedule its maintenance as necessary to maintain the reliability of the Transmission System; provided, however, adequacy of generation supply shall not be a criterion in determining Transmission System reliability.  Transmission Provider shall compensate Interconnection Customer for any additional direct costs that Interconnection Customer incurs as a result of having to reschedule maintenance, including any additional overtime, breaking of maintenance contracts or other costs above and beyond the cost Interconnection Customer would have incurred absent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request to reschedule maintenance.  Interconnection Customer will not be eligible to receive compensation, if during the twelve (12) months prior to the date of the scheduled maintenance, Interconnection Customer had modified its schedule of maintenance activities.</w:t>
      </w:r>
    </w:p>
    <w:p w:rsidR="00F3594B" w:rsidRPr="0072600F" w:rsidP="00A97EB7" w14:paraId="095589E6" w14:textId="77777777">
      <w:pPr>
        <w:rPr>
          <w:rFonts w:ascii="Times New Roman" w:hAnsi="Times New Roman" w:cs="Times New Roman"/>
          <w:sz w:val="26"/>
          <w:szCs w:val="26"/>
        </w:rPr>
      </w:pPr>
    </w:p>
    <w:p w:rsidR="00F3594B" w:rsidRPr="0072600F" w:rsidP="00A97EB7" w14:paraId="3197E70A"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Style w:val="Heading4Char"/>
          <w:rFonts w:eastAsiaTheme="minorHAnsi"/>
          <w:b/>
          <w:sz w:val="26"/>
        </w:rPr>
        <w:t>9.7.1.3</w:t>
      </w:r>
      <w:r w:rsidRPr="0072600F">
        <w:rPr>
          <w:rStyle w:val="Heading4Char"/>
          <w:rFonts w:eastAsiaTheme="minorHAnsi"/>
          <w:b/>
          <w:sz w:val="26"/>
        </w:rPr>
        <w:tab/>
      </w:r>
      <w:r w:rsidRPr="0072600F">
        <w:rPr>
          <w:rStyle w:val="Heading4Char"/>
          <w:rFonts w:eastAsiaTheme="minorHAnsi"/>
          <w:b/>
          <w:sz w:val="26"/>
        </w:rPr>
        <w:tab/>
        <w:t>Outage Restoration.</w:t>
      </w:r>
      <w:r w:rsidRPr="0072600F">
        <w:rPr>
          <w:rFonts w:ascii="Times New Roman" w:hAnsi="Times New Roman" w:cs="Times New Roman"/>
          <w:sz w:val="26"/>
          <w:szCs w:val="26"/>
        </w:rPr>
        <w:t xml:space="preserve">  If an outage on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or Network Upgrades adversely affects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operations or facilities, the Party that owns or controls the facility that is out of service shall use Reasonable Efforts to promptly restore such facility(</w:t>
      </w:r>
      <w:r w:rsidRPr="0072600F">
        <w:rPr>
          <w:rFonts w:ascii="Times New Roman" w:hAnsi="Times New Roman" w:cs="Times New Roman"/>
          <w:sz w:val="26"/>
          <w:szCs w:val="26"/>
        </w:rPr>
        <w:t>ies</w:t>
      </w:r>
      <w:r w:rsidRPr="0072600F">
        <w:rPr>
          <w:rFonts w:ascii="Times New Roman" w:hAnsi="Times New Roman" w:cs="Times New Roman"/>
          <w:sz w:val="26"/>
          <w:szCs w:val="26"/>
        </w:rPr>
        <w:t>) to a normal operating condition consistent with the nature of the outage.  The Party that owns or controls the facility that is out of service shall provide the other Party, to the extent such information is known, information on the nature of the Emergency Condition, an estimated time of restoration, and any corrective actions required.  Initial verbal notice shall be followed up as soon as practicable with written notice explaining the nature of the outage.</w:t>
      </w:r>
    </w:p>
    <w:p w:rsidR="00F3594B" w:rsidRPr="0072600F" w:rsidP="00A97EB7" w14:paraId="2B874419" w14:textId="77777777">
      <w:pPr>
        <w:rPr>
          <w:rFonts w:ascii="Times New Roman" w:hAnsi="Times New Roman" w:cs="Times New Roman"/>
          <w:sz w:val="26"/>
          <w:szCs w:val="26"/>
        </w:rPr>
      </w:pPr>
    </w:p>
    <w:p w:rsidR="00F3594B" w:rsidRPr="0072600F" w:rsidP="00A97EB7" w14:paraId="7F4C4846"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546" w:name="_Toc148703370"/>
      <w:r w:rsidRPr="0072600F">
        <w:rPr>
          <w:rStyle w:val="Heading3Char"/>
          <w:rFonts w:eastAsiaTheme="minorHAnsi"/>
          <w:b/>
          <w:sz w:val="26"/>
        </w:rPr>
        <w:t>9.7.2</w:t>
      </w:r>
      <w:r w:rsidRPr="0072600F">
        <w:rPr>
          <w:rStyle w:val="Heading3Char"/>
          <w:rFonts w:eastAsiaTheme="minorHAnsi"/>
          <w:b/>
          <w:sz w:val="26"/>
        </w:rPr>
        <w:tab/>
        <w:t>Interruption of Service.</w:t>
      </w:r>
      <w:bookmarkEnd w:id="546"/>
      <w:r w:rsidRPr="0072600F">
        <w:rPr>
          <w:rFonts w:ascii="Times New Roman" w:hAnsi="Times New Roman" w:cs="Times New Roman"/>
          <w:sz w:val="26"/>
          <w:szCs w:val="26"/>
        </w:rPr>
        <w:t xml:space="preserve">  If required by Good Utility Practice to do so, Transmission Provider may require Interconnection Customer to interrupt or reduce deliveries of electricity if such delivery of electricity could adversely affect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ability to perform such activities as are necessary to safely and reliably operate and maintain the Transmission System.  The following provisions shall apply to any interruption or reduction permitted under this Article 9.7.2:</w:t>
      </w:r>
    </w:p>
    <w:p w:rsidR="00F3594B" w:rsidRPr="0072600F" w:rsidP="00A97EB7" w14:paraId="2C7D936D" w14:textId="77777777">
      <w:pPr>
        <w:rPr>
          <w:rFonts w:ascii="Times New Roman" w:hAnsi="Times New Roman" w:cs="Times New Roman"/>
          <w:sz w:val="26"/>
          <w:szCs w:val="26"/>
        </w:rPr>
      </w:pPr>
    </w:p>
    <w:p w:rsidR="00F3594B" w:rsidRPr="0072600F" w:rsidP="00A97EB7" w14:paraId="688D88F3"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bCs/>
          <w:sz w:val="26"/>
          <w:szCs w:val="26"/>
        </w:rPr>
        <w:t>9.7.2.1</w:t>
      </w:r>
      <w:r w:rsidRPr="0072600F">
        <w:rPr>
          <w:rFonts w:ascii="Times New Roman" w:hAnsi="Times New Roman" w:cs="Times New Roman"/>
          <w:b/>
          <w:bCs/>
          <w:sz w:val="26"/>
          <w:szCs w:val="26"/>
        </w:rPr>
        <w:tab/>
      </w:r>
      <w:r w:rsidRPr="0072600F">
        <w:rPr>
          <w:rFonts w:ascii="Times New Roman" w:hAnsi="Times New Roman" w:cs="Times New Roman"/>
          <w:sz w:val="26"/>
          <w:szCs w:val="26"/>
        </w:rPr>
        <w:tab/>
        <w:t>The interruption or reduction shall continue only for so long as reasonably necessary under Good Utility Practice;</w:t>
      </w:r>
    </w:p>
    <w:p w:rsidR="00F3594B" w:rsidRPr="0072600F" w:rsidP="00A97EB7" w14:paraId="18CBAFA4" w14:textId="77777777">
      <w:pPr>
        <w:rPr>
          <w:rFonts w:ascii="Times New Roman" w:hAnsi="Times New Roman" w:cs="Times New Roman"/>
          <w:sz w:val="26"/>
          <w:szCs w:val="26"/>
        </w:rPr>
      </w:pPr>
    </w:p>
    <w:p w:rsidR="00F3594B" w:rsidRPr="0072600F" w:rsidP="00A97EB7" w14:paraId="591DE67E"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bCs/>
          <w:sz w:val="26"/>
          <w:szCs w:val="26"/>
        </w:rPr>
        <w:t>9.7.2.2</w:t>
      </w:r>
      <w:r w:rsidRPr="0072600F">
        <w:rPr>
          <w:rFonts w:ascii="Times New Roman" w:hAnsi="Times New Roman" w:cs="Times New Roman"/>
          <w:b/>
          <w:bCs/>
          <w:sz w:val="26"/>
          <w:szCs w:val="26"/>
        </w:rPr>
        <w:tab/>
      </w:r>
      <w:r w:rsidRPr="0072600F">
        <w:rPr>
          <w:rFonts w:ascii="Times New Roman" w:hAnsi="Times New Roman" w:cs="Times New Roman"/>
          <w:sz w:val="26"/>
          <w:szCs w:val="26"/>
        </w:rPr>
        <w:tab/>
        <w:t>Any such interruption or reduction shall be made on an equitable, non-discriminatory basis with respect to all generating facilities directly connected to the Transmission System;</w:t>
      </w:r>
    </w:p>
    <w:p w:rsidR="00F3594B" w:rsidRPr="0072600F" w:rsidP="00A97EB7" w14:paraId="6B20474A" w14:textId="77777777">
      <w:pPr>
        <w:rPr>
          <w:rFonts w:ascii="Times New Roman" w:hAnsi="Times New Roman" w:cs="Times New Roman"/>
          <w:sz w:val="26"/>
          <w:szCs w:val="26"/>
        </w:rPr>
      </w:pPr>
    </w:p>
    <w:p w:rsidR="00F3594B" w:rsidRPr="0072600F" w:rsidP="00A97EB7" w14:paraId="505BC1B7"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bCs/>
          <w:sz w:val="26"/>
          <w:szCs w:val="26"/>
        </w:rPr>
        <w:t>9.7.2.3</w:t>
      </w:r>
      <w:r w:rsidRPr="0072600F">
        <w:rPr>
          <w:rFonts w:ascii="Times New Roman" w:hAnsi="Times New Roman" w:cs="Times New Roman"/>
          <w:b/>
          <w:bCs/>
          <w:sz w:val="26"/>
          <w:szCs w:val="26"/>
        </w:rPr>
        <w:tab/>
      </w:r>
      <w:r w:rsidRPr="0072600F">
        <w:rPr>
          <w:rFonts w:ascii="Times New Roman" w:hAnsi="Times New Roman" w:cs="Times New Roman"/>
          <w:sz w:val="26"/>
          <w:szCs w:val="26"/>
        </w:rPr>
        <w:tab/>
        <w:t>When the interruption or reduction must be made under circumstances which do not allow for advance notice, Transmission Provider shall notify Interconnection Customer by telephone as soon as practicable of the reasons for the curtailment, interruption, or reduction, and, if known, its expected duration.  Telephone notification shall be followed by written notification as soon as practicable;</w:t>
      </w:r>
    </w:p>
    <w:p w:rsidR="00F3594B" w:rsidRPr="0072600F" w:rsidP="00A97EB7" w14:paraId="6B236F9B" w14:textId="77777777">
      <w:pPr>
        <w:rPr>
          <w:rFonts w:ascii="Times New Roman" w:hAnsi="Times New Roman" w:cs="Times New Roman"/>
          <w:sz w:val="26"/>
          <w:szCs w:val="26"/>
        </w:rPr>
      </w:pPr>
    </w:p>
    <w:p w:rsidR="00F3594B" w:rsidRPr="0072600F" w:rsidP="00A97EB7" w14:paraId="497D7D40"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bCs/>
          <w:sz w:val="26"/>
          <w:szCs w:val="26"/>
        </w:rPr>
        <w:t>9.7.2.4</w:t>
      </w:r>
      <w:r w:rsidRPr="0072600F">
        <w:rPr>
          <w:rFonts w:ascii="Times New Roman" w:hAnsi="Times New Roman" w:cs="Times New Roman"/>
          <w:b/>
          <w:bCs/>
          <w:sz w:val="26"/>
          <w:szCs w:val="26"/>
        </w:rPr>
        <w:tab/>
      </w:r>
      <w:r w:rsidRPr="0072600F">
        <w:rPr>
          <w:rFonts w:ascii="Times New Roman" w:hAnsi="Times New Roman" w:cs="Times New Roman"/>
          <w:sz w:val="26"/>
          <w:szCs w:val="26"/>
        </w:rPr>
        <w:tab/>
        <w:t>Except during the existence of an Emergency Condition, when the interruption or reduction can be scheduled without advance notice, Transmission Provider shall notify Interconnection Customer in advance regarding the timing of such scheduling and further notify Interconnection Customer of the expected duration.  Transmission Provider shall coordinate with Interconnection Customer using Good Utility Practice to schedule the interruption or reduction during periods of least impact to Interconnection Customer and Transmission Provider;</w:t>
      </w:r>
    </w:p>
    <w:p w:rsidR="00F3594B" w:rsidRPr="0072600F" w:rsidP="00A97EB7" w14:paraId="6E3AE879" w14:textId="77777777">
      <w:pPr>
        <w:rPr>
          <w:rFonts w:ascii="Times New Roman" w:hAnsi="Times New Roman" w:cs="Times New Roman"/>
          <w:sz w:val="26"/>
          <w:szCs w:val="26"/>
        </w:rPr>
      </w:pPr>
    </w:p>
    <w:p w:rsidR="00F3594B" w:rsidRPr="0072600F" w:rsidP="00A97EB7" w14:paraId="64F55D32"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t>9.7.2.5</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The Parties shall cooperate and coordinate with each other to the extent necessary in order to restore the Large Generating Facility, Interconnection Facilities, and the Transmission System to their normal operating state, consistent with system conditions and Good Utility Practice.</w:t>
      </w:r>
    </w:p>
    <w:p w:rsidR="00F3594B" w:rsidRPr="0072600F" w:rsidP="00A97EB7" w14:paraId="34052F17" w14:textId="77777777">
      <w:pPr>
        <w:rPr>
          <w:rFonts w:ascii="Times New Roman" w:hAnsi="Times New Roman" w:cs="Times New Roman"/>
          <w:sz w:val="26"/>
          <w:szCs w:val="26"/>
        </w:rPr>
      </w:pPr>
    </w:p>
    <w:p w:rsidR="00F3594B" w:rsidRPr="0072600F" w:rsidP="00A97EB7" w14:paraId="45EC5CB9"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sz w:val="26"/>
          <w:szCs w:val="26"/>
        </w:rPr>
        <w:tab/>
      </w:r>
      <w:bookmarkStart w:id="547" w:name="_Toc148703371"/>
      <w:r w:rsidRPr="0072600F">
        <w:rPr>
          <w:rStyle w:val="Heading3Char"/>
          <w:rFonts w:eastAsiaTheme="minorHAnsi"/>
          <w:b/>
          <w:sz w:val="26"/>
        </w:rPr>
        <w:t>9.7.3</w:t>
      </w:r>
      <w:r w:rsidRPr="0072600F">
        <w:rPr>
          <w:rStyle w:val="Heading3Char"/>
          <w:rFonts w:eastAsiaTheme="minorHAnsi"/>
          <w:b/>
          <w:sz w:val="26"/>
        </w:rPr>
        <w:tab/>
        <w:t>Ride Through Capability and Performance.</w:t>
      </w:r>
      <w:bookmarkEnd w:id="547"/>
      <w:r w:rsidRPr="0072600F">
        <w:rPr>
          <w:rFonts w:ascii="Times New Roman" w:hAnsi="Times New Roman" w:cs="Times New Roman"/>
          <w:sz w:val="26"/>
          <w:szCs w:val="26"/>
        </w:rPr>
        <w:t xml:space="preserve">  The Transmission System is designed to automatically activate a load-shed program as required by the Electric Reliability Organization in the event of an under-frequency system disturbance.  Interconnection Customer shall implement under-frequency and over-frequency relay set points for the Large Generating Facility as required by the Electric Reliability Organization to ensure frequency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ride through</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capability of the Transmission System.  Large Generating Facility response to frequency deviations of pre-determined magnitudes, both under-frequency and over-frequency deviations, shall be studied and coordinated with Transmission Provider in accordance with Good Utility Practice.  Interconnection Customer shall also implement under-voltage and over-voltage relay set points, or equivalent electronic controls, as required by the Electric Reliability Organization to ensure voltage “ride through” capability of the Transmission System.  The term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ride through</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as used herein shall mean the ability of a Generating Facility to stay connected to and synchronized with the Transmission System during system disturbances within a range of under-frequency, over-frequency, under-voltage, and over-voltage conditions, in accordance with Good Utility Practice and consistent with any standards and guidelines that are applied to other Generating Facilities in the Balancing Authority Area on a comparable basis.  For abnormal frequency conditions and voltage conditions within the “no trip zone” defined by Reliability Standard PRC-024-3 or successor mandatory ride through reliability standards, the non-synchronous Large Generating Facility must ensure that, within any physical limitations of the Large Generating Facility, its control and protection settings are configured or set to (1) continue active power production during disturbance and post disturbance periods at pre-disturbance levels, </w:t>
      </w:r>
      <w:r w:rsidRPr="0072600F" w:rsidR="00C60ECA">
        <w:rPr>
          <w:rFonts w:ascii="Times New Roman" w:hAnsi="Times New Roman" w:cs="Times New Roman"/>
          <w:i/>
          <w:iCs/>
          <w:sz w:val="26"/>
          <w:szCs w:val="26"/>
        </w:rPr>
        <w:t xml:space="preserve">unless reactive power priority mode is enabled or </w:t>
      </w:r>
      <w:r w:rsidRPr="0072600F">
        <w:rPr>
          <w:rFonts w:ascii="Times New Roman" w:hAnsi="Times New Roman" w:cs="Times New Roman"/>
          <w:sz w:val="26"/>
          <w:szCs w:val="26"/>
        </w:rPr>
        <w:t>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p>
    <w:p w:rsidR="00F3594B" w:rsidRPr="0072600F" w:rsidP="00A97EB7" w14:paraId="17ADF71B" w14:textId="77777777">
      <w:pPr>
        <w:rPr>
          <w:rFonts w:ascii="Times New Roman" w:hAnsi="Times New Roman" w:cs="Times New Roman"/>
          <w:sz w:val="26"/>
          <w:szCs w:val="26"/>
        </w:rPr>
      </w:pPr>
    </w:p>
    <w:p w:rsidR="00F3594B" w:rsidRPr="0072600F" w:rsidP="003E3320" w14:paraId="07ED8EBE" w14:textId="77777777">
      <w:pPr>
        <w:pStyle w:val="FERCNopara"/>
        <w:rPr>
          <w:b/>
          <w:sz w:val="26"/>
          <w:szCs w:val="26"/>
        </w:rPr>
      </w:pPr>
      <w:bookmarkStart w:id="548" w:name="_Toc148703372"/>
      <w:r w:rsidRPr="0072600F">
        <w:rPr>
          <w:b/>
          <w:sz w:val="26"/>
          <w:szCs w:val="26"/>
        </w:rPr>
        <w:t>9.7.4</w:t>
      </w:r>
      <w:r w:rsidRPr="0072600F">
        <w:rPr>
          <w:b/>
          <w:sz w:val="26"/>
          <w:szCs w:val="26"/>
        </w:rPr>
        <w:tab/>
        <w:t>System Protection and Other Control Requirements.</w:t>
      </w:r>
      <w:bookmarkEnd w:id="548"/>
    </w:p>
    <w:p w:rsidR="00F3594B" w:rsidRPr="0072600F" w:rsidP="00A97EB7" w14:paraId="3F89D0E3" w14:textId="77777777">
      <w:pPr>
        <w:rPr>
          <w:rFonts w:ascii="Times New Roman" w:hAnsi="Times New Roman" w:cs="Times New Roman"/>
          <w:sz w:val="26"/>
          <w:szCs w:val="26"/>
        </w:rPr>
      </w:pPr>
    </w:p>
    <w:p w:rsidR="00F3594B" w:rsidRPr="0072600F" w:rsidP="00A97EB7" w14:paraId="251F6158"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Style w:val="Heading4Char"/>
          <w:rFonts w:eastAsiaTheme="minorHAnsi"/>
          <w:b/>
          <w:sz w:val="26"/>
        </w:rPr>
        <w:t>9.7.4.1</w:t>
      </w:r>
      <w:r w:rsidRPr="0072600F">
        <w:rPr>
          <w:rStyle w:val="Heading4Char"/>
          <w:rFonts w:eastAsiaTheme="minorHAnsi"/>
          <w:b/>
          <w:sz w:val="26"/>
        </w:rPr>
        <w:tab/>
      </w:r>
      <w:r w:rsidRPr="0072600F">
        <w:rPr>
          <w:rStyle w:val="Heading4Char"/>
          <w:rFonts w:eastAsiaTheme="minorHAnsi"/>
          <w:b/>
          <w:sz w:val="26"/>
        </w:rPr>
        <w:tab/>
        <w:t>System Protection Facilities.</w:t>
      </w:r>
      <w:r w:rsidRPr="0072600F">
        <w:rPr>
          <w:rFonts w:ascii="Times New Roman" w:hAnsi="Times New Roman" w:cs="Times New Roman"/>
          <w:sz w:val="26"/>
          <w:szCs w:val="26"/>
        </w:rPr>
        <w:t xml:space="preserve">  Interconnection Customer shall, at its expense, install, operate and maintain System Protection Facilities as a part of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Transmission Provider shall install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expense any System Protection Facilities that may be required on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Transmission System as a result of the interconnection of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w:t>
      </w:r>
    </w:p>
    <w:p w:rsidR="00F3594B" w:rsidRPr="0072600F" w:rsidP="00A97EB7" w14:paraId="3FE62E62" w14:textId="77777777">
      <w:pPr>
        <w:rPr>
          <w:rFonts w:ascii="Times New Roman" w:hAnsi="Times New Roman" w:cs="Times New Roman"/>
          <w:sz w:val="26"/>
          <w:szCs w:val="26"/>
        </w:rPr>
      </w:pPr>
    </w:p>
    <w:p w:rsidR="00F3594B" w:rsidRPr="0072600F" w:rsidP="00A97EB7" w14:paraId="7C8E2F07"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bCs/>
          <w:sz w:val="26"/>
          <w:szCs w:val="26"/>
        </w:rPr>
        <w:t>9.7.4.2</w:t>
      </w:r>
      <w:r w:rsidRPr="0072600F">
        <w:rPr>
          <w:rFonts w:ascii="Times New Roman" w:hAnsi="Times New Roman" w:cs="Times New Roman"/>
          <w:b/>
          <w:bCs/>
          <w:sz w:val="26"/>
          <w:szCs w:val="26"/>
        </w:rPr>
        <w:tab/>
      </w:r>
      <w:r w:rsidRPr="0072600F">
        <w:rPr>
          <w:rFonts w:ascii="Times New Roman" w:hAnsi="Times New Roman" w:cs="Times New Roman"/>
          <w:sz w:val="26"/>
          <w:szCs w:val="26"/>
        </w:rPr>
        <w:tab/>
        <w:t>Each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protection facilities shall be designed and coordinated with other systems in accordance with Good Utility Practice.</w:t>
      </w:r>
    </w:p>
    <w:p w:rsidR="00F3594B" w:rsidRPr="0072600F" w:rsidP="00A97EB7" w14:paraId="75AF200B" w14:textId="77777777">
      <w:pPr>
        <w:rPr>
          <w:rFonts w:ascii="Times New Roman" w:hAnsi="Times New Roman" w:cs="Times New Roman"/>
          <w:sz w:val="26"/>
          <w:szCs w:val="26"/>
        </w:rPr>
      </w:pPr>
    </w:p>
    <w:p w:rsidR="00F3594B" w:rsidRPr="0072600F" w:rsidP="00A97EB7" w14:paraId="5A6D339D"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t>9.7.4.3</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Each Party shall be responsible for protection of its facilities consistent with Good Utility Practice.</w:t>
      </w:r>
    </w:p>
    <w:p w:rsidR="00F3594B" w:rsidRPr="0072600F" w:rsidP="00A97EB7" w14:paraId="2A620459" w14:textId="77777777">
      <w:pPr>
        <w:rPr>
          <w:rFonts w:ascii="Times New Roman" w:hAnsi="Times New Roman" w:cs="Times New Roman"/>
          <w:sz w:val="26"/>
          <w:szCs w:val="26"/>
        </w:rPr>
      </w:pPr>
    </w:p>
    <w:p w:rsidR="00F3594B" w:rsidRPr="0072600F" w:rsidP="00A97EB7" w14:paraId="0D4D9CE8"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t>9.7.4.4</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Each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protective relay design shall incorporate the necessary test switches to perform the tests required in Article 6.  The required test switches will be placed such that they allow operation of lockout relays while preventing breaker failure schemes from operating and causing unnecessary breaker operations and/or the tripping of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units.</w:t>
      </w:r>
    </w:p>
    <w:p w:rsidR="00F3594B" w:rsidRPr="0072600F" w:rsidP="00A97EB7" w14:paraId="75892A33" w14:textId="77777777">
      <w:pPr>
        <w:tabs>
          <w:tab w:val="left" w:pos="720"/>
          <w:tab w:val="left" w:pos="1440"/>
          <w:tab w:val="left" w:pos="2160"/>
          <w:tab w:val="left" w:pos="2880"/>
        </w:tabs>
        <w:ind w:left="2880" w:hanging="2880"/>
        <w:rPr>
          <w:rFonts w:ascii="Times New Roman" w:hAnsi="Times New Roman" w:cs="Times New Roman"/>
          <w:sz w:val="26"/>
          <w:szCs w:val="26"/>
        </w:rPr>
      </w:pPr>
    </w:p>
    <w:p w:rsidR="00F3594B" w:rsidRPr="0072600F" w:rsidP="00A97EB7" w14:paraId="2A24D007" w14:textId="77777777">
      <w:pPr>
        <w:tabs>
          <w:tab w:val="left" w:pos="720"/>
          <w:tab w:val="left" w:pos="1440"/>
          <w:tab w:val="left" w:pos="2160"/>
          <w:tab w:val="left" w:pos="2880"/>
        </w:tabs>
        <w:ind w:left="2880" w:hanging="288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bCs/>
          <w:sz w:val="26"/>
          <w:szCs w:val="26"/>
        </w:rPr>
        <w:t xml:space="preserve">9.7.4.5 </w:t>
      </w:r>
      <w:r w:rsidRPr="0072600F">
        <w:rPr>
          <w:rFonts w:ascii="Times New Roman" w:hAnsi="Times New Roman" w:cs="Times New Roman"/>
          <w:b/>
          <w:bCs/>
          <w:sz w:val="26"/>
          <w:szCs w:val="26"/>
        </w:rPr>
        <w:tab/>
      </w:r>
      <w:r w:rsidRPr="0072600F">
        <w:rPr>
          <w:rFonts w:ascii="Times New Roman" w:hAnsi="Times New Roman" w:cs="Times New Roman"/>
          <w:sz w:val="26"/>
          <w:szCs w:val="26"/>
        </w:rPr>
        <w:t>Each Party will test, operate and maintain System Protection Facilities in accordance with Good Utility Practice.</w:t>
      </w:r>
    </w:p>
    <w:p w:rsidR="00F3594B" w:rsidRPr="0072600F" w:rsidP="00A97EB7" w14:paraId="614D6CCA" w14:textId="77777777">
      <w:pPr>
        <w:rPr>
          <w:rFonts w:ascii="Times New Roman" w:hAnsi="Times New Roman" w:cs="Times New Roman"/>
          <w:sz w:val="26"/>
          <w:szCs w:val="26"/>
        </w:rPr>
      </w:pPr>
    </w:p>
    <w:p w:rsidR="00F3594B" w:rsidRPr="0072600F" w:rsidP="00A97EB7" w14:paraId="72536FD3" w14:textId="77777777">
      <w:pPr>
        <w:tabs>
          <w:tab w:val="left" w:pos="720"/>
          <w:tab w:val="left" w:pos="1440"/>
          <w:tab w:val="left" w:pos="2160"/>
          <w:tab w:val="left" w:pos="2880"/>
        </w:tabs>
        <w:ind w:left="2880" w:hanging="2880"/>
        <w:rPr>
          <w:rFonts w:ascii="Times New Roman" w:hAnsi="Times New Roman" w:cs="Times New Roman"/>
          <w:b/>
          <w:bCs/>
          <w:sz w:val="26"/>
          <w:szCs w:val="26"/>
        </w:rPr>
      </w:pP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t>9.7.4.6</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Prior to the In-Service Date, and again prior to the Commercial Operation Date, each Party or its agent shall perform a complete calibration test and functional trip test of the System Protection Facilities.  At intervals suggested by Good Utility Practice and following any apparent malfunction of the System Protection Facilities, each Party shall perform both calibration and functional trip tests of its System Protection Facilities.  These tests do not require the tripping of any in-service generation unit.  These tests do, however, require that all protective relays and lockout contacts be activated.</w:t>
      </w:r>
    </w:p>
    <w:p w:rsidR="00F3594B" w:rsidRPr="0072600F" w:rsidP="00A97EB7" w14:paraId="05F5E7D1" w14:textId="77777777">
      <w:pPr>
        <w:rPr>
          <w:rFonts w:ascii="Times New Roman" w:hAnsi="Times New Roman" w:cs="Times New Roman"/>
          <w:b/>
          <w:bCs/>
          <w:sz w:val="26"/>
          <w:szCs w:val="26"/>
        </w:rPr>
      </w:pPr>
    </w:p>
    <w:p w:rsidR="00F3594B" w:rsidRPr="0072600F" w:rsidP="00A97EB7" w14:paraId="45CB01A3"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549" w:name="_Toc148703373"/>
      <w:r w:rsidRPr="0072600F">
        <w:rPr>
          <w:rStyle w:val="Heading3Char"/>
          <w:rFonts w:eastAsiaTheme="minorHAnsi"/>
          <w:b/>
          <w:sz w:val="26"/>
        </w:rPr>
        <w:t>9.7.5</w:t>
      </w:r>
      <w:r w:rsidRPr="0072600F">
        <w:rPr>
          <w:rStyle w:val="Heading3Char"/>
          <w:rFonts w:eastAsiaTheme="minorHAnsi"/>
          <w:b/>
          <w:sz w:val="26"/>
        </w:rPr>
        <w:tab/>
        <w:t>Requirements for Protection.</w:t>
      </w:r>
      <w:bookmarkEnd w:id="549"/>
      <w:r w:rsidRPr="0072600F">
        <w:rPr>
          <w:rFonts w:ascii="Times New Roman" w:hAnsi="Times New Roman" w:cs="Times New Roman"/>
          <w:sz w:val="26"/>
          <w:szCs w:val="26"/>
        </w:rPr>
        <w:t xml:space="preserve">  In compliance with Good Utility Practice, Interconnection Customer shall provide, install, own, and maintain relays, circuit breakers and all other devices necessary to remove any fault contribution of the Large Generating Facility to any short circuit occurring on the Transmission System not otherwise isolated by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equipment, such that the removal of the fault contribution shall be coordinated with the protective requirements of the Transmission System.  Such protective equipment shall include, without limitation, a disconnecting device or switch with load-interrupting capability located between the Large Generating Facility and the Transmission System at a site selected upon mutual agreement (not to be unreasonably withheld, conditioned or delayed) of the Parties.  Interconnection Customer shall be responsible for protection of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other equipment from such conditions as negative sequence currents, over- or under-frequency, sudden load rejection, over- or under-voltage, and generator loss-of-field.  Interconnection Customer shall be solely responsible to disconnect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other equipment if conditions on the Transmission System could adversely affect the Large Generating Facility.</w:t>
      </w:r>
    </w:p>
    <w:p w:rsidR="00F3594B" w:rsidRPr="0072600F" w:rsidP="00A97EB7" w14:paraId="180A9359" w14:textId="77777777">
      <w:pPr>
        <w:rPr>
          <w:rFonts w:ascii="Times New Roman" w:hAnsi="Times New Roman" w:cs="Times New Roman"/>
          <w:sz w:val="26"/>
          <w:szCs w:val="26"/>
        </w:rPr>
      </w:pPr>
    </w:p>
    <w:p w:rsidR="00F3594B" w:rsidRPr="0072600F" w:rsidP="00A97EB7" w14:paraId="68C37B98"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sz w:val="26"/>
          <w:szCs w:val="26"/>
        </w:rPr>
        <w:tab/>
      </w:r>
      <w:bookmarkStart w:id="550" w:name="_Toc148703374"/>
      <w:r w:rsidRPr="0072600F">
        <w:rPr>
          <w:rStyle w:val="Heading3Char"/>
          <w:rFonts w:eastAsiaTheme="minorHAnsi"/>
          <w:b/>
          <w:sz w:val="26"/>
        </w:rPr>
        <w:t>9.7.6</w:t>
      </w:r>
      <w:r w:rsidRPr="0072600F">
        <w:rPr>
          <w:rStyle w:val="Heading3Char"/>
          <w:rFonts w:eastAsiaTheme="minorHAnsi"/>
          <w:b/>
          <w:sz w:val="26"/>
        </w:rPr>
        <w:tab/>
        <w:t>Power Quality.</w:t>
      </w:r>
      <w:bookmarkEnd w:id="550"/>
      <w:r w:rsidRPr="0072600F">
        <w:rPr>
          <w:rFonts w:ascii="Times New Roman" w:hAnsi="Times New Roman" w:cs="Times New Roman"/>
          <w:sz w:val="26"/>
          <w:szCs w:val="26"/>
        </w:rPr>
        <w:t xml:space="preserve">  Neither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facilities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F3594B" w:rsidRPr="0072600F" w:rsidP="00A97EB7" w14:paraId="2E697440" w14:textId="77777777">
      <w:pPr>
        <w:rPr>
          <w:rFonts w:ascii="Times New Roman" w:hAnsi="Times New Roman" w:cs="Times New Roman"/>
          <w:sz w:val="26"/>
          <w:szCs w:val="26"/>
        </w:rPr>
      </w:pPr>
    </w:p>
    <w:p w:rsidR="00F3594B" w:rsidRPr="0072600F" w:rsidP="00A97EB7" w14:paraId="1E9D82A9" w14:textId="77777777">
      <w:pPr>
        <w:tabs>
          <w:tab w:val="left" w:pos="720"/>
        </w:tabs>
        <w:ind w:left="720" w:hanging="720"/>
        <w:rPr>
          <w:rFonts w:ascii="Times New Roman" w:hAnsi="Times New Roman" w:cs="Times New Roman"/>
          <w:sz w:val="26"/>
          <w:szCs w:val="26"/>
        </w:rPr>
      </w:pPr>
      <w:bookmarkStart w:id="551" w:name="_1_x"/>
      <w:bookmarkStart w:id="552" w:name="_Toc148703375"/>
      <w:bookmarkEnd w:id="551"/>
      <w:r w:rsidRPr="0072600F">
        <w:rPr>
          <w:rStyle w:val="Heading2Char"/>
          <w:rFonts w:eastAsiaTheme="minorHAnsi"/>
          <w:b/>
          <w:sz w:val="26"/>
          <w:szCs w:val="26"/>
        </w:rPr>
        <w:t>9.8</w:t>
      </w:r>
      <w:r w:rsidRPr="0072600F">
        <w:rPr>
          <w:rStyle w:val="Heading2Char"/>
          <w:rFonts w:eastAsiaTheme="minorHAnsi"/>
          <w:b/>
          <w:sz w:val="26"/>
          <w:szCs w:val="26"/>
        </w:rPr>
        <w:tab/>
        <w:t>Switching and Tagging Rules.</w:t>
      </w:r>
      <w:bookmarkEnd w:id="552"/>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Each Party shall provide the other Party a copy of its switching and tagging rules that are applicable to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F3594B" w:rsidRPr="0072600F" w:rsidP="00A97EB7" w14:paraId="1BAA44D8" w14:textId="77777777">
      <w:pPr>
        <w:rPr>
          <w:rFonts w:ascii="Times New Roman" w:hAnsi="Times New Roman" w:cs="Times New Roman"/>
          <w:sz w:val="26"/>
          <w:szCs w:val="26"/>
        </w:rPr>
      </w:pPr>
    </w:p>
    <w:p w:rsidR="00F3594B" w:rsidRPr="0072600F" w:rsidP="00504196" w14:paraId="6E1FD5D4" w14:textId="77777777">
      <w:pPr>
        <w:pStyle w:val="FERCNopara"/>
        <w:ind w:firstLine="0"/>
        <w:rPr>
          <w:b/>
          <w:sz w:val="26"/>
          <w:szCs w:val="26"/>
        </w:rPr>
      </w:pPr>
      <w:bookmarkStart w:id="553" w:name="_1_y"/>
      <w:bookmarkStart w:id="554" w:name="_Toc148703376"/>
      <w:bookmarkEnd w:id="553"/>
      <w:r w:rsidRPr="0072600F">
        <w:rPr>
          <w:b/>
          <w:sz w:val="26"/>
          <w:szCs w:val="26"/>
        </w:rPr>
        <w:t>9.9</w:t>
      </w:r>
      <w:r w:rsidRPr="0072600F">
        <w:rPr>
          <w:b/>
          <w:sz w:val="26"/>
          <w:szCs w:val="26"/>
        </w:rPr>
        <w:tab/>
        <w:t>Use of Interconnection Facilities by Third Parties.</w:t>
      </w:r>
      <w:bookmarkEnd w:id="554"/>
    </w:p>
    <w:p w:rsidR="00F3594B" w:rsidRPr="0072600F" w14:paraId="565B0B2B" w14:textId="77777777">
      <w:pPr>
        <w:rPr>
          <w:rFonts w:ascii="Times New Roman" w:hAnsi="Times New Roman" w:cs="Times New Roman"/>
          <w:sz w:val="26"/>
          <w:szCs w:val="26"/>
        </w:rPr>
      </w:pPr>
    </w:p>
    <w:p w:rsidR="00F3594B" w:rsidRPr="0072600F" w14:paraId="7DC852D9"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555" w:name="_1_z"/>
      <w:bookmarkStart w:id="556" w:name="_Toc148703377"/>
      <w:bookmarkEnd w:id="555"/>
      <w:r w:rsidRPr="0072600F">
        <w:rPr>
          <w:rStyle w:val="Heading3Char"/>
          <w:rFonts w:eastAsiaTheme="minorHAnsi"/>
          <w:b/>
          <w:sz w:val="26"/>
        </w:rPr>
        <w:t>9.9.1</w:t>
      </w:r>
      <w:r w:rsidRPr="0072600F">
        <w:rPr>
          <w:rStyle w:val="Heading3Char"/>
          <w:rFonts w:eastAsiaTheme="minorHAnsi"/>
          <w:b/>
          <w:sz w:val="26"/>
        </w:rPr>
        <w:tab/>
        <w:t>Purpose of Interconnection Facilities.</w:t>
      </w:r>
      <w:bookmarkEnd w:id="556"/>
      <w:r w:rsidRPr="0072600F">
        <w:rPr>
          <w:rFonts w:ascii="Times New Roman" w:hAnsi="Times New Roman" w:cs="Times New Roman"/>
          <w:sz w:val="26"/>
          <w:szCs w:val="26"/>
        </w:rPr>
        <w:t xml:space="preserve">  Except as may be required by Applicable Laws and Regulations, or as otherwise agreed to among the Parties, the Interconnection Facilities shall be constructed for the sole purpose of interconnecting the Large Generating Facility to the Transmission System and shall be used for no other purpose.</w:t>
      </w:r>
    </w:p>
    <w:p w:rsidR="00F3594B" w:rsidRPr="0072600F" w14:paraId="091F540F" w14:textId="77777777">
      <w:pPr>
        <w:rPr>
          <w:rFonts w:ascii="Times New Roman" w:hAnsi="Times New Roman" w:cs="Times New Roman"/>
          <w:sz w:val="26"/>
          <w:szCs w:val="26"/>
        </w:rPr>
      </w:pPr>
    </w:p>
    <w:p w:rsidR="00F3594B" w:rsidRPr="0072600F" w14:paraId="11E8756E" w14:textId="77777777">
      <w:pPr>
        <w:tabs>
          <w:tab w:val="left" w:pos="720"/>
          <w:tab w:val="left" w:pos="1440"/>
        </w:tabs>
        <w:ind w:left="1440" w:hanging="1440"/>
        <w:rPr>
          <w:rFonts w:ascii="Times New Roman" w:hAnsi="Times New Roman" w:cs="Times New Roman"/>
          <w:sz w:val="26"/>
          <w:szCs w:val="26"/>
        </w:rPr>
      </w:pPr>
      <w:r w:rsidRPr="0072600F">
        <w:rPr>
          <w:rFonts w:ascii="Times New Roman" w:hAnsi="Times New Roman" w:cs="Times New Roman"/>
          <w:b/>
          <w:bCs/>
          <w:sz w:val="26"/>
          <w:szCs w:val="26"/>
        </w:rPr>
        <w:tab/>
      </w:r>
      <w:bookmarkStart w:id="557" w:name="_1__123_"/>
      <w:bookmarkStart w:id="558" w:name="_Toc148703378"/>
      <w:bookmarkEnd w:id="557"/>
      <w:r w:rsidRPr="0072600F">
        <w:rPr>
          <w:rStyle w:val="Heading3Char"/>
          <w:rFonts w:eastAsiaTheme="minorHAnsi"/>
          <w:b/>
          <w:sz w:val="26"/>
        </w:rPr>
        <w:t>9.9.2</w:t>
      </w:r>
      <w:r w:rsidRPr="0072600F">
        <w:rPr>
          <w:rStyle w:val="Heading3Char"/>
          <w:rFonts w:eastAsiaTheme="minorHAnsi"/>
          <w:b/>
          <w:sz w:val="26"/>
        </w:rPr>
        <w:tab/>
        <w:t>Third Party Users.</w:t>
      </w:r>
      <w:bookmarkEnd w:id="558"/>
      <w:r w:rsidRPr="0072600F">
        <w:rPr>
          <w:rFonts w:ascii="Times New Roman" w:hAnsi="Times New Roman" w:cs="Times New Roman"/>
          <w:sz w:val="26"/>
          <w:szCs w:val="26"/>
        </w:rPr>
        <w:t xml:space="preserve">  If required by Applicable Laws and Regulations or if the Parties mutually agree, such agreement not to be unreasonably withheld, to allow one or more third parties to use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any part thereof, Interconnection Customer will be entitled to compensation for the capital expenses it incurred in connection with the Interconnection Facilities based upon the pro rata use of the Interconnection Facilities by Transmission Provider, all third party users, and Interconnection Customer, in accordance with Applicable Laws and Regulations or upon some other mutually-agreed upon methodology.  In addition, cost responsibility for ongoing costs, including operation and maintenance costs associated with the Interconnection Facilities, will be allocated between Interconnection Customer and any third party users based upon the pro rata use of the Interconnection Facilities by Transmission Provider, all third party users, and Interconnection Customer, in accordance with Applicable Laws and Regulations or upon some other mutually agreed upon methodology.  If the issue of such compensation or allocation cannot be resolved through such negotiations, it shall be submitted to FERC for resolution.</w:t>
      </w:r>
    </w:p>
    <w:p w:rsidR="00F3594B" w:rsidRPr="0072600F" w14:paraId="1DEDB65C" w14:textId="77777777">
      <w:pPr>
        <w:rPr>
          <w:rFonts w:ascii="Times New Roman" w:hAnsi="Times New Roman" w:cs="Times New Roman"/>
          <w:sz w:val="26"/>
          <w:szCs w:val="26"/>
        </w:rPr>
      </w:pPr>
    </w:p>
    <w:p w:rsidR="00F3594B" w:rsidRPr="0072600F" w14:paraId="4379A025" w14:textId="77777777">
      <w:pPr>
        <w:tabs>
          <w:tab w:val="left" w:pos="720"/>
        </w:tabs>
        <w:ind w:left="720" w:hanging="720"/>
        <w:rPr>
          <w:rFonts w:ascii="Times New Roman" w:hAnsi="Times New Roman" w:cs="Times New Roman"/>
          <w:sz w:val="26"/>
          <w:szCs w:val="26"/>
        </w:rPr>
      </w:pPr>
      <w:bookmarkStart w:id="559" w:name="_1__124_"/>
      <w:bookmarkStart w:id="560" w:name="_Toc148703379"/>
      <w:bookmarkEnd w:id="559"/>
      <w:r w:rsidRPr="0072600F">
        <w:rPr>
          <w:rStyle w:val="Heading2Char"/>
          <w:rFonts w:eastAsiaTheme="minorHAnsi"/>
          <w:b/>
          <w:sz w:val="26"/>
          <w:szCs w:val="26"/>
        </w:rPr>
        <w:t>9.10</w:t>
      </w:r>
      <w:r w:rsidRPr="0072600F">
        <w:rPr>
          <w:rStyle w:val="Heading2Char"/>
          <w:rFonts w:eastAsiaTheme="minorHAnsi"/>
          <w:b/>
          <w:sz w:val="26"/>
          <w:szCs w:val="26"/>
        </w:rPr>
        <w:tab/>
        <w:t>Disturbance Analysis Data Exchange.</w:t>
      </w:r>
      <w:bookmarkEnd w:id="560"/>
      <w:r w:rsidRPr="0072600F">
        <w:rPr>
          <w:rFonts w:ascii="Times New Roman" w:hAnsi="Times New Roman" w:cs="Times New Roman"/>
          <w:sz w:val="26"/>
          <w:szCs w:val="26"/>
        </w:rPr>
        <w:t xml:space="preserve">  The Parties will cooperate with one another in the analysis of disturbances to either the Large Generating Facility 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by gathering and providing access to any information relating to any disturbance, including information from oscillography, protective relay targets, breaker operations and sequence of events records, and any disturbance information required by Good Utility Practice.</w:t>
      </w:r>
    </w:p>
    <w:p w:rsidR="00F3594B" w:rsidRPr="0072600F" w14:paraId="2C01722D" w14:textId="77777777">
      <w:pPr>
        <w:tabs>
          <w:tab w:val="left" w:pos="720"/>
        </w:tabs>
        <w:ind w:left="720" w:hanging="720"/>
        <w:rPr>
          <w:rFonts w:ascii="Times New Roman" w:hAnsi="Times New Roman" w:cs="Times New Roman"/>
          <w:sz w:val="26"/>
          <w:szCs w:val="26"/>
        </w:rPr>
      </w:pPr>
    </w:p>
    <w:p w:rsidR="00F3594B" w:rsidRPr="0072600F" w14:paraId="4E85EDCE" w14:textId="77777777">
      <w:pPr>
        <w:tabs>
          <w:tab w:val="left" w:pos="720"/>
        </w:tabs>
        <w:ind w:left="720" w:hanging="720"/>
        <w:rPr>
          <w:rFonts w:ascii="Times New Roman" w:hAnsi="Times New Roman" w:cs="Times New Roman"/>
          <w:sz w:val="26"/>
          <w:szCs w:val="26"/>
        </w:rPr>
      </w:pPr>
    </w:p>
    <w:p w:rsidR="00F3594B" w:rsidRPr="0072600F" w:rsidP="003E3320" w14:paraId="0300E04A" w14:textId="77777777">
      <w:pPr>
        <w:pStyle w:val="Heading2"/>
        <w:rPr>
          <w:b/>
          <w:bCs/>
          <w:sz w:val="26"/>
          <w:szCs w:val="26"/>
        </w:rPr>
      </w:pPr>
      <w:r w:rsidRPr="0072600F">
        <w:rPr>
          <w:b/>
          <w:bCs/>
          <w:sz w:val="26"/>
          <w:szCs w:val="26"/>
        </w:rPr>
        <w:fldChar w:fldCharType="begin"/>
      </w:r>
      <w:r w:rsidRPr="0072600F">
        <w:rPr>
          <w:b/>
          <w:bCs/>
          <w:sz w:val="26"/>
          <w:szCs w:val="26"/>
        </w:rPr>
        <w:instrText xml:space="preserve"> SEQ CHAPTER \h \r 1</w:instrText>
      </w:r>
      <w:r w:rsidRPr="0072600F">
        <w:rPr>
          <w:b/>
          <w:bCs/>
          <w:sz w:val="26"/>
          <w:szCs w:val="26"/>
        </w:rPr>
        <w:fldChar w:fldCharType="separate"/>
      </w:r>
      <w:r w:rsidRPr="0072600F">
        <w:rPr>
          <w:b/>
          <w:bCs/>
          <w:sz w:val="26"/>
          <w:szCs w:val="26"/>
        </w:rPr>
        <w:fldChar w:fldCharType="end"/>
      </w:r>
      <w:bookmarkStart w:id="561" w:name="_Toc148703380"/>
      <w:r w:rsidRPr="0072600F">
        <w:rPr>
          <w:b/>
          <w:bCs/>
          <w:sz w:val="26"/>
          <w:szCs w:val="26"/>
        </w:rPr>
        <w:t>Article 10.</w:t>
      </w:r>
      <w:r w:rsidRPr="0072600F">
        <w:rPr>
          <w:b/>
          <w:bCs/>
          <w:sz w:val="26"/>
          <w:szCs w:val="26"/>
        </w:rPr>
        <w:tab/>
        <w:t>Maintenance</w:t>
      </w:r>
      <w:bookmarkEnd w:id="561"/>
    </w:p>
    <w:p w:rsidR="00F3594B" w:rsidRPr="0072600F" w14:paraId="53A9324D" w14:textId="77777777">
      <w:pPr>
        <w:rPr>
          <w:rFonts w:ascii="Times New Roman" w:hAnsi="Times New Roman" w:cs="Times New Roman"/>
          <w:sz w:val="26"/>
          <w:szCs w:val="26"/>
        </w:rPr>
      </w:pPr>
    </w:p>
    <w:p w:rsidR="00F3594B" w:rsidRPr="0072600F" w14:paraId="1CFB8F64" w14:textId="77777777">
      <w:pPr>
        <w:tabs>
          <w:tab w:val="left" w:pos="720"/>
        </w:tabs>
        <w:ind w:left="720" w:hanging="720"/>
        <w:rPr>
          <w:rFonts w:ascii="Times New Roman" w:hAnsi="Times New Roman" w:cs="Times New Roman"/>
          <w:sz w:val="26"/>
          <w:szCs w:val="26"/>
        </w:rPr>
      </w:pPr>
      <w:bookmarkStart w:id="562" w:name="_1__126_"/>
      <w:bookmarkStart w:id="563" w:name="_Toc148703381"/>
      <w:bookmarkEnd w:id="562"/>
      <w:r w:rsidRPr="0072600F">
        <w:rPr>
          <w:rStyle w:val="Heading2Char"/>
          <w:rFonts w:eastAsiaTheme="minorHAnsi"/>
          <w:b/>
          <w:sz w:val="26"/>
          <w:szCs w:val="26"/>
        </w:rPr>
        <w:t>10.1</w:t>
      </w:r>
      <w:r w:rsidRPr="0072600F">
        <w:rPr>
          <w:rStyle w:val="Heading2Char"/>
          <w:rFonts w:eastAsiaTheme="minorHAnsi"/>
          <w:b/>
          <w:sz w:val="26"/>
          <w:szCs w:val="26"/>
        </w:rPr>
        <w:tab/>
        <w:t>Transmission Provider Obligations.</w:t>
      </w:r>
      <w:bookmarkEnd w:id="563"/>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Transmission Provider shall maintain the Transmission System and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in a safe and reliable manner and in accordance with this LGIA.</w:t>
      </w:r>
    </w:p>
    <w:p w:rsidR="00F3594B" w:rsidRPr="0072600F" w14:paraId="79B8AA85" w14:textId="77777777">
      <w:pPr>
        <w:rPr>
          <w:rFonts w:ascii="Times New Roman" w:hAnsi="Times New Roman" w:cs="Times New Roman"/>
          <w:sz w:val="26"/>
          <w:szCs w:val="26"/>
        </w:rPr>
      </w:pPr>
    </w:p>
    <w:p w:rsidR="00F3594B" w:rsidRPr="0072600F" w14:paraId="3C729D30" w14:textId="77777777">
      <w:pPr>
        <w:tabs>
          <w:tab w:val="left" w:pos="720"/>
        </w:tabs>
        <w:ind w:left="720" w:hanging="720"/>
        <w:rPr>
          <w:rFonts w:ascii="Times New Roman" w:hAnsi="Times New Roman" w:cs="Times New Roman"/>
          <w:sz w:val="26"/>
          <w:szCs w:val="26"/>
        </w:rPr>
      </w:pPr>
      <w:bookmarkStart w:id="564" w:name="_1__127_"/>
      <w:bookmarkStart w:id="565" w:name="_Toc148703382"/>
      <w:bookmarkEnd w:id="564"/>
      <w:r w:rsidRPr="0072600F">
        <w:rPr>
          <w:rStyle w:val="Heading2Char"/>
          <w:rFonts w:eastAsiaTheme="minorHAnsi"/>
          <w:b/>
          <w:sz w:val="26"/>
          <w:szCs w:val="26"/>
        </w:rPr>
        <w:t>10.2</w:t>
      </w:r>
      <w:r w:rsidRPr="0072600F">
        <w:rPr>
          <w:rStyle w:val="Heading2Char"/>
          <w:rFonts w:eastAsiaTheme="minorHAnsi"/>
          <w:b/>
          <w:sz w:val="26"/>
          <w:szCs w:val="26"/>
        </w:rPr>
        <w:tab/>
        <w:t>Interconnection Customer Obligations.</w:t>
      </w:r>
      <w:bookmarkEnd w:id="565"/>
      <w:r w:rsidRPr="0072600F">
        <w:rPr>
          <w:rFonts w:ascii="Times New Roman" w:hAnsi="Times New Roman" w:cs="Times New Roman"/>
          <w:sz w:val="26"/>
          <w:szCs w:val="26"/>
        </w:rPr>
        <w:t xml:space="preserve">  Interconnection Customer shall maintain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in a safe and reliable manner and in accordance with this LGIA.</w:t>
      </w:r>
    </w:p>
    <w:p w:rsidR="00F3594B" w:rsidRPr="0072600F" w14:paraId="1405116F" w14:textId="77777777">
      <w:pPr>
        <w:rPr>
          <w:rFonts w:ascii="Times New Roman" w:hAnsi="Times New Roman" w:cs="Times New Roman"/>
          <w:sz w:val="26"/>
          <w:szCs w:val="26"/>
        </w:rPr>
      </w:pPr>
    </w:p>
    <w:p w:rsidR="00F3594B" w:rsidRPr="0072600F" w14:paraId="217A7E62" w14:textId="77777777">
      <w:pPr>
        <w:tabs>
          <w:tab w:val="left" w:pos="720"/>
        </w:tabs>
        <w:ind w:left="720" w:hanging="720"/>
        <w:rPr>
          <w:rFonts w:ascii="Times New Roman" w:hAnsi="Times New Roman" w:cs="Times New Roman"/>
          <w:sz w:val="26"/>
          <w:szCs w:val="26"/>
        </w:rPr>
      </w:pPr>
      <w:bookmarkStart w:id="566" w:name="_Toc148703383"/>
      <w:r w:rsidRPr="0072600F">
        <w:rPr>
          <w:rStyle w:val="Heading2Char"/>
          <w:rFonts w:eastAsiaTheme="minorHAnsi"/>
          <w:b/>
          <w:sz w:val="26"/>
          <w:szCs w:val="26"/>
        </w:rPr>
        <w:t>10.3</w:t>
      </w:r>
      <w:r w:rsidRPr="0072600F">
        <w:rPr>
          <w:rStyle w:val="Heading2Char"/>
          <w:rFonts w:eastAsiaTheme="minorHAnsi"/>
          <w:b/>
          <w:sz w:val="26"/>
          <w:szCs w:val="26"/>
        </w:rPr>
        <w:tab/>
        <w:t>Coordination.</w:t>
      </w:r>
      <w:bookmarkEnd w:id="566"/>
      <w:r w:rsidRPr="0072600F">
        <w:rPr>
          <w:rFonts w:ascii="Times New Roman" w:hAnsi="Times New Roman" w:cs="Times New Roman"/>
          <w:sz w:val="26"/>
          <w:szCs w:val="26"/>
        </w:rPr>
        <w:t xml:space="preserve">  The Parties shall confer regularly to coordinate the planning, scheduling and performance of preventive and corrective maintenance on the Large Generating Facility and the Interconnection Facilities.</w:t>
      </w:r>
    </w:p>
    <w:p w:rsidR="00F3594B" w:rsidRPr="0072600F" w14:paraId="734F2BC6" w14:textId="77777777">
      <w:pPr>
        <w:rPr>
          <w:rFonts w:ascii="Times New Roman" w:hAnsi="Times New Roman" w:cs="Times New Roman"/>
          <w:sz w:val="26"/>
          <w:szCs w:val="26"/>
        </w:rPr>
      </w:pPr>
    </w:p>
    <w:p w:rsidR="00F3594B" w:rsidRPr="0072600F" w14:paraId="3F4F3148" w14:textId="77777777">
      <w:pPr>
        <w:tabs>
          <w:tab w:val="left" w:pos="720"/>
        </w:tabs>
        <w:ind w:left="720" w:hanging="720"/>
        <w:rPr>
          <w:rFonts w:ascii="Times New Roman" w:hAnsi="Times New Roman" w:cs="Times New Roman"/>
          <w:sz w:val="26"/>
          <w:szCs w:val="26"/>
        </w:rPr>
      </w:pPr>
      <w:bookmarkStart w:id="567" w:name="_Toc148703384"/>
      <w:r w:rsidRPr="0072600F">
        <w:rPr>
          <w:rStyle w:val="Heading2Char"/>
          <w:rFonts w:eastAsiaTheme="minorHAnsi"/>
          <w:b/>
          <w:sz w:val="26"/>
          <w:szCs w:val="26"/>
        </w:rPr>
        <w:t>10.4</w:t>
      </w:r>
      <w:r w:rsidRPr="0072600F">
        <w:rPr>
          <w:rStyle w:val="Heading2Char"/>
          <w:rFonts w:eastAsiaTheme="minorHAnsi"/>
          <w:b/>
          <w:sz w:val="26"/>
          <w:szCs w:val="26"/>
        </w:rPr>
        <w:tab/>
        <w:t>Secondary Systems.</w:t>
      </w:r>
      <w:bookmarkEnd w:id="567"/>
      <w:r w:rsidRPr="0072600F">
        <w:rPr>
          <w:rFonts w:ascii="Times New Roman" w:hAnsi="Times New Roman" w:cs="Times New Roman"/>
          <w:sz w:val="26"/>
          <w:szCs w:val="26"/>
        </w:rPr>
        <w:t xml:space="preserve">  Each Party shall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facilities and equipment which may reasonably be expected to impact the other Party.  Each Party shall provide advance notice to the other Party before undertaking any work on such circuits, especially on electrical circuits involving circuit breaker trip and close contacts, current transformers, or potential transformers.</w:t>
      </w:r>
    </w:p>
    <w:p w:rsidR="00F3594B" w:rsidRPr="0072600F" w14:paraId="5C2275CA" w14:textId="77777777">
      <w:pPr>
        <w:rPr>
          <w:rFonts w:ascii="Times New Roman" w:hAnsi="Times New Roman" w:cs="Times New Roman"/>
          <w:sz w:val="26"/>
          <w:szCs w:val="26"/>
        </w:rPr>
      </w:pPr>
    </w:p>
    <w:p w:rsidR="00F3594B" w:rsidRPr="0072600F" w14:paraId="310DB008" w14:textId="77777777">
      <w:pPr>
        <w:tabs>
          <w:tab w:val="left" w:pos="720"/>
        </w:tabs>
        <w:ind w:left="720" w:hanging="720"/>
        <w:rPr>
          <w:rFonts w:ascii="Times New Roman" w:hAnsi="Times New Roman" w:cs="Times New Roman"/>
          <w:sz w:val="26"/>
          <w:szCs w:val="26"/>
        </w:rPr>
      </w:pPr>
      <w:bookmarkStart w:id="568" w:name="_Toc148703385"/>
      <w:r w:rsidRPr="0072600F">
        <w:rPr>
          <w:rStyle w:val="Heading2Char"/>
          <w:rFonts w:eastAsiaTheme="minorHAnsi"/>
          <w:b/>
          <w:sz w:val="26"/>
          <w:szCs w:val="26"/>
        </w:rPr>
        <w:t>10.5</w:t>
      </w:r>
      <w:r w:rsidRPr="0072600F">
        <w:rPr>
          <w:rStyle w:val="Heading2Char"/>
          <w:rFonts w:eastAsiaTheme="minorHAnsi"/>
          <w:b/>
          <w:sz w:val="26"/>
          <w:szCs w:val="26"/>
        </w:rPr>
        <w:tab/>
        <w:t>Operating and Maintenance Expenses.</w:t>
      </w:r>
      <w:bookmarkEnd w:id="568"/>
      <w:r w:rsidRPr="0072600F">
        <w:rPr>
          <w:rFonts w:ascii="Times New Roman" w:hAnsi="Times New Roman" w:cs="Times New Roman"/>
          <w:sz w:val="26"/>
          <w:szCs w:val="26"/>
        </w:rPr>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Interconnection Customer shall be responsible for all reasonable expenses including overheads, associated with: </w:t>
      </w:r>
      <w:r w:rsidRPr="0072600F" w:rsidR="00A13B72">
        <w:rPr>
          <w:rFonts w:ascii="Times New Roman" w:hAnsi="Times New Roman" w:cs="Times New Roman"/>
          <w:sz w:val="26"/>
          <w:szCs w:val="26"/>
        </w:rPr>
        <w:t xml:space="preserve"> </w:t>
      </w:r>
      <w:r w:rsidRPr="0072600F">
        <w:rPr>
          <w:rFonts w:ascii="Times New Roman" w:hAnsi="Times New Roman" w:cs="Times New Roman"/>
          <w:sz w:val="26"/>
          <w:szCs w:val="26"/>
        </w:rPr>
        <w:t>(1) owning, operating, maintaining, repairing, and replacing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and (2) operation, maintenance, repair and replacement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w:t>
      </w:r>
    </w:p>
    <w:p w:rsidR="00F3594B" w:rsidRPr="0072600F" w14:paraId="75270117" w14:textId="77777777">
      <w:pPr>
        <w:rPr>
          <w:rFonts w:ascii="Times New Roman" w:hAnsi="Times New Roman" w:cs="Times New Roman"/>
          <w:sz w:val="26"/>
          <w:szCs w:val="26"/>
        </w:rPr>
      </w:pPr>
    </w:p>
    <w:p w:rsidR="00F3594B" w:rsidRPr="0072600F" w14:paraId="7461B58E" w14:textId="77777777">
      <w:pPr>
        <w:rPr>
          <w:rFonts w:ascii="Times New Roman" w:hAnsi="Times New Roman" w:cs="Times New Roman"/>
          <w:sz w:val="26"/>
          <w:szCs w:val="26"/>
        </w:rPr>
      </w:pPr>
    </w:p>
    <w:p w:rsidR="00F3594B" w:rsidRPr="0072600F" w:rsidP="003E3320" w14:paraId="637EFF7F" w14:textId="77777777">
      <w:pPr>
        <w:pStyle w:val="Heading2"/>
        <w:rPr>
          <w:b/>
          <w:bCs/>
          <w:sz w:val="26"/>
          <w:szCs w:val="26"/>
        </w:rPr>
      </w:pPr>
      <w:bookmarkStart w:id="569" w:name="_Toc148703386"/>
      <w:r w:rsidRPr="0072600F">
        <w:rPr>
          <w:b/>
          <w:bCs/>
          <w:sz w:val="26"/>
          <w:szCs w:val="26"/>
        </w:rPr>
        <w:t>Article 11.</w:t>
      </w:r>
      <w:r w:rsidRPr="0072600F">
        <w:rPr>
          <w:b/>
          <w:bCs/>
          <w:sz w:val="26"/>
          <w:szCs w:val="26"/>
        </w:rPr>
        <w:tab/>
        <w:t>Performance Obligation</w:t>
      </w:r>
      <w:bookmarkEnd w:id="569"/>
    </w:p>
    <w:p w:rsidR="00F3594B" w:rsidRPr="0072600F" w14:paraId="1A1C8F2B" w14:textId="77777777">
      <w:pPr>
        <w:rPr>
          <w:rFonts w:ascii="Times New Roman" w:hAnsi="Times New Roman" w:cs="Times New Roman"/>
          <w:sz w:val="26"/>
          <w:szCs w:val="26"/>
        </w:rPr>
      </w:pPr>
    </w:p>
    <w:p w:rsidR="00F3594B" w:rsidRPr="0072600F" w14:paraId="54AD2AE7" w14:textId="77777777">
      <w:pPr>
        <w:ind w:left="720" w:hanging="720"/>
        <w:rPr>
          <w:rFonts w:ascii="Times New Roman" w:hAnsi="Times New Roman" w:cs="Times New Roman"/>
          <w:sz w:val="26"/>
          <w:szCs w:val="26"/>
        </w:rPr>
      </w:pPr>
      <w:bookmarkStart w:id="570" w:name="_Toc148703387"/>
      <w:r w:rsidRPr="0072600F">
        <w:rPr>
          <w:rStyle w:val="Heading2Char"/>
          <w:rFonts w:eastAsiaTheme="minorHAnsi"/>
          <w:b/>
          <w:sz w:val="26"/>
          <w:szCs w:val="26"/>
        </w:rPr>
        <w:t>11.1</w:t>
      </w:r>
      <w:r w:rsidRPr="0072600F">
        <w:rPr>
          <w:rStyle w:val="Heading2Char"/>
          <w:rFonts w:eastAsiaTheme="minorHAnsi"/>
          <w:b/>
          <w:sz w:val="26"/>
          <w:szCs w:val="26"/>
        </w:rPr>
        <w:tab/>
        <w:t>Interconnection Customer Interconnection Facilities.</w:t>
      </w:r>
      <w:bookmarkEnd w:id="570"/>
      <w:r w:rsidRPr="0072600F">
        <w:rPr>
          <w:rFonts w:ascii="Times New Roman" w:hAnsi="Times New Roman" w:cs="Times New Roman"/>
          <w:sz w:val="26"/>
          <w:szCs w:val="26"/>
        </w:rPr>
        <w:t xml:space="preserve">  Interconnection Customer shall design, procure, construct, install, own and/or control Interconnection Customer Interconnection Facilities described in Appendix A, Interconnection Facilities, Network Upgrades and Distribution Upgrades, at its sole expense.</w:t>
      </w:r>
    </w:p>
    <w:p w:rsidR="00F3594B" w:rsidRPr="0072600F" w14:paraId="1253C84C" w14:textId="77777777">
      <w:pPr>
        <w:rPr>
          <w:rFonts w:ascii="Times New Roman" w:hAnsi="Times New Roman" w:cs="Times New Roman"/>
          <w:sz w:val="26"/>
          <w:szCs w:val="26"/>
        </w:rPr>
      </w:pPr>
    </w:p>
    <w:p w:rsidR="00F3594B" w:rsidRPr="0072600F" w14:paraId="3337C00F" w14:textId="77777777">
      <w:pPr>
        <w:ind w:left="720" w:hanging="720"/>
        <w:rPr>
          <w:rFonts w:ascii="Times New Roman" w:hAnsi="Times New Roman" w:cs="Times New Roman"/>
          <w:sz w:val="26"/>
          <w:szCs w:val="26"/>
        </w:rPr>
      </w:pPr>
      <w:bookmarkStart w:id="571" w:name="_Toc148703388"/>
      <w:r w:rsidRPr="0072600F">
        <w:rPr>
          <w:rStyle w:val="Heading2Char"/>
          <w:rFonts w:eastAsiaTheme="minorHAnsi"/>
          <w:b/>
          <w:sz w:val="26"/>
          <w:szCs w:val="26"/>
        </w:rPr>
        <w:t>11.2</w:t>
      </w:r>
      <w:r w:rsidRPr="0072600F">
        <w:rPr>
          <w:rStyle w:val="Heading2Char"/>
          <w:rFonts w:eastAsiaTheme="minorHAnsi"/>
          <w:b/>
          <w:sz w:val="26"/>
          <w:szCs w:val="26"/>
        </w:rPr>
        <w:tab/>
      </w:r>
      <w:r w:rsidRPr="0072600F" w:rsidR="00BD11B3">
        <w:rPr>
          <w:rStyle w:val="Heading2Char"/>
          <w:rFonts w:eastAsiaTheme="minorHAnsi"/>
          <w:b/>
          <w:sz w:val="26"/>
          <w:szCs w:val="26"/>
        </w:rPr>
        <w:t>Transmission Provider’s</w:t>
      </w:r>
      <w:r w:rsidRPr="0072600F">
        <w:rPr>
          <w:rStyle w:val="Heading2Char"/>
          <w:rFonts w:eastAsiaTheme="minorHAnsi"/>
          <w:b/>
          <w:sz w:val="26"/>
          <w:szCs w:val="26"/>
        </w:rPr>
        <w:t xml:space="preserve"> Interconnection Facilities.</w:t>
      </w:r>
      <w:bookmarkEnd w:id="571"/>
      <w:r w:rsidRPr="0072600F">
        <w:rPr>
          <w:rFonts w:ascii="Times New Roman" w:hAnsi="Times New Roman" w:cs="Times New Roman"/>
          <w:sz w:val="26"/>
          <w:szCs w:val="26"/>
        </w:rPr>
        <w:t xml:space="preserve">  Transmission Provider or Transmission Owner shall design, procure, construct, install, own and/or control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described in Appendix A, Interconnection Facilities, Network Upgrades and Distribution Upgrades, at the sole expense of </w:t>
      </w:r>
      <w:r w:rsidRPr="0072600F" w:rsidR="002721B3">
        <w:rPr>
          <w:rFonts w:ascii="Times New Roman" w:hAnsi="Times New Roman" w:cs="Times New Roman"/>
          <w:sz w:val="26"/>
          <w:szCs w:val="26"/>
        </w:rPr>
        <w:t>[</w:t>
      </w:r>
      <w:r w:rsidRPr="0072600F">
        <w:rPr>
          <w:rFonts w:ascii="Times New Roman" w:hAnsi="Times New Roman" w:cs="Times New Roman"/>
          <w:sz w:val="26"/>
          <w:szCs w:val="26"/>
        </w:rPr>
        <w:t>the</w:t>
      </w:r>
      <w:r w:rsidRPr="0072600F" w:rsidR="002721B3">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F3594B" w:rsidRPr="0072600F" w14:paraId="7CCFDEFB" w14:textId="77777777">
      <w:pPr>
        <w:rPr>
          <w:rFonts w:ascii="Times New Roman" w:hAnsi="Times New Roman" w:cs="Times New Roman"/>
          <w:sz w:val="26"/>
          <w:szCs w:val="26"/>
        </w:rPr>
      </w:pPr>
    </w:p>
    <w:p w:rsidR="00F3594B" w:rsidRPr="0072600F" w14:paraId="4DAA33BA" w14:textId="77777777">
      <w:pPr>
        <w:ind w:left="720" w:hanging="720"/>
        <w:rPr>
          <w:rFonts w:ascii="Times New Roman" w:hAnsi="Times New Roman" w:cs="Times New Roman"/>
          <w:sz w:val="26"/>
          <w:szCs w:val="26"/>
        </w:rPr>
      </w:pPr>
      <w:bookmarkStart w:id="572" w:name="_Toc148703389"/>
      <w:r w:rsidRPr="0072600F">
        <w:rPr>
          <w:rStyle w:val="Heading2Char"/>
          <w:rFonts w:eastAsiaTheme="minorHAnsi"/>
          <w:b/>
          <w:sz w:val="26"/>
          <w:szCs w:val="26"/>
        </w:rPr>
        <w:t>11.3</w:t>
      </w:r>
      <w:r w:rsidRPr="0072600F">
        <w:rPr>
          <w:rStyle w:val="Heading2Char"/>
          <w:rFonts w:eastAsiaTheme="minorHAnsi"/>
          <w:b/>
          <w:sz w:val="26"/>
          <w:szCs w:val="26"/>
        </w:rPr>
        <w:tab/>
        <w:t>Network Upgrades and Distribution Upgrades.</w:t>
      </w:r>
      <w:bookmarkEnd w:id="572"/>
      <w:r w:rsidRPr="0072600F">
        <w:rPr>
          <w:rFonts w:ascii="Times New Roman" w:hAnsi="Times New Roman" w:cs="Times New Roman"/>
          <w:sz w:val="26"/>
          <w:szCs w:val="26"/>
        </w:rPr>
        <w:t xml:space="preserve">  Transmission Provider or Transmission Owner shall design, procure, construct, install, and own the Network Upgrades and Distribution Upgrades described in Appendix A, Interconnection Facilities, Network Upgrades and Distribution Upgrades.  Interconnection Customer shall be responsible for all costs related to Distribution Upgrades.  Unless Transmission Provider or Transmission Owner elects to fund the capital for the Network Upgrades, they shall be solely funded by Interconnection Customer.</w:t>
      </w:r>
    </w:p>
    <w:p w:rsidR="00F3594B" w:rsidRPr="0072600F" w14:paraId="158F39D2" w14:textId="77777777">
      <w:pPr>
        <w:rPr>
          <w:rFonts w:ascii="Times New Roman" w:hAnsi="Times New Roman" w:cs="Times New Roman"/>
          <w:b/>
          <w:bCs/>
          <w:sz w:val="26"/>
          <w:szCs w:val="26"/>
        </w:rPr>
      </w:pPr>
    </w:p>
    <w:p w:rsidR="00F3594B" w:rsidRPr="0072600F" w:rsidP="003E3320" w14:paraId="32A9D933" w14:textId="77777777">
      <w:pPr>
        <w:pStyle w:val="FERCNopara"/>
        <w:ind w:firstLine="0"/>
        <w:rPr>
          <w:b/>
          <w:sz w:val="26"/>
          <w:szCs w:val="26"/>
        </w:rPr>
      </w:pPr>
      <w:bookmarkStart w:id="573" w:name="_Toc148703390"/>
      <w:r w:rsidRPr="0072600F">
        <w:rPr>
          <w:b/>
          <w:sz w:val="26"/>
          <w:szCs w:val="26"/>
        </w:rPr>
        <w:t>11.4</w:t>
      </w:r>
      <w:r w:rsidRPr="0072600F">
        <w:rPr>
          <w:b/>
          <w:sz w:val="26"/>
          <w:szCs w:val="26"/>
        </w:rPr>
        <w:tab/>
        <w:t>Transmission Credits.</w:t>
      </w:r>
      <w:bookmarkEnd w:id="573"/>
    </w:p>
    <w:p w:rsidR="00F3594B" w:rsidRPr="0072600F" w14:paraId="38FE3DF0" w14:textId="77777777">
      <w:pPr>
        <w:rPr>
          <w:rFonts w:ascii="Times New Roman" w:hAnsi="Times New Roman" w:cs="Times New Roman"/>
          <w:sz w:val="26"/>
          <w:szCs w:val="26"/>
        </w:rPr>
      </w:pPr>
    </w:p>
    <w:p w:rsidR="00F3594B" w:rsidRPr="0072600F" w14:paraId="0C9AF3D0" w14:textId="77777777">
      <w:pPr>
        <w:ind w:left="2160" w:hanging="1440"/>
        <w:rPr>
          <w:rFonts w:ascii="Times New Roman" w:hAnsi="Times New Roman" w:cs="Times New Roman"/>
          <w:sz w:val="26"/>
          <w:szCs w:val="26"/>
        </w:rPr>
      </w:pPr>
      <w:bookmarkStart w:id="574" w:name="_Toc148703391"/>
      <w:r w:rsidRPr="0072600F">
        <w:rPr>
          <w:rStyle w:val="Heading3Char"/>
          <w:rFonts w:eastAsiaTheme="minorHAnsi"/>
          <w:b/>
          <w:sz w:val="26"/>
        </w:rPr>
        <w:t>11.4.1</w:t>
      </w:r>
      <w:r w:rsidRPr="0072600F">
        <w:rPr>
          <w:rStyle w:val="Heading3Char"/>
          <w:rFonts w:eastAsiaTheme="minorHAnsi"/>
          <w:b/>
          <w:sz w:val="26"/>
        </w:rPr>
        <w:tab/>
        <w:t>Repayment of Amounts Advanced for Network Upgrades</w:t>
      </w:r>
      <w:r w:rsidRPr="0072600F">
        <w:rPr>
          <w:rStyle w:val="Heading3Char"/>
          <w:rFonts w:eastAsiaTheme="minorHAnsi"/>
          <w:sz w:val="26"/>
        </w:rPr>
        <w:t>.</w:t>
      </w:r>
      <w:bookmarkEnd w:id="574"/>
      <w:r w:rsidRPr="0072600F">
        <w:rPr>
          <w:rFonts w:ascii="Times New Roman" w:hAnsi="Times New Roman" w:cs="Times New Roman"/>
          <w:sz w:val="26"/>
          <w:szCs w:val="26"/>
        </w:rPr>
        <w:t xml:space="preserve">  Interconnection Customer shall be entitled to a cash repayment, equal to the total amount paid to Transmission Provider and Affected System Operator, if any, for the Network Upgrades, including any tax gross-up or other tax-related payments associated with Network Upgrades, and not refunded to Interconnection Customer pursuant to Article 5.17.8 or otherwise, to be paid to Interconnection Customer on a dollar-for-dollar basis for the non-usage sensitive portion of transmission charges, as payments are made under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and Affected System</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Tariff for transmission services with respect to the Large Generating Facility.  Any  repayment shall include interest calculated in accordance with the methodology set forth in FERC’s regulations at 18 C.F.R. § 35.19a(a)(2)(iii) from the date of any payment for Network Upgrades through the date on which </w:t>
      </w:r>
      <w:r w:rsidRPr="0072600F" w:rsidR="00311526">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152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receives a  repayment of such payment pursuant to this subparagraph.  Interconnection Customer may assign such repayment rights to any person.</w:t>
      </w:r>
    </w:p>
    <w:p w:rsidR="00F3594B" w:rsidRPr="0072600F" w14:paraId="2F881AF3" w14:textId="77777777">
      <w:pPr>
        <w:rPr>
          <w:rFonts w:ascii="Times New Roman" w:hAnsi="Times New Roman" w:cs="Times New Roman"/>
          <w:sz w:val="26"/>
          <w:szCs w:val="26"/>
        </w:rPr>
      </w:pPr>
    </w:p>
    <w:p w:rsidR="00F3594B" w:rsidRPr="0072600F" w14:paraId="137EB273" w14:textId="77777777">
      <w:pPr>
        <w:ind w:left="2160"/>
        <w:rPr>
          <w:rFonts w:ascii="Times New Roman" w:hAnsi="Times New Roman" w:cs="Times New Roman"/>
          <w:sz w:val="26"/>
          <w:szCs w:val="26"/>
        </w:rPr>
      </w:pPr>
      <w:r w:rsidRPr="0072600F">
        <w:rPr>
          <w:rFonts w:ascii="Times New Roman" w:hAnsi="Times New Roman" w:cs="Times New Roman"/>
          <w:sz w:val="26"/>
          <w:szCs w:val="26"/>
        </w:rPr>
        <w:t>Notwithstanding the foregoing, Interconnection Customer, Transmission Provider, and Affected System Operator may adopt any alternative payment schedule that is mutually agreeable so long as Transmission Provider and Affected System Operator take one of the following actions no later than five years from the Commercial Operation Date:  (1) return to Interconnection Customer any amounts advanced for Network Upgrades not previously repaid, or (2) declare in writing that Transmission Provider or Affected System Operator will continue to provide payments to Interconnection Customer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p>
    <w:p w:rsidR="00F3594B" w:rsidRPr="0072600F" w14:paraId="7E9094E7" w14:textId="77777777">
      <w:pPr>
        <w:rPr>
          <w:rFonts w:ascii="Times New Roman" w:hAnsi="Times New Roman" w:cs="Times New Roman"/>
          <w:sz w:val="26"/>
          <w:szCs w:val="26"/>
        </w:rPr>
      </w:pPr>
    </w:p>
    <w:p w:rsidR="00F3594B" w:rsidRPr="0072600F" w14:paraId="0BAD6BCA" w14:textId="77777777">
      <w:pPr>
        <w:ind w:left="2160"/>
        <w:rPr>
          <w:rFonts w:ascii="Times New Roman" w:hAnsi="Times New Roman" w:cs="Times New Roman"/>
          <w:sz w:val="26"/>
          <w:szCs w:val="26"/>
        </w:rPr>
      </w:pPr>
      <w:r w:rsidRPr="0072600F">
        <w:rPr>
          <w:rFonts w:ascii="Times New Roman" w:hAnsi="Times New Roman" w:cs="Times New Roman"/>
          <w:sz w:val="26"/>
          <w:szCs w:val="26"/>
        </w:rPr>
        <w:t xml:space="preserve">If the Large Generating Facility fails to achieve commercial operation, but it or another Generating Facility is later constructed and makes use of the Network Upgrades, Transmission Provider and Affected System Operator shall at that time reimburse Interconnection Customer for the amounts advanced for the Network Upgrades.  Before any such reimbursement can occur, </w:t>
      </w:r>
      <w:r w:rsidRPr="0072600F" w:rsidR="002721B3">
        <w:rPr>
          <w:rFonts w:ascii="Times New Roman" w:hAnsi="Times New Roman" w:cs="Times New Roman"/>
          <w:sz w:val="26"/>
          <w:szCs w:val="26"/>
        </w:rPr>
        <w:t>[</w:t>
      </w:r>
      <w:r w:rsidRPr="0072600F">
        <w:rPr>
          <w:rFonts w:ascii="Times New Roman" w:hAnsi="Times New Roman" w:cs="Times New Roman"/>
          <w:sz w:val="26"/>
          <w:szCs w:val="26"/>
        </w:rPr>
        <w:t>the</w:t>
      </w:r>
      <w:r w:rsidRPr="0072600F" w:rsidR="002721B3">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or the entity that ultimately constructs the Generating Facility, if different, is responsible for identifying the entity to which reimbursement must be made.</w:t>
      </w:r>
    </w:p>
    <w:p w:rsidR="00F3594B" w:rsidRPr="0072600F" w14:paraId="170CE041" w14:textId="77777777">
      <w:pPr>
        <w:rPr>
          <w:rFonts w:ascii="Times New Roman" w:hAnsi="Times New Roman" w:cs="Times New Roman"/>
          <w:sz w:val="26"/>
          <w:szCs w:val="26"/>
        </w:rPr>
      </w:pPr>
    </w:p>
    <w:p w:rsidR="00F3594B" w:rsidRPr="0072600F" w14:paraId="6403D61B" w14:textId="77777777">
      <w:pPr>
        <w:ind w:left="2160" w:hanging="1440"/>
        <w:rPr>
          <w:rFonts w:ascii="Times New Roman" w:hAnsi="Times New Roman" w:cs="Times New Roman"/>
          <w:b/>
          <w:bCs/>
          <w:sz w:val="26"/>
          <w:szCs w:val="26"/>
        </w:rPr>
      </w:pPr>
    </w:p>
    <w:p w:rsidR="00F3594B" w:rsidRPr="0072600F" w14:paraId="0239C85E" w14:textId="77777777">
      <w:pPr>
        <w:ind w:left="2160" w:hanging="1440"/>
        <w:rPr>
          <w:rFonts w:ascii="Times New Roman" w:hAnsi="Times New Roman" w:cs="Times New Roman"/>
          <w:sz w:val="26"/>
          <w:szCs w:val="26"/>
        </w:rPr>
      </w:pPr>
      <w:bookmarkStart w:id="575" w:name="_Toc148703392"/>
      <w:r w:rsidRPr="0072600F">
        <w:rPr>
          <w:rStyle w:val="Heading3Char"/>
          <w:rFonts w:eastAsiaTheme="minorHAnsi"/>
          <w:b/>
          <w:sz w:val="26"/>
        </w:rPr>
        <w:t>11.4.2</w:t>
      </w:r>
      <w:r w:rsidRPr="0072600F">
        <w:rPr>
          <w:rStyle w:val="Heading3Char"/>
          <w:rFonts w:eastAsiaTheme="minorHAnsi"/>
          <w:b/>
          <w:sz w:val="26"/>
        </w:rPr>
        <w:tab/>
        <w:t>Special Provisions for Affected Systems.</w:t>
      </w:r>
      <w:bookmarkEnd w:id="575"/>
      <w:r w:rsidRPr="0072600F">
        <w:rPr>
          <w:rFonts w:ascii="Times New Roman" w:hAnsi="Times New Roman" w:cs="Times New Roman"/>
          <w:sz w:val="26"/>
          <w:szCs w:val="26"/>
        </w:rPr>
        <w:t xml:space="preserve">  Unless Transmission Provider provides, under the LGIA, for the repayment of amounts advanced to Affected System Operator for Network Upgrades, Interconnection Customer and Affected System Operator shall enter into an agreement that provides for such repayment.  The agreement shall specify the terms governing payments to be made by Interconnection Customer to the Affected System Operator as well as the repayment by the Affected System Operator.</w:t>
      </w:r>
    </w:p>
    <w:p w:rsidR="00F3594B" w:rsidRPr="0072600F" w14:paraId="7DC8699A" w14:textId="77777777">
      <w:pPr>
        <w:rPr>
          <w:rFonts w:ascii="Times New Roman" w:hAnsi="Times New Roman" w:cs="Times New Roman"/>
          <w:sz w:val="26"/>
          <w:szCs w:val="26"/>
        </w:rPr>
      </w:pPr>
    </w:p>
    <w:p w:rsidR="00F3594B" w:rsidRPr="0072600F" w14:paraId="0C8846A4" w14:textId="77777777">
      <w:pPr>
        <w:ind w:left="2160" w:hanging="1440"/>
        <w:rPr>
          <w:rFonts w:ascii="Times New Roman" w:hAnsi="Times New Roman" w:cs="Times New Roman"/>
          <w:sz w:val="26"/>
          <w:szCs w:val="26"/>
        </w:rPr>
      </w:pPr>
      <w:r w:rsidRPr="0072600F">
        <w:rPr>
          <w:rFonts w:ascii="Times New Roman" w:hAnsi="Times New Roman" w:cs="Times New Roman"/>
          <w:b/>
          <w:bCs/>
          <w:sz w:val="26"/>
          <w:szCs w:val="26"/>
        </w:rPr>
        <w:t>11.4.3</w:t>
      </w:r>
      <w:r w:rsidRPr="0072600F">
        <w:rPr>
          <w:rFonts w:ascii="Times New Roman" w:hAnsi="Times New Roman" w:cs="Times New Roman"/>
          <w:sz w:val="26"/>
          <w:szCs w:val="26"/>
        </w:rPr>
        <w:tab/>
        <w:t>Notwithstanding any other provision of this LGIA, nothing herein shall be construed as relinquishing or foreclosing any rights, including but not limited to firm transmission rights, capacity rights, transmission congestion rights, or transmission credits, that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Large Generating Facility.</w:t>
      </w:r>
    </w:p>
    <w:p w:rsidR="00F3594B" w:rsidRPr="0072600F" w14:paraId="630AB833" w14:textId="77777777">
      <w:pPr>
        <w:rPr>
          <w:rFonts w:ascii="Times New Roman" w:hAnsi="Times New Roman" w:cs="Times New Roman"/>
          <w:sz w:val="26"/>
          <w:szCs w:val="26"/>
        </w:rPr>
      </w:pPr>
    </w:p>
    <w:p w:rsidR="00F3594B" w:rsidRPr="0072600F" w14:paraId="2D496654" w14:textId="77777777">
      <w:pPr>
        <w:ind w:left="720" w:hanging="720"/>
        <w:rPr>
          <w:rFonts w:ascii="Times New Roman" w:hAnsi="Times New Roman" w:cs="Times New Roman"/>
          <w:sz w:val="26"/>
          <w:szCs w:val="26"/>
        </w:rPr>
      </w:pPr>
      <w:bookmarkStart w:id="576" w:name="_Toc148703393"/>
      <w:r w:rsidRPr="0072600F">
        <w:rPr>
          <w:rStyle w:val="Heading2Char"/>
          <w:rFonts w:eastAsiaTheme="minorHAnsi"/>
          <w:b/>
          <w:sz w:val="26"/>
          <w:szCs w:val="26"/>
        </w:rPr>
        <w:t>11.5</w:t>
      </w:r>
      <w:r w:rsidRPr="0072600F">
        <w:rPr>
          <w:rStyle w:val="Heading2Char"/>
          <w:rFonts w:eastAsiaTheme="minorHAnsi"/>
          <w:b/>
          <w:sz w:val="26"/>
          <w:szCs w:val="26"/>
        </w:rPr>
        <w:tab/>
        <w:t>Provision of Security.</w:t>
      </w:r>
      <w:bookmarkEnd w:id="576"/>
      <w:r w:rsidRPr="0072600F">
        <w:rPr>
          <w:rFonts w:ascii="Times New Roman" w:hAnsi="Times New Roman" w:cs="Times New Roman"/>
          <w:sz w:val="26"/>
          <w:szCs w:val="26"/>
        </w:rPr>
        <w:t xml:space="preserve"> At least thirty (30) Calendar Days prior to the commencement of the procurement, installation, or construction of a discrete portion of a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Network Upgrades, or Distribution Upgrades, Interconnection Customer shall provide Transmission Provider, at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option, a guarantee, a surety bond, letter of credit or other form of security that is reasonably acceptable to Transmission Provider and is consistent with the Uniform Commercial Code of the jurisdiction identified in Article 14.2.1.  Such security for payment, as specified in Appendix B of this LGIA, shall be in an amount sufficient to cover the costs for constructing, procuring and installing the applicable portion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Network Upgrades, or Distribution Upgrades and shall be reduced on a dollar-for-dollar basis for payments made to Transmission Provider for these purposes.  Transmission Provider must use the LGIA Deposit required in Section 11.3 of the LGIP before requiring Interconnection Customer to submit security in addition to that LGIA Deposit.  Transmission Provider must specify, in Appendix B of this LGIA, the dates for which Interconnection Customer must provide additional security for construction of each discrete portion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Network Upgrades, or Distribution Upgrades and Interconnection Customer must provide such additional security.</w:t>
      </w:r>
    </w:p>
    <w:p w:rsidR="00F3594B" w:rsidRPr="0072600F" w14:paraId="73E76A45" w14:textId="77777777">
      <w:pPr>
        <w:rPr>
          <w:rFonts w:ascii="Times New Roman" w:hAnsi="Times New Roman" w:cs="Times New Roman"/>
          <w:sz w:val="26"/>
          <w:szCs w:val="26"/>
        </w:rPr>
      </w:pPr>
    </w:p>
    <w:p w:rsidR="00F3594B" w:rsidRPr="0072600F" w14:paraId="0FE4DD65"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t>In addition:</w:t>
      </w:r>
    </w:p>
    <w:p w:rsidR="00F3594B" w:rsidRPr="0072600F" w14:paraId="5A0E16C6" w14:textId="77777777">
      <w:pPr>
        <w:rPr>
          <w:rFonts w:ascii="Times New Roman" w:hAnsi="Times New Roman" w:cs="Times New Roman"/>
          <w:sz w:val="26"/>
          <w:szCs w:val="26"/>
        </w:rPr>
      </w:pPr>
    </w:p>
    <w:p w:rsidR="00F3594B" w:rsidRPr="0072600F" w14:paraId="698C94C6" w14:textId="77777777">
      <w:pPr>
        <w:ind w:left="2160" w:hanging="1440"/>
        <w:rPr>
          <w:rFonts w:ascii="Times New Roman" w:hAnsi="Times New Roman" w:cs="Times New Roman"/>
          <w:sz w:val="26"/>
          <w:szCs w:val="26"/>
        </w:rPr>
      </w:pPr>
      <w:r w:rsidRPr="0072600F">
        <w:rPr>
          <w:rFonts w:ascii="Times New Roman" w:hAnsi="Times New Roman" w:cs="Times New Roman"/>
          <w:b/>
          <w:bCs/>
          <w:sz w:val="26"/>
          <w:szCs w:val="26"/>
        </w:rPr>
        <w:t>11.5.1</w:t>
      </w:r>
      <w:r w:rsidRPr="0072600F">
        <w:rPr>
          <w:rFonts w:ascii="Times New Roman" w:hAnsi="Times New Roman" w:cs="Times New Roman"/>
          <w:b/>
          <w:bCs/>
          <w:sz w:val="26"/>
          <w:szCs w:val="26"/>
        </w:rPr>
        <w:tab/>
      </w:r>
      <w:r w:rsidRPr="0072600F">
        <w:rPr>
          <w:rFonts w:ascii="Times New Roman" w:hAnsi="Times New Roman" w:cs="Times New Roman"/>
          <w:sz w:val="26"/>
          <w:szCs w:val="26"/>
        </w:rPr>
        <w:t xml:space="preserve">The guarantee must be made by an entity that meets the creditworthiness requirements of Transmission Provider, and contain terms and conditions that guarantee payment of any amount that may be due from Interconnection Customer, up to an agreed-to maximum amount. </w:t>
      </w:r>
    </w:p>
    <w:p w:rsidR="00F3594B" w:rsidRPr="0072600F" w14:paraId="513470E1" w14:textId="77777777">
      <w:pPr>
        <w:rPr>
          <w:rFonts w:ascii="Times New Roman" w:hAnsi="Times New Roman" w:cs="Times New Roman"/>
          <w:sz w:val="26"/>
          <w:szCs w:val="26"/>
        </w:rPr>
      </w:pPr>
    </w:p>
    <w:p w:rsidR="00F3594B" w:rsidRPr="0072600F" w14:paraId="63DB58BA" w14:textId="77777777">
      <w:pPr>
        <w:ind w:left="2160" w:hanging="1440"/>
        <w:rPr>
          <w:rFonts w:ascii="Times New Roman" w:hAnsi="Times New Roman" w:cs="Times New Roman"/>
          <w:sz w:val="26"/>
          <w:szCs w:val="26"/>
        </w:rPr>
      </w:pPr>
      <w:r w:rsidRPr="0072600F">
        <w:rPr>
          <w:rFonts w:ascii="Times New Roman" w:hAnsi="Times New Roman" w:cs="Times New Roman"/>
          <w:b/>
          <w:bCs/>
          <w:sz w:val="26"/>
          <w:szCs w:val="26"/>
        </w:rPr>
        <w:t>11.5.2</w:t>
      </w:r>
      <w:r w:rsidRPr="0072600F">
        <w:rPr>
          <w:rFonts w:ascii="Times New Roman" w:hAnsi="Times New Roman" w:cs="Times New Roman"/>
          <w:b/>
          <w:bCs/>
          <w:sz w:val="26"/>
          <w:szCs w:val="26"/>
        </w:rPr>
        <w:tab/>
      </w:r>
      <w:r w:rsidRPr="0072600F">
        <w:rPr>
          <w:rFonts w:ascii="Times New Roman" w:hAnsi="Times New Roman" w:cs="Times New Roman"/>
          <w:sz w:val="26"/>
          <w:szCs w:val="26"/>
        </w:rPr>
        <w:t xml:space="preserve">The letter of credit must be issued by a financial institution reasonably acceptable to Transmission Provider and must specify a reasonable expiration date.  </w:t>
      </w:r>
    </w:p>
    <w:p w:rsidR="00F3594B" w:rsidRPr="0072600F" w14:paraId="70E7D479" w14:textId="77777777">
      <w:pPr>
        <w:rPr>
          <w:rFonts w:ascii="Times New Roman" w:hAnsi="Times New Roman" w:cs="Times New Roman"/>
          <w:sz w:val="26"/>
          <w:szCs w:val="26"/>
        </w:rPr>
      </w:pPr>
    </w:p>
    <w:p w:rsidR="00F3594B" w:rsidRPr="0072600F" w14:paraId="08CF1E4C" w14:textId="77777777">
      <w:pPr>
        <w:ind w:left="2160" w:hanging="1440"/>
        <w:rPr>
          <w:rFonts w:ascii="Times New Roman" w:hAnsi="Times New Roman" w:cs="Times New Roman"/>
          <w:sz w:val="26"/>
          <w:szCs w:val="26"/>
        </w:rPr>
      </w:pPr>
      <w:r w:rsidRPr="0072600F">
        <w:rPr>
          <w:rFonts w:ascii="Times New Roman" w:hAnsi="Times New Roman" w:cs="Times New Roman"/>
          <w:b/>
          <w:bCs/>
          <w:sz w:val="26"/>
          <w:szCs w:val="26"/>
        </w:rPr>
        <w:t>11.5.3</w:t>
      </w:r>
      <w:r w:rsidRPr="0072600F">
        <w:rPr>
          <w:rFonts w:ascii="Times New Roman" w:hAnsi="Times New Roman" w:cs="Times New Roman"/>
          <w:sz w:val="26"/>
          <w:szCs w:val="26"/>
        </w:rPr>
        <w:tab/>
        <w:t xml:space="preserve">The surety bond must be issued by an insurer reasonably acceptable to Transmission Provider and must specify a reasonable expiration date. </w:t>
      </w:r>
    </w:p>
    <w:p w:rsidR="00F3594B" w:rsidRPr="0072600F" w14:paraId="0CC9F24D" w14:textId="77777777">
      <w:pPr>
        <w:rPr>
          <w:rFonts w:ascii="Times New Roman" w:hAnsi="Times New Roman" w:cs="Times New Roman"/>
          <w:sz w:val="26"/>
          <w:szCs w:val="26"/>
        </w:rPr>
      </w:pPr>
    </w:p>
    <w:p w:rsidR="00F3594B" w:rsidRPr="0072600F" w14:paraId="3A61194A" w14:textId="77777777">
      <w:pPr>
        <w:ind w:left="720" w:hanging="720"/>
        <w:rPr>
          <w:rFonts w:ascii="Times New Roman" w:hAnsi="Times New Roman" w:cs="Times New Roman"/>
          <w:sz w:val="26"/>
          <w:szCs w:val="26"/>
        </w:rPr>
      </w:pPr>
      <w:bookmarkStart w:id="577" w:name="_Toc148703394"/>
      <w:r w:rsidRPr="0072600F">
        <w:rPr>
          <w:rStyle w:val="Heading2Char"/>
          <w:rFonts w:eastAsiaTheme="minorHAnsi"/>
          <w:b/>
          <w:sz w:val="26"/>
          <w:szCs w:val="26"/>
        </w:rPr>
        <w:t>11.6</w:t>
      </w:r>
      <w:r w:rsidRPr="0072600F">
        <w:rPr>
          <w:rStyle w:val="Heading2Char"/>
          <w:rFonts w:eastAsiaTheme="minorHAnsi"/>
          <w:b/>
          <w:sz w:val="26"/>
          <w:szCs w:val="26"/>
        </w:rPr>
        <w:tab/>
        <w:t>Interconnection Customer Compensation.</w:t>
      </w:r>
      <w:bookmarkEnd w:id="577"/>
      <w:r w:rsidRPr="0072600F">
        <w:rPr>
          <w:rFonts w:ascii="Times New Roman" w:hAnsi="Times New Roman" w:cs="Times New Roman"/>
          <w:sz w:val="26"/>
          <w:szCs w:val="26"/>
        </w:rPr>
        <w:t xml:space="preserve">  If Transmission Provider requests or directs Interconnection Customer to provide a service pursuant to Articles 9.6.3 (Payment for Reactive Power), or 13.5.1 of this LGIA, Transmission Provider shall compensate Interconnection Customer in accordance with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applicable rate schedule then in effect unless the provision of such service(s) is subject to an RTO or ISO FERC-approved rate schedule.  Interconnection Customer shall serve Transmission Provider or RTO or ISO with any filing of a proposed rate schedule at the time of such filing with FERC.  To the extent that no rate schedule is in effect at the time </w:t>
      </w:r>
      <w:r w:rsidRPr="0072600F" w:rsidR="00311526">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152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is required to provide or absorb any Reactive Power under this LGIA, Transmission Provider agrees to compensate Interconnection Customer in such amount as would have been due Interconnection Customer had the rate schedule been in effect at the time service commenced; provided, however, that such rate schedule must be filed at FERC or other appropriate Governmental Authority within sixty (60) Calendar Days of the commencement of service.</w:t>
      </w:r>
    </w:p>
    <w:p w:rsidR="00F3594B" w:rsidRPr="0072600F" w14:paraId="3A13F0E4" w14:textId="77777777">
      <w:pPr>
        <w:rPr>
          <w:rFonts w:ascii="Times New Roman" w:hAnsi="Times New Roman" w:cs="Times New Roman"/>
          <w:sz w:val="26"/>
          <w:szCs w:val="26"/>
        </w:rPr>
      </w:pPr>
    </w:p>
    <w:p w:rsidR="00F3594B" w:rsidRPr="0072600F" w14:paraId="2A0D3FD5" w14:textId="77777777">
      <w:pPr>
        <w:ind w:left="2160" w:hanging="1440"/>
        <w:rPr>
          <w:rFonts w:ascii="Times New Roman" w:hAnsi="Times New Roman" w:cs="Times New Roman"/>
          <w:sz w:val="26"/>
          <w:szCs w:val="26"/>
        </w:rPr>
      </w:pPr>
      <w:bookmarkStart w:id="578" w:name="_Toc148703395"/>
      <w:r w:rsidRPr="0072600F">
        <w:rPr>
          <w:rStyle w:val="Heading3Char"/>
          <w:rFonts w:eastAsiaTheme="minorHAnsi"/>
          <w:b/>
          <w:sz w:val="26"/>
        </w:rPr>
        <w:t>11.6.1</w:t>
      </w:r>
      <w:r w:rsidRPr="0072600F">
        <w:rPr>
          <w:rStyle w:val="Heading3Char"/>
          <w:rFonts w:eastAsiaTheme="minorHAnsi"/>
          <w:b/>
          <w:sz w:val="26"/>
        </w:rPr>
        <w:tab/>
      </w:r>
      <w:r w:rsidRPr="0072600F">
        <w:rPr>
          <w:rStyle w:val="Heading3Char"/>
          <w:rFonts w:eastAsiaTheme="minorHAnsi"/>
          <w:sz w:val="26"/>
        </w:rPr>
        <w:t>Interconnection Customer Compensation for Actions During Emergency Condition.</w:t>
      </w:r>
      <w:bookmarkEnd w:id="578"/>
      <w:r w:rsidRPr="0072600F">
        <w:rPr>
          <w:rFonts w:ascii="Times New Roman" w:hAnsi="Times New Roman" w:cs="Times New Roman"/>
          <w:sz w:val="26"/>
          <w:szCs w:val="26"/>
        </w:rPr>
        <w:t xml:space="preserve">  Transmission Provider or RTO or ISO shall compensate Interconnection Customer for its provision of real and reactive power and other Emergency Condition services that Interconnection Customer provides to support the Transmission System during an Emergency Condition in accordance with Article 11.6.</w:t>
      </w:r>
    </w:p>
    <w:p w:rsidR="00F3594B" w:rsidRPr="0072600F" w14:paraId="5956A286" w14:textId="77777777">
      <w:pPr>
        <w:rPr>
          <w:rFonts w:ascii="Times New Roman" w:hAnsi="Times New Roman" w:cs="Times New Roman"/>
          <w:sz w:val="26"/>
          <w:szCs w:val="26"/>
        </w:rPr>
      </w:pPr>
    </w:p>
    <w:p w:rsidR="00F3594B" w:rsidRPr="0072600F" w14:paraId="6BA5C7D8" w14:textId="77777777">
      <w:pPr>
        <w:rPr>
          <w:rFonts w:ascii="Times New Roman" w:hAnsi="Times New Roman" w:cs="Times New Roman"/>
          <w:sz w:val="26"/>
          <w:szCs w:val="26"/>
        </w:rPr>
      </w:pPr>
    </w:p>
    <w:p w:rsidR="00F3594B" w:rsidRPr="0072600F" w:rsidP="003E3320" w14:paraId="51F08927" w14:textId="77777777">
      <w:pPr>
        <w:pStyle w:val="Heading2"/>
        <w:rPr>
          <w:b/>
          <w:bCs/>
          <w:sz w:val="26"/>
          <w:szCs w:val="26"/>
        </w:rPr>
      </w:pPr>
      <w:bookmarkStart w:id="579" w:name="_Toc148703396"/>
      <w:r w:rsidRPr="0072600F">
        <w:rPr>
          <w:b/>
          <w:bCs/>
          <w:sz w:val="26"/>
          <w:szCs w:val="26"/>
        </w:rPr>
        <w:t>Article 12.</w:t>
      </w:r>
      <w:r w:rsidRPr="0072600F">
        <w:rPr>
          <w:b/>
          <w:bCs/>
          <w:sz w:val="26"/>
          <w:szCs w:val="26"/>
        </w:rPr>
        <w:tab/>
        <w:t>Invoice</w:t>
      </w:r>
      <w:bookmarkEnd w:id="579"/>
    </w:p>
    <w:p w:rsidR="00F3594B" w:rsidRPr="0072600F" w14:paraId="13CA755D" w14:textId="77777777">
      <w:pPr>
        <w:rPr>
          <w:rFonts w:ascii="Times New Roman" w:hAnsi="Times New Roman" w:cs="Times New Roman"/>
          <w:sz w:val="26"/>
          <w:szCs w:val="26"/>
        </w:rPr>
      </w:pPr>
    </w:p>
    <w:p w:rsidR="00F3594B" w:rsidRPr="0072600F" w14:paraId="59051C3E" w14:textId="77777777">
      <w:pPr>
        <w:ind w:left="720" w:hanging="720"/>
        <w:rPr>
          <w:rFonts w:ascii="Times New Roman" w:hAnsi="Times New Roman" w:cs="Times New Roman"/>
          <w:sz w:val="26"/>
          <w:szCs w:val="26"/>
        </w:rPr>
      </w:pPr>
      <w:bookmarkStart w:id="580" w:name="_Toc148703397"/>
      <w:r w:rsidRPr="0072600F">
        <w:rPr>
          <w:rStyle w:val="Heading2Char"/>
          <w:rFonts w:eastAsiaTheme="minorHAnsi"/>
          <w:b/>
          <w:sz w:val="26"/>
          <w:szCs w:val="26"/>
        </w:rPr>
        <w:t>12.1</w:t>
      </w:r>
      <w:r w:rsidRPr="0072600F">
        <w:rPr>
          <w:rStyle w:val="Heading2Char"/>
          <w:rFonts w:eastAsiaTheme="minorHAnsi"/>
          <w:b/>
          <w:sz w:val="26"/>
          <w:szCs w:val="26"/>
        </w:rPr>
        <w:tab/>
        <w:t>General.</w:t>
      </w:r>
      <w:bookmarkEnd w:id="580"/>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Each Party shall submit to the other Party, on a monthly basis, invoices of amounts due for the preceding month.  Each invoice shall state the month to which the invoice applies and fully describe the services and equipment provided.  The Parties may discharge mutual debts and payment obligations due and owing to each other on the same date through netting, in which case all amounts a Party owes to the other Party under this LGIA, including interest payments or credits, shall be netted so that only the net amount remaining due shall be paid by the owing Party.</w:t>
      </w:r>
    </w:p>
    <w:p w:rsidR="00F3594B" w:rsidRPr="0072600F" w14:paraId="34195DDA" w14:textId="77777777">
      <w:pPr>
        <w:rPr>
          <w:rFonts w:ascii="Times New Roman" w:hAnsi="Times New Roman" w:cs="Times New Roman"/>
          <w:sz w:val="26"/>
          <w:szCs w:val="26"/>
        </w:rPr>
      </w:pPr>
    </w:p>
    <w:p w:rsidR="00F3594B" w:rsidRPr="0072600F" w14:paraId="4C323A2E" w14:textId="77777777">
      <w:pPr>
        <w:tabs>
          <w:tab w:val="left" w:pos="720"/>
        </w:tabs>
        <w:ind w:left="720" w:hanging="720"/>
        <w:rPr>
          <w:rFonts w:ascii="Times New Roman" w:hAnsi="Times New Roman" w:cs="Times New Roman"/>
          <w:sz w:val="26"/>
          <w:szCs w:val="26"/>
        </w:rPr>
      </w:pPr>
      <w:bookmarkStart w:id="581" w:name="_Toc148703398"/>
      <w:r w:rsidRPr="0072600F">
        <w:rPr>
          <w:rStyle w:val="Heading2Char"/>
          <w:rFonts w:eastAsiaTheme="minorHAnsi"/>
          <w:b/>
          <w:sz w:val="26"/>
          <w:szCs w:val="26"/>
        </w:rPr>
        <w:t>12.2</w:t>
      </w:r>
      <w:r w:rsidRPr="0072600F">
        <w:rPr>
          <w:rStyle w:val="Heading2Char"/>
          <w:rFonts w:eastAsiaTheme="minorHAnsi"/>
          <w:b/>
          <w:sz w:val="26"/>
          <w:szCs w:val="26"/>
        </w:rPr>
        <w:tab/>
        <w:t>Final Invoice.</w:t>
      </w:r>
      <w:bookmarkEnd w:id="581"/>
      <w:r w:rsidRPr="0072600F">
        <w:rPr>
          <w:rFonts w:ascii="Times New Roman" w:hAnsi="Times New Roman" w:cs="Times New Roman"/>
          <w:sz w:val="26"/>
          <w:szCs w:val="26"/>
        </w:rPr>
        <w:t xml:space="preserve">  Within six months after completion of the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the Network Upgrades, Transmission Provider shall provide an invoice of the final cost of the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the Network Upgrades and shall set forth such costs in sufficient detail to enable Interconnection Customer to compare the actual costs with the estimates and to ascertain deviations, if any, from the cost estimates.  Transmission Provider shall refund to Interconnection Customer any amount by which the actual payment by Interconnection Customer for estimated costs exceeds the actual costs of construction within thirty (30) Calendar Days of the issuance of such final construction invoice.</w:t>
      </w:r>
    </w:p>
    <w:p w:rsidR="00F3594B" w:rsidRPr="0072600F" w14:paraId="3DEEC337" w14:textId="77777777">
      <w:pPr>
        <w:rPr>
          <w:rFonts w:ascii="Times New Roman" w:hAnsi="Times New Roman" w:cs="Times New Roman"/>
          <w:sz w:val="26"/>
          <w:szCs w:val="26"/>
        </w:rPr>
      </w:pPr>
    </w:p>
    <w:p w:rsidR="00F3594B" w:rsidRPr="0072600F" w14:paraId="0BC3D9EB" w14:textId="77777777">
      <w:pPr>
        <w:tabs>
          <w:tab w:val="left" w:pos="720"/>
        </w:tabs>
        <w:ind w:left="720" w:hanging="720"/>
        <w:rPr>
          <w:rFonts w:ascii="Times New Roman" w:hAnsi="Times New Roman" w:cs="Times New Roman"/>
          <w:sz w:val="26"/>
          <w:szCs w:val="26"/>
        </w:rPr>
      </w:pPr>
      <w:bookmarkStart w:id="582" w:name="_Toc148703399"/>
      <w:r w:rsidRPr="0072600F">
        <w:rPr>
          <w:rStyle w:val="Heading2Char"/>
          <w:rFonts w:eastAsiaTheme="minorHAnsi"/>
          <w:b/>
          <w:sz w:val="26"/>
          <w:szCs w:val="26"/>
        </w:rPr>
        <w:t>12.3</w:t>
      </w:r>
      <w:r w:rsidRPr="0072600F">
        <w:rPr>
          <w:rStyle w:val="Heading2Char"/>
          <w:rFonts w:eastAsiaTheme="minorHAnsi"/>
          <w:b/>
          <w:sz w:val="26"/>
          <w:szCs w:val="26"/>
        </w:rPr>
        <w:tab/>
        <w:t>Payment.</w:t>
      </w:r>
      <w:bookmarkEnd w:id="582"/>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Invoices shall be rendered to the paying Party at the address specified in Appendix F.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by either Party will not constitute a waiver of any rights or claims either Party may have under this LGIA.</w:t>
      </w:r>
    </w:p>
    <w:p w:rsidR="00F3594B" w:rsidRPr="0072600F" w14:paraId="738BC40A" w14:textId="77777777">
      <w:pPr>
        <w:rPr>
          <w:rFonts w:ascii="Times New Roman" w:hAnsi="Times New Roman" w:cs="Times New Roman"/>
          <w:sz w:val="26"/>
          <w:szCs w:val="26"/>
        </w:rPr>
      </w:pPr>
    </w:p>
    <w:p w:rsidR="00F3594B" w:rsidRPr="0072600F" w14:paraId="53ECB243" w14:textId="77777777">
      <w:pPr>
        <w:tabs>
          <w:tab w:val="left" w:pos="720"/>
        </w:tabs>
        <w:ind w:left="720" w:hanging="720"/>
        <w:rPr>
          <w:rFonts w:ascii="Times New Roman" w:hAnsi="Times New Roman" w:cs="Times New Roman"/>
          <w:sz w:val="26"/>
          <w:szCs w:val="26"/>
        </w:rPr>
      </w:pPr>
      <w:bookmarkStart w:id="583" w:name="_Toc148703400"/>
      <w:r w:rsidRPr="0072600F">
        <w:rPr>
          <w:rStyle w:val="Heading2Char"/>
          <w:rFonts w:eastAsiaTheme="minorHAnsi"/>
          <w:b/>
          <w:sz w:val="26"/>
          <w:szCs w:val="26"/>
        </w:rPr>
        <w:t>12.4</w:t>
      </w:r>
      <w:r w:rsidRPr="0072600F">
        <w:rPr>
          <w:rStyle w:val="Heading2Char"/>
          <w:rFonts w:eastAsiaTheme="minorHAnsi"/>
          <w:b/>
          <w:sz w:val="26"/>
          <w:szCs w:val="26"/>
        </w:rPr>
        <w:tab/>
        <w:t>Disputes.</w:t>
      </w:r>
      <w:bookmarkEnd w:id="583"/>
      <w:r w:rsidRPr="0072600F">
        <w:rPr>
          <w:rFonts w:ascii="Times New Roman" w:hAnsi="Times New Roman" w:cs="Times New Roman"/>
          <w:sz w:val="26"/>
          <w:szCs w:val="26"/>
        </w:rPr>
        <w:t xml:space="preserve">  In the event of a billing dispute between Transmission Provider and Interconnection Customer, Transmission Provider shall continue to provide Interconnection Service under this LGIA as long as Interconnection Customer: </w:t>
      </w:r>
      <w:r w:rsidRPr="0072600F" w:rsidR="00034525">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continues to make all payments not in dispute; and (ii) pays to Transmission Provider or into an independent escrow account the portion of the invoice in dispute, pending resolution of such dispute.  If Interconnection Customer fails to meet these two requirements for continuation of service, then Transmission Provider may provide notice to Interconnection Customer of a Default pursuant to Article 17.  Within thirty (30) Calendar Days after the resolution of the dispute, the Party that owes money to the other Party shall pay the amount due with interest calculated in accord with the methodology set forth in FERC</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regulations at 18 CFR § 35.19a(a)(2)(iii).</w:t>
      </w:r>
    </w:p>
    <w:p w:rsidR="00F3594B" w:rsidRPr="0072600F" w14:paraId="3A7F8D48" w14:textId="77777777">
      <w:pPr>
        <w:rPr>
          <w:rFonts w:ascii="Times New Roman" w:hAnsi="Times New Roman" w:cs="Times New Roman"/>
          <w:sz w:val="26"/>
          <w:szCs w:val="26"/>
        </w:rPr>
      </w:pPr>
    </w:p>
    <w:p w:rsidR="00F3594B" w:rsidRPr="0072600F" w14:paraId="4A5BCDEF" w14:textId="77777777">
      <w:pPr>
        <w:rPr>
          <w:rFonts w:ascii="Times New Roman" w:hAnsi="Times New Roman" w:cs="Times New Roman"/>
          <w:sz w:val="26"/>
          <w:szCs w:val="26"/>
        </w:rPr>
      </w:pPr>
    </w:p>
    <w:p w:rsidR="00F3594B" w:rsidRPr="0072600F" w:rsidP="003E3320" w14:paraId="3EF82E4E" w14:textId="77777777">
      <w:pPr>
        <w:pStyle w:val="Heading2"/>
        <w:rPr>
          <w:b/>
          <w:bCs/>
          <w:sz w:val="26"/>
          <w:szCs w:val="26"/>
        </w:rPr>
      </w:pPr>
      <w:bookmarkStart w:id="584" w:name="_Toc148703401"/>
      <w:r w:rsidRPr="0072600F">
        <w:rPr>
          <w:b/>
          <w:bCs/>
          <w:sz w:val="26"/>
          <w:szCs w:val="26"/>
        </w:rPr>
        <w:t>Article 13.</w:t>
      </w:r>
      <w:r w:rsidRPr="0072600F">
        <w:rPr>
          <w:b/>
          <w:bCs/>
          <w:sz w:val="26"/>
          <w:szCs w:val="26"/>
        </w:rPr>
        <w:tab/>
        <w:t>Emergencies</w:t>
      </w:r>
      <w:bookmarkEnd w:id="584"/>
    </w:p>
    <w:p w:rsidR="00F3594B" w:rsidRPr="0072600F" w14:paraId="52153011" w14:textId="77777777">
      <w:pPr>
        <w:rPr>
          <w:rFonts w:ascii="Times New Roman" w:hAnsi="Times New Roman" w:cs="Times New Roman"/>
          <w:sz w:val="26"/>
          <w:szCs w:val="26"/>
        </w:rPr>
      </w:pPr>
      <w:r w:rsidRPr="0072600F">
        <w:rPr>
          <w:rFonts w:ascii="Times New Roman" w:hAnsi="Times New Roman" w:cs="Times New Roman"/>
          <w:b/>
          <w:bCs/>
          <w:sz w:val="26"/>
          <w:szCs w:val="26"/>
        </w:rPr>
        <w:cr/>
      </w:r>
      <w:bookmarkStart w:id="585" w:name="_Toc148703402"/>
      <w:r w:rsidRPr="0072600F">
        <w:rPr>
          <w:rStyle w:val="Heading2Char"/>
          <w:rFonts w:eastAsiaTheme="minorHAnsi"/>
          <w:b/>
          <w:sz w:val="26"/>
          <w:szCs w:val="26"/>
        </w:rPr>
        <w:t>13.1</w:t>
      </w:r>
      <w:r w:rsidRPr="0072600F">
        <w:rPr>
          <w:rStyle w:val="Heading2Char"/>
          <w:rFonts w:eastAsiaTheme="minorHAnsi"/>
          <w:b/>
          <w:sz w:val="26"/>
          <w:szCs w:val="26"/>
        </w:rPr>
        <w:tab/>
        <w:t>Definition.</w:t>
      </w:r>
      <w:bookmarkEnd w:id="585"/>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Emergency Condition</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shall mean a condition or situation: </w:t>
      </w:r>
      <w:r w:rsidRPr="0072600F" w:rsidR="00034525">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that in </w:t>
      </w:r>
    </w:p>
    <w:p w:rsidR="00F3594B" w:rsidRPr="0072600F" w14:paraId="11E1CBD4"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the judgment of the Party making the claim is imminently likely to endanger life or property; or (ii) that, in the case of Transmission Provider, is imminently likely (as determined in a non-discriminatory manner) to cause a material adverse effect on the security of, or damage to the Transmission System,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Transmission Systems of others to which the Transmission System is directly connected; or (iii) that, in the case of Interconnection Customer, is imminently likely (as determined in a non-discriminatory manner) to cause a material adverse effect on the security of, or</w:t>
      </w:r>
      <w:r w:rsidRPr="0072600F" w:rsidR="002C0896">
        <w:rPr>
          <w:rFonts w:ascii="Times New Roman" w:hAnsi="Times New Roman" w:cs="Times New Roman"/>
          <w:sz w:val="26"/>
          <w:szCs w:val="26"/>
        </w:rPr>
        <w:t xml:space="preserve"> </w:t>
      </w:r>
      <w:r w:rsidRPr="0072600F">
        <w:rPr>
          <w:rFonts w:ascii="Times New Roman" w:hAnsi="Times New Roman" w:cs="Times New Roman"/>
          <w:sz w:val="26"/>
          <w:szCs w:val="26"/>
        </w:rPr>
        <w:t>damage to</w:t>
      </w:r>
      <w:r w:rsidRPr="0072600F">
        <w:rPr>
          <w:rFonts w:ascii="Times New Roman" w:hAnsi="Times New Roman" w:cs="Times New Roman"/>
          <w:b/>
          <w:bCs/>
          <w:sz w:val="26"/>
          <w:szCs w:val="26"/>
        </w:rPr>
        <w:t>,</w:t>
      </w:r>
      <w:r w:rsidRPr="0072600F">
        <w:rPr>
          <w:rFonts w:ascii="Times New Roman" w:hAnsi="Times New Roman" w:cs="Times New Roman"/>
          <w:sz w:val="26"/>
          <w:szCs w:val="26"/>
        </w:rPr>
        <w:t xml:space="preserve">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System restoration and black start shall be considered Emergency Conditions; provided, that Interconnection Customer is not obligated by this LGIA to possess black start capability.</w:t>
      </w:r>
    </w:p>
    <w:p w:rsidR="00F3594B" w:rsidRPr="0072600F" w14:paraId="1E553AB7" w14:textId="77777777">
      <w:pPr>
        <w:rPr>
          <w:rFonts w:ascii="Times New Roman" w:hAnsi="Times New Roman" w:cs="Times New Roman"/>
          <w:sz w:val="26"/>
          <w:szCs w:val="26"/>
        </w:rPr>
      </w:pPr>
    </w:p>
    <w:p w:rsidR="00F3594B" w:rsidRPr="0072600F" w14:paraId="46BA48E2" w14:textId="77777777">
      <w:pPr>
        <w:tabs>
          <w:tab w:val="left" w:pos="720"/>
        </w:tabs>
        <w:ind w:left="720" w:hanging="720"/>
        <w:rPr>
          <w:rFonts w:ascii="Times New Roman" w:hAnsi="Times New Roman" w:cs="Times New Roman"/>
          <w:sz w:val="26"/>
          <w:szCs w:val="26"/>
        </w:rPr>
      </w:pPr>
      <w:bookmarkStart w:id="586" w:name="_Toc148703403"/>
      <w:r w:rsidRPr="0072600F">
        <w:rPr>
          <w:rStyle w:val="Heading2Char"/>
          <w:rFonts w:eastAsiaTheme="minorHAnsi"/>
          <w:b/>
          <w:sz w:val="26"/>
          <w:szCs w:val="26"/>
        </w:rPr>
        <w:t>13.2</w:t>
      </w:r>
      <w:r w:rsidRPr="0072600F">
        <w:rPr>
          <w:rStyle w:val="Heading2Char"/>
          <w:rFonts w:eastAsiaTheme="minorHAnsi"/>
          <w:b/>
          <w:sz w:val="26"/>
          <w:szCs w:val="26"/>
        </w:rPr>
        <w:tab/>
        <w:t>Obligations.</w:t>
      </w:r>
      <w:bookmarkEnd w:id="586"/>
      <w:r w:rsidRPr="0072600F">
        <w:rPr>
          <w:rFonts w:ascii="Times New Roman" w:hAnsi="Times New Roman" w:cs="Times New Roman"/>
          <w:sz w:val="26"/>
          <w:szCs w:val="26"/>
        </w:rPr>
        <w:t xml:space="preserve">  Each Party shall comply with the Emergency Condition procedures of the applicable ISO/RTO, the Electric Reliability Organization, Applicable Laws and Regulations, and any emergency procedures agreed to by the Joint Operating Committee.</w:t>
      </w:r>
    </w:p>
    <w:p w:rsidR="00F3594B" w:rsidRPr="0072600F" w14:paraId="738AEE19" w14:textId="77777777">
      <w:pPr>
        <w:rPr>
          <w:rFonts w:ascii="Times New Roman" w:hAnsi="Times New Roman" w:cs="Times New Roman"/>
          <w:b/>
          <w:sz w:val="26"/>
          <w:szCs w:val="26"/>
        </w:rPr>
      </w:pPr>
    </w:p>
    <w:p w:rsidR="00F3594B" w:rsidRPr="0072600F" w14:paraId="33DD39C8" w14:textId="77777777">
      <w:pPr>
        <w:tabs>
          <w:tab w:val="left" w:pos="720"/>
        </w:tabs>
        <w:ind w:left="720" w:hanging="720"/>
        <w:rPr>
          <w:rFonts w:ascii="Times New Roman" w:hAnsi="Times New Roman" w:cs="Times New Roman"/>
          <w:sz w:val="26"/>
          <w:szCs w:val="26"/>
        </w:rPr>
      </w:pPr>
      <w:bookmarkStart w:id="587" w:name="_Toc148703404"/>
      <w:r w:rsidRPr="0072600F">
        <w:rPr>
          <w:rStyle w:val="Heading2Char"/>
          <w:rFonts w:eastAsiaTheme="minorHAnsi"/>
          <w:b/>
          <w:sz w:val="26"/>
          <w:szCs w:val="26"/>
        </w:rPr>
        <w:t>13.3</w:t>
      </w:r>
      <w:r w:rsidRPr="0072600F">
        <w:rPr>
          <w:rStyle w:val="Heading2Char"/>
          <w:rFonts w:eastAsiaTheme="minorHAnsi"/>
          <w:b/>
          <w:sz w:val="26"/>
          <w:szCs w:val="26"/>
        </w:rPr>
        <w:tab/>
        <w:t>Notice.</w:t>
      </w:r>
      <w:bookmarkEnd w:id="587"/>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 xml:space="preserve">Transmission Provider shall notify Interconnection Customer promptly when it becomes aware of an Emergency Condition that affects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Transmission System that may reasonably be expected to affect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operation of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Interconnection Customer shall notify Transmission Provider promptly when it becomes aware of an Emergency Condition that affects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that may reasonably be expected to affect the Transmission System 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To the extent information is known, the notification shall describe the Emergency Condition, the extent of the damage or deficiency, the expected effect on the operation of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facilities and operations, its anticipated duration and the corrective action taken and/or to be taken.  The initial notice shall be followed as soon as practicable with written notice.</w:t>
      </w:r>
    </w:p>
    <w:p w:rsidR="00F3594B" w:rsidRPr="0072600F" w14:paraId="48FE7B82" w14:textId="77777777">
      <w:pPr>
        <w:rPr>
          <w:rFonts w:ascii="Times New Roman" w:hAnsi="Times New Roman" w:cs="Times New Roman"/>
          <w:sz w:val="26"/>
          <w:szCs w:val="26"/>
        </w:rPr>
      </w:pPr>
    </w:p>
    <w:p w:rsidR="00F3594B" w:rsidRPr="0072600F" w14:paraId="65D4F980" w14:textId="77777777">
      <w:pPr>
        <w:tabs>
          <w:tab w:val="left" w:pos="720"/>
        </w:tabs>
        <w:ind w:left="720" w:hanging="720"/>
        <w:rPr>
          <w:rFonts w:ascii="Times New Roman" w:hAnsi="Times New Roman" w:cs="Times New Roman"/>
          <w:sz w:val="26"/>
          <w:szCs w:val="26"/>
        </w:rPr>
      </w:pPr>
      <w:bookmarkStart w:id="588" w:name="_Toc148703405"/>
      <w:r w:rsidRPr="0072600F">
        <w:rPr>
          <w:rStyle w:val="Heading2Char"/>
          <w:rFonts w:eastAsiaTheme="minorHAnsi"/>
          <w:b/>
          <w:sz w:val="26"/>
          <w:szCs w:val="26"/>
        </w:rPr>
        <w:t>13.4</w:t>
      </w:r>
      <w:r w:rsidRPr="0072600F">
        <w:rPr>
          <w:rStyle w:val="Heading2Char"/>
          <w:rFonts w:eastAsiaTheme="minorHAnsi"/>
          <w:b/>
          <w:sz w:val="26"/>
          <w:szCs w:val="26"/>
        </w:rPr>
        <w:tab/>
        <w:t>Immediate Action.</w:t>
      </w:r>
      <w:bookmarkEnd w:id="588"/>
      <w:r w:rsidRPr="0072600F">
        <w:rPr>
          <w:rFonts w:ascii="Times New Roman" w:hAnsi="Times New Roman" w:cs="Times New Roman"/>
          <w:sz w:val="26"/>
          <w:szCs w:val="26"/>
        </w:rPr>
        <w:t xml:space="preserve">  Unless, in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reasonable judgment, immediate action is required, Interconnection Customer shall obtain the consent of Transmission Provider, such consent to not be unreasonably withheld, prior to performing any manual switching operations at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in response to an Emergency Condition either declared by Transmission Provider or otherwise regarding the Transmission System.</w:t>
      </w:r>
    </w:p>
    <w:p w:rsidR="00F3594B" w:rsidRPr="0072600F" w14:paraId="36748415" w14:textId="77777777">
      <w:pPr>
        <w:ind w:left="720" w:hanging="720"/>
        <w:rPr>
          <w:rFonts w:ascii="Times New Roman" w:hAnsi="Times New Roman" w:cs="Times New Roman"/>
          <w:sz w:val="26"/>
          <w:szCs w:val="26"/>
        </w:rPr>
      </w:pPr>
    </w:p>
    <w:p w:rsidR="00F3594B" w:rsidRPr="0072600F" w:rsidP="00496F6D" w14:paraId="2EFBF8A4" w14:textId="77777777">
      <w:pPr>
        <w:pStyle w:val="FERCNopara"/>
        <w:ind w:firstLine="0"/>
        <w:rPr>
          <w:b/>
          <w:sz w:val="26"/>
          <w:szCs w:val="26"/>
        </w:rPr>
      </w:pPr>
      <w:bookmarkStart w:id="589" w:name="_Toc148703406"/>
      <w:r w:rsidRPr="0072600F">
        <w:rPr>
          <w:b/>
          <w:sz w:val="26"/>
          <w:szCs w:val="26"/>
        </w:rPr>
        <w:t>13.5</w:t>
      </w:r>
      <w:r w:rsidRPr="0072600F">
        <w:rPr>
          <w:b/>
          <w:sz w:val="26"/>
          <w:szCs w:val="26"/>
        </w:rPr>
        <w:tab/>
        <w:t>Transmission Provider Authority.</w:t>
      </w:r>
      <w:bookmarkEnd w:id="589"/>
    </w:p>
    <w:p w:rsidR="00F3594B" w:rsidRPr="0072600F" w14:paraId="137E6B58" w14:textId="77777777">
      <w:pPr>
        <w:rPr>
          <w:rFonts w:ascii="Times New Roman" w:hAnsi="Times New Roman" w:cs="Times New Roman"/>
          <w:sz w:val="26"/>
          <w:szCs w:val="26"/>
        </w:rPr>
      </w:pPr>
    </w:p>
    <w:p w:rsidR="00F3594B" w:rsidRPr="0072600F" w14:paraId="73E8D88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590" w:name="_Toc148703407"/>
      <w:r w:rsidRPr="0072600F">
        <w:rPr>
          <w:rStyle w:val="Heading3Char"/>
          <w:rFonts w:eastAsiaTheme="minorHAnsi"/>
          <w:b/>
          <w:sz w:val="26"/>
        </w:rPr>
        <w:t>13.5.1</w:t>
      </w:r>
      <w:r w:rsidRPr="0072600F">
        <w:rPr>
          <w:rStyle w:val="Heading3Char"/>
          <w:rFonts w:eastAsiaTheme="minorHAnsi"/>
          <w:b/>
          <w:sz w:val="26"/>
        </w:rPr>
        <w:tab/>
      </w:r>
      <w:r w:rsidRPr="0072600F">
        <w:rPr>
          <w:rStyle w:val="Heading3Char"/>
          <w:rFonts w:eastAsiaTheme="minorHAnsi"/>
          <w:b/>
          <w:sz w:val="26"/>
        </w:rPr>
        <w:tab/>
        <w:t>General.</w:t>
      </w:r>
      <w:bookmarkEnd w:id="590"/>
      <w:r w:rsidRPr="0072600F">
        <w:rPr>
          <w:rFonts w:ascii="Times New Roman" w:hAnsi="Times New Roman" w:cs="Times New Roman"/>
          <w:sz w:val="26"/>
          <w:szCs w:val="26"/>
        </w:rPr>
        <w:t xml:space="preserve">  Transmission Provider may take whatever actions or inactions with regard to the Transmission System 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it deems necessary during an Emergency Condition in order to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preserve public health and safety, (ii) preserve the reliability of the Transmission System 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(iii) limit or prevent damage, and (iv) expedite restoration of service.</w:t>
      </w:r>
    </w:p>
    <w:p w:rsidR="00F3594B" w:rsidRPr="0072600F" w14:paraId="46C85AEF" w14:textId="77777777">
      <w:pPr>
        <w:rPr>
          <w:rFonts w:ascii="Times New Roman" w:hAnsi="Times New Roman" w:cs="Times New Roman"/>
          <w:sz w:val="26"/>
          <w:szCs w:val="26"/>
        </w:rPr>
      </w:pPr>
    </w:p>
    <w:p w:rsidR="00F3594B" w:rsidRPr="0072600F" w14:paraId="0F556835" w14:textId="77777777">
      <w:pPr>
        <w:ind w:left="2160"/>
        <w:rPr>
          <w:rFonts w:ascii="Times New Roman" w:hAnsi="Times New Roman" w:cs="Times New Roman"/>
          <w:sz w:val="26"/>
          <w:szCs w:val="26"/>
        </w:rPr>
      </w:pPr>
      <w:r w:rsidRPr="0072600F">
        <w:rPr>
          <w:rFonts w:ascii="Times New Roman" w:hAnsi="Times New Roman" w:cs="Times New Roman"/>
          <w:sz w:val="26"/>
          <w:szCs w:val="26"/>
        </w:rPr>
        <w:t>Transmission Provider shall use Reasonable Efforts to minimize the effect of such actions or inactions on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Transmission Provider may, on the basis of technical considerations, require the Large Generating Facility to mitigate an Emergency Condition by taking actions necessary and limited in scope to remedy the Emergency Condition, including, but not limited to, directing Interconnection Customer to shut-down, start-up, increase or decrease the real or reactive power output of the Large Generating Facility; implementing a reduction or disconnection pursuant to Article 13.5.2; directing Interconnection Customer to assist with </w:t>
      </w:r>
      <w:r w:rsidRPr="0072600F">
        <w:rPr>
          <w:rFonts w:ascii="Times New Roman" w:hAnsi="Times New Roman" w:cs="Times New Roman"/>
          <w:sz w:val="26"/>
          <w:szCs w:val="26"/>
        </w:rPr>
        <w:t>blackstart</w:t>
      </w:r>
      <w:r w:rsidRPr="0072600F">
        <w:rPr>
          <w:rFonts w:ascii="Times New Roman" w:hAnsi="Times New Roman" w:cs="Times New Roman"/>
          <w:sz w:val="26"/>
          <w:szCs w:val="26"/>
        </w:rPr>
        <w:t xml:space="preserve"> (if available) or restoration efforts; or altering the outage schedules of the Large Generating Facility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Interconnection Customer shall comply with all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operating instructions concerning Large Generating Facility real power and reactive power output within the manufacturer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design limitations of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equipment that is in service and physically available for operation at the time, in compliance with Applicable Laws and Regulations.</w:t>
      </w:r>
    </w:p>
    <w:p w:rsidR="00F3594B" w:rsidRPr="0072600F" w14:paraId="5A8B6383" w14:textId="77777777">
      <w:pPr>
        <w:rPr>
          <w:rFonts w:ascii="Times New Roman" w:hAnsi="Times New Roman" w:cs="Times New Roman"/>
          <w:sz w:val="26"/>
          <w:szCs w:val="26"/>
        </w:rPr>
      </w:pPr>
    </w:p>
    <w:p w:rsidR="00F3594B" w:rsidRPr="0072600F" w14:paraId="30758384"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591" w:name="_Toc148703408"/>
      <w:r w:rsidRPr="0072600F">
        <w:rPr>
          <w:rStyle w:val="Heading3Char"/>
          <w:rFonts w:eastAsiaTheme="minorHAnsi"/>
          <w:b/>
          <w:sz w:val="26"/>
        </w:rPr>
        <w:t>13.5.2</w:t>
      </w:r>
      <w:r w:rsidRPr="0072600F">
        <w:rPr>
          <w:rStyle w:val="Heading3Char"/>
          <w:rFonts w:eastAsiaTheme="minorHAnsi"/>
          <w:b/>
          <w:sz w:val="26"/>
        </w:rPr>
        <w:tab/>
      </w:r>
      <w:r w:rsidRPr="0072600F">
        <w:rPr>
          <w:rStyle w:val="Heading3Char"/>
          <w:rFonts w:eastAsiaTheme="minorHAnsi"/>
          <w:b/>
          <w:sz w:val="26"/>
        </w:rPr>
        <w:tab/>
        <w:t>Reduction and Disconnection.</w:t>
      </w:r>
      <w:bookmarkEnd w:id="591"/>
      <w:r w:rsidRPr="0072600F">
        <w:rPr>
          <w:rFonts w:ascii="Times New Roman" w:hAnsi="Times New Roman" w:cs="Times New Roman"/>
          <w:sz w:val="26"/>
          <w:szCs w:val="26"/>
        </w:rPr>
        <w:t xml:space="preserve">  Transmission Provider may reduce Interconnection Service or disconnect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when such, reduction or disconnection is necessary under Good Utility Practice due to Emergency Conditions.  These rights are separate and distinct from any right of curtailment of Transmission Provider pursuant to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When Transmission Provider can schedule the reduction or disconnection in advance, Transmission Provider shall notify Interconnection Customer of the reasons, timing and expected duration of the reduction or disconnection.  Transmission Provider shall coordinate with Interconnection Customer using Good Utility Practice to schedule the reduction or disconnection during periods of least impact to Interconnection Customer and Transmission Provider.  Any reduction or disconnection shall continue only for so long as reasonably necessary under Good Utility Practice.  The Parties shall cooperate with each other to restore the Large Generating Facility, the Interconnection Facilities, and the Transmission System to their normal operating state as soon as practicable consistent with Good Utility Practice.</w:t>
      </w:r>
    </w:p>
    <w:p w:rsidR="00F3594B" w:rsidRPr="0072600F" w14:paraId="27431A26" w14:textId="77777777">
      <w:pPr>
        <w:rPr>
          <w:rFonts w:ascii="Times New Roman" w:hAnsi="Times New Roman" w:cs="Times New Roman"/>
          <w:sz w:val="26"/>
          <w:szCs w:val="26"/>
        </w:rPr>
      </w:pPr>
    </w:p>
    <w:p w:rsidR="00F3594B" w:rsidRPr="0072600F" w14:paraId="544EEA50" w14:textId="77777777">
      <w:pPr>
        <w:tabs>
          <w:tab w:val="left" w:pos="720"/>
        </w:tabs>
        <w:ind w:left="720" w:hanging="720"/>
        <w:rPr>
          <w:rFonts w:ascii="Times New Roman" w:hAnsi="Times New Roman" w:cs="Times New Roman"/>
          <w:sz w:val="26"/>
          <w:szCs w:val="26"/>
        </w:rPr>
      </w:pPr>
      <w:bookmarkStart w:id="592" w:name="_Toc148703409"/>
      <w:r w:rsidRPr="0072600F">
        <w:rPr>
          <w:rStyle w:val="Heading2Char"/>
          <w:rFonts w:eastAsiaTheme="minorHAnsi"/>
          <w:b/>
          <w:sz w:val="26"/>
          <w:szCs w:val="26"/>
        </w:rPr>
        <w:t>13.6</w:t>
      </w:r>
      <w:r w:rsidRPr="0072600F">
        <w:rPr>
          <w:rStyle w:val="Heading2Char"/>
          <w:rFonts w:eastAsiaTheme="minorHAnsi"/>
          <w:b/>
          <w:sz w:val="26"/>
          <w:szCs w:val="26"/>
        </w:rPr>
        <w:tab/>
        <w:t>Interconnection Customer Authority.</w:t>
      </w:r>
      <w:bookmarkEnd w:id="592"/>
      <w:r w:rsidRPr="0072600F">
        <w:rPr>
          <w:rFonts w:ascii="Times New Roman" w:hAnsi="Times New Roman" w:cs="Times New Roman"/>
          <w:sz w:val="26"/>
          <w:szCs w:val="26"/>
        </w:rPr>
        <w:t xml:space="preserve">  Consistent with Good Utility Practice and the LGIA and the LGIP, Interconnection Customer may take actions or inactions with regard to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during an Emergency Condition in order to (</w:t>
      </w:r>
      <w:r w:rsidRPr="0072600F">
        <w:rPr>
          <w:rFonts w:ascii="Times New Roman" w:hAnsi="Times New Roman" w:cs="Times New Roman"/>
          <w:sz w:val="26"/>
          <w:szCs w:val="26"/>
        </w:rPr>
        <w:t>i</w:t>
      </w:r>
      <w:r w:rsidRPr="0072600F">
        <w:rPr>
          <w:rFonts w:ascii="Times New Roman" w:hAnsi="Times New Roman" w:cs="Times New Roman"/>
          <w:sz w:val="26"/>
          <w:szCs w:val="26"/>
        </w:rPr>
        <w:t>) preserve public health and safety, (ii) preserve the reliability of the Large Generating Facility or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(iii) limit or prevent damage, and (iv) expedite restoration of service.  Interconnection Customer shall use Reasonable Efforts to minimize the effect of such actions or inactions on the Transmission System and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Transmission Provider shall use Reasonable Efforts to assist Interconnection Customer in such actions.</w:t>
      </w:r>
    </w:p>
    <w:p w:rsidR="00F3594B" w:rsidRPr="0072600F" w14:paraId="727FD5FA" w14:textId="77777777">
      <w:pPr>
        <w:rPr>
          <w:rFonts w:ascii="Times New Roman" w:hAnsi="Times New Roman" w:cs="Times New Roman"/>
          <w:sz w:val="26"/>
          <w:szCs w:val="26"/>
        </w:rPr>
      </w:pPr>
    </w:p>
    <w:p w:rsidR="00F3594B" w:rsidRPr="0072600F" w14:paraId="2D40CCA3" w14:textId="77777777">
      <w:pPr>
        <w:tabs>
          <w:tab w:val="left" w:pos="720"/>
        </w:tabs>
        <w:ind w:left="720" w:hanging="720"/>
        <w:rPr>
          <w:rFonts w:ascii="Times New Roman" w:hAnsi="Times New Roman" w:cs="Times New Roman"/>
          <w:sz w:val="26"/>
          <w:szCs w:val="26"/>
        </w:rPr>
      </w:pPr>
      <w:bookmarkStart w:id="593" w:name="_Toc148703410"/>
      <w:r w:rsidRPr="0072600F">
        <w:rPr>
          <w:rStyle w:val="Heading2Char"/>
          <w:rFonts w:eastAsiaTheme="minorHAnsi"/>
          <w:b/>
          <w:sz w:val="26"/>
          <w:szCs w:val="26"/>
        </w:rPr>
        <w:t>13.7</w:t>
      </w:r>
      <w:r w:rsidRPr="0072600F">
        <w:rPr>
          <w:rStyle w:val="Heading2Char"/>
          <w:rFonts w:eastAsiaTheme="minorHAnsi"/>
          <w:b/>
          <w:sz w:val="26"/>
          <w:szCs w:val="26"/>
        </w:rPr>
        <w:tab/>
        <w:t>Limited Liability.</w:t>
      </w:r>
      <w:bookmarkEnd w:id="593"/>
      <w:r w:rsidRPr="0072600F">
        <w:rPr>
          <w:rFonts w:ascii="Times New Roman" w:hAnsi="Times New Roman" w:cs="Times New Roman"/>
          <w:sz w:val="26"/>
          <w:szCs w:val="26"/>
        </w:rPr>
        <w:t xml:space="preserve">  Except as otherwise provided in Article 11.6.1 of this LGIA, neither Party shall be liable to the other for any action it takes in responding to an Emergency Condition so long as such action is made in good faith and is consistent with Good Utility Practice.</w:t>
      </w:r>
    </w:p>
    <w:p w:rsidR="00F3594B" w:rsidRPr="0072600F" w14:paraId="29F74396" w14:textId="77777777">
      <w:pPr>
        <w:rPr>
          <w:rFonts w:ascii="Times New Roman" w:hAnsi="Times New Roman" w:cs="Times New Roman"/>
          <w:sz w:val="26"/>
          <w:szCs w:val="26"/>
        </w:rPr>
      </w:pPr>
    </w:p>
    <w:p w:rsidR="00F3594B" w:rsidRPr="0072600F" w14:paraId="0DE89814" w14:textId="77777777">
      <w:pPr>
        <w:rPr>
          <w:rFonts w:ascii="Times New Roman" w:hAnsi="Times New Roman" w:cs="Times New Roman"/>
          <w:sz w:val="26"/>
          <w:szCs w:val="26"/>
        </w:rPr>
      </w:pPr>
    </w:p>
    <w:p w:rsidR="00F3594B" w:rsidRPr="0072600F" w:rsidP="00496F6D" w14:paraId="2F1EEECA" w14:textId="77777777">
      <w:pPr>
        <w:pStyle w:val="Heading2"/>
        <w:rPr>
          <w:b/>
          <w:bCs/>
          <w:sz w:val="26"/>
          <w:szCs w:val="26"/>
        </w:rPr>
      </w:pPr>
      <w:bookmarkStart w:id="594" w:name="_Toc148703411"/>
      <w:r w:rsidRPr="0072600F">
        <w:rPr>
          <w:b/>
          <w:bCs/>
          <w:sz w:val="26"/>
          <w:szCs w:val="26"/>
        </w:rPr>
        <w:t>Article 14.</w:t>
      </w:r>
      <w:r w:rsidRPr="0072600F">
        <w:rPr>
          <w:b/>
          <w:bCs/>
          <w:sz w:val="26"/>
          <w:szCs w:val="26"/>
        </w:rPr>
        <w:tab/>
        <w:t>Regulatory Requirements and Governing Law</w:t>
      </w:r>
      <w:bookmarkEnd w:id="594"/>
    </w:p>
    <w:p w:rsidR="00F3594B" w:rsidRPr="0072600F" w:rsidP="00DF3C54" w14:paraId="50BB85B6" w14:textId="77777777">
      <w:pPr>
        <w:ind w:left="720" w:hanging="720"/>
        <w:rPr>
          <w:rFonts w:ascii="Times New Roman" w:hAnsi="Times New Roman" w:cs="Times New Roman"/>
          <w:sz w:val="26"/>
          <w:szCs w:val="26"/>
        </w:rPr>
      </w:pPr>
      <w:r w:rsidRPr="0072600F">
        <w:rPr>
          <w:rStyle w:val="Heading2Char"/>
          <w:rFonts w:eastAsiaTheme="minorHAnsi"/>
          <w:b/>
          <w:sz w:val="26"/>
          <w:szCs w:val="26"/>
        </w:rPr>
        <w:cr/>
      </w:r>
      <w:bookmarkStart w:id="595" w:name="_Toc148703412"/>
      <w:r w:rsidRPr="0072600F">
        <w:rPr>
          <w:rStyle w:val="Heading2Char"/>
          <w:rFonts w:eastAsiaTheme="minorHAnsi"/>
          <w:b/>
          <w:sz w:val="26"/>
          <w:szCs w:val="26"/>
        </w:rPr>
        <w:t>14.1</w:t>
      </w:r>
      <w:r w:rsidRPr="0072600F">
        <w:rPr>
          <w:rStyle w:val="Heading2Char"/>
          <w:rFonts w:eastAsiaTheme="minorHAnsi"/>
          <w:b/>
          <w:sz w:val="26"/>
          <w:szCs w:val="26"/>
        </w:rPr>
        <w:tab/>
        <w:t>Regulatory Requirements.</w:t>
      </w:r>
      <w:bookmarkEnd w:id="595"/>
      <w:r w:rsidRPr="0072600F">
        <w:rPr>
          <w:rFonts w:ascii="Times New Roman" w:hAnsi="Times New Roman" w:cs="Times New Roman"/>
          <w:sz w:val="26"/>
          <w:szCs w:val="26"/>
        </w:rPr>
        <w:t xml:space="preserve">  Each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obligations under this LGIA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LGIA shall require Interconnection Customer to take any action that could result in its inability to obtain, or its loss of, status or exemption under the Federal Power Act, the Public Utility Holding Company Act of 1935, as amended, or the Public Utility Regulatory Policies Act of 1978.</w:t>
      </w:r>
    </w:p>
    <w:p w:rsidR="00F3594B" w:rsidRPr="0072600F" w14:paraId="45057826" w14:textId="77777777">
      <w:pPr>
        <w:rPr>
          <w:rFonts w:ascii="Times New Roman" w:hAnsi="Times New Roman" w:cs="Times New Roman"/>
          <w:sz w:val="26"/>
          <w:szCs w:val="26"/>
        </w:rPr>
      </w:pPr>
    </w:p>
    <w:p w:rsidR="00F3594B" w:rsidRPr="0072600F" w:rsidP="00496F6D" w14:paraId="7DDF2C42" w14:textId="77777777">
      <w:pPr>
        <w:pStyle w:val="FERCNopara"/>
        <w:ind w:firstLine="0"/>
        <w:rPr>
          <w:b/>
          <w:sz w:val="26"/>
          <w:szCs w:val="26"/>
        </w:rPr>
      </w:pPr>
      <w:bookmarkStart w:id="596" w:name="_Toc148703413"/>
      <w:r w:rsidRPr="0072600F">
        <w:rPr>
          <w:b/>
          <w:sz w:val="26"/>
          <w:szCs w:val="26"/>
        </w:rPr>
        <w:t>14.2</w:t>
      </w:r>
      <w:r w:rsidRPr="0072600F">
        <w:rPr>
          <w:b/>
          <w:sz w:val="26"/>
          <w:szCs w:val="26"/>
        </w:rPr>
        <w:tab/>
        <w:t>Governing Law.</w:t>
      </w:r>
      <w:bookmarkEnd w:id="596"/>
    </w:p>
    <w:p w:rsidR="00F3594B" w:rsidRPr="0072600F" w14:paraId="75B1D3BD" w14:textId="77777777">
      <w:pPr>
        <w:ind w:left="720"/>
        <w:rPr>
          <w:rFonts w:ascii="Times New Roman" w:hAnsi="Times New Roman" w:cs="Times New Roman"/>
          <w:sz w:val="26"/>
          <w:szCs w:val="26"/>
        </w:rPr>
      </w:pPr>
    </w:p>
    <w:p w:rsidR="00F3594B" w:rsidRPr="0072600F" w14:paraId="4214EBED"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t>14.2.1</w:t>
      </w:r>
      <w:r w:rsidRPr="0072600F">
        <w:rPr>
          <w:rFonts w:ascii="Times New Roman" w:hAnsi="Times New Roman" w:cs="Times New Roman"/>
          <w:b/>
          <w:bCs/>
          <w:sz w:val="26"/>
          <w:szCs w:val="26"/>
        </w:rPr>
        <w:tab/>
      </w:r>
      <w:r w:rsidRPr="0072600F">
        <w:rPr>
          <w:rFonts w:ascii="Times New Roman" w:hAnsi="Times New Roman" w:cs="Times New Roman"/>
          <w:sz w:val="26"/>
          <w:szCs w:val="26"/>
        </w:rPr>
        <w:tab/>
        <w:t>The validity, interpretation and performance of this LGIA and each of its provisions shall be governed by the laws of the state where the Point of Interconnection is located, without regard to its conflicts of law principles.</w:t>
      </w:r>
    </w:p>
    <w:p w:rsidR="00F3594B" w:rsidRPr="0072600F" w14:paraId="37ABBD16" w14:textId="77777777">
      <w:pPr>
        <w:rPr>
          <w:rFonts w:ascii="Times New Roman" w:hAnsi="Times New Roman" w:cs="Times New Roman"/>
          <w:sz w:val="26"/>
          <w:szCs w:val="26"/>
        </w:rPr>
      </w:pPr>
    </w:p>
    <w:p w:rsidR="00F3594B" w:rsidRPr="0072600F" w14:paraId="5281D49A"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t>14.2.2</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This LGIA is subject to all Applicable Laws and Regulations.</w:t>
      </w:r>
    </w:p>
    <w:p w:rsidR="00F3594B" w:rsidRPr="0072600F" w14:paraId="59C5E917" w14:textId="77777777">
      <w:pPr>
        <w:rPr>
          <w:rFonts w:ascii="Times New Roman" w:hAnsi="Times New Roman" w:cs="Times New Roman"/>
          <w:sz w:val="26"/>
          <w:szCs w:val="26"/>
        </w:rPr>
      </w:pPr>
    </w:p>
    <w:p w:rsidR="00F3594B" w:rsidRPr="0072600F" w14:paraId="188C0CB2"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14.2.3</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Each Party expressly reserves the right to seek changes in, appeal, or otherwise contest any laws, orders, rules, or regulations of a Governmental Authority.</w:t>
      </w:r>
    </w:p>
    <w:p w:rsidR="00F3594B" w:rsidRPr="0072600F" w14:paraId="4FCFCD5F" w14:textId="77777777">
      <w:pPr>
        <w:rPr>
          <w:rFonts w:ascii="Times New Roman" w:hAnsi="Times New Roman" w:cs="Times New Roman"/>
          <w:sz w:val="26"/>
          <w:szCs w:val="26"/>
        </w:rPr>
      </w:pPr>
    </w:p>
    <w:p w:rsidR="00F3594B" w:rsidRPr="0072600F" w:rsidP="00496F6D" w14:paraId="7206A501" w14:textId="77777777">
      <w:pPr>
        <w:pStyle w:val="Heading2"/>
        <w:rPr>
          <w:b/>
          <w:bCs/>
          <w:sz w:val="26"/>
          <w:szCs w:val="26"/>
        </w:rPr>
      </w:pPr>
      <w:bookmarkStart w:id="597" w:name="_Toc148703414"/>
      <w:r w:rsidRPr="0072600F">
        <w:rPr>
          <w:b/>
          <w:bCs/>
          <w:sz w:val="26"/>
          <w:szCs w:val="26"/>
        </w:rPr>
        <w:t>Article 15.</w:t>
      </w:r>
      <w:r w:rsidRPr="0072600F">
        <w:rPr>
          <w:b/>
          <w:bCs/>
          <w:sz w:val="26"/>
          <w:szCs w:val="26"/>
        </w:rPr>
        <w:tab/>
        <w:t>Notices.</w:t>
      </w:r>
      <w:bookmarkEnd w:id="597"/>
    </w:p>
    <w:p w:rsidR="00F3594B" w:rsidRPr="0072600F" w14:paraId="03F4FBFF" w14:textId="77777777">
      <w:pPr>
        <w:rPr>
          <w:rFonts w:ascii="Times New Roman" w:hAnsi="Times New Roman" w:cs="Times New Roman"/>
          <w:sz w:val="26"/>
          <w:szCs w:val="26"/>
        </w:rPr>
      </w:pPr>
    </w:p>
    <w:p w:rsidR="00F3594B" w:rsidRPr="0072600F" w14:paraId="68741703" w14:textId="77777777">
      <w:pPr>
        <w:tabs>
          <w:tab w:val="left" w:pos="720"/>
        </w:tabs>
        <w:ind w:left="720" w:hanging="720"/>
        <w:rPr>
          <w:rFonts w:ascii="Times New Roman" w:hAnsi="Times New Roman" w:cs="Times New Roman"/>
          <w:sz w:val="26"/>
          <w:szCs w:val="26"/>
        </w:rPr>
      </w:pPr>
      <w:bookmarkStart w:id="598" w:name="_Toc148703415"/>
      <w:r w:rsidRPr="0072600F">
        <w:rPr>
          <w:rStyle w:val="Heading2Char"/>
          <w:rFonts w:eastAsiaTheme="minorHAnsi"/>
          <w:b/>
          <w:sz w:val="26"/>
          <w:szCs w:val="26"/>
        </w:rPr>
        <w:t>15.1</w:t>
      </w:r>
      <w:r w:rsidRPr="0072600F">
        <w:rPr>
          <w:rStyle w:val="Heading2Char"/>
          <w:rFonts w:eastAsiaTheme="minorHAnsi"/>
          <w:b/>
          <w:sz w:val="26"/>
          <w:szCs w:val="26"/>
        </w:rPr>
        <w:tab/>
        <w:t>General.</w:t>
      </w:r>
      <w:bookmarkEnd w:id="598"/>
      <w:r w:rsidRPr="0072600F">
        <w:rPr>
          <w:rFonts w:ascii="Times New Roman" w:hAnsi="Times New Roman" w:cs="Times New Roman"/>
          <w:sz w:val="26"/>
          <w:szCs w:val="26"/>
        </w:rPr>
        <w:t xml:space="preserve">  Unless otherwise provided in this LGIA, any notice, demand or request required or permitted to be given by either Party to the other and any instrument required or permitted to be tendered or delivered by either Party in writing to the other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Addresses for Delivery of Notices and Billings.</w:t>
      </w:r>
    </w:p>
    <w:p w:rsidR="00F3594B" w:rsidRPr="0072600F" w14:paraId="48A3C2D4" w14:textId="77777777">
      <w:pPr>
        <w:rPr>
          <w:rFonts w:ascii="Times New Roman" w:hAnsi="Times New Roman" w:cs="Times New Roman"/>
          <w:sz w:val="26"/>
          <w:szCs w:val="26"/>
        </w:rPr>
      </w:pPr>
    </w:p>
    <w:p w:rsidR="00F3594B" w:rsidRPr="0072600F" w14:paraId="4D7618B4" w14:textId="77777777">
      <w:pPr>
        <w:ind w:left="720"/>
        <w:rPr>
          <w:rFonts w:ascii="Times New Roman" w:hAnsi="Times New Roman" w:cs="Times New Roman"/>
          <w:sz w:val="26"/>
          <w:szCs w:val="26"/>
        </w:rPr>
      </w:pPr>
      <w:r w:rsidRPr="0072600F">
        <w:rPr>
          <w:rFonts w:ascii="Times New Roman" w:hAnsi="Times New Roman" w:cs="Times New Roman"/>
          <w:sz w:val="26"/>
          <w:szCs w:val="26"/>
        </w:rPr>
        <w:t>Either Party may change the notice information in this LGIA by giving five (5) Business Days written notice prior to the effective date of the change.</w:t>
      </w:r>
    </w:p>
    <w:p w:rsidR="00F3594B" w:rsidRPr="0072600F" w14:paraId="469E9B7D" w14:textId="77777777">
      <w:pPr>
        <w:rPr>
          <w:rFonts w:ascii="Times New Roman" w:hAnsi="Times New Roman" w:cs="Times New Roman"/>
          <w:sz w:val="26"/>
          <w:szCs w:val="26"/>
        </w:rPr>
      </w:pPr>
    </w:p>
    <w:p w:rsidR="00F3594B" w:rsidRPr="0072600F" w14:paraId="4DBFEC0B" w14:textId="77777777">
      <w:pPr>
        <w:tabs>
          <w:tab w:val="left" w:pos="720"/>
        </w:tabs>
        <w:ind w:left="720" w:hanging="720"/>
        <w:rPr>
          <w:rFonts w:ascii="Times New Roman" w:hAnsi="Times New Roman" w:cs="Times New Roman"/>
          <w:sz w:val="26"/>
          <w:szCs w:val="26"/>
        </w:rPr>
      </w:pPr>
      <w:bookmarkStart w:id="599" w:name="_Toc148703416"/>
      <w:r w:rsidRPr="0072600F">
        <w:rPr>
          <w:rStyle w:val="Heading2Char"/>
          <w:rFonts w:eastAsiaTheme="minorHAnsi"/>
          <w:b/>
          <w:sz w:val="26"/>
          <w:szCs w:val="26"/>
        </w:rPr>
        <w:t>15.2</w:t>
      </w:r>
      <w:r w:rsidRPr="0072600F">
        <w:rPr>
          <w:rStyle w:val="Heading2Char"/>
          <w:rFonts w:eastAsiaTheme="minorHAnsi"/>
          <w:b/>
          <w:sz w:val="26"/>
          <w:szCs w:val="26"/>
        </w:rPr>
        <w:tab/>
        <w:t>Billings and Payments.</w:t>
      </w:r>
      <w:bookmarkEnd w:id="599"/>
      <w:r w:rsidRPr="0072600F">
        <w:rPr>
          <w:rFonts w:ascii="Times New Roman" w:hAnsi="Times New Roman" w:cs="Times New Roman"/>
          <w:sz w:val="26"/>
          <w:szCs w:val="26"/>
        </w:rPr>
        <w:t xml:space="preserve">  Billings and payments shall be sent to the addresses set out in Appendix F.</w:t>
      </w:r>
    </w:p>
    <w:p w:rsidR="00F3594B" w:rsidRPr="0072600F" w14:paraId="56CF2F79" w14:textId="77777777">
      <w:pPr>
        <w:rPr>
          <w:rFonts w:ascii="Times New Roman" w:hAnsi="Times New Roman" w:cs="Times New Roman"/>
          <w:sz w:val="26"/>
          <w:szCs w:val="26"/>
        </w:rPr>
      </w:pPr>
    </w:p>
    <w:p w:rsidR="00F3594B" w:rsidRPr="0072600F" w14:paraId="655D07C0" w14:textId="77777777">
      <w:pPr>
        <w:tabs>
          <w:tab w:val="left" w:pos="720"/>
        </w:tabs>
        <w:ind w:left="720" w:hanging="720"/>
        <w:rPr>
          <w:rFonts w:ascii="Times New Roman" w:hAnsi="Times New Roman" w:cs="Times New Roman"/>
          <w:sz w:val="26"/>
          <w:szCs w:val="26"/>
        </w:rPr>
      </w:pPr>
      <w:bookmarkStart w:id="600" w:name="_Toc148703417"/>
      <w:r w:rsidRPr="0072600F">
        <w:rPr>
          <w:rStyle w:val="Heading2Char"/>
          <w:rFonts w:eastAsiaTheme="minorHAnsi"/>
          <w:b/>
          <w:sz w:val="26"/>
          <w:szCs w:val="26"/>
        </w:rPr>
        <w:t>15.3</w:t>
      </w:r>
      <w:r w:rsidRPr="0072600F">
        <w:rPr>
          <w:rStyle w:val="Heading2Char"/>
          <w:rFonts w:eastAsiaTheme="minorHAnsi"/>
          <w:b/>
          <w:sz w:val="26"/>
          <w:szCs w:val="26"/>
        </w:rPr>
        <w:tab/>
        <w:t>Alternative Forms of Notice.</w:t>
      </w:r>
      <w:bookmarkEnd w:id="600"/>
      <w:r w:rsidRPr="0072600F">
        <w:rPr>
          <w:rFonts w:ascii="Times New Roman" w:hAnsi="Times New Roman" w:cs="Times New Roman"/>
          <w:sz w:val="26"/>
          <w:szCs w:val="26"/>
        </w:rPr>
        <w:t xml:space="preserve">  Any notice or request required or permitted to be given by a Party to the other and not required by this Agreement to be given in writing may be so given by telephone, facsimile or email to the telephone numbers and email addresses set out in Appendix F.</w:t>
      </w:r>
    </w:p>
    <w:p w:rsidR="00F3594B" w:rsidRPr="0072600F" w14:paraId="3CFF45F0" w14:textId="77777777">
      <w:pPr>
        <w:rPr>
          <w:rFonts w:ascii="Times New Roman" w:hAnsi="Times New Roman" w:cs="Times New Roman"/>
          <w:sz w:val="26"/>
          <w:szCs w:val="26"/>
        </w:rPr>
      </w:pPr>
    </w:p>
    <w:p w:rsidR="00F3594B" w:rsidRPr="0072600F" w14:paraId="282AE553" w14:textId="77777777">
      <w:pPr>
        <w:tabs>
          <w:tab w:val="left" w:pos="720"/>
        </w:tabs>
        <w:ind w:left="720" w:hanging="720"/>
        <w:rPr>
          <w:rFonts w:ascii="Times New Roman" w:hAnsi="Times New Roman" w:cs="Times New Roman"/>
          <w:sz w:val="26"/>
          <w:szCs w:val="26"/>
        </w:rPr>
      </w:pPr>
      <w:bookmarkStart w:id="601" w:name="_Toc148703418"/>
      <w:r w:rsidRPr="0072600F">
        <w:rPr>
          <w:rStyle w:val="Heading2Char"/>
          <w:rFonts w:eastAsiaTheme="minorHAnsi"/>
          <w:b/>
          <w:sz w:val="26"/>
          <w:szCs w:val="26"/>
        </w:rPr>
        <w:t>15.4</w:t>
      </w:r>
      <w:r w:rsidRPr="0072600F">
        <w:rPr>
          <w:rStyle w:val="Heading2Char"/>
          <w:rFonts w:eastAsiaTheme="minorHAnsi"/>
          <w:b/>
          <w:sz w:val="26"/>
          <w:szCs w:val="26"/>
        </w:rPr>
        <w:tab/>
        <w:t>Operations and Maintenance Notice</w:t>
      </w:r>
      <w:r w:rsidRPr="0072600F">
        <w:rPr>
          <w:rStyle w:val="Heading2Char"/>
          <w:rFonts w:eastAsiaTheme="minorHAnsi"/>
          <w:sz w:val="26"/>
          <w:szCs w:val="26"/>
        </w:rPr>
        <w:t>.</w:t>
      </w:r>
      <w:bookmarkEnd w:id="601"/>
      <w:r w:rsidRPr="0072600F">
        <w:rPr>
          <w:rFonts w:ascii="Times New Roman" w:hAnsi="Times New Roman" w:cs="Times New Roman"/>
          <w:sz w:val="26"/>
          <w:szCs w:val="26"/>
        </w:rPr>
        <w:t xml:space="preserve">  Each Party shall notify the other Party in writing of the identity of the person(s) that it designates as the point(s) of contact with respect to the implementation of Articles 9 and 10.</w:t>
      </w:r>
    </w:p>
    <w:p w:rsidR="00F3594B" w:rsidRPr="0072600F" w14:paraId="10AC7287" w14:textId="77777777">
      <w:pPr>
        <w:rPr>
          <w:rFonts w:ascii="Times New Roman" w:hAnsi="Times New Roman" w:cs="Times New Roman"/>
          <w:sz w:val="26"/>
          <w:szCs w:val="26"/>
        </w:rPr>
      </w:pPr>
    </w:p>
    <w:p w:rsidR="00F3594B" w:rsidRPr="0072600F" w:rsidP="00496F6D" w14:paraId="42B2628F" w14:textId="77777777">
      <w:pPr>
        <w:pStyle w:val="Heading2"/>
        <w:rPr>
          <w:b/>
          <w:bCs/>
          <w:sz w:val="26"/>
          <w:szCs w:val="26"/>
        </w:rPr>
      </w:pPr>
      <w:bookmarkStart w:id="602" w:name="_Toc148703419"/>
      <w:r w:rsidRPr="0072600F">
        <w:rPr>
          <w:b/>
          <w:bCs/>
          <w:sz w:val="26"/>
          <w:szCs w:val="26"/>
        </w:rPr>
        <w:t>Article 16.</w:t>
      </w:r>
      <w:r w:rsidRPr="0072600F">
        <w:rPr>
          <w:b/>
          <w:bCs/>
          <w:sz w:val="26"/>
          <w:szCs w:val="26"/>
        </w:rPr>
        <w:tab/>
        <w:t>Force Majeure</w:t>
      </w:r>
      <w:bookmarkEnd w:id="602"/>
    </w:p>
    <w:p w:rsidR="00F3594B" w:rsidRPr="0072600F" w14:paraId="507BE6A8" w14:textId="77777777">
      <w:pPr>
        <w:keepNext/>
        <w:rPr>
          <w:rFonts w:ascii="Times New Roman" w:hAnsi="Times New Roman" w:cs="Times New Roman"/>
          <w:sz w:val="26"/>
          <w:szCs w:val="26"/>
        </w:rPr>
      </w:pPr>
    </w:p>
    <w:p w:rsidR="00F3594B" w:rsidRPr="0072600F" w:rsidP="00496F6D" w14:paraId="3C4CABA6" w14:textId="77777777">
      <w:pPr>
        <w:pStyle w:val="FERCNopara"/>
        <w:ind w:firstLine="0"/>
        <w:rPr>
          <w:b/>
          <w:sz w:val="26"/>
          <w:szCs w:val="26"/>
        </w:rPr>
      </w:pPr>
      <w:bookmarkStart w:id="603" w:name="_Toc148703420"/>
      <w:r w:rsidRPr="0072600F">
        <w:rPr>
          <w:b/>
          <w:sz w:val="26"/>
          <w:szCs w:val="26"/>
        </w:rPr>
        <w:t>16.1</w:t>
      </w:r>
      <w:r w:rsidRPr="0072600F">
        <w:rPr>
          <w:b/>
          <w:sz w:val="26"/>
          <w:szCs w:val="26"/>
        </w:rPr>
        <w:tab/>
        <w:t>Force Majeure.</w:t>
      </w:r>
      <w:bookmarkEnd w:id="603"/>
    </w:p>
    <w:p w:rsidR="00F3594B" w:rsidRPr="0072600F" w14:paraId="6461D95E" w14:textId="77777777">
      <w:pPr>
        <w:keepNext/>
        <w:rPr>
          <w:rFonts w:ascii="Times New Roman" w:hAnsi="Times New Roman" w:cs="Times New Roman"/>
          <w:sz w:val="26"/>
          <w:szCs w:val="26"/>
        </w:rPr>
      </w:pPr>
    </w:p>
    <w:p w:rsidR="00F3594B" w:rsidRPr="0072600F" w14:paraId="18DCD1BA" w14:textId="77777777">
      <w:pPr>
        <w:keepNext/>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16.1.1</w:t>
      </w:r>
      <w:r w:rsidRPr="0072600F">
        <w:rPr>
          <w:rFonts w:ascii="Times New Roman" w:hAnsi="Times New Roman" w:cs="Times New Roman"/>
          <w:sz w:val="26"/>
          <w:szCs w:val="26"/>
        </w:rPr>
        <w:tab/>
      </w:r>
      <w:r w:rsidRPr="0072600F">
        <w:rPr>
          <w:rFonts w:ascii="Times New Roman" w:hAnsi="Times New Roman" w:cs="Times New Roman"/>
          <w:sz w:val="26"/>
          <w:szCs w:val="26"/>
        </w:rPr>
        <w:tab/>
        <w:t>Economic hardship is not considered a Force Majeure event.</w:t>
      </w:r>
    </w:p>
    <w:p w:rsidR="00F3594B" w:rsidRPr="0072600F" w14:paraId="6A669998" w14:textId="77777777">
      <w:pPr>
        <w:rPr>
          <w:rFonts w:ascii="Times New Roman" w:hAnsi="Times New Roman" w:cs="Times New Roman"/>
          <w:sz w:val="26"/>
          <w:szCs w:val="26"/>
        </w:rPr>
      </w:pPr>
    </w:p>
    <w:p w:rsidR="00F3594B" w:rsidRPr="0072600F" w:rsidP="00496F6D" w14:paraId="7D1F51ED"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16.1.2</w:t>
      </w:r>
      <w:r w:rsidRPr="0072600F">
        <w:rPr>
          <w:rFonts w:ascii="Times New Roman" w:hAnsi="Times New Roman" w:cs="Times New Roman"/>
          <w:b/>
          <w:bCs/>
          <w:sz w:val="26"/>
          <w:szCs w:val="26"/>
        </w:rPr>
        <w:tab/>
      </w:r>
      <w:r w:rsidRPr="0072600F">
        <w:rPr>
          <w:rFonts w:ascii="Times New Roman" w:hAnsi="Times New Roman" w:cs="Times New Roman"/>
          <w:sz w:val="26"/>
          <w:szCs w:val="26"/>
        </w:rPr>
        <w:tab/>
        <w:t>Neither Party shall be considered to be in Default with respect to any obligation hereunder, (including obligations under Article 4), other than the obligation to pay money when due, if prevented from fulfilling such obligation by Force Majeure.  A Party unable to fulfill any obligation hereunder (other than an obligation to pay money when due) by reason of Force Majeure shall give notice and the full particulars of such Force Majeure to the other Party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F3594B" w:rsidRPr="0072600F" w14:paraId="3596FF03" w14:textId="77777777">
      <w:pPr>
        <w:rPr>
          <w:rFonts w:ascii="Times New Roman" w:hAnsi="Times New Roman" w:cs="Times New Roman"/>
          <w:sz w:val="26"/>
          <w:szCs w:val="26"/>
        </w:rPr>
      </w:pPr>
    </w:p>
    <w:p w:rsidR="00F3594B" w:rsidRPr="0072600F" w:rsidP="00496F6D" w14:paraId="7CC1F120" w14:textId="77777777">
      <w:pPr>
        <w:pStyle w:val="Heading2"/>
        <w:rPr>
          <w:b/>
          <w:bCs/>
          <w:sz w:val="26"/>
          <w:szCs w:val="26"/>
        </w:rPr>
      </w:pPr>
      <w:bookmarkStart w:id="604" w:name="_Toc148703421"/>
      <w:r w:rsidRPr="0072600F">
        <w:rPr>
          <w:b/>
          <w:bCs/>
          <w:sz w:val="26"/>
          <w:szCs w:val="26"/>
        </w:rPr>
        <w:t>Article 17.</w:t>
      </w:r>
      <w:r w:rsidRPr="0072600F">
        <w:rPr>
          <w:b/>
          <w:bCs/>
          <w:sz w:val="26"/>
          <w:szCs w:val="26"/>
        </w:rPr>
        <w:tab/>
        <w:t>Default</w:t>
      </w:r>
      <w:bookmarkEnd w:id="604"/>
    </w:p>
    <w:p w:rsidR="00F3594B" w:rsidRPr="0072600F" w14:paraId="374C4D10" w14:textId="77777777">
      <w:pPr>
        <w:rPr>
          <w:rFonts w:ascii="Times New Roman" w:hAnsi="Times New Roman" w:cs="Times New Roman"/>
          <w:sz w:val="26"/>
          <w:szCs w:val="26"/>
        </w:rPr>
      </w:pPr>
    </w:p>
    <w:p w:rsidR="00F3594B" w:rsidRPr="0072600F" w:rsidP="00241CF1" w14:paraId="05354325" w14:textId="77777777">
      <w:pPr>
        <w:pStyle w:val="FERCNopara"/>
        <w:ind w:firstLine="0"/>
        <w:rPr>
          <w:b/>
          <w:sz w:val="26"/>
          <w:szCs w:val="26"/>
        </w:rPr>
      </w:pPr>
      <w:bookmarkStart w:id="605" w:name="_Toc148703422"/>
      <w:r w:rsidRPr="0072600F">
        <w:rPr>
          <w:b/>
          <w:sz w:val="26"/>
          <w:szCs w:val="26"/>
        </w:rPr>
        <w:t>17.1</w:t>
      </w:r>
      <w:r w:rsidRPr="0072600F">
        <w:rPr>
          <w:b/>
          <w:sz w:val="26"/>
          <w:szCs w:val="26"/>
        </w:rPr>
        <w:tab/>
        <w:t>Default</w:t>
      </w:r>
      <w:bookmarkEnd w:id="605"/>
    </w:p>
    <w:p w:rsidR="00F3594B" w:rsidRPr="0072600F" w14:paraId="675D9E3B" w14:textId="77777777">
      <w:pPr>
        <w:rPr>
          <w:rFonts w:ascii="Times New Roman" w:hAnsi="Times New Roman" w:cs="Times New Roman"/>
          <w:sz w:val="26"/>
          <w:szCs w:val="26"/>
        </w:rPr>
      </w:pPr>
    </w:p>
    <w:p w:rsidR="00F3594B" w:rsidRPr="0072600F" w14:paraId="0D8C3BB1"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06" w:name="_Toc148703423"/>
      <w:r w:rsidRPr="0072600F">
        <w:rPr>
          <w:rStyle w:val="Heading3Char"/>
          <w:rFonts w:eastAsiaTheme="minorHAnsi"/>
          <w:b/>
          <w:sz w:val="26"/>
        </w:rPr>
        <w:t>17.1.1</w:t>
      </w:r>
      <w:r w:rsidRPr="0072600F">
        <w:rPr>
          <w:rStyle w:val="Heading3Char"/>
          <w:rFonts w:eastAsiaTheme="minorHAnsi"/>
          <w:b/>
          <w:sz w:val="26"/>
        </w:rPr>
        <w:tab/>
      </w:r>
      <w:r w:rsidRPr="0072600F">
        <w:rPr>
          <w:rStyle w:val="Heading3Char"/>
          <w:rFonts w:eastAsiaTheme="minorHAnsi"/>
          <w:b/>
          <w:sz w:val="26"/>
        </w:rPr>
        <w:tab/>
        <w:t>General</w:t>
      </w:r>
      <w:r w:rsidRPr="0072600F">
        <w:rPr>
          <w:rStyle w:val="Heading3Char"/>
          <w:rFonts w:eastAsiaTheme="minorHAnsi"/>
          <w:sz w:val="26"/>
        </w:rPr>
        <w:t>.</w:t>
      </w:r>
      <w:bookmarkEnd w:id="606"/>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No Default shall exist where such failure to discharge an obligation (other than the payment of money) is the result of Force Majeure as defined in this LGIA or the result of an act of omission of the other Party.  Upon a Breach, the non-breaching Party shall give written notice of such Breach to the breaching Party.  Except as provided in Article 17.1.2, the breaching Party shall have thirty (30) Calendar Days from receipt of the Default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Default notice; and, if cured within such time, the Breach specified in such notice shall cease to exist.</w:t>
      </w:r>
    </w:p>
    <w:p w:rsidR="00F3594B" w:rsidRPr="0072600F" w14:paraId="57DAAB3F" w14:textId="77777777">
      <w:pPr>
        <w:rPr>
          <w:rFonts w:ascii="Times New Roman" w:hAnsi="Times New Roman" w:cs="Times New Roman"/>
          <w:sz w:val="26"/>
          <w:szCs w:val="26"/>
        </w:rPr>
      </w:pPr>
    </w:p>
    <w:p w:rsidR="00F3594B" w:rsidRPr="0072600F" w14:paraId="7AE887B2"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07" w:name="_1_"/>
      <w:bookmarkStart w:id="608" w:name="_Toc148703424"/>
      <w:bookmarkEnd w:id="607"/>
      <w:r w:rsidRPr="0072600F">
        <w:rPr>
          <w:rStyle w:val="Heading3Char"/>
          <w:rFonts w:eastAsiaTheme="minorHAnsi"/>
          <w:b/>
          <w:sz w:val="26"/>
        </w:rPr>
        <w:t>17.1.2</w:t>
      </w:r>
      <w:r w:rsidRPr="0072600F">
        <w:rPr>
          <w:rStyle w:val="Heading3Char"/>
          <w:rFonts w:eastAsiaTheme="minorHAnsi"/>
          <w:b/>
          <w:sz w:val="26"/>
        </w:rPr>
        <w:tab/>
      </w:r>
      <w:r w:rsidRPr="0072600F">
        <w:rPr>
          <w:rStyle w:val="Heading3Char"/>
          <w:rFonts w:eastAsiaTheme="minorHAnsi"/>
          <w:b/>
          <w:sz w:val="26"/>
        </w:rPr>
        <w:tab/>
        <w:t>Right to Terminate.</w:t>
      </w:r>
      <w:bookmarkEnd w:id="608"/>
      <w:r w:rsidRPr="0072600F">
        <w:rPr>
          <w:rFonts w:ascii="Times New Roman" w:hAnsi="Times New Roman" w:cs="Times New Roman"/>
          <w:sz w:val="26"/>
          <w:szCs w:val="26"/>
        </w:rPr>
        <w:t xml:space="preserve">  If a Breach is not cured as provided in this article, or if a Breach is not capable of being cured within the period provided for herein, the non-breaching Party shall have the right to declare a Default and terminate this LGIA by written notice at any time until cure occurs, and be relieved of any further obligation hereunder and, whether or not that Party terminates this LGIA, to recover from the breaching Party all amounts due hereunder, plus all other damages and remedies to which it is entitled at law or in equity.  The provisions of this article will survive termination of this LGIA.</w:t>
      </w:r>
    </w:p>
    <w:p w:rsidR="00F3594B" w:rsidRPr="0072600F" w14:paraId="45AAA283" w14:textId="77777777">
      <w:pPr>
        <w:tabs>
          <w:tab w:val="left" w:pos="720"/>
          <w:tab w:val="left" w:pos="1440"/>
          <w:tab w:val="left" w:pos="2160"/>
        </w:tabs>
        <w:ind w:left="2160" w:hanging="2160"/>
        <w:rPr>
          <w:rFonts w:ascii="Times New Roman" w:hAnsi="Times New Roman" w:cs="Times New Roman"/>
          <w:sz w:val="26"/>
          <w:szCs w:val="26"/>
        </w:rPr>
      </w:pPr>
    </w:p>
    <w:p w:rsidR="00F3594B" w:rsidRPr="0072600F" w14:paraId="3E295654" w14:textId="77777777">
      <w:pPr>
        <w:tabs>
          <w:tab w:val="left" w:pos="720"/>
        </w:tabs>
        <w:ind w:left="720" w:hanging="720"/>
        <w:rPr>
          <w:rFonts w:ascii="Times New Roman" w:hAnsi="Times New Roman" w:cs="Times New Roman"/>
          <w:sz w:val="26"/>
          <w:szCs w:val="26"/>
        </w:rPr>
      </w:pPr>
      <w:bookmarkStart w:id="609" w:name="_Toc148703425"/>
      <w:r w:rsidRPr="0072600F">
        <w:rPr>
          <w:rStyle w:val="Heading2Char"/>
          <w:rFonts w:eastAsiaTheme="minorHAnsi"/>
          <w:b/>
          <w:sz w:val="26"/>
          <w:szCs w:val="26"/>
        </w:rPr>
        <w:t>17.2</w:t>
      </w:r>
      <w:r w:rsidRPr="0072600F">
        <w:rPr>
          <w:rStyle w:val="Heading2Char"/>
          <w:rFonts w:eastAsiaTheme="minorHAnsi"/>
          <w:b/>
          <w:sz w:val="26"/>
          <w:szCs w:val="26"/>
        </w:rPr>
        <w:tab/>
        <w:t>Violation of Operating Assumptions for Generating Facilities.</w:t>
      </w:r>
      <w:bookmarkEnd w:id="609"/>
      <w:r w:rsidRPr="0072600F">
        <w:rPr>
          <w:rFonts w:ascii="Times New Roman" w:hAnsi="Times New Roman" w:cs="Times New Roman"/>
          <w:sz w:val="26"/>
          <w:szCs w:val="26"/>
        </w:rPr>
        <w:t xml:space="preserve">  If Transmission Provider requires Interconnection Customer to memorialize the operating assumptions for the charging behavior of a Generating Facility that includes at least one electric storage resource in Appendix H of this LGIA, Transmission Provider may consider Interconnection Customer to be in Breach of the LGIA if Interconnection Customer fails to operate the Generating Facility in accordance with those operating assumptions for charging behavior.  However, if Interconnection Customer operates contrary to the operating assumptions for charging behavior specified in Appendix H of this LGIA at the direction of Transmission Provider, Transmission Provider shall not consider Interconnection Customer in Breach of this LGIA.</w:t>
      </w:r>
    </w:p>
    <w:p w:rsidR="00F3594B" w:rsidRPr="0072600F" w14:paraId="52E1AD14" w14:textId="77777777">
      <w:pPr>
        <w:tabs>
          <w:tab w:val="left" w:pos="720"/>
          <w:tab w:val="left" w:pos="1440"/>
          <w:tab w:val="left" w:pos="2160"/>
        </w:tabs>
        <w:ind w:left="2160" w:hanging="2160"/>
        <w:rPr>
          <w:rFonts w:ascii="Times New Roman" w:hAnsi="Times New Roman" w:cs="Times New Roman"/>
          <w:b/>
          <w:bCs/>
          <w:sz w:val="26"/>
          <w:szCs w:val="26"/>
        </w:rPr>
      </w:pPr>
    </w:p>
    <w:p w:rsidR="00F3594B" w:rsidRPr="0072600F" w14:paraId="36B9CCEE" w14:textId="77777777">
      <w:pPr>
        <w:tabs>
          <w:tab w:val="left" w:pos="720"/>
          <w:tab w:val="left" w:pos="1440"/>
          <w:tab w:val="left" w:pos="2160"/>
        </w:tabs>
        <w:ind w:left="2160" w:hanging="2160"/>
        <w:rPr>
          <w:rFonts w:ascii="Times New Roman" w:hAnsi="Times New Roman" w:cs="Times New Roman"/>
          <w:b/>
          <w:bCs/>
          <w:sz w:val="26"/>
          <w:szCs w:val="26"/>
        </w:rPr>
      </w:pPr>
    </w:p>
    <w:p w:rsidR="00F3594B" w:rsidRPr="0072600F" w:rsidP="00235FF8" w14:paraId="10F7992F" w14:textId="77777777">
      <w:pPr>
        <w:pStyle w:val="Heading2"/>
        <w:rPr>
          <w:b/>
          <w:bCs/>
          <w:sz w:val="26"/>
          <w:szCs w:val="26"/>
        </w:rPr>
      </w:pPr>
      <w:r w:rsidRPr="0072600F">
        <w:rPr>
          <w:b/>
          <w:bCs/>
          <w:sz w:val="26"/>
          <w:szCs w:val="26"/>
          <w:lang w:val="en-CA"/>
        </w:rPr>
        <w:fldChar w:fldCharType="begin"/>
      </w:r>
      <w:r w:rsidRPr="0072600F">
        <w:rPr>
          <w:b/>
          <w:bCs/>
          <w:sz w:val="26"/>
          <w:szCs w:val="26"/>
          <w:lang w:val="en-CA"/>
        </w:rPr>
        <w:instrText xml:space="preserve"> SEQ CHAPTER \h \r 1</w:instrText>
      </w:r>
      <w:r w:rsidRPr="0072600F">
        <w:rPr>
          <w:b/>
          <w:bCs/>
          <w:sz w:val="26"/>
          <w:szCs w:val="26"/>
          <w:lang w:val="en-CA"/>
        </w:rPr>
        <w:fldChar w:fldCharType="separate"/>
      </w:r>
      <w:r w:rsidRPr="0072600F">
        <w:rPr>
          <w:b/>
          <w:bCs/>
          <w:sz w:val="26"/>
          <w:szCs w:val="26"/>
          <w:lang w:val="en-CA"/>
        </w:rPr>
        <w:fldChar w:fldCharType="end"/>
      </w:r>
      <w:bookmarkStart w:id="610" w:name="_Toc148703426"/>
      <w:r w:rsidRPr="0072600F">
        <w:rPr>
          <w:b/>
          <w:bCs/>
          <w:sz w:val="26"/>
          <w:szCs w:val="26"/>
        </w:rPr>
        <w:t>Article 18.</w:t>
      </w:r>
      <w:r w:rsidRPr="0072600F">
        <w:rPr>
          <w:b/>
          <w:bCs/>
          <w:sz w:val="26"/>
          <w:szCs w:val="26"/>
        </w:rPr>
        <w:tab/>
        <w:t>Indemnity, Consequential Damages and Insurance</w:t>
      </w:r>
      <w:bookmarkEnd w:id="610"/>
    </w:p>
    <w:p w:rsidR="00F3594B" w:rsidRPr="0072600F" w14:paraId="05BC67EF" w14:textId="77777777">
      <w:pPr>
        <w:rPr>
          <w:rFonts w:ascii="Times New Roman" w:hAnsi="Times New Roman" w:cs="Times New Roman"/>
          <w:sz w:val="26"/>
          <w:szCs w:val="26"/>
        </w:rPr>
      </w:pPr>
    </w:p>
    <w:p w:rsidR="00F3594B" w:rsidRPr="0072600F" w14:paraId="27EBF6B8" w14:textId="77777777">
      <w:pPr>
        <w:tabs>
          <w:tab w:val="left" w:pos="720"/>
        </w:tabs>
        <w:ind w:left="720" w:hanging="720"/>
        <w:rPr>
          <w:rFonts w:ascii="Times New Roman" w:hAnsi="Times New Roman" w:cs="Times New Roman"/>
          <w:sz w:val="26"/>
          <w:szCs w:val="26"/>
        </w:rPr>
      </w:pPr>
      <w:bookmarkStart w:id="611" w:name="_Toc148703427"/>
      <w:r w:rsidRPr="0072600F">
        <w:rPr>
          <w:rStyle w:val="Heading2Char"/>
          <w:rFonts w:eastAsiaTheme="minorHAnsi"/>
          <w:b/>
          <w:sz w:val="26"/>
          <w:szCs w:val="26"/>
        </w:rPr>
        <w:t>18.1</w:t>
      </w:r>
      <w:r w:rsidRPr="0072600F">
        <w:rPr>
          <w:rStyle w:val="Heading2Char"/>
          <w:rFonts w:eastAsiaTheme="minorHAnsi"/>
          <w:b/>
          <w:sz w:val="26"/>
          <w:szCs w:val="26"/>
        </w:rPr>
        <w:tab/>
        <w:t>Indemnity.</w:t>
      </w:r>
      <w:bookmarkEnd w:id="611"/>
      <w:r w:rsidRPr="0072600F">
        <w:rPr>
          <w:rFonts w:ascii="Times New Roman" w:hAnsi="Times New Roman" w:cs="Times New Roman"/>
          <w:sz w:val="26"/>
          <w:szCs w:val="26"/>
        </w:rPr>
        <w:t xml:space="preserve">  The Parties shall at all times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action or inactions of its obligations under this LGIA on behalf of the Indemnifying Party, except in cases of gross negligence or intentional wrongdoing by the indemnified Party.</w:t>
      </w:r>
    </w:p>
    <w:p w:rsidR="00F3594B" w:rsidRPr="0072600F" w14:paraId="2264C1D8" w14:textId="77777777">
      <w:pPr>
        <w:rPr>
          <w:rFonts w:ascii="Times New Roman" w:hAnsi="Times New Roman" w:cs="Times New Roman"/>
          <w:sz w:val="26"/>
          <w:szCs w:val="26"/>
        </w:rPr>
      </w:pPr>
    </w:p>
    <w:p w:rsidR="00F3594B" w:rsidRPr="0072600F" w14:paraId="0E6D3C83" w14:textId="77777777">
      <w:pPr>
        <w:tabs>
          <w:tab w:val="left" w:pos="720"/>
          <w:tab w:val="left" w:pos="1440"/>
          <w:tab w:val="left" w:pos="2160"/>
        </w:tabs>
        <w:ind w:left="2160" w:hanging="1440"/>
        <w:rPr>
          <w:rFonts w:ascii="Times New Roman" w:hAnsi="Times New Roman" w:cs="Times New Roman"/>
          <w:sz w:val="26"/>
          <w:szCs w:val="26"/>
        </w:rPr>
      </w:pPr>
      <w:bookmarkStart w:id="612" w:name="_Toc148703428"/>
      <w:r w:rsidRPr="0072600F">
        <w:rPr>
          <w:rStyle w:val="Heading3Char"/>
          <w:rFonts w:eastAsiaTheme="minorHAnsi"/>
          <w:b/>
          <w:sz w:val="26"/>
        </w:rPr>
        <w:t>18.1.1</w:t>
      </w:r>
      <w:r w:rsidRPr="0072600F">
        <w:rPr>
          <w:rStyle w:val="Heading3Char"/>
          <w:rFonts w:eastAsiaTheme="minorHAnsi"/>
          <w:b/>
          <w:sz w:val="26"/>
        </w:rPr>
        <w:tab/>
      </w:r>
      <w:r w:rsidRPr="0072600F">
        <w:rPr>
          <w:rStyle w:val="Heading3Char"/>
          <w:rFonts w:eastAsiaTheme="minorHAnsi"/>
          <w:b/>
          <w:sz w:val="26"/>
        </w:rPr>
        <w:tab/>
        <w:t>Indemnified Person.</w:t>
      </w:r>
      <w:bookmarkEnd w:id="612"/>
      <w:r w:rsidRPr="0072600F">
        <w:rPr>
          <w:rFonts w:ascii="Times New Roman" w:hAnsi="Times New Roman" w:cs="Times New Roman"/>
          <w:sz w:val="26"/>
          <w:szCs w:val="26"/>
        </w:rPr>
        <w:t xml:space="preserve">  If an Indemnified Person is entitled to indemnification under this Article 18 as a result of a claim by a third party, and the Indemnifying Party fails, after notice and reasonable opportunity to proceed under Article 18.1, to assume the defense of such claim, such Indemnified Person may at the expense of the Indemnifying Party contest, settle or consent to the entry of any judgment with respect to, or pay in full, such claim.</w:t>
      </w:r>
    </w:p>
    <w:p w:rsidR="00F3594B" w:rsidRPr="0072600F" w14:paraId="0FB7142E" w14:textId="77777777">
      <w:pPr>
        <w:rPr>
          <w:rFonts w:ascii="Times New Roman" w:hAnsi="Times New Roman" w:cs="Times New Roman"/>
          <w:sz w:val="26"/>
          <w:szCs w:val="26"/>
        </w:rPr>
      </w:pPr>
    </w:p>
    <w:p w:rsidR="00F3594B" w:rsidRPr="0072600F" w14:paraId="7D8DF117" w14:textId="77777777">
      <w:pPr>
        <w:tabs>
          <w:tab w:val="left" w:pos="720"/>
          <w:tab w:val="left" w:pos="1440"/>
          <w:tab w:val="left" w:pos="2160"/>
        </w:tabs>
        <w:ind w:left="2160" w:hanging="1440"/>
        <w:rPr>
          <w:rFonts w:ascii="Times New Roman" w:hAnsi="Times New Roman" w:cs="Times New Roman"/>
          <w:sz w:val="26"/>
          <w:szCs w:val="26"/>
        </w:rPr>
      </w:pPr>
      <w:bookmarkStart w:id="613" w:name="_Toc148703429"/>
      <w:r w:rsidRPr="0072600F">
        <w:rPr>
          <w:rStyle w:val="Heading3Char"/>
          <w:rFonts w:eastAsiaTheme="minorHAnsi"/>
          <w:b/>
          <w:sz w:val="26"/>
        </w:rPr>
        <w:t>18.1.2</w:t>
      </w:r>
      <w:r w:rsidRPr="0072600F">
        <w:rPr>
          <w:rStyle w:val="Heading3Char"/>
          <w:rFonts w:eastAsiaTheme="minorHAnsi"/>
          <w:b/>
          <w:sz w:val="26"/>
        </w:rPr>
        <w:tab/>
      </w:r>
      <w:r w:rsidRPr="0072600F">
        <w:rPr>
          <w:rStyle w:val="Heading3Char"/>
          <w:rFonts w:eastAsiaTheme="minorHAnsi"/>
          <w:b/>
          <w:sz w:val="26"/>
        </w:rPr>
        <w:tab/>
        <w:t>Indemnifying Party.</w:t>
      </w:r>
      <w:bookmarkEnd w:id="613"/>
      <w:r w:rsidRPr="0072600F">
        <w:rPr>
          <w:rFonts w:ascii="Times New Roman" w:hAnsi="Times New Roman" w:cs="Times New Roman"/>
          <w:sz w:val="26"/>
          <w:szCs w:val="26"/>
        </w:rPr>
        <w:t xml:space="preserve">  If an Indemnifying Party is obligated to indemnify and hold any Indemnified Person harmless under this Article 18, the amount owing to the Indemnified Person shall be the amount of such Indemnified Person</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actual Loss, net of any insurance or other recovery.</w:t>
      </w:r>
    </w:p>
    <w:p w:rsidR="00F3594B" w:rsidRPr="0072600F" w14:paraId="4966EB07" w14:textId="77777777">
      <w:pPr>
        <w:rPr>
          <w:rFonts w:ascii="Times New Roman" w:hAnsi="Times New Roman" w:cs="Times New Roman"/>
          <w:sz w:val="26"/>
          <w:szCs w:val="26"/>
        </w:rPr>
      </w:pPr>
    </w:p>
    <w:p w:rsidR="00F3594B" w:rsidRPr="0072600F" w14:paraId="0C534622" w14:textId="77777777">
      <w:pPr>
        <w:tabs>
          <w:tab w:val="left" w:pos="720"/>
          <w:tab w:val="left" w:pos="1440"/>
          <w:tab w:val="left" w:pos="2160"/>
        </w:tabs>
        <w:ind w:left="2160" w:hanging="1440"/>
        <w:rPr>
          <w:rFonts w:ascii="Times New Roman" w:hAnsi="Times New Roman" w:cs="Times New Roman"/>
          <w:sz w:val="26"/>
          <w:szCs w:val="26"/>
        </w:rPr>
      </w:pPr>
      <w:bookmarkStart w:id="614" w:name="_Toc148703430"/>
      <w:r w:rsidRPr="0072600F">
        <w:rPr>
          <w:rStyle w:val="Heading3Char"/>
          <w:rFonts w:eastAsiaTheme="minorHAnsi"/>
          <w:b/>
          <w:sz w:val="26"/>
        </w:rPr>
        <w:t>18.1.3</w:t>
      </w:r>
      <w:r w:rsidRPr="0072600F">
        <w:rPr>
          <w:rStyle w:val="Heading3Char"/>
          <w:rFonts w:eastAsiaTheme="minorHAnsi"/>
          <w:b/>
          <w:sz w:val="26"/>
        </w:rPr>
        <w:tab/>
      </w:r>
      <w:r w:rsidRPr="0072600F">
        <w:rPr>
          <w:rStyle w:val="Heading3Char"/>
          <w:rFonts w:eastAsiaTheme="minorHAnsi"/>
          <w:b/>
          <w:sz w:val="26"/>
        </w:rPr>
        <w:tab/>
        <w:t>Indemnity Procedures.</w:t>
      </w:r>
      <w:bookmarkEnd w:id="614"/>
      <w:r w:rsidRPr="0072600F">
        <w:rPr>
          <w:rFonts w:ascii="Times New Roman" w:hAnsi="Times New Roman" w:cs="Times New Roman"/>
          <w:sz w:val="26"/>
          <w:szCs w:val="26"/>
        </w:rPr>
        <w:t xml:space="preserve">  Promptly after receipt by an Indemnified Person of any claim or notice of the commencement of any action or administrative or legal proceeding or investigation as to which the indemnity provided for in Article 18.1 may apply, the Indemnified Person shall notify the Indemnifying Party of such fact.  Any failure of or delay in such notification shall not affect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indemnification obligation unless such failure or delay is materially prejudicial to the Indemnifying Party.</w:t>
      </w:r>
    </w:p>
    <w:p w:rsidR="00F3594B" w:rsidRPr="0072600F" w14:paraId="71B650FA" w14:textId="77777777">
      <w:pPr>
        <w:rPr>
          <w:rFonts w:ascii="Times New Roman" w:hAnsi="Times New Roman" w:cs="Times New Roman"/>
          <w:sz w:val="26"/>
          <w:szCs w:val="26"/>
        </w:rPr>
      </w:pPr>
    </w:p>
    <w:p w:rsidR="00F3594B" w:rsidRPr="0072600F" w14:paraId="7A4D83B9" w14:textId="77777777">
      <w:pPr>
        <w:ind w:left="2160"/>
        <w:rPr>
          <w:rFonts w:ascii="Times New Roman" w:hAnsi="Times New Roman" w:cs="Times New Roman"/>
          <w:sz w:val="26"/>
          <w:szCs w:val="26"/>
        </w:rPr>
      </w:pPr>
      <w:r w:rsidRPr="0072600F">
        <w:rPr>
          <w:rFonts w:ascii="Times New Roman" w:hAnsi="Times New Roman" w:cs="Times New Roman"/>
          <w:sz w:val="26"/>
          <w:szCs w:val="26"/>
        </w:rPr>
        <w:t>The Indemnifying Party shall have the right to assume the defense thereof with counsel designated by such Indemnifying Party and reasonably satisfactory to the Indemnified Person.  If the defendants in any such action include one or more Indemnified Persons and the Indemnifying Party and if the Indemnified Person reasonably concludes that there may be legal defenses available to it and/or other Indemnified Persons which are different from</w:t>
      </w:r>
      <w:r w:rsidRPr="0072600F" w:rsidR="002C0896">
        <w:rPr>
          <w:rFonts w:ascii="Times New Roman" w:hAnsi="Times New Roman" w:cs="Times New Roman"/>
          <w:sz w:val="26"/>
          <w:szCs w:val="26"/>
        </w:rPr>
        <w:t xml:space="preserve"> </w:t>
      </w:r>
      <w:r w:rsidRPr="0072600F">
        <w:rPr>
          <w:rFonts w:ascii="Times New Roman" w:hAnsi="Times New Roman" w:cs="Times New Roman"/>
          <w:sz w:val="26"/>
          <w:szCs w:val="26"/>
        </w:rPr>
        <w:t>or additional to those available to the Indemnifying Party, the Indemnified Person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Person or Indemnified Persons having such differing or additional legal defenses.</w:t>
      </w:r>
    </w:p>
    <w:p w:rsidR="00F3594B" w:rsidRPr="0072600F" w14:paraId="0AC3489F" w14:textId="77777777">
      <w:pPr>
        <w:rPr>
          <w:rFonts w:ascii="Times New Roman" w:hAnsi="Times New Roman" w:cs="Times New Roman"/>
          <w:sz w:val="26"/>
          <w:szCs w:val="26"/>
        </w:rPr>
      </w:pPr>
    </w:p>
    <w:p w:rsidR="00F3594B" w:rsidRPr="0072600F" w14:paraId="00C5AB58" w14:textId="77777777">
      <w:pPr>
        <w:ind w:left="2160"/>
        <w:rPr>
          <w:rFonts w:ascii="Times New Roman" w:hAnsi="Times New Roman" w:cs="Times New Roman"/>
          <w:sz w:val="26"/>
          <w:szCs w:val="26"/>
        </w:rPr>
      </w:pPr>
      <w:r w:rsidRPr="0072600F">
        <w:rPr>
          <w:rFonts w:ascii="Times New Roman" w:hAnsi="Times New Roman" w:cs="Times New Roman"/>
          <w:sz w:val="26"/>
          <w:szCs w:val="26"/>
        </w:rPr>
        <w:t>The Indemnified Person shall be entitled, at its expense, to participate in any such action, suit or proceeding, the defense of which has been assumed by the Indemnifying Party.  Notwithstanding the foregoing, the Indemnifying Party (</w:t>
      </w:r>
      <w:r w:rsidRPr="0072600F">
        <w:rPr>
          <w:rFonts w:ascii="Times New Roman" w:hAnsi="Times New Roman" w:cs="Times New Roman"/>
          <w:sz w:val="26"/>
          <w:szCs w:val="26"/>
        </w:rPr>
        <w:t>i</w:t>
      </w:r>
      <w:r w:rsidRPr="0072600F">
        <w:rPr>
          <w:rFonts w:ascii="Times New Roman" w:hAnsi="Times New Roman" w:cs="Times New Roman"/>
          <w:sz w:val="26"/>
          <w:szCs w:val="26"/>
        </w:rPr>
        <w:t>) shall not be entitled to assume and control the defense of any such action, suit or proceedings if and to the extent that, in the opinion of the Indemnified Person and its counsel, such action, suit or proceeding involves the potential imposition of criminal liability on the Indemnified Person, or there exists a conflict or adversity of interest between the Indemnified Person and the Indemnifying Party, in such event the Indemnifying Party shall pay the reasonable expenses of the Indemnified Person, and (ii) shall not settle or consent to the entry of any judgment in any action, suit or proceeding without the consent of the Indemnified Person, which shall not be reasonably withheld, conditioned or delayed.</w:t>
      </w:r>
    </w:p>
    <w:p w:rsidR="00F3594B" w:rsidRPr="0072600F" w14:paraId="3A4B0F8F" w14:textId="77777777">
      <w:pPr>
        <w:rPr>
          <w:rFonts w:ascii="Times New Roman" w:hAnsi="Times New Roman" w:cs="Times New Roman"/>
          <w:sz w:val="26"/>
          <w:szCs w:val="26"/>
        </w:rPr>
      </w:pPr>
    </w:p>
    <w:p w:rsidR="00F3594B" w:rsidRPr="0072600F" w14:paraId="6CA0AA74" w14:textId="77777777">
      <w:pPr>
        <w:tabs>
          <w:tab w:val="left" w:pos="720"/>
        </w:tabs>
        <w:ind w:left="720" w:hanging="720"/>
        <w:rPr>
          <w:rFonts w:ascii="Times New Roman" w:hAnsi="Times New Roman" w:cs="Times New Roman"/>
          <w:sz w:val="26"/>
          <w:szCs w:val="26"/>
        </w:rPr>
      </w:pPr>
      <w:bookmarkStart w:id="615" w:name="_Toc148703431"/>
      <w:r w:rsidRPr="0072600F">
        <w:rPr>
          <w:rStyle w:val="Heading2Char"/>
          <w:rFonts w:eastAsiaTheme="minorHAnsi"/>
          <w:b/>
          <w:sz w:val="26"/>
          <w:szCs w:val="26"/>
        </w:rPr>
        <w:t>18.2</w:t>
      </w:r>
      <w:r w:rsidRPr="0072600F">
        <w:rPr>
          <w:rStyle w:val="Heading2Char"/>
          <w:rFonts w:eastAsiaTheme="minorHAnsi"/>
          <w:b/>
          <w:sz w:val="26"/>
          <w:szCs w:val="26"/>
        </w:rPr>
        <w:tab/>
        <w:t>Consequential Damages.</w:t>
      </w:r>
      <w:bookmarkEnd w:id="615"/>
      <w:r w:rsidRPr="0072600F">
        <w:rPr>
          <w:rFonts w:ascii="Times New Roman" w:hAnsi="Times New Roman" w:cs="Times New Roman"/>
          <w:sz w:val="26"/>
          <w:szCs w:val="26"/>
        </w:rPr>
        <w:t xml:space="preserve">  Other than the Liquidated Damages heretofore described, in no event shall either Party be liable under any provision of this LGIA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F3594B" w:rsidRPr="0072600F" w14:paraId="6AB810B6" w14:textId="77777777">
      <w:pPr>
        <w:rPr>
          <w:rFonts w:ascii="Times New Roman" w:hAnsi="Times New Roman" w:cs="Times New Roman"/>
          <w:sz w:val="26"/>
          <w:szCs w:val="26"/>
        </w:rPr>
      </w:pPr>
    </w:p>
    <w:p w:rsidR="00F3594B" w:rsidRPr="0072600F" w14:paraId="3265F79A" w14:textId="77777777">
      <w:pPr>
        <w:tabs>
          <w:tab w:val="left" w:pos="720"/>
        </w:tabs>
        <w:ind w:left="720" w:hanging="720"/>
        <w:rPr>
          <w:rFonts w:ascii="Times New Roman" w:hAnsi="Times New Roman" w:cs="Times New Roman"/>
          <w:sz w:val="26"/>
          <w:szCs w:val="26"/>
        </w:rPr>
      </w:pPr>
      <w:bookmarkStart w:id="616" w:name="_Toc148703432"/>
      <w:r w:rsidRPr="0072600F">
        <w:rPr>
          <w:rStyle w:val="Heading2Char"/>
          <w:rFonts w:eastAsiaTheme="minorHAnsi"/>
          <w:b/>
          <w:sz w:val="26"/>
          <w:szCs w:val="26"/>
        </w:rPr>
        <w:t>18.3</w:t>
      </w:r>
      <w:r w:rsidRPr="0072600F">
        <w:rPr>
          <w:rStyle w:val="Heading2Char"/>
          <w:rFonts w:eastAsiaTheme="minorHAnsi"/>
          <w:b/>
          <w:sz w:val="26"/>
          <w:szCs w:val="26"/>
        </w:rPr>
        <w:tab/>
        <w:t>Insurance</w:t>
      </w:r>
      <w:r w:rsidRPr="0072600F">
        <w:rPr>
          <w:rStyle w:val="Heading2Char"/>
          <w:rFonts w:eastAsiaTheme="minorHAnsi"/>
          <w:sz w:val="26"/>
          <w:szCs w:val="26"/>
        </w:rPr>
        <w:t>.</w:t>
      </w:r>
      <w:bookmarkEnd w:id="616"/>
      <w:r w:rsidRPr="0072600F">
        <w:rPr>
          <w:rFonts w:ascii="Times New Roman" w:hAnsi="Times New Roman" w:cs="Times New Roman"/>
          <w:sz w:val="26"/>
          <w:szCs w:val="26"/>
        </w:rPr>
        <w:t xml:space="preserve">  Each party shall, at its own expense, maintain in force throughout the period of this LGIA, and until released by the other Party, the following minimum insurance coverages, with insurers authorized to do business in the state where the Point of Interconnection is located:</w:t>
      </w:r>
    </w:p>
    <w:p w:rsidR="00F3594B" w:rsidRPr="0072600F" w14:paraId="0CD88E7D" w14:textId="77777777">
      <w:pPr>
        <w:rPr>
          <w:rFonts w:ascii="Times New Roman" w:hAnsi="Times New Roman" w:cs="Times New Roman"/>
          <w:sz w:val="26"/>
          <w:szCs w:val="26"/>
        </w:rPr>
      </w:pPr>
    </w:p>
    <w:p w:rsidR="00F3594B" w:rsidRPr="0072600F" w14:paraId="6ADF0615"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18.3.1</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Employers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Liability and Workers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Compensation Insurance providing statutory benefits in accordance with the laws and regulations of the state in which the Point of Interconnection is located.</w:t>
      </w:r>
    </w:p>
    <w:p w:rsidR="00F3594B" w:rsidRPr="0072600F" w14:paraId="08F94812" w14:textId="77777777">
      <w:pPr>
        <w:rPr>
          <w:rFonts w:ascii="Times New Roman" w:hAnsi="Times New Roman" w:cs="Times New Roman"/>
          <w:sz w:val="26"/>
          <w:szCs w:val="26"/>
        </w:rPr>
      </w:pPr>
    </w:p>
    <w:p w:rsidR="00F3594B" w:rsidRPr="0072600F" w14:paraId="5E4E9881"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18.3.2</w:t>
      </w:r>
      <w:r w:rsidRPr="0072600F">
        <w:rPr>
          <w:rFonts w:ascii="Times New Roman" w:hAnsi="Times New Roman" w:cs="Times New Roman"/>
          <w:b/>
          <w:bCs/>
          <w:sz w:val="26"/>
          <w:szCs w:val="26"/>
        </w:rPr>
        <w:tab/>
      </w:r>
      <w:r w:rsidRPr="0072600F">
        <w:rPr>
          <w:rFonts w:ascii="Times New Roman" w:hAnsi="Times New Roman" w:cs="Times New Roman"/>
          <w:sz w:val="26"/>
          <w:szCs w:val="26"/>
        </w:rP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rsidR="00F3594B" w:rsidRPr="0072600F" w14:paraId="083D6F06" w14:textId="77777777">
      <w:pPr>
        <w:rPr>
          <w:rFonts w:ascii="Times New Roman" w:hAnsi="Times New Roman" w:cs="Times New Roman"/>
          <w:sz w:val="26"/>
          <w:szCs w:val="26"/>
        </w:rPr>
      </w:pPr>
    </w:p>
    <w:p w:rsidR="00F3594B" w:rsidRPr="0072600F" w14:paraId="37D8EAB5"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18.3.3</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F3594B" w:rsidRPr="0072600F" w14:paraId="17B0FE11" w14:textId="77777777">
      <w:pPr>
        <w:rPr>
          <w:rFonts w:ascii="Times New Roman" w:hAnsi="Times New Roman" w:cs="Times New Roman"/>
          <w:sz w:val="26"/>
          <w:szCs w:val="26"/>
        </w:rPr>
      </w:pPr>
    </w:p>
    <w:p w:rsidR="00F3594B" w:rsidRPr="0072600F" w14:paraId="7C0FA39F"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18.3.4</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Excess Public Liability Insurance over and above the Employers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Liability Commercial General Liability and Comprehensive Automobile Liability Insurance coverage, with a minimum combined single limit of Twenty Million Dollars ($20,000,000) per occurrence/Twenty Million Dollars ($20,000,000) aggregate.</w:t>
      </w:r>
    </w:p>
    <w:p w:rsidR="00F3594B" w:rsidRPr="0072600F" w14:paraId="7F04F59B" w14:textId="77777777">
      <w:pPr>
        <w:rPr>
          <w:rFonts w:ascii="Times New Roman" w:hAnsi="Times New Roman" w:cs="Times New Roman"/>
          <w:sz w:val="26"/>
          <w:szCs w:val="26"/>
        </w:rPr>
      </w:pPr>
    </w:p>
    <w:p w:rsidR="00F3594B" w:rsidRPr="0072600F" w14:paraId="7C4F3C68"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18.3.5</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The Commercial General Liability Insurance, Comprehensive Automobile Insurance and Excess Public Liability Insurance policies shall name the other Party, its parent, associated and Affiliate companies and their respective directors, officers, agents, servants and employees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Other Party Group</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as additional insured.  All policies shall contain provisions whereby the insurers waive all rights of subrogation in accordance with the provisions of this LGIA against the Other Party Group and provide thirty (30) Calendar Days advance written notice to the Other Party Group prior to anniversary date of cancellation or any material change in coverage or condition.</w:t>
      </w:r>
    </w:p>
    <w:p w:rsidR="00F3594B" w:rsidRPr="0072600F" w14:paraId="06CD60CA" w14:textId="77777777">
      <w:pPr>
        <w:rPr>
          <w:rFonts w:ascii="Times New Roman" w:hAnsi="Times New Roman" w:cs="Times New Roman"/>
          <w:sz w:val="26"/>
          <w:szCs w:val="26"/>
        </w:rPr>
      </w:pPr>
    </w:p>
    <w:p w:rsidR="00F3594B" w:rsidRPr="0072600F" w14:paraId="1006D45E"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18.3.6</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liability shall not be increased beyond the amount for which the insurer would have been liable had only one insured been covered.  Each Party shall be responsible for its respective deductibles or retentions.</w:t>
      </w:r>
    </w:p>
    <w:p w:rsidR="00F3594B" w:rsidRPr="0072600F" w14:paraId="710DC95A" w14:textId="77777777">
      <w:pPr>
        <w:rPr>
          <w:rFonts w:ascii="Times New Roman" w:hAnsi="Times New Roman" w:cs="Times New Roman"/>
          <w:sz w:val="26"/>
          <w:szCs w:val="26"/>
        </w:rPr>
      </w:pPr>
    </w:p>
    <w:p w:rsidR="00F3594B" w:rsidRPr="0072600F" w14:paraId="38F26C2B"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18.3.7</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The Commercial General Liability Insurance, Comprehensive Automobile Liability Insurance and Excess Public Liability Insurance policies, if written on a Claims First Made Basis, shall be maintained in full force and effect for two (2) years after termination of this LGIA, which coverage may be in the form of tail coverage or extended reporting period coverage if agreed by the Parties.</w:t>
      </w:r>
    </w:p>
    <w:p w:rsidR="00F3594B" w:rsidRPr="0072600F" w14:paraId="472C8BCE" w14:textId="77777777">
      <w:pPr>
        <w:rPr>
          <w:rFonts w:ascii="Times New Roman" w:hAnsi="Times New Roman" w:cs="Times New Roman"/>
          <w:sz w:val="26"/>
          <w:szCs w:val="26"/>
        </w:rPr>
      </w:pPr>
    </w:p>
    <w:p w:rsidR="00F3594B" w:rsidRPr="0072600F" w14:paraId="12FC440B"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18.3.8</w:t>
      </w:r>
      <w:r w:rsidRPr="0072600F">
        <w:rPr>
          <w:rFonts w:ascii="Times New Roman" w:hAnsi="Times New Roman" w:cs="Times New Roman"/>
          <w:b/>
          <w:bCs/>
          <w:sz w:val="26"/>
          <w:szCs w:val="26"/>
        </w:rPr>
        <w:tab/>
      </w:r>
      <w:r w:rsidRPr="0072600F">
        <w:rPr>
          <w:rFonts w:ascii="Times New Roman" w:hAnsi="Times New Roman" w:cs="Times New Roman"/>
          <w:sz w:val="26"/>
          <w:szCs w:val="26"/>
        </w:rPr>
        <w:tab/>
        <w:t>The requirements contained herein as to the types and limits of all insurance to be maintained by the Parties are not intended to and shall not in any manner, limit or qualify the liabilities and obligations assumed by the Parties under this LGIA.</w:t>
      </w:r>
    </w:p>
    <w:p w:rsidR="00F3594B" w:rsidRPr="0072600F" w14:paraId="72CB042E" w14:textId="77777777">
      <w:pPr>
        <w:rPr>
          <w:rFonts w:ascii="Times New Roman" w:hAnsi="Times New Roman" w:cs="Times New Roman"/>
          <w:sz w:val="26"/>
          <w:szCs w:val="26"/>
        </w:rPr>
      </w:pPr>
    </w:p>
    <w:p w:rsidR="00F3594B" w:rsidRPr="0072600F" w14:paraId="716C3CAA"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18.3.9</w:t>
      </w:r>
      <w:r w:rsidRPr="0072600F">
        <w:rPr>
          <w:rFonts w:ascii="Times New Roman" w:hAnsi="Times New Roman" w:cs="Times New Roman"/>
          <w:sz w:val="26"/>
          <w:szCs w:val="26"/>
        </w:rPr>
        <w:tab/>
      </w:r>
      <w:r w:rsidRPr="0072600F">
        <w:rPr>
          <w:rFonts w:ascii="Times New Roman" w:hAnsi="Times New Roman" w:cs="Times New Roman"/>
          <w:sz w:val="26"/>
          <w:szCs w:val="26"/>
        </w:rPr>
        <w:tab/>
        <w:t xml:space="preserve">Within ten (10) </w:t>
      </w:r>
      <w:r w:rsidRPr="0072600F" w:rsidR="004C249F">
        <w:rPr>
          <w:rFonts w:ascii="Times New Roman" w:hAnsi="Times New Roman" w:cs="Times New Roman"/>
          <w:i/>
          <w:iCs/>
          <w:sz w:val="26"/>
          <w:szCs w:val="26"/>
        </w:rPr>
        <w:t xml:space="preserve">Business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 xml:space="preserve">ays following execution of this LGIA, and as soon as practicable after the end of each fiscal year or at the renewal of the insurance policy and in any event within ninety (90) </w:t>
      </w:r>
      <w:r w:rsidRPr="0072600F" w:rsidR="0056592A">
        <w:rPr>
          <w:rFonts w:ascii="Times New Roman" w:hAnsi="Times New Roman" w:cs="Times New Roman"/>
          <w:i/>
          <w:iCs/>
          <w:sz w:val="26"/>
          <w:szCs w:val="26"/>
        </w:rPr>
        <w:t xml:space="preserve">Calendar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ays thereafter, each Party shall provide certification of all insurance required in this LGIA, executed by each insurer or by an authorized representative of each insurer.</w:t>
      </w:r>
    </w:p>
    <w:p w:rsidR="00F3594B" w:rsidRPr="0072600F" w14:paraId="60602B95" w14:textId="77777777">
      <w:pPr>
        <w:rPr>
          <w:rFonts w:ascii="Times New Roman" w:hAnsi="Times New Roman" w:cs="Times New Roman"/>
          <w:sz w:val="26"/>
          <w:szCs w:val="26"/>
        </w:rPr>
      </w:pPr>
    </w:p>
    <w:p w:rsidR="00F3594B" w:rsidRPr="0072600F" w14:paraId="6474EDA2"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18.3.10</w:t>
      </w:r>
      <w:r w:rsidRPr="0072600F">
        <w:rPr>
          <w:rFonts w:ascii="Times New Roman" w:hAnsi="Times New Roman" w:cs="Times New Roman"/>
          <w:sz w:val="26"/>
          <w:szCs w:val="26"/>
        </w:rPr>
        <w:tab/>
        <w:t>Notwithstanding the foregoing, each Party may self-insure to meet the minimum insurance requirements of Articles 18.3.2 through 18.3.8 to the extent it maintains a self-insurance program; provided that, such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senior secured debt is rated at investment grade or better by Standard &amp; Poor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and that its self-insurance program meets the minimum insurance requirements of Articles 18.3.2 through 18.3.8.  For any period of time that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senior secured</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debt is unrated by Standard &amp; Poor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or is rated at less than investment grade by Standard &amp; Poor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such Party shall comply with the insurance requirements applicable to it under Articles 18.3.2 through 18.3.9.  In the event that a Party is permitted to self-insure pursuant to this article, it shall notify the other Party that it meets the requirements to self-insure and that its self-insurance program meets the minimum insurance requirements in a manner consistent with that specified in Article 18.3.9.</w:t>
      </w:r>
    </w:p>
    <w:p w:rsidR="00F3594B" w:rsidRPr="0072600F" w14:paraId="74CD5F60" w14:textId="77777777">
      <w:pPr>
        <w:tabs>
          <w:tab w:val="left" w:pos="720"/>
          <w:tab w:val="left" w:pos="1440"/>
          <w:tab w:val="left" w:pos="2160"/>
        </w:tabs>
        <w:ind w:left="2160" w:hanging="1440"/>
        <w:rPr>
          <w:rFonts w:ascii="Times New Roman" w:hAnsi="Times New Roman" w:cs="Times New Roman"/>
          <w:sz w:val="26"/>
          <w:szCs w:val="26"/>
        </w:rPr>
      </w:pPr>
    </w:p>
    <w:p w:rsidR="00F3594B" w:rsidRPr="0072600F" w14:paraId="05D0EBED" w14:textId="77777777">
      <w:pPr>
        <w:tabs>
          <w:tab w:val="left" w:pos="720"/>
          <w:tab w:val="left" w:pos="1440"/>
          <w:tab w:val="left" w:pos="2160"/>
        </w:tabs>
        <w:ind w:left="2160" w:hanging="1440"/>
        <w:rPr>
          <w:rFonts w:ascii="Times New Roman" w:hAnsi="Times New Roman" w:cs="Times New Roman"/>
          <w:sz w:val="26"/>
          <w:szCs w:val="26"/>
        </w:rPr>
      </w:pPr>
      <w:r w:rsidRPr="0072600F">
        <w:rPr>
          <w:rFonts w:ascii="Times New Roman" w:hAnsi="Times New Roman" w:cs="Times New Roman"/>
          <w:b/>
          <w:bCs/>
          <w:sz w:val="26"/>
          <w:szCs w:val="26"/>
        </w:rPr>
        <w:t>18.3.11</w:t>
      </w:r>
      <w:r w:rsidRPr="0072600F">
        <w:rPr>
          <w:rFonts w:ascii="Times New Roman" w:hAnsi="Times New Roman" w:cs="Times New Roman"/>
          <w:sz w:val="26"/>
          <w:szCs w:val="26"/>
        </w:rPr>
        <w:tab/>
        <w:t>The Parties agree to report to each other in writing as soon as practical all accidents or occurrences resulting in injuries to any person, including death, and any property damage arising out of this LGIA.</w:t>
      </w:r>
    </w:p>
    <w:p w:rsidR="00F3594B" w:rsidRPr="0072600F" w14:paraId="3AF794ED" w14:textId="77777777">
      <w:pPr>
        <w:rPr>
          <w:rFonts w:ascii="Times New Roman" w:hAnsi="Times New Roman" w:cs="Times New Roman"/>
          <w:sz w:val="26"/>
          <w:szCs w:val="26"/>
        </w:rPr>
      </w:pPr>
    </w:p>
    <w:p w:rsidR="00F3594B" w:rsidRPr="0072600F" w14:paraId="471919EB" w14:textId="77777777">
      <w:pPr>
        <w:rPr>
          <w:rFonts w:ascii="Times New Roman" w:hAnsi="Times New Roman" w:cs="Times New Roman"/>
          <w:sz w:val="26"/>
          <w:szCs w:val="26"/>
        </w:rPr>
      </w:pPr>
    </w:p>
    <w:p w:rsidR="00F3594B" w:rsidRPr="0072600F" w:rsidP="00235FF8" w14:paraId="290433B3" w14:textId="77777777">
      <w:pPr>
        <w:pStyle w:val="Heading2"/>
        <w:rPr>
          <w:b/>
          <w:bCs/>
          <w:sz w:val="26"/>
          <w:szCs w:val="26"/>
        </w:rPr>
      </w:pPr>
      <w:bookmarkStart w:id="617" w:name="_Toc148703433"/>
      <w:r w:rsidRPr="0072600F">
        <w:rPr>
          <w:b/>
          <w:bCs/>
          <w:sz w:val="26"/>
          <w:szCs w:val="26"/>
        </w:rPr>
        <w:t>Article 19.</w:t>
      </w:r>
      <w:r w:rsidRPr="0072600F">
        <w:rPr>
          <w:b/>
          <w:bCs/>
          <w:sz w:val="26"/>
          <w:szCs w:val="26"/>
        </w:rPr>
        <w:tab/>
        <w:t>Assignment</w:t>
      </w:r>
      <w:bookmarkEnd w:id="617"/>
    </w:p>
    <w:p w:rsidR="00F3594B" w:rsidRPr="0072600F" w14:paraId="21402003" w14:textId="77777777">
      <w:pPr>
        <w:rPr>
          <w:rFonts w:ascii="Times New Roman" w:hAnsi="Times New Roman" w:cs="Times New Roman"/>
          <w:sz w:val="26"/>
          <w:szCs w:val="26"/>
        </w:rPr>
      </w:pPr>
    </w:p>
    <w:p w:rsidR="00F3594B" w:rsidRPr="0072600F" w14:paraId="3418DF98" w14:textId="77777777">
      <w:pPr>
        <w:tabs>
          <w:tab w:val="left" w:pos="720"/>
        </w:tabs>
        <w:ind w:left="720" w:hanging="720"/>
        <w:rPr>
          <w:rFonts w:ascii="Times New Roman" w:hAnsi="Times New Roman" w:cs="Times New Roman"/>
          <w:sz w:val="26"/>
          <w:szCs w:val="26"/>
        </w:rPr>
      </w:pPr>
      <w:bookmarkStart w:id="618" w:name="_Toc148703434"/>
      <w:r w:rsidRPr="0072600F">
        <w:rPr>
          <w:rStyle w:val="Heading2Char"/>
          <w:rFonts w:eastAsiaTheme="minorHAnsi"/>
          <w:b/>
          <w:sz w:val="26"/>
          <w:szCs w:val="26"/>
        </w:rPr>
        <w:t>19.1</w:t>
      </w:r>
      <w:r w:rsidRPr="0072600F">
        <w:rPr>
          <w:rStyle w:val="Heading2Char"/>
          <w:rFonts w:eastAsiaTheme="minorHAnsi"/>
          <w:b/>
          <w:sz w:val="26"/>
          <w:szCs w:val="26"/>
        </w:rPr>
        <w:tab/>
        <w:t>Assignment.</w:t>
      </w:r>
      <w:bookmarkEnd w:id="618"/>
      <w:r w:rsidRPr="0072600F">
        <w:rPr>
          <w:rFonts w:ascii="Times New Roman" w:hAnsi="Times New Roman" w:cs="Times New Roman"/>
          <w:sz w:val="26"/>
          <w:szCs w:val="26"/>
        </w:rPr>
        <w:t xml:space="preserve">  This LGIA may be assigned by either Party only with the written consent of the other; provided that either Party may assign this LGIA without the consent of the other Party to any Affiliate of the assigning Party with an equal or greater credit rating and with the legal authority and operational ability to satisfy the obligations of the assigning Party under this LGIA; and provided further that Interconnection Customer shall have the right to assign this LGIA, without the consent of Transmission Provider, for collateral security purposes to aid in providing financing for the Large Generating Facility, provided that Interconnection Customer will promptly notify Transmission Provider of any such assignment.  Any financing arrangement entered into by Interconnection Customer pursuant to this article will provide that prior to or upon the exercise of the secured </w:t>
      </w:r>
      <w:r w:rsidRPr="0072600F">
        <w:rPr>
          <w:rFonts w:ascii="Times New Roman" w:hAnsi="Times New Roman" w:cs="Times New Roman"/>
          <w:sz w:val="26"/>
          <w:szCs w:val="26"/>
        </w:rPr>
        <w:t>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w:t>
      </w:r>
      <w:r w:rsidRPr="0072600F">
        <w:rPr>
          <w:rFonts w:ascii="Times New Roman" w:hAnsi="Times New Roman" w:cs="Times New Roman"/>
          <w:sz w:val="26"/>
          <w:szCs w:val="26"/>
        </w:rPr>
        <w:t>, trustee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or mortgagee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assignment rights pursuant to said arrangement, the secured creditor, the trustee or mortgagee will notify Transmission Provider of the date and particulars of any such exercise of assignment right(s), including providing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with proof that it meets the requirements of Articles 11.5 and 18.3.  Any attempted assignment that violates this article is void and ineffective.  Any assignment under this LGIA shall not relieve a Party of its </w:t>
      </w:r>
    </w:p>
    <w:p w:rsidR="00F3594B" w:rsidRPr="0072600F" w14:paraId="39468F27"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sz w:val="26"/>
          <w:szCs w:val="26"/>
        </w:rPr>
        <w:t>obligations, nor shall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obligations be enlarged, in whole or in part, by reason thereof.  Where required, consent to assignment will not be unreasonably withheld, conditioned or delayed.</w:t>
      </w:r>
    </w:p>
    <w:p w:rsidR="00F3594B" w:rsidRPr="0072600F" w14:paraId="62EEA933" w14:textId="77777777">
      <w:pPr>
        <w:rPr>
          <w:rFonts w:ascii="Times New Roman" w:hAnsi="Times New Roman" w:cs="Times New Roman"/>
          <w:sz w:val="26"/>
          <w:szCs w:val="26"/>
        </w:rPr>
      </w:pPr>
    </w:p>
    <w:p w:rsidR="00F3594B" w:rsidRPr="0072600F" w14:paraId="78DE0827" w14:textId="77777777">
      <w:pPr>
        <w:rPr>
          <w:rFonts w:ascii="Times New Roman" w:hAnsi="Times New Roman" w:cs="Times New Roman"/>
          <w:sz w:val="26"/>
          <w:szCs w:val="26"/>
        </w:rPr>
      </w:pPr>
    </w:p>
    <w:p w:rsidR="00F3594B" w:rsidRPr="0072600F" w:rsidP="00235FF8" w14:paraId="78EBBF51" w14:textId="77777777">
      <w:pPr>
        <w:pStyle w:val="Heading2"/>
        <w:rPr>
          <w:b/>
          <w:bCs/>
          <w:sz w:val="26"/>
          <w:szCs w:val="26"/>
        </w:rPr>
      </w:pPr>
      <w:bookmarkStart w:id="619" w:name="_Toc148703435"/>
      <w:r w:rsidRPr="0072600F">
        <w:rPr>
          <w:b/>
          <w:bCs/>
          <w:sz w:val="26"/>
          <w:szCs w:val="26"/>
        </w:rPr>
        <w:t>Article 20.</w:t>
      </w:r>
      <w:r w:rsidRPr="0072600F">
        <w:rPr>
          <w:b/>
          <w:bCs/>
          <w:sz w:val="26"/>
          <w:szCs w:val="26"/>
        </w:rPr>
        <w:tab/>
        <w:t>Severability</w:t>
      </w:r>
      <w:bookmarkEnd w:id="619"/>
    </w:p>
    <w:p w:rsidR="00F3594B" w:rsidRPr="0072600F" w14:paraId="07179013" w14:textId="77777777">
      <w:pPr>
        <w:rPr>
          <w:rFonts w:ascii="Times New Roman" w:hAnsi="Times New Roman" w:cs="Times New Roman"/>
          <w:sz w:val="26"/>
          <w:szCs w:val="26"/>
        </w:rPr>
      </w:pPr>
    </w:p>
    <w:p w:rsidR="00F3594B" w:rsidRPr="0072600F" w14:paraId="2DFECFF1" w14:textId="77777777">
      <w:pPr>
        <w:tabs>
          <w:tab w:val="left" w:pos="720"/>
        </w:tabs>
        <w:ind w:left="720" w:hanging="720"/>
        <w:rPr>
          <w:rFonts w:ascii="Times New Roman" w:hAnsi="Times New Roman" w:cs="Times New Roman"/>
          <w:sz w:val="26"/>
          <w:szCs w:val="26"/>
        </w:rPr>
      </w:pPr>
      <w:bookmarkStart w:id="620" w:name="_Toc148703436"/>
      <w:r w:rsidRPr="0072600F">
        <w:rPr>
          <w:rStyle w:val="Heading2Char"/>
          <w:rFonts w:eastAsiaTheme="minorHAnsi"/>
          <w:b/>
          <w:sz w:val="26"/>
          <w:szCs w:val="26"/>
        </w:rPr>
        <w:t>20.1</w:t>
      </w:r>
      <w:r w:rsidRPr="0072600F">
        <w:rPr>
          <w:rStyle w:val="Heading2Char"/>
          <w:rFonts w:eastAsiaTheme="minorHAnsi"/>
          <w:b/>
          <w:sz w:val="26"/>
          <w:szCs w:val="26"/>
        </w:rPr>
        <w:tab/>
        <w:t>Severability.</w:t>
      </w:r>
      <w:bookmarkEnd w:id="620"/>
      <w:r w:rsidRPr="0072600F">
        <w:rPr>
          <w:rFonts w:ascii="Times New Roman" w:hAnsi="Times New Roman" w:cs="Times New Roman"/>
          <w:sz w:val="26"/>
          <w:szCs w:val="26"/>
        </w:rPr>
        <w:t xml:space="preserve">  If any provision in this LGIA is finally determined to be invalid, void or unenforceable by any court or other Governmental Authority having jurisdiction, such determination shall not invalidate, void or make unenforceable any other provision, agreement or covenant of this LGIA; provided that if Interconnection Customer (or any third party, but only if such third party is not acting at the direction of Transmission Provider) seeks and obtains such a final determination with respect to any provision of the Alternate Option (Article 5.1.2), or the Negotiated Option (Article 5.1.4),  then none</w:t>
      </w:r>
      <w:r w:rsidRPr="0072600F" w:rsidR="002C0896">
        <w:rPr>
          <w:rFonts w:ascii="Times New Roman" w:hAnsi="Times New Roman" w:cs="Times New Roman"/>
          <w:sz w:val="26"/>
          <w:szCs w:val="26"/>
        </w:rPr>
        <w:t xml:space="preserve"> </w:t>
      </w:r>
      <w:r w:rsidRPr="0072600F">
        <w:rPr>
          <w:rFonts w:ascii="Times New Roman" w:hAnsi="Times New Roman" w:cs="Times New Roman"/>
          <w:sz w:val="26"/>
          <w:szCs w:val="26"/>
        </w:rPr>
        <w:t>of these provisions shall thereafter have any force or effect and the Parties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rights and obligations shall be governed solely by the Standard Option (Article 5.1.1).</w:t>
      </w:r>
    </w:p>
    <w:p w:rsidR="00F3594B" w:rsidRPr="0072600F" w14:paraId="237C1C61" w14:textId="77777777">
      <w:pPr>
        <w:rPr>
          <w:rFonts w:ascii="Times New Roman" w:hAnsi="Times New Roman" w:cs="Times New Roman"/>
          <w:sz w:val="26"/>
          <w:szCs w:val="26"/>
        </w:rPr>
      </w:pPr>
    </w:p>
    <w:p w:rsidR="00F3594B" w:rsidRPr="0072600F" w14:paraId="6B59882E" w14:textId="77777777">
      <w:pPr>
        <w:rPr>
          <w:rFonts w:ascii="Times New Roman" w:hAnsi="Times New Roman" w:cs="Times New Roman"/>
          <w:sz w:val="26"/>
          <w:szCs w:val="26"/>
        </w:rPr>
      </w:pPr>
    </w:p>
    <w:p w:rsidR="00F3594B" w:rsidRPr="0072600F" w:rsidP="00235FF8" w14:paraId="64CA4FD5" w14:textId="77777777">
      <w:pPr>
        <w:pStyle w:val="Heading2"/>
        <w:rPr>
          <w:b/>
          <w:bCs/>
          <w:sz w:val="26"/>
          <w:szCs w:val="26"/>
        </w:rPr>
      </w:pPr>
      <w:bookmarkStart w:id="621" w:name="_Toc148703437"/>
      <w:r w:rsidRPr="0072600F">
        <w:rPr>
          <w:b/>
          <w:bCs/>
          <w:sz w:val="26"/>
          <w:szCs w:val="26"/>
        </w:rPr>
        <w:t>Article 21.</w:t>
      </w:r>
      <w:r w:rsidRPr="0072600F">
        <w:rPr>
          <w:b/>
          <w:bCs/>
          <w:sz w:val="26"/>
          <w:szCs w:val="26"/>
        </w:rPr>
        <w:tab/>
        <w:t>Comparability</w:t>
      </w:r>
      <w:bookmarkEnd w:id="621"/>
    </w:p>
    <w:p w:rsidR="00F3594B" w:rsidRPr="0072600F" w14:paraId="406599C9" w14:textId="77777777">
      <w:pPr>
        <w:keepNext/>
        <w:rPr>
          <w:rFonts w:ascii="Times New Roman" w:hAnsi="Times New Roman" w:cs="Times New Roman"/>
          <w:sz w:val="26"/>
          <w:szCs w:val="26"/>
        </w:rPr>
      </w:pPr>
    </w:p>
    <w:p w:rsidR="00F3594B" w:rsidRPr="0072600F" w14:paraId="14C99415" w14:textId="77777777">
      <w:pPr>
        <w:keepNext/>
        <w:tabs>
          <w:tab w:val="left" w:pos="720"/>
        </w:tabs>
        <w:ind w:left="720" w:hanging="720"/>
        <w:rPr>
          <w:rFonts w:ascii="Times New Roman" w:hAnsi="Times New Roman" w:cs="Times New Roman"/>
          <w:sz w:val="26"/>
          <w:szCs w:val="26"/>
        </w:rPr>
      </w:pPr>
      <w:bookmarkStart w:id="622" w:name="_Toc148703438"/>
      <w:r w:rsidRPr="0072600F">
        <w:rPr>
          <w:rStyle w:val="Heading2Char"/>
          <w:rFonts w:eastAsiaTheme="minorHAnsi"/>
          <w:b/>
          <w:sz w:val="26"/>
          <w:szCs w:val="26"/>
        </w:rPr>
        <w:t>21.1</w:t>
      </w:r>
      <w:r w:rsidRPr="0072600F">
        <w:rPr>
          <w:rStyle w:val="Heading2Char"/>
          <w:rFonts w:eastAsiaTheme="minorHAnsi"/>
          <w:b/>
          <w:sz w:val="26"/>
          <w:szCs w:val="26"/>
        </w:rPr>
        <w:tab/>
        <w:t>Comparability.</w:t>
      </w:r>
      <w:bookmarkEnd w:id="622"/>
      <w:r w:rsidRPr="0072600F">
        <w:rPr>
          <w:rFonts w:ascii="Times New Roman" w:hAnsi="Times New Roman" w:cs="Times New Roman"/>
          <w:sz w:val="26"/>
          <w:szCs w:val="26"/>
        </w:rPr>
        <w:t xml:space="preserve">  The Parties will comply with all applicable comparability and code of conduct laws, rules and regulations, as amended from time to time.</w:t>
      </w:r>
    </w:p>
    <w:p w:rsidR="00F3594B" w:rsidRPr="0072600F" w14:paraId="144297DD" w14:textId="77777777">
      <w:pPr>
        <w:rPr>
          <w:rFonts w:ascii="Times New Roman" w:hAnsi="Times New Roman" w:cs="Times New Roman"/>
          <w:sz w:val="26"/>
          <w:szCs w:val="26"/>
        </w:rPr>
      </w:pPr>
    </w:p>
    <w:p w:rsidR="00F3594B" w:rsidRPr="0072600F" w14:paraId="59C8AF88" w14:textId="77777777">
      <w:pPr>
        <w:rPr>
          <w:rFonts w:ascii="Times New Roman" w:hAnsi="Times New Roman" w:cs="Times New Roman"/>
          <w:sz w:val="26"/>
          <w:szCs w:val="26"/>
        </w:rPr>
      </w:pPr>
    </w:p>
    <w:p w:rsidR="00F3594B" w:rsidRPr="0072600F" w:rsidP="00235FF8" w14:paraId="0302E1BB" w14:textId="77777777">
      <w:pPr>
        <w:pStyle w:val="Heading2"/>
        <w:rPr>
          <w:b/>
          <w:bCs/>
          <w:sz w:val="26"/>
          <w:szCs w:val="26"/>
        </w:rPr>
      </w:pPr>
      <w:bookmarkStart w:id="623" w:name="_Toc148703439"/>
      <w:r w:rsidRPr="0072600F">
        <w:rPr>
          <w:b/>
          <w:bCs/>
          <w:sz w:val="26"/>
          <w:szCs w:val="26"/>
        </w:rPr>
        <w:t>Article 22.</w:t>
      </w:r>
      <w:r w:rsidRPr="0072600F">
        <w:rPr>
          <w:b/>
          <w:bCs/>
          <w:sz w:val="26"/>
          <w:szCs w:val="26"/>
        </w:rPr>
        <w:tab/>
        <w:t>Confidentiality</w:t>
      </w:r>
      <w:bookmarkEnd w:id="623"/>
    </w:p>
    <w:p w:rsidR="00F3594B" w:rsidRPr="0072600F" w14:paraId="209A76F0" w14:textId="77777777">
      <w:pPr>
        <w:rPr>
          <w:rFonts w:ascii="Times New Roman" w:hAnsi="Times New Roman" w:cs="Times New Roman"/>
          <w:sz w:val="26"/>
          <w:szCs w:val="26"/>
        </w:rPr>
      </w:pPr>
    </w:p>
    <w:p w:rsidR="00F3594B" w:rsidRPr="0072600F" w14:paraId="60D18AE9" w14:textId="77777777">
      <w:pPr>
        <w:tabs>
          <w:tab w:val="left" w:pos="720"/>
        </w:tabs>
        <w:ind w:left="720" w:hanging="720"/>
        <w:rPr>
          <w:rFonts w:ascii="Times New Roman" w:hAnsi="Times New Roman" w:cs="Times New Roman"/>
          <w:sz w:val="26"/>
          <w:szCs w:val="26"/>
        </w:rPr>
      </w:pPr>
      <w:bookmarkStart w:id="624" w:name="_Toc148703440"/>
      <w:r w:rsidRPr="0072600F">
        <w:rPr>
          <w:rStyle w:val="Heading2Char"/>
          <w:rFonts w:eastAsiaTheme="minorHAnsi"/>
          <w:b/>
          <w:sz w:val="26"/>
          <w:szCs w:val="26"/>
        </w:rPr>
        <w:t>22.1</w:t>
      </w:r>
      <w:r w:rsidRPr="0072600F">
        <w:rPr>
          <w:rStyle w:val="Heading2Char"/>
          <w:rFonts w:eastAsiaTheme="minorHAnsi"/>
          <w:b/>
          <w:sz w:val="26"/>
          <w:szCs w:val="26"/>
        </w:rPr>
        <w:tab/>
        <w:t>Confidentiality.</w:t>
      </w:r>
      <w:bookmarkEnd w:id="624"/>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Confidential Information shall include, without limitation, all information relating to a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technology, research and development, business affairs, and pricing, and any information supplied by either of the Parties to the other prior to the execution of this LGIA.</w:t>
      </w:r>
    </w:p>
    <w:p w:rsidR="00F3594B" w:rsidRPr="0072600F" w14:paraId="61CB068D" w14:textId="77777777">
      <w:pPr>
        <w:rPr>
          <w:rFonts w:ascii="Times New Roman" w:hAnsi="Times New Roman" w:cs="Times New Roman"/>
          <w:sz w:val="26"/>
          <w:szCs w:val="26"/>
        </w:rPr>
      </w:pPr>
    </w:p>
    <w:p w:rsidR="00F3594B" w:rsidRPr="0072600F" w14:paraId="44C73D5E" w14:textId="77777777">
      <w:pPr>
        <w:ind w:left="720"/>
        <w:rPr>
          <w:rFonts w:ascii="Times New Roman" w:hAnsi="Times New Roman" w:cs="Times New Roman"/>
          <w:sz w:val="26"/>
          <w:szCs w:val="26"/>
        </w:rPr>
      </w:pPr>
      <w:r w:rsidRPr="0072600F">
        <w:rPr>
          <w:rFonts w:ascii="Times New Roman" w:hAnsi="Times New Roman" w:cs="Times New Roman"/>
          <w:sz w:val="26"/>
          <w:szCs w:val="26"/>
        </w:rPr>
        <w:t>Information is Confidential Information only if it is clearly designated or marked in writing as confidential on the face of the document, or, if the information is conveyed orally or by inspection, if the Party providing the information orally informs the Party receiving the information that the information is confidential.</w:t>
      </w:r>
    </w:p>
    <w:p w:rsidR="00F3594B" w:rsidRPr="0072600F" w14:paraId="2A8A1970" w14:textId="77777777">
      <w:pPr>
        <w:rPr>
          <w:rFonts w:ascii="Times New Roman" w:hAnsi="Times New Roman" w:cs="Times New Roman"/>
          <w:sz w:val="26"/>
          <w:szCs w:val="26"/>
        </w:rPr>
      </w:pPr>
    </w:p>
    <w:p w:rsidR="00F3594B" w:rsidRPr="0072600F" w14:paraId="0EFEB2CF" w14:textId="77777777">
      <w:pPr>
        <w:ind w:left="720"/>
        <w:rPr>
          <w:rFonts w:ascii="Times New Roman" w:hAnsi="Times New Roman" w:cs="Times New Roman"/>
          <w:sz w:val="26"/>
          <w:szCs w:val="26"/>
        </w:rPr>
      </w:pPr>
      <w:r w:rsidRPr="0072600F">
        <w:rPr>
          <w:rFonts w:ascii="Times New Roman" w:hAnsi="Times New Roman" w:cs="Times New Roman"/>
          <w:sz w:val="26"/>
          <w:szCs w:val="26"/>
        </w:rPr>
        <w:t>If requested by either Party, the other Party shall provide in writing, the basis for asserting that the information referred to in this Article 22 warrants confidential treatment, and the requesting Party may disclose such writing to the appropriate Governmental Authority.  Each Party shall be responsible for the costs associated with affording confidential treatment to its information.</w:t>
      </w:r>
    </w:p>
    <w:p w:rsidR="00F3594B" w:rsidRPr="0072600F" w14:paraId="5C1E6FDC" w14:textId="77777777">
      <w:pPr>
        <w:rPr>
          <w:rFonts w:ascii="Times New Roman" w:hAnsi="Times New Roman" w:cs="Times New Roman"/>
          <w:sz w:val="26"/>
          <w:szCs w:val="26"/>
        </w:rPr>
      </w:pPr>
    </w:p>
    <w:p w:rsidR="00F3594B" w:rsidRPr="0072600F" w14:paraId="16B641C3"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25" w:name="_Toc148703441"/>
      <w:r w:rsidRPr="0072600F">
        <w:rPr>
          <w:rStyle w:val="Heading3Char"/>
          <w:rFonts w:eastAsiaTheme="minorHAnsi"/>
          <w:b/>
          <w:sz w:val="26"/>
        </w:rPr>
        <w:t>22.1.1</w:t>
      </w:r>
      <w:r w:rsidRPr="0072600F">
        <w:rPr>
          <w:rStyle w:val="Heading3Char"/>
          <w:rFonts w:eastAsiaTheme="minorHAnsi"/>
          <w:b/>
          <w:sz w:val="26"/>
        </w:rPr>
        <w:tab/>
      </w:r>
      <w:r w:rsidRPr="0072600F">
        <w:rPr>
          <w:rStyle w:val="Heading3Char"/>
          <w:rFonts w:eastAsiaTheme="minorHAnsi"/>
          <w:b/>
          <w:sz w:val="26"/>
        </w:rPr>
        <w:tab/>
        <w:t>Term.</w:t>
      </w:r>
      <w:bookmarkEnd w:id="625"/>
      <w:r w:rsidRPr="0072600F">
        <w:rPr>
          <w:rFonts w:ascii="Times New Roman" w:hAnsi="Times New Roman" w:cs="Times New Roman"/>
          <w:sz w:val="26"/>
          <w:szCs w:val="26"/>
        </w:rPr>
        <w:t xml:space="preserve">  During the term of this LGIA, and for a period of three (3) years after the expiration or termination of this LGIA, except as otherwise provided in this Article 22, each Party shall hold in confidence and shall not disclose to any person Confidential Information.</w:t>
      </w:r>
    </w:p>
    <w:p w:rsidR="00F3594B" w:rsidRPr="0072600F" w14:paraId="69058C76" w14:textId="77777777">
      <w:pPr>
        <w:rPr>
          <w:rFonts w:ascii="Times New Roman" w:hAnsi="Times New Roman" w:cs="Times New Roman"/>
          <w:sz w:val="26"/>
          <w:szCs w:val="26"/>
        </w:rPr>
      </w:pPr>
    </w:p>
    <w:p w:rsidR="00F3594B" w:rsidRPr="0072600F" w14:paraId="14EA74AB"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26" w:name="_Toc148703442"/>
      <w:r w:rsidRPr="0072600F">
        <w:rPr>
          <w:rStyle w:val="Heading3Char"/>
          <w:rFonts w:eastAsiaTheme="minorHAnsi"/>
          <w:b/>
          <w:sz w:val="26"/>
        </w:rPr>
        <w:t>22.1.2</w:t>
      </w:r>
      <w:r w:rsidRPr="0072600F">
        <w:rPr>
          <w:rStyle w:val="Heading3Char"/>
          <w:rFonts w:eastAsiaTheme="minorHAnsi"/>
          <w:b/>
          <w:sz w:val="26"/>
        </w:rPr>
        <w:tab/>
      </w:r>
      <w:r w:rsidRPr="0072600F">
        <w:rPr>
          <w:rStyle w:val="Heading3Char"/>
          <w:rFonts w:eastAsiaTheme="minorHAnsi"/>
          <w:b/>
          <w:sz w:val="26"/>
        </w:rPr>
        <w:tab/>
        <w:t>Scope.</w:t>
      </w:r>
      <w:bookmarkEnd w:id="626"/>
      <w:r w:rsidRPr="0072600F">
        <w:rPr>
          <w:rFonts w:ascii="Times New Roman" w:hAnsi="Times New Roman" w:cs="Times New Roman"/>
          <w:b/>
          <w:sz w:val="26"/>
          <w:szCs w:val="26"/>
        </w:rPr>
        <w:t xml:space="preserve">  </w:t>
      </w:r>
      <w:r w:rsidRPr="0072600F">
        <w:rPr>
          <w:rFonts w:ascii="Times New Roman" w:hAnsi="Times New Roman" w:cs="Times New Roman"/>
          <w:sz w:val="26"/>
          <w:szCs w:val="26"/>
        </w:rPr>
        <w:t xml:space="preserve">Confidential Information shall not include information that the receiving Party can demonstrate: </w:t>
      </w:r>
      <w:r w:rsidRPr="0072600F" w:rsidR="00034525">
        <w:rPr>
          <w:rFonts w:ascii="Times New Roman" w:hAnsi="Times New Roman" w:cs="Times New Roman"/>
          <w:sz w:val="26"/>
          <w:szCs w:val="26"/>
        </w:rPr>
        <w:t xml:space="preserve"> </w:t>
      </w:r>
      <w:r w:rsidRPr="0072600F">
        <w:rPr>
          <w:rFonts w:ascii="Times New Roman" w:hAnsi="Times New Roman" w:cs="Times New Roman"/>
          <w:sz w:val="26"/>
          <w:szCs w:val="26"/>
        </w:rPr>
        <w:t>(1)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LGIA; or (6) is required, in accordance with Article 22.1.7 of the LGIA, Order of Disclosure, to be disclosed by any Governmental Authority or is otherwise required to be disclosed by law or subpoena, or is necessary in any legal proceeding establishing rights and obligations under this LGIA.  Information designated as Confidential Information will no longer be deemed confidential if the Party that designated the information as confidential notifies the other Party that it no longer is confidential.</w:t>
      </w:r>
    </w:p>
    <w:p w:rsidR="00F3594B" w:rsidRPr="0072600F" w14:paraId="018A89E2" w14:textId="77777777">
      <w:pPr>
        <w:rPr>
          <w:rFonts w:ascii="Times New Roman" w:hAnsi="Times New Roman" w:cs="Times New Roman"/>
          <w:sz w:val="26"/>
          <w:szCs w:val="26"/>
        </w:rPr>
      </w:pPr>
    </w:p>
    <w:p w:rsidR="00F3594B" w:rsidRPr="0072600F" w14:paraId="3AD85AB3"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627" w:name="_Toc148703443"/>
      <w:r w:rsidRPr="0072600F">
        <w:rPr>
          <w:rStyle w:val="Heading3Char"/>
          <w:rFonts w:eastAsiaTheme="minorHAnsi"/>
          <w:b/>
          <w:sz w:val="26"/>
        </w:rPr>
        <w:t>22.1.3</w:t>
      </w:r>
      <w:r w:rsidRPr="0072600F">
        <w:rPr>
          <w:rStyle w:val="Heading3Char"/>
          <w:rFonts w:eastAsiaTheme="minorHAnsi"/>
          <w:b/>
          <w:sz w:val="26"/>
        </w:rPr>
        <w:tab/>
      </w:r>
      <w:r w:rsidRPr="0072600F">
        <w:rPr>
          <w:rStyle w:val="Heading3Char"/>
          <w:rFonts w:eastAsiaTheme="minorHAnsi"/>
          <w:b/>
          <w:sz w:val="26"/>
        </w:rPr>
        <w:tab/>
        <w:t>Release of Confidential Information.</w:t>
      </w:r>
      <w:bookmarkEnd w:id="627"/>
      <w:r w:rsidRPr="0072600F">
        <w:rPr>
          <w:rFonts w:ascii="Times New Roman" w:hAnsi="Times New Roman" w:cs="Times New Roman"/>
          <w:sz w:val="26"/>
          <w:szCs w:val="26"/>
        </w:rPr>
        <w:t xml:space="preserve">  Neither Party shall release or disclose Confidential Information to any other person, except to its Affiliates (limited by the Standards of Conduct requirements), subcontractors, employees, consultants, or to parties who may be or considering providing financing to or equity participation with Interconnection Customer, or to potential purchasers or assignees of Interconnection Customer, on a need-to-know basis in connection with this LGIA,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F3594B" w:rsidRPr="0072600F" w14:paraId="191C5654" w14:textId="77777777">
      <w:pPr>
        <w:tabs>
          <w:tab w:val="left" w:pos="720"/>
          <w:tab w:val="left" w:pos="1440"/>
          <w:tab w:val="left" w:pos="2160"/>
        </w:tabs>
        <w:ind w:left="2160" w:hanging="2160"/>
        <w:rPr>
          <w:rFonts w:ascii="Times New Roman" w:hAnsi="Times New Roman" w:cs="Times New Roman"/>
          <w:sz w:val="26"/>
          <w:szCs w:val="26"/>
        </w:rPr>
      </w:pPr>
    </w:p>
    <w:p w:rsidR="00F3594B" w:rsidRPr="0072600F" w14:paraId="6F289686" w14:textId="77777777">
      <w:pPr>
        <w:tabs>
          <w:tab w:val="left" w:pos="720"/>
          <w:tab w:val="left" w:pos="1440"/>
          <w:tab w:val="left" w:pos="2160"/>
        </w:tabs>
        <w:ind w:left="2160" w:hanging="3600"/>
        <w:rPr>
          <w:rFonts w:ascii="Times New Roman" w:hAnsi="Times New Roman" w:cs="Times New Roman"/>
          <w:sz w:val="26"/>
          <w:szCs w:val="26"/>
        </w:rPr>
      </w:pPr>
      <w:r w:rsidRPr="0072600F">
        <w:rPr>
          <w:rFonts w:ascii="Times New Roman" w:hAnsi="Times New Roman" w:cs="Times New Roman"/>
          <w:sz w:val="26"/>
          <w:szCs w:val="26"/>
        </w:rPr>
        <w:tab/>
      </w:r>
      <w:bookmarkStart w:id="628" w:name="_Toc148703444"/>
      <w:r w:rsidRPr="0072600F">
        <w:rPr>
          <w:rStyle w:val="Heading3Char"/>
          <w:rFonts w:eastAsiaTheme="minorHAnsi"/>
          <w:b/>
          <w:sz w:val="26"/>
        </w:rPr>
        <w:t>22.1.4</w:t>
      </w:r>
      <w:r w:rsidRPr="0072600F">
        <w:rPr>
          <w:rStyle w:val="Heading3Char"/>
          <w:rFonts w:eastAsiaTheme="minorHAnsi"/>
          <w:b/>
          <w:sz w:val="26"/>
        </w:rPr>
        <w:tab/>
      </w:r>
      <w:r w:rsidRPr="0072600F">
        <w:rPr>
          <w:rStyle w:val="Heading3Char"/>
          <w:rFonts w:eastAsiaTheme="minorHAnsi"/>
          <w:b/>
          <w:sz w:val="26"/>
        </w:rPr>
        <w:tab/>
        <w:t>Rights.</w:t>
      </w:r>
      <w:bookmarkEnd w:id="628"/>
      <w:r w:rsidRPr="0072600F">
        <w:rPr>
          <w:rFonts w:ascii="Times New Roman" w:hAnsi="Times New Roman" w:cs="Times New Roman"/>
          <w:sz w:val="26"/>
          <w:szCs w:val="26"/>
        </w:rPr>
        <w:t xml:space="preserve">  Each Party retains all rights, title, and interest in the Confidential Information that each Party discloses to the other Party.  The disclosure by each Party to the other Party of Confidential Information shall not be deemed a waiver by either Party or any other person or entity of the right to protect the Confidential Information from public disclosure.</w:t>
      </w:r>
    </w:p>
    <w:p w:rsidR="00F3594B" w:rsidRPr="0072600F" w14:paraId="032393DC" w14:textId="77777777">
      <w:pPr>
        <w:rPr>
          <w:rFonts w:ascii="Times New Roman" w:hAnsi="Times New Roman" w:cs="Times New Roman"/>
          <w:sz w:val="26"/>
          <w:szCs w:val="26"/>
        </w:rPr>
      </w:pPr>
    </w:p>
    <w:p w:rsidR="00F3594B" w:rsidRPr="0072600F" w14:paraId="06EC1819"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sz w:val="26"/>
          <w:szCs w:val="26"/>
        </w:rPr>
        <w:tab/>
      </w:r>
      <w:bookmarkStart w:id="629" w:name="_Toc148703445"/>
      <w:r w:rsidRPr="0072600F">
        <w:rPr>
          <w:rStyle w:val="Heading3Char"/>
          <w:rFonts w:eastAsiaTheme="minorHAnsi"/>
          <w:b/>
          <w:sz w:val="26"/>
        </w:rPr>
        <w:t>22.1.5</w:t>
      </w:r>
      <w:r w:rsidRPr="0072600F">
        <w:rPr>
          <w:rStyle w:val="Heading3Char"/>
          <w:rFonts w:eastAsiaTheme="minorHAnsi"/>
          <w:b/>
          <w:sz w:val="26"/>
        </w:rPr>
        <w:tab/>
      </w:r>
      <w:r w:rsidRPr="0072600F">
        <w:rPr>
          <w:rStyle w:val="Heading3Char"/>
          <w:rFonts w:eastAsiaTheme="minorHAnsi"/>
          <w:b/>
          <w:sz w:val="26"/>
        </w:rPr>
        <w:tab/>
        <w:t>No Warranties.</w:t>
      </w:r>
      <w:bookmarkEnd w:id="629"/>
      <w:r w:rsidRPr="0072600F">
        <w:rPr>
          <w:rFonts w:ascii="Times New Roman" w:hAnsi="Times New Roman" w:cs="Times New Roman"/>
          <w:sz w:val="26"/>
          <w:szCs w:val="26"/>
        </w:rPr>
        <w:t xml:space="preserve">  By providing Confidential Information, neither Party makes any warranties or representations as to its accuracy or 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p>
    <w:p w:rsidR="00F3594B" w:rsidRPr="0072600F" w14:paraId="2A651AE7" w14:textId="77777777">
      <w:pPr>
        <w:rPr>
          <w:rFonts w:ascii="Times New Roman" w:hAnsi="Times New Roman" w:cs="Times New Roman"/>
          <w:sz w:val="26"/>
          <w:szCs w:val="26"/>
        </w:rPr>
      </w:pPr>
    </w:p>
    <w:p w:rsidR="00F3594B" w:rsidRPr="0072600F" w14:paraId="03C5D3A6"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630" w:name="_Toc148703446"/>
      <w:r w:rsidRPr="0072600F">
        <w:rPr>
          <w:rStyle w:val="Heading3Char"/>
          <w:rFonts w:eastAsiaTheme="minorHAnsi"/>
          <w:b/>
          <w:sz w:val="26"/>
        </w:rPr>
        <w:t>22.1.6</w:t>
      </w:r>
      <w:r w:rsidRPr="0072600F">
        <w:rPr>
          <w:rStyle w:val="Heading3Char"/>
          <w:rFonts w:eastAsiaTheme="minorHAnsi"/>
          <w:b/>
          <w:sz w:val="26"/>
        </w:rPr>
        <w:tab/>
      </w:r>
      <w:r w:rsidRPr="0072600F">
        <w:rPr>
          <w:rStyle w:val="Heading3Char"/>
          <w:rFonts w:eastAsiaTheme="minorHAnsi"/>
          <w:b/>
          <w:sz w:val="26"/>
        </w:rPr>
        <w:tab/>
        <w:t>Standard of Care.</w:t>
      </w:r>
      <w:bookmarkEnd w:id="630"/>
      <w:r w:rsidRPr="0072600F">
        <w:rPr>
          <w:rFonts w:ascii="Times New Roman" w:hAnsi="Times New Roman" w:cs="Times New Roman"/>
          <w:sz w:val="26"/>
          <w:szCs w:val="26"/>
        </w:rPr>
        <w:t xml:space="preserve">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LGIA or its regulatory requirements.</w:t>
      </w:r>
    </w:p>
    <w:p w:rsidR="00F3594B" w:rsidRPr="0072600F" w14:paraId="57553353" w14:textId="77777777">
      <w:pPr>
        <w:rPr>
          <w:rFonts w:ascii="Times New Roman" w:hAnsi="Times New Roman" w:cs="Times New Roman"/>
          <w:sz w:val="26"/>
          <w:szCs w:val="26"/>
        </w:rPr>
      </w:pPr>
    </w:p>
    <w:p w:rsidR="00F3594B" w:rsidRPr="0072600F" w14:paraId="7A9ED931"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631" w:name="_Toc148703447"/>
      <w:r w:rsidRPr="0072600F">
        <w:rPr>
          <w:rStyle w:val="Heading3Char"/>
          <w:rFonts w:eastAsiaTheme="minorHAnsi"/>
          <w:b/>
          <w:sz w:val="26"/>
        </w:rPr>
        <w:t>22.1.7</w:t>
      </w:r>
      <w:r w:rsidRPr="0072600F">
        <w:rPr>
          <w:rStyle w:val="Heading3Char"/>
          <w:rFonts w:eastAsiaTheme="minorHAnsi"/>
          <w:b/>
          <w:sz w:val="26"/>
        </w:rPr>
        <w:tab/>
      </w:r>
      <w:r w:rsidRPr="0072600F">
        <w:rPr>
          <w:rStyle w:val="Heading3Char"/>
          <w:rFonts w:eastAsiaTheme="minorHAnsi"/>
          <w:b/>
          <w:sz w:val="26"/>
        </w:rPr>
        <w:tab/>
        <w:t>Order of Disclosure.</w:t>
      </w:r>
      <w:bookmarkEnd w:id="631"/>
      <w:r w:rsidRPr="0072600F">
        <w:rPr>
          <w:rFonts w:ascii="Times New Roman" w:hAnsi="Times New Roman" w:cs="Times New Roman"/>
          <w:sz w:val="26"/>
          <w:szCs w:val="26"/>
        </w:rPr>
        <w:t xml:space="preserve">  If a court or a Government Authority or entity with the right, power, and apparent authority to do so requests or requires either Party, by subpoena, oral deposition, interrogatories, requests for production of documents, administrative order, or otherwise, to disclose Confidential Information, that Party shall provide the other Party with prompt notice of such request(s) or requirement(s) so that the other Party may seek an appropriate protective order or waive compliance with the terms of this LGIA.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F3594B" w:rsidRPr="0072600F" w14:paraId="3AFF33D2" w14:textId="77777777">
      <w:pPr>
        <w:rPr>
          <w:rFonts w:ascii="Times New Roman" w:hAnsi="Times New Roman" w:cs="Times New Roman"/>
          <w:sz w:val="26"/>
          <w:szCs w:val="26"/>
        </w:rPr>
      </w:pPr>
    </w:p>
    <w:p w:rsidR="00F3594B" w:rsidRPr="0072600F" w14:paraId="6B73E56A"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632" w:name="_Toc148703448"/>
      <w:r w:rsidRPr="0072600F">
        <w:rPr>
          <w:rStyle w:val="Heading3Char"/>
          <w:rFonts w:eastAsiaTheme="minorHAnsi"/>
          <w:b/>
          <w:sz w:val="26"/>
        </w:rPr>
        <w:t>22.1.8</w:t>
      </w:r>
      <w:r w:rsidRPr="0072600F">
        <w:rPr>
          <w:rStyle w:val="Heading3Char"/>
          <w:rFonts w:eastAsiaTheme="minorHAnsi"/>
          <w:b/>
          <w:sz w:val="26"/>
        </w:rPr>
        <w:tab/>
      </w:r>
      <w:r w:rsidRPr="0072600F">
        <w:rPr>
          <w:rStyle w:val="Heading3Char"/>
          <w:rFonts w:eastAsiaTheme="minorHAnsi"/>
          <w:b/>
          <w:sz w:val="26"/>
        </w:rPr>
        <w:tab/>
        <w:t>Termination of Agreement.</w:t>
      </w:r>
      <w:bookmarkEnd w:id="632"/>
      <w:r w:rsidRPr="0072600F">
        <w:rPr>
          <w:rFonts w:ascii="Times New Roman" w:hAnsi="Times New Roman" w:cs="Times New Roman"/>
          <w:sz w:val="26"/>
          <w:szCs w:val="26"/>
        </w:rPr>
        <w:t xml:space="preserve">  Upon termination of this LGIA for any reason, each Party shall, within ten (10) Calendar Days of receipt of a written request from the other Party, use Reasonable Efforts to destroy, erase, or delete (with such destruction, erasure, and deletion certified in writing to the other Party) or return to the other Party, without retaining copies thereof, any and all written or electronic Confidential Information received from the other Party.</w:t>
      </w:r>
    </w:p>
    <w:p w:rsidR="00F3594B" w:rsidRPr="0072600F" w14:paraId="58350373" w14:textId="77777777">
      <w:pPr>
        <w:rPr>
          <w:rFonts w:ascii="Times New Roman" w:hAnsi="Times New Roman" w:cs="Times New Roman"/>
          <w:sz w:val="26"/>
          <w:szCs w:val="26"/>
        </w:rPr>
      </w:pPr>
    </w:p>
    <w:p w:rsidR="00F3594B" w:rsidRPr="0072600F" w14:paraId="04D23B02"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sz w:val="26"/>
          <w:szCs w:val="26"/>
        </w:rPr>
        <w:tab/>
      </w:r>
      <w:bookmarkStart w:id="633" w:name="_Toc148703449"/>
      <w:r w:rsidRPr="0072600F">
        <w:rPr>
          <w:rStyle w:val="Heading3Char"/>
          <w:rFonts w:eastAsiaTheme="minorHAnsi"/>
          <w:b/>
          <w:sz w:val="26"/>
        </w:rPr>
        <w:t>22.1.9</w:t>
      </w:r>
      <w:r w:rsidRPr="0072600F">
        <w:rPr>
          <w:rStyle w:val="Heading3Char"/>
          <w:rFonts w:eastAsiaTheme="minorHAnsi"/>
          <w:b/>
          <w:sz w:val="26"/>
        </w:rPr>
        <w:tab/>
      </w:r>
      <w:r w:rsidRPr="0072600F">
        <w:rPr>
          <w:rStyle w:val="Heading3Char"/>
          <w:rFonts w:eastAsiaTheme="minorHAnsi"/>
          <w:b/>
          <w:sz w:val="26"/>
        </w:rPr>
        <w:tab/>
        <w:t>Remedies.</w:t>
      </w:r>
      <w:bookmarkEnd w:id="633"/>
      <w:r w:rsidRPr="0072600F">
        <w:rPr>
          <w:rFonts w:ascii="Times New Roman" w:hAnsi="Times New Roman" w:cs="Times New Roman"/>
          <w:sz w:val="26"/>
          <w:szCs w:val="26"/>
        </w:rPr>
        <w:t xml:space="preserve">  The Parties agree that monetary damages would be inadequate to compensate a Party for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Breach of its obligations under this Article 22.  Each Party accordingly agrees that the other Party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F3594B" w:rsidRPr="0072600F" w14:paraId="102E623E" w14:textId="77777777">
      <w:pPr>
        <w:rPr>
          <w:rFonts w:ascii="Times New Roman" w:hAnsi="Times New Roman" w:cs="Times New Roman"/>
          <w:sz w:val="26"/>
          <w:szCs w:val="26"/>
        </w:rPr>
      </w:pPr>
    </w:p>
    <w:p w:rsidR="00F3594B" w:rsidRPr="0072600F" w14:paraId="5E7BA5EF"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34" w:name="_Toc148703450"/>
      <w:r w:rsidRPr="0072600F">
        <w:rPr>
          <w:rStyle w:val="Heading3Char"/>
          <w:rFonts w:eastAsiaTheme="minorHAnsi"/>
          <w:b/>
          <w:sz w:val="26"/>
        </w:rPr>
        <w:t>22.1.10</w:t>
      </w:r>
      <w:r w:rsidRPr="0072600F">
        <w:rPr>
          <w:rStyle w:val="Heading3Char"/>
          <w:rFonts w:eastAsiaTheme="minorHAnsi"/>
          <w:b/>
          <w:sz w:val="26"/>
        </w:rPr>
        <w:tab/>
        <w:t>Disclosure to FERC, its Staff, or a State.</w:t>
      </w:r>
      <w:bookmarkEnd w:id="634"/>
      <w:r w:rsidRPr="0072600F">
        <w:rPr>
          <w:rFonts w:ascii="Times New Roman" w:hAnsi="Times New Roman" w:cs="Times New Roman"/>
          <w:sz w:val="26"/>
          <w:szCs w:val="26"/>
        </w:rP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LGIA,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Party to this LGIA prior to the release of the Confidential Information to FERC or its staff.  The Party shall notify the other Party to the LGIA when it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w:t>
      </w:r>
    </w:p>
    <w:p w:rsidR="00F3594B" w:rsidRPr="0072600F" w14:paraId="4899B19E" w14:textId="77777777">
      <w:pPr>
        <w:rPr>
          <w:rFonts w:ascii="Times New Roman" w:hAnsi="Times New Roman" w:cs="Times New Roman"/>
          <w:sz w:val="26"/>
          <w:szCs w:val="26"/>
        </w:rPr>
      </w:pPr>
    </w:p>
    <w:p w:rsidR="00F3594B" w:rsidRPr="0072600F" w14:paraId="4B3FD489"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22.1.11</w:t>
      </w:r>
      <w:r w:rsidRPr="0072600F">
        <w:rPr>
          <w:rFonts w:ascii="Times New Roman" w:hAnsi="Times New Roman" w:cs="Times New Roman"/>
          <w:b/>
          <w:bCs/>
          <w:sz w:val="26"/>
          <w:szCs w:val="26"/>
        </w:rPr>
        <w:tab/>
      </w:r>
      <w:r w:rsidRPr="0072600F">
        <w:rPr>
          <w:rFonts w:ascii="Times New Roman" w:hAnsi="Times New Roman" w:cs="Times New Roman"/>
          <w:sz w:val="26"/>
          <w:szCs w:val="26"/>
        </w:rPr>
        <w:t>Subject to the exception in Article 22.1.10, any information that a Party claims is competitively sensitive, commercial or financial information under this LGIA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Confidential Information</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shall not be disclosed by the other Party to any person not employed or retained by the other Party, except to the extent disclosure is (</w:t>
      </w:r>
      <w:r w:rsidRPr="0072600F">
        <w:rPr>
          <w:rFonts w:ascii="Times New Roman" w:hAnsi="Times New Roman" w:cs="Times New Roman"/>
          <w:sz w:val="26"/>
          <w:szCs w:val="26"/>
        </w:rPr>
        <w:t>i</w:t>
      </w:r>
      <w:r w:rsidRPr="0072600F">
        <w:rPr>
          <w:rFonts w:ascii="Times New Roman" w:hAnsi="Times New Roman" w:cs="Times New Roman"/>
          <w:sz w:val="26"/>
          <w:szCs w:val="26"/>
        </w:rPr>
        <w:t>)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LGIA or as a transmission service provider or a Balancing Authority Area operator including disclosing the Confidential Information to an RTO or ISO or to a regional or national reliability organization.  The Party asserting confidentiality shall notify the other Party in writing of the information it claims is confidential.  Prior to any disclosures of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F3594B" w:rsidRPr="0072600F" w14:paraId="6AC97950" w14:textId="77777777">
      <w:pPr>
        <w:tabs>
          <w:tab w:val="left" w:pos="720"/>
          <w:tab w:val="left" w:pos="1440"/>
          <w:tab w:val="left" w:pos="2160"/>
        </w:tabs>
        <w:ind w:left="2160" w:hanging="2160"/>
        <w:rPr>
          <w:rFonts w:ascii="Times New Roman" w:hAnsi="Times New Roman" w:cs="Times New Roman"/>
          <w:sz w:val="26"/>
          <w:szCs w:val="26"/>
        </w:rPr>
      </w:pPr>
    </w:p>
    <w:p w:rsidR="00F3594B" w:rsidRPr="0072600F" w14:paraId="4E3FE155" w14:textId="77777777">
      <w:pPr>
        <w:rPr>
          <w:rFonts w:ascii="Times New Roman" w:hAnsi="Times New Roman" w:cs="Times New Roman"/>
          <w:sz w:val="26"/>
          <w:szCs w:val="26"/>
        </w:rPr>
      </w:pPr>
    </w:p>
    <w:p w:rsidR="00F3594B" w:rsidRPr="0072600F" w:rsidP="00235FF8" w14:paraId="03B449AE" w14:textId="77777777">
      <w:pPr>
        <w:pStyle w:val="Heading2"/>
        <w:rPr>
          <w:b/>
          <w:bCs/>
          <w:sz w:val="26"/>
          <w:szCs w:val="26"/>
        </w:rPr>
      </w:pPr>
      <w:bookmarkStart w:id="635" w:name="_Toc148703451"/>
      <w:r w:rsidRPr="0072600F">
        <w:rPr>
          <w:b/>
          <w:bCs/>
          <w:sz w:val="26"/>
          <w:szCs w:val="26"/>
        </w:rPr>
        <w:t>Article 23.</w:t>
      </w:r>
      <w:r w:rsidRPr="0072600F">
        <w:rPr>
          <w:b/>
          <w:bCs/>
          <w:sz w:val="26"/>
          <w:szCs w:val="26"/>
        </w:rPr>
        <w:tab/>
        <w:t>Environmental Releases</w:t>
      </w:r>
      <w:bookmarkEnd w:id="635"/>
    </w:p>
    <w:p w:rsidR="00F3594B" w:rsidRPr="0072600F" w14:paraId="367B5CD9" w14:textId="77777777">
      <w:pPr>
        <w:rPr>
          <w:rFonts w:ascii="Times New Roman" w:hAnsi="Times New Roman" w:cs="Times New Roman"/>
          <w:sz w:val="26"/>
          <w:szCs w:val="26"/>
        </w:rPr>
      </w:pPr>
    </w:p>
    <w:p w:rsidR="00F3594B" w:rsidRPr="0072600F" w14:paraId="35A5B2FF"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b/>
          <w:bCs/>
          <w:sz w:val="26"/>
          <w:szCs w:val="26"/>
        </w:rPr>
        <w:t xml:space="preserve">23.1 </w:t>
      </w:r>
      <w:r w:rsidRPr="0072600F">
        <w:rPr>
          <w:rFonts w:ascii="Times New Roman" w:hAnsi="Times New Roman" w:cs="Times New Roman"/>
          <w:b/>
          <w:bCs/>
          <w:sz w:val="26"/>
          <w:szCs w:val="26"/>
        </w:rPr>
        <w:tab/>
      </w:r>
      <w:r w:rsidRPr="0072600F">
        <w:rPr>
          <w:rFonts w:ascii="Times New Roman" w:hAnsi="Times New Roman" w:cs="Times New Roman"/>
          <w:sz w:val="26"/>
          <w:szCs w:val="26"/>
        </w:rPr>
        <w:t xml:space="preserve">Each Party shall notify the other Party, first orally and then in writing, of the release of any Hazardous Substances, any asbestos or lead abatement activities, or any type of remediation activities related to the Large Generating Facility or the Interconnection Facilities, each of which may reasonably be expected to affect the other Party.  The notifying Party shall: </w:t>
      </w:r>
      <w:r w:rsidRPr="0072600F" w:rsidR="00034525">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F3594B" w:rsidRPr="0072600F" w14:paraId="30D0A306" w14:textId="77777777">
      <w:pPr>
        <w:tabs>
          <w:tab w:val="left" w:pos="720"/>
        </w:tabs>
        <w:ind w:left="720" w:hanging="720"/>
        <w:rPr>
          <w:rFonts w:ascii="Times New Roman" w:hAnsi="Times New Roman" w:cs="Times New Roman"/>
          <w:sz w:val="26"/>
          <w:szCs w:val="26"/>
        </w:rPr>
      </w:pPr>
    </w:p>
    <w:p w:rsidR="00F3594B" w:rsidRPr="0072600F" w14:paraId="4F0AF478" w14:textId="77777777">
      <w:pPr>
        <w:tabs>
          <w:tab w:val="left" w:pos="720"/>
        </w:tabs>
        <w:ind w:left="720" w:hanging="720"/>
        <w:rPr>
          <w:rFonts w:ascii="Times New Roman" w:hAnsi="Times New Roman" w:cs="Times New Roman"/>
          <w:sz w:val="26"/>
          <w:szCs w:val="26"/>
        </w:rPr>
      </w:pPr>
    </w:p>
    <w:p w:rsidR="00F3594B" w:rsidRPr="0072600F" w:rsidP="00235FF8" w14:paraId="725190E2" w14:textId="77777777">
      <w:pPr>
        <w:pStyle w:val="Heading2"/>
        <w:rPr>
          <w:b/>
          <w:bCs/>
          <w:sz w:val="26"/>
          <w:szCs w:val="26"/>
        </w:rPr>
      </w:pPr>
      <w:bookmarkStart w:id="636" w:name="_Toc148703452"/>
      <w:r w:rsidRPr="0072600F">
        <w:rPr>
          <w:b/>
          <w:bCs/>
          <w:sz w:val="26"/>
          <w:szCs w:val="26"/>
        </w:rPr>
        <w:t>Article 24.</w:t>
      </w:r>
      <w:r w:rsidRPr="0072600F">
        <w:rPr>
          <w:b/>
          <w:bCs/>
          <w:sz w:val="26"/>
          <w:szCs w:val="26"/>
        </w:rPr>
        <w:tab/>
        <w:t>Information Requirements</w:t>
      </w:r>
      <w:bookmarkEnd w:id="636"/>
    </w:p>
    <w:p w:rsidR="00F3594B" w:rsidRPr="0072600F" w14:paraId="3E302084" w14:textId="77777777">
      <w:pPr>
        <w:rPr>
          <w:rFonts w:ascii="Times New Roman" w:hAnsi="Times New Roman" w:cs="Times New Roman"/>
          <w:sz w:val="26"/>
          <w:szCs w:val="26"/>
        </w:rPr>
      </w:pPr>
    </w:p>
    <w:p w:rsidR="00F3594B" w:rsidRPr="0072600F" w14:paraId="575C4FE1" w14:textId="77777777">
      <w:pPr>
        <w:tabs>
          <w:tab w:val="left" w:pos="720"/>
        </w:tabs>
        <w:ind w:left="720" w:hanging="720"/>
        <w:rPr>
          <w:rFonts w:ascii="Times New Roman" w:hAnsi="Times New Roman" w:cs="Times New Roman"/>
          <w:sz w:val="26"/>
          <w:szCs w:val="26"/>
        </w:rPr>
      </w:pPr>
      <w:bookmarkStart w:id="637" w:name="_Toc148703453"/>
      <w:r w:rsidRPr="0072600F">
        <w:rPr>
          <w:rStyle w:val="Heading2Char"/>
          <w:rFonts w:eastAsiaTheme="minorHAnsi"/>
          <w:b/>
          <w:sz w:val="26"/>
          <w:szCs w:val="26"/>
        </w:rPr>
        <w:t>24.1</w:t>
      </w:r>
      <w:r w:rsidRPr="0072600F">
        <w:rPr>
          <w:rStyle w:val="Heading2Char"/>
          <w:rFonts w:eastAsiaTheme="minorHAnsi"/>
          <w:b/>
          <w:sz w:val="26"/>
          <w:szCs w:val="26"/>
        </w:rPr>
        <w:tab/>
        <w:t>Information Acquisition.</w:t>
      </w:r>
      <w:bookmarkEnd w:id="637"/>
      <w:r w:rsidRPr="0072600F">
        <w:rPr>
          <w:rFonts w:ascii="Times New Roman" w:hAnsi="Times New Roman" w:cs="Times New Roman"/>
          <w:sz w:val="26"/>
          <w:szCs w:val="26"/>
        </w:rPr>
        <w:t xml:space="preserve">  Transmission Provider and Interconnection Customer shall submit specific information regarding the electrical characteristics of their respective facilities to each other as described below and in accordance with Applicable Reliability Standards.</w:t>
      </w:r>
    </w:p>
    <w:p w:rsidR="00F3594B" w:rsidRPr="0072600F" w14:paraId="0B71421C" w14:textId="77777777">
      <w:pPr>
        <w:rPr>
          <w:rFonts w:ascii="Times New Roman" w:hAnsi="Times New Roman" w:cs="Times New Roman"/>
          <w:sz w:val="26"/>
          <w:szCs w:val="26"/>
        </w:rPr>
      </w:pPr>
    </w:p>
    <w:p w:rsidR="00F3594B" w:rsidRPr="0072600F" w14:paraId="1301D7B5" w14:textId="77777777">
      <w:pPr>
        <w:tabs>
          <w:tab w:val="left" w:pos="720"/>
        </w:tabs>
        <w:ind w:left="720" w:hanging="720"/>
        <w:rPr>
          <w:rFonts w:ascii="Times New Roman" w:hAnsi="Times New Roman" w:cs="Times New Roman"/>
          <w:sz w:val="26"/>
          <w:szCs w:val="26"/>
        </w:rPr>
      </w:pPr>
      <w:bookmarkStart w:id="638" w:name="_Toc148703454"/>
      <w:r w:rsidRPr="0072600F">
        <w:rPr>
          <w:rStyle w:val="Heading2Char"/>
          <w:rFonts w:eastAsiaTheme="minorHAnsi"/>
          <w:b/>
          <w:sz w:val="26"/>
          <w:szCs w:val="26"/>
        </w:rPr>
        <w:t>24.2</w:t>
      </w:r>
      <w:r w:rsidRPr="0072600F">
        <w:rPr>
          <w:rStyle w:val="Heading2Char"/>
          <w:rFonts w:eastAsiaTheme="minorHAnsi"/>
          <w:b/>
          <w:sz w:val="26"/>
          <w:szCs w:val="26"/>
        </w:rPr>
        <w:tab/>
        <w:t>Information Submission by Transmission Provider.</w:t>
      </w:r>
      <w:bookmarkEnd w:id="638"/>
      <w:r w:rsidRPr="0072600F">
        <w:rPr>
          <w:rFonts w:ascii="Times New Roman" w:hAnsi="Times New Roman" w:cs="Times New Roman"/>
          <w:sz w:val="26"/>
          <w:szCs w:val="26"/>
        </w:rPr>
        <w:t xml:space="preserve">  The initial information submission by Transmission Provider shall occur no later than one hundred eighty (180) Calendar Days prior to Trial Operation and shall include Transmission System information necessary to allow Interconnection Customer to select equipment and meet any system protection and stability requirements, unless otherwise agreed to by the Parties.  On a monthly basis Transmission Provider shall provide Interconnection Customer a status report on the construction and installation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including, but not limited to, the following information: (1) progress to date; (2) a description of the activities since the last report (3) a description of the action items for the next period; and (4) the delivery status of equipment ordered.</w:t>
      </w:r>
    </w:p>
    <w:p w:rsidR="00F3594B" w:rsidRPr="0072600F" w14:paraId="48BD02AF" w14:textId="77777777">
      <w:pPr>
        <w:rPr>
          <w:rFonts w:ascii="Times New Roman" w:hAnsi="Times New Roman" w:cs="Times New Roman"/>
          <w:sz w:val="26"/>
          <w:szCs w:val="26"/>
        </w:rPr>
      </w:pPr>
    </w:p>
    <w:p w:rsidR="00F3594B" w:rsidRPr="0072600F" w14:paraId="161CDBCD" w14:textId="77777777">
      <w:pPr>
        <w:tabs>
          <w:tab w:val="left" w:pos="720"/>
        </w:tabs>
        <w:ind w:left="720" w:hanging="720"/>
        <w:rPr>
          <w:rFonts w:ascii="Times New Roman" w:hAnsi="Times New Roman" w:cs="Times New Roman"/>
          <w:sz w:val="26"/>
          <w:szCs w:val="26"/>
        </w:rPr>
      </w:pPr>
      <w:bookmarkStart w:id="639" w:name="_Toc148703455"/>
      <w:r w:rsidRPr="0072600F">
        <w:rPr>
          <w:rStyle w:val="Heading2Char"/>
          <w:rFonts w:eastAsiaTheme="minorHAnsi"/>
          <w:b/>
          <w:sz w:val="26"/>
          <w:szCs w:val="26"/>
        </w:rPr>
        <w:t>24.3</w:t>
      </w:r>
      <w:r w:rsidRPr="0072600F">
        <w:rPr>
          <w:rStyle w:val="Heading2Char"/>
          <w:rFonts w:eastAsiaTheme="minorHAnsi"/>
          <w:b/>
          <w:sz w:val="26"/>
          <w:szCs w:val="26"/>
        </w:rPr>
        <w:tab/>
        <w:t>Updated Information Submission by Interconnection Customer.</w:t>
      </w:r>
      <w:bookmarkEnd w:id="639"/>
      <w:r w:rsidRPr="0072600F">
        <w:rPr>
          <w:rFonts w:ascii="Times New Roman" w:hAnsi="Times New Roman" w:cs="Times New Roman"/>
          <w:sz w:val="26"/>
          <w:szCs w:val="26"/>
        </w:rPr>
        <w:t xml:space="preserve">  The updated information submission by Interconnection Customer, including manufacturer information, shall occur no later than one hundred eighty (180) Calendar Days prior to the Trial Operation.  Interconnection Customer shall submit a completed copy of the Large Generating Facility data requirements contained in Appendix 1 to the LGIP.  It shall also include any additional information provided to Transmission Provider for the Cluster Study and Facilities Study.  Information in this submission shall be the most current Large Generating Facility design or expected performance data.  Information submitted for stability models shall be compatible with Transmission Provider standard models.  If there is no compatible model, Interconnection Customer will work with a consultant mutually agreed to by the Parties to develop and supply a standard model and associated information.</w:t>
      </w:r>
    </w:p>
    <w:p w:rsidR="00F3594B" w:rsidRPr="0072600F" w14:paraId="6C291459" w14:textId="77777777">
      <w:pPr>
        <w:rPr>
          <w:rFonts w:ascii="Times New Roman" w:hAnsi="Times New Roman" w:cs="Times New Roman"/>
          <w:sz w:val="26"/>
          <w:szCs w:val="26"/>
        </w:rPr>
      </w:pPr>
    </w:p>
    <w:p w:rsidR="00F3594B" w:rsidRPr="0072600F" w14:paraId="7EFE821B" w14:textId="77777777">
      <w:pPr>
        <w:ind w:left="720"/>
        <w:rPr>
          <w:rFonts w:ascii="Times New Roman" w:hAnsi="Times New Roman" w:cs="Times New Roman"/>
          <w:sz w:val="26"/>
          <w:szCs w:val="26"/>
        </w:rPr>
      </w:pPr>
      <w:r w:rsidRPr="0072600F">
        <w:rPr>
          <w:rFonts w:ascii="Times New Roman" w:hAnsi="Times New Roman" w:cs="Times New Roman"/>
          <w:sz w:val="26"/>
          <w:szCs w:val="26"/>
        </w:rPr>
        <w:t>If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data is materially different from what was originally provided to Transmission Provider pursuant to the Interconnection Study Agreement between Transmission Provider and Interconnection Customer, then Transmission Provider will conduct appropriate studies to determine the impact on Transmission Provider Transmission System based on the actual data submitted pursuant to this Article 24.3.  Interconnection Customer shall not begin Trial Operation until such studies are completed.</w:t>
      </w:r>
    </w:p>
    <w:p w:rsidR="00F3594B" w:rsidRPr="0072600F" w14:paraId="04D235AE" w14:textId="77777777">
      <w:pPr>
        <w:tabs>
          <w:tab w:val="left" w:pos="720"/>
        </w:tabs>
        <w:ind w:left="720" w:hanging="720"/>
        <w:rPr>
          <w:rFonts w:ascii="Times New Roman" w:hAnsi="Times New Roman" w:cs="Times New Roman"/>
          <w:b/>
          <w:bCs/>
          <w:sz w:val="26"/>
          <w:szCs w:val="26"/>
        </w:rPr>
      </w:pPr>
    </w:p>
    <w:p w:rsidR="00F3594B" w:rsidRPr="0072600F" w14:paraId="0F620F08" w14:textId="77777777">
      <w:pPr>
        <w:tabs>
          <w:tab w:val="left" w:pos="720"/>
        </w:tabs>
        <w:ind w:left="720" w:hanging="720"/>
        <w:rPr>
          <w:rFonts w:ascii="Times New Roman" w:hAnsi="Times New Roman" w:cs="Times New Roman"/>
          <w:sz w:val="26"/>
          <w:szCs w:val="26"/>
        </w:rPr>
      </w:pPr>
      <w:bookmarkStart w:id="640" w:name="_Toc148703456"/>
      <w:r w:rsidRPr="0072600F">
        <w:rPr>
          <w:rStyle w:val="Heading2Char"/>
          <w:rFonts w:eastAsiaTheme="minorHAnsi"/>
          <w:b/>
          <w:sz w:val="26"/>
          <w:szCs w:val="26"/>
        </w:rPr>
        <w:t>24.4</w:t>
      </w:r>
      <w:r w:rsidRPr="0072600F">
        <w:rPr>
          <w:rStyle w:val="Heading2Char"/>
          <w:rFonts w:eastAsiaTheme="minorHAnsi"/>
          <w:b/>
          <w:sz w:val="26"/>
          <w:szCs w:val="26"/>
        </w:rPr>
        <w:tab/>
        <w:t>Information Supplementation.</w:t>
      </w:r>
      <w:bookmarkEnd w:id="640"/>
      <w:r w:rsidRPr="0072600F">
        <w:rPr>
          <w:rFonts w:ascii="Times New Roman" w:hAnsi="Times New Roman" w:cs="Times New Roman"/>
          <w:sz w:val="26"/>
          <w:szCs w:val="26"/>
        </w:rPr>
        <w:t xml:space="preserve">  Prior to the Operation Date, the Parties shall supplement their information submissions described above in this Article 24 with any and all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as-built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Large Generating Facility information or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as-tested</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performance information that differs from the initial submissions or, alternatively, written confirmation that no such differences exist.  </w:t>
      </w:r>
      <w:r w:rsidRPr="0072600F" w:rsidR="00991171">
        <w:rPr>
          <w:rFonts w:ascii="Times New Roman" w:hAnsi="Times New Roman" w:cs="Times New Roman"/>
          <w:sz w:val="26"/>
          <w:szCs w:val="26"/>
        </w:rPr>
        <w:t>[</w:t>
      </w:r>
      <w:r w:rsidRPr="0072600F">
        <w:rPr>
          <w:rFonts w:ascii="Times New Roman" w:hAnsi="Times New Roman" w:cs="Times New Roman"/>
          <w:sz w:val="26"/>
          <w:szCs w:val="26"/>
        </w:rPr>
        <w:t>The</w:t>
      </w:r>
      <w:r w:rsidRPr="0072600F" w:rsidR="0099117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conduct tests on the Large Generating Facility as required by Good Utility Practice such as an open circuit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step voltage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test on the Large Generating Facility to verify proper operation of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automatic voltage regulator.</w:t>
      </w:r>
    </w:p>
    <w:p w:rsidR="00F3594B" w:rsidRPr="0072600F" w14:paraId="3FE76FF0" w14:textId="77777777">
      <w:pPr>
        <w:rPr>
          <w:rFonts w:ascii="Times New Roman" w:hAnsi="Times New Roman" w:cs="Times New Roman"/>
          <w:sz w:val="26"/>
          <w:szCs w:val="26"/>
        </w:rPr>
      </w:pPr>
    </w:p>
    <w:p w:rsidR="00F3594B" w:rsidRPr="0072600F" w14:paraId="2CBE0F59"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Unless otherwise agreed, the test conditions shall include: </w:t>
      </w:r>
      <w:r w:rsidRPr="0072600F" w:rsidR="00034525">
        <w:rPr>
          <w:rFonts w:ascii="Times New Roman" w:hAnsi="Times New Roman" w:cs="Times New Roman"/>
          <w:sz w:val="26"/>
          <w:szCs w:val="26"/>
        </w:rPr>
        <w:t xml:space="preserve"> </w:t>
      </w:r>
      <w:r w:rsidRPr="0072600F">
        <w:rPr>
          <w:rFonts w:ascii="Times New Roman" w:hAnsi="Times New Roman" w:cs="Times New Roman"/>
          <w:sz w:val="26"/>
          <w:szCs w:val="26"/>
        </w:rPr>
        <w:t>(1) Large Generating Facility at synchronous speed; (2) automatic voltage regulator on and in voltage control mode; and (3) a five percent change in Large Generating Facility terminal voltage initiated by a change in the voltage regulators reference voltage.  Interconnection Customer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terminal or field voltage are acceptable if information necessary to translate these alternate quantities to actual Large Generating Facility terminal or field voltages is provided.  Large Generating Facility testing shall be conducted and results provided to Transmission Provider for each individual generating unit in a station.</w:t>
      </w:r>
    </w:p>
    <w:p w:rsidR="00F3594B" w:rsidRPr="0072600F" w14:paraId="125F95E9" w14:textId="77777777">
      <w:pPr>
        <w:rPr>
          <w:rFonts w:ascii="Times New Roman" w:hAnsi="Times New Roman" w:cs="Times New Roman"/>
          <w:sz w:val="26"/>
          <w:szCs w:val="26"/>
        </w:rPr>
      </w:pPr>
    </w:p>
    <w:p w:rsidR="00F3594B" w:rsidRPr="0072600F" w14:paraId="7806D78B" w14:textId="77777777">
      <w:pPr>
        <w:ind w:left="720"/>
        <w:rPr>
          <w:rFonts w:ascii="Times New Roman" w:hAnsi="Times New Roman" w:cs="Times New Roman"/>
          <w:sz w:val="26"/>
          <w:szCs w:val="26"/>
        </w:rPr>
      </w:pPr>
      <w:r w:rsidRPr="0072600F">
        <w:rPr>
          <w:rFonts w:ascii="Times New Roman" w:hAnsi="Times New Roman" w:cs="Times New Roman"/>
          <w:sz w:val="26"/>
          <w:szCs w:val="26"/>
        </w:rPr>
        <w:t>Subsequent to the Operation Date, Interconnection Customer shall provide Transmission Provider any information changes due to equipment replacement, repair, or adjustment.  Transmission Provider shall provide Interconnection Customer any information changes due to equipment replacement, repair or adjustment in the directly connected substation or any adjacent Transmission Provider-owned substation that may affect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Interconnection Facilities equipment ratings, protection or operating requirements.  The Parties shall provide such information no later than thirty (30) Calendar Days after the date of the equipment replacement, repair or adjustment.</w:t>
      </w:r>
    </w:p>
    <w:p w:rsidR="00F3594B" w:rsidRPr="0072600F" w14:paraId="3987EFC6" w14:textId="77777777">
      <w:pPr>
        <w:rPr>
          <w:rFonts w:ascii="Times New Roman" w:hAnsi="Times New Roman" w:cs="Times New Roman"/>
          <w:sz w:val="26"/>
          <w:szCs w:val="26"/>
        </w:rPr>
      </w:pPr>
    </w:p>
    <w:p w:rsidR="00F3594B" w:rsidRPr="0072600F" w14:paraId="2F065792" w14:textId="77777777">
      <w:pPr>
        <w:rPr>
          <w:rFonts w:ascii="Times New Roman" w:hAnsi="Times New Roman" w:cs="Times New Roman"/>
          <w:sz w:val="26"/>
          <w:szCs w:val="26"/>
        </w:rPr>
      </w:pPr>
    </w:p>
    <w:p w:rsidR="00F3594B" w:rsidRPr="0072600F" w:rsidP="0001616F" w14:paraId="215A514F" w14:textId="77777777">
      <w:pPr>
        <w:pStyle w:val="Heading2"/>
        <w:rPr>
          <w:b/>
          <w:bCs/>
          <w:sz w:val="26"/>
          <w:szCs w:val="26"/>
        </w:rPr>
      </w:pPr>
      <w:bookmarkStart w:id="641" w:name="_Toc148703457"/>
      <w:r w:rsidRPr="0072600F">
        <w:rPr>
          <w:b/>
          <w:bCs/>
          <w:sz w:val="26"/>
          <w:szCs w:val="26"/>
        </w:rPr>
        <w:t>Article 25.</w:t>
      </w:r>
      <w:r w:rsidRPr="0072600F">
        <w:rPr>
          <w:b/>
          <w:bCs/>
          <w:sz w:val="26"/>
          <w:szCs w:val="26"/>
        </w:rPr>
        <w:tab/>
        <w:t>Information Access and Audit Rights</w:t>
      </w:r>
      <w:bookmarkEnd w:id="641"/>
    </w:p>
    <w:p w:rsidR="00F3594B" w:rsidRPr="0072600F" w14:paraId="20EE124D" w14:textId="77777777">
      <w:pPr>
        <w:rPr>
          <w:rFonts w:ascii="Times New Roman" w:hAnsi="Times New Roman" w:cs="Times New Roman"/>
          <w:sz w:val="26"/>
          <w:szCs w:val="26"/>
        </w:rPr>
      </w:pPr>
    </w:p>
    <w:p w:rsidR="00F3594B" w:rsidRPr="0072600F" w14:paraId="6840DC34" w14:textId="77777777">
      <w:pPr>
        <w:tabs>
          <w:tab w:val="left" w:pos="720"/>
        </w:tabs>
        <w:ind w:left="720" w:hanging="720"/>
        <w:rPr>
          <w:rFonts w:ascii="Times New Roman" w:hAnsi="Times New Roman" w:cs="Times New Roman"/>
          <w:sz w:val="26"/>
          <w:szCs w:val="26"/>
        </w:rPr>
      </w:pPr>
      <w:bookmarkStart w:id="642" w:name="_Toc148703458"/>
      <w:r w:rsidRPr="0072600F">
        <w:rPr>
          <w:rStyle w:val="Heading2Char"/>
          <w:rFonts w:eastAsiaTheme="minorHAnsi"/>
          <w:b/>
          <w:sz w:val="26"/>
          <w:szCs w:val="26"/>
        </w:rPr>
        <w:t>25.1</w:t>
      </w:r>
      <w:r w:rsidRPr="0072600F">
        <w:rPr>
          <w:rStyle w:val="Heading2Char"/>
          <w:rFonts w:eastAsiaTheme="minorHAnsi"/>
          <w:b/>
          <w:sz w:val="26"/>
          <w:szCs w:val="26"/>
        </w:rPr>
        <w:tab/>
        <w:t>Information Access.</w:t>
      </w:r>
      <w:bookmarkEnd w:id="642"/>
      <w:r w:rsidRPr="0072600F">
        <w:rPr>
          <w:rFonts w:ascii="Times New Roman" w:hAnsi="Times New Roman" w:cs="Times New Roman"/>
          <w:sz w:val="26"/>
          <w:szCs w:val="26"/>
        </w:rPr>
        <w:t xml:space="preserve">  Each Party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disclosing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shall make available to the other Party information that is in the possession of the disclosing Party and is necessary in order for the other Party to:  (</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verify the costs incurred by the disclosing Party for which the other Party is responsible under this LGIA; and    </w:t>
      </w:r>
    </w:p>
    <w:p w:rsidR="00F3594B" w:rsidRPr="0072600F" w14:paraId="1B4C94A1" w14:textId="77777777">
      <w:pPr>
        <w:tabs>
          <w:tab w:val="left" w:pos="720"/>
        </w:tabs>
        <w:ind w:left="720" w:hanging="720"/>
        <w:rPr>
          <w:rFonts w:ascii="Times New Roman" w:hAnsi="Times New Roman" w:cs="Times New Roman"/>
          <w:sz w:val="26"/>
          <w:szCs w:val="26"/>
        </w:rPr>
      </w:pPr>
      <w:r w:rsidRPr="0072600F">
        <w:rPr>
          <w:rFonts w:ascii="Times New Roman" w:hAnsi="Times New Roman" w:cs="Times New Roman"/>
          <w:b/>
          <w:bCs/>
          <w:sz w:val="26"/>
          <w:szCs w:val="26"/>
        </w:rPr>
        <w:tab/>
      </w:r>
      <w:r w:rsidRPr="0072600F">
        <w:rPr>
          <w:rFonts w:ascii="Times New Roman" w:hAnsi="Times New Roman" w:cs="Times New Roman"/>
          <w:sz w:val="26"/>
          <w:szCs w:val="26"/>
        </w:rPr>
        <w:t>(ii) carry out its obligations and responsibilities under this LGIA.  The Parties shall not use such information for purposes other than those set forth in this Article 25.1 and to enforce their rights under this LGIA.</w:t>
      </w:r>
    </w:p>
    <w:p w:rsidR="00F3594B" w:rsidRPr="0072600F" w14:paraId="63EEA0E1" w14:textId="77777777">
      <w:pPr>
        <w:rPr>
          <w:rFonts w:ascii="Times New Roman" w:hAnsi="Times New Roman" w:cs="Times New Roman"/>
          <w:sz w:val="26"/>
          <w:szCs w:val="26"/>
        </w:rPr>
      </w:pPr>
    </w:p>
    <w:p w:rsidR="00F3594B" w:rsidRPr="0072600F" w14:paraId="549EC103" w14:textId="77777777">
      <w:pPr>
        <w:tabs>
          <w:tab w:val="left" w:pos="720"/>
        </w:tabs>
        <w:ind w:left="720" w:hanging="720"/>
        <w:rPr>
          <w:rFonts w:ascii="Times New Roman" w:hAnsi="Times New Roman" w:cs="Times New Roman"/>
          <w:sz w:val="26"/>
          <w:szCs w:val="26"/>
        </w:rPr>
      </w:pPr>
      <w:bookmarkStart w:id="643" w:name="_Toc148703459"/>
      <w:r w:rsidRPr="0072600F">
        <w:rPr>
          <w:rStyle w:val="Heading2Char"/>
          <w:rFonts w:eastAsiaTheme="minorHAnsi"/>
          <w:b/>
          <w:sz w:val="26"/>
          <w:szCs w:val="26"/>
        </w:rPr>
        <w:t>25.2</w:t>
      </w:r>
      <w:r w:rsidRPr="0072600F">
        <w:rPr>
          <w:rStyle w:val="Heading2Char"/>
          <w:rFonts w:eastAsiaTheme="minorHAnsi"/>
          <w:b/>
          <w:sz w:val="26"/>
          <w:szCs w:val="26"/>
        </w:rPr>
        <w:tab/>
        <w:t>Reporting of Non-Force Majeure Events.</w:t>
      </w:r>
      <w:bookmarkEnd w:id="643"/>
      <w:r w:rsidRPr="0072600F">
        <w:rPr>
          <w:rFonts w:ascii="Times New Roman" w:hAnsi="Times New Roman" w:cs="Times New Roman"/>
          <w:sz w:val="26"/>
          <w:szCs w:val="26"/>
        </w:rPr>
        <w:t xml:space="preserve">  Each Party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notifying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shall notify the other Party when the notifying Party becomes aware of its inability to comply with the provisions of this LGIA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LGIA.</w:t>
      </w:r>
    </w:p>
    <w:p w:rsidR="00F3594B" w:rsidRPr="0072600F" w14:paraId="695F71CB" w14:textId="77777777">
      <w:pPr>
        <w:rPr>
          <w:rFonts w:ascii="Times New Roman" w:hAnsi="Times New Roman" w:cs="Times New Roman"/>
          <w:sz w:val="26"/>
          <w:szCs w:val="26"/>
        </w:rPr>
      </w:pPr>
    </w:p>
    <w:p w:rsidR="00F3594B" w:rsidRPr="0072600F" w14:paraId="0D9D738F" w14:textId="77777777">
      <w:pPr>
        <w:tabs>
          <w:tab w:val="left" w:pos="720"/>
        </w:tabs>
        <w:ind w:left="720" w:hanging="720"/>
        <w:rPr>
          <w:rFonts w:ascii="Times New Roman" w:hAnsi="Times New Roman" w:cs="Times New Roman"/>
          <w:sz w:val="26"/>
          <w:szCs w:val="26"/>
        </w:rPr>
      </w:pPr>
      <w:bookmarkStart w:id="644" w:name="_Toc148703460"/>
      <w:r w:rsidRPr="0072600F">
        <w:rPr>
          <w:rStyle w:val="Heading2Char"/>
          <w:rFonts w:eastAsiaTheme="minorHAnsi"/>
          <w:b/>
          <w:sz w:val="26"/>
          <w:szCs w:val="26"/>
        </w:rPr>
        <w:t>25.3</w:t>
      </w:r>
      <w:r w:rsidRPr="0072600F">
        <w:rPr>
          <w:rStyle w:val="Heading2Char"/>
          <w:rFonts w:eastAsiaTheme="minorHAnsi"/>
          <w:b/>
          <w:sz w:val="26"/>
          <w:szCs w:val="26"/>
        </w:rPr>
        <w:tab/>
        <w:t>Audit Rights.</w:t>
      </w:r>
      <w:bookmarkEnd w:id="644"/>
      <w:r w:rsidRPr="0072600F">
        <w:rPr>
          <w:rFonts w:ascii="Times New Roman" w:hAnsi="Times New Roman" w:cs="Times New Roman"/>
          <w:sz w:val="26"/>
          <w:szCs w:val="26"/>
        </w:rPr>
        <w:t xml:space="preserve">  Subject to the requirements of confidentiality under Article 22 of this LGIA, each Party shall have the right, during normal business hours, and upon prior reasonable notice to the other Party, to audit at its own expense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accounts and records pertaining to either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performance or </w:t>
      </w:r>
      <w:r w:rsidRPr="0072600F">
        <w:rPr>
          <w:rFonts w:ascii="Times New Roman" w:hAnsi="Times New Roman" w:cs="Times New Roman"/>
          <w:sz w:val="26"/>
          <w:szCs w:val="26"/>
        </w:rPr>
        <w:t>either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w:t>
      </w:r>
      <w:r w:rsidRPr="0072600F">
        <w:rPr>
          <w:rFonts w:ascii="Times New Roman" w:hAnsi="Times New Roman" w:cs="Times New Roman"/>
          <w:sz w:val="26"/>
          <w:szCs w:val="26"/>
        </w:rPr>
        <w:t xml:space="preserve"> satisfaction of obligations under this LGIA.  Such audit rights shall include audits of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costs, calculation of invoiced amounts,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efforts to allocate responsibility for the provision of reactive support to the Transmission System,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efforts to allocate responsibility for interruption or reduction of generation on the Transmission System, and each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actions in an Emergency Condition.  Any audit authorized by this article shall be performed at the offices where such accounts and records are maintained and shall be limited to those portions of such accounts and records that relate to each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performance and satisfaction of obligations under this LGIA.  Each Party shall keep such accounts and records for a period equivalent to the audit rights periods described in Article 25.4.</w:t>
      </w:r>
    </w:p>
    <w:p w:rsidR="00F3594B" w:rsidRPr="0072600F" w14:paraId="6C66DD42" w14:textId="77777777">
      <w:pPr>
        <w:rPr>
          <w:rFonts w:ascii="Times New Roman" w:hAnsi="Times New Roman" w:cs="Times New Roman"/>
          <w:sz w:val="26"/>
          <w:szCs w:val="26"/>
        </w:rPr>
      </w:pPr>
    </w:p>
    <w:p w:rsidR="00F3594B" w:rsidRPr="0072600F" w:rsidP="0001616F" w14:paraId="4143228A" w14:textId="77777777">
      <w:pPr>
        <w:pStyle w:val="FERCNopara"/>
        <w:ind w:firstLine="0"/>
        <w:rPr>
          <w:b/>
          <w:sz w:val="26"/>
          <w:szCs w:val="26"/>
        </w:rPr>
      </w:pPr>
      <w:bookmarkStart w:id="645" w:name="_Toc148703461"/>
      <w:r w:rsidRPr="0072600F">
        <w:rPr>
          <w:b/>
          <w:sz w:val="26"/>
          <w:szCs w:val="26"/>
        </w:rPr>
        <w:t>25.4</w:t>
      </w:r>
      <w:r w:rsidRPr="0072600F">
        <w:rPr>
          <w:b/>
          <w:sz w:val="26"/>
          <w:szCs w:val="26"/>
        </w:rPr>
        <w:tab/>
        <w:t>Audit Rights Periods.</w:t>
      </w:r>
      <w:bookmarkEnd w:id="645"/>
    </w:p>
    <w:p w:rsidR="00F3594B" w:rsidRPr="0072600F" w14:paraId="4790E1D2" w14:textId="77777777">
      <w:pPr>
        <w:ind w:left="720" w:hanging="720"/>
        <w:rPr>
          <w:rFonts w:ascii="Times New Roman" w:hAnsi="Times New Roman" w:cs="Times New Roman"/>
          <w:sz w:val="26"/>
          <w:szCs w:val="26"/>
        </w:rPr>
      </w:pPr>
    </w:p>
    <w:p w:rsidR="00F3594B" w:rsidRPr="0072600F" w14:paraId="1C341F64"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46" w:name="_Toc148703462"/>
      <w:r w:rsidRPr="0072600F">
        <w:rPr>
          <w:rStyle w:val="Heading3Char"/>
          <w:rFonts w:eastAsiaTheme="minorHAnsi"/>
          <w:b/>
          <w:sz w:val="26"/>
        </w:rPr>
        <w:t>25.4.1</w:t>
      </w:r>
      <w:r w:rsidRPr="0072600F">
        <w:rPr>
          <w:rStyle w:val="Heading3Char"/>
          <w:rFonts w:eastAsiaTheme="minorHAnsi"/>
          <w:sz w:val="26"/>
        </w:rPr>
        <w:tab/>
      </w:r>
      <w:r w:rsidRPr="0072600F">
        <w:rPr>
          <w:rStyle w:val="Heading3Char"/>
          <w:rFonts w:eastAsiaTheme="minorHAnsi"/>
          <w:sz w:val="26"/>
        </w:rPr>
        <w:tab/>
        <w:t>Audit Rights Period for Construction-Related Accounts and Records.</w:t>
      </w:r>
      <w:bookmarkEnd w:id="646"/>
      <w:r w:rsidRPr="0072600F">
        <w:rPr>
          <w:rFonts w:ascii="Times New Roman" w:hAnsi="Times New Roman" w:cs="Times New Roman"/>
          <w:sz w:val="26"/>
          <w:szCs w:val="26"/>
        </w:rPr>
        <w:t xml:space="preserve">  Accounts and records related to the design, engineering, procurement, and construction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Network Upgrades shall be subject to audit for a period of twenty-four months following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issuance of a final invoice in accordance with Article 12.2.</w:t>
      </w:r>
    </w:p>
    <w:p w:rsidR="00F3594B" w:rsidRPr="0072600F" w14:paraId="16A4FA99" w14:textId="77777777">
      <w:pPr>
        <w:rPr>
          <w:rFonts w:ascii="Times New Roman" w:hAnsi="Times New Roman" w:cs="Times New Roman"/>
          <w:sz w:val="26"/>
          <w:szCs w:val="26"/>
        </w:rPr>
      </w:pPr>
    </w:p>
    <w:p w:rsidR="00F3594B" w:rsidRPr="0072600F" w14:paraId="522E8D0F"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47" w:name="_Toc148703463"/>
      <w:r w:rsidRPr="0072600F">
        <w:rPr>
          <w:rStyle w:val="Heading3Char"/>
          <w:rFonts w:eastAsiaTheme="minorHAnsi"/>
          <w:b/>
          <w:sz w:val="26"/>
        </w:rPr>
        <w:t>25.4.2</w:t>
      </w:r>
      <w:r w:rsidRPr="0072600F">
        <w:rPr>
          <w:rStyle w:val="Heading3Char"/>
          <w:rFonts w:eastAsiaTheme="minorHAnsi"/>
          <w:sz w:val="26"/>
        </w:rPr>
        <w:tab/>
      </w:r>
      <w:r w:rsidRPr="0072600F">
        <w:rPr>
          <w:rStyle w:val="Heading3Char"/>
          <w:rFonts w:eastAsiaTheme="minorHAnsi"/>
          <w:sz w:val="26"/>
        </w:rPr>
        <w:tab/>
        <w:t>Audit Rights Period for All Other Accounts and Records.</w:t>
      </w:r>
      <w:bookmarkEnd w:id="647"/>
      <w:r w:rsidRPr="0072600F">
        <w:rPr>
          <w:rFonts w:ascii="Times New Roman" w:hAnsi="Times New Roman" w:cs="Times New Roman"/>
          <w:sz w:val="26"/>
          <w:szCs w:val="26"/>
        </w:rPr>
        <w:t xml:space="preserve">  Accounts and records related to either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performance or satisfaction of all obligations under this LGIA other than those described in Article 25.4.1 shall be subject to audit as follows:  (</w:t>
      </w:r>
      <w:r w:rsidRPr="0072600F">
        <w:rPr>
          <w:rFonts w:ascii="Times New Roman" w:hAnsi="Times New Roman" w:cs="Times New Roman"/>
          <w:sz w:val="26"/>
          <w:szCs w:val="26"/>
        </w:rPr>
        <w:t>i</w:t>
      </w:r>
      <w:r w:rsidRPr="0072600F">
        <w:rPr>
          <w:rFonts w:ascii="Times New Roman" w:hAnsi="Times New Roman" w:cs="Times New Roman"/>
          <w:sz w:val="26"/>
          <w:szCs w:val="26"/>
        </w:rPr>
        <w:t>) for an audit relating to cost obligations, the applicable audit rights period shall be twenty-four months after the auditing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receipt of an invoice giving rise to such cost obligations; and (ii) for an audit relating to all other obligations, the applicable audit rights period shall be twenty-four months after the event for which the audit is sought.</w:t>
      </w:r>
    </w:p>
    <w:p w:rsidR="00F3594B" w:rsidRPr="0072600F" w14:paraId="5EE64B3E" w14:textId="77777777">
      <w:pPr>
        <w:rPr>
          <w:rFonts w:ascii="Times New Roman" w:hAnsi="Times New Roman" w:cs="Times New Roman"/>
          <w:sz w:val="26"/>
          <w:szCs w:val="26"/>
        </w:rPr>
      </w:pPr>
    </w:p>
    <w:p w:rsidR="00F3594B" w:rsidRPr="0072600F" w14:paraId="43E17EB6" w14:textId="77777777">
      <w:pPr>
        <w:tabs>
          <w:tab w:val="left" w:pos="720"/>
        </w:tabs>
        <w:ind w:left="720" w:hanging="720"/>
        <w:rPr>
          <w:rFonts w:ascii="Times New Roman" w:hAnsi="Times New Roman" w:cs="Times New Roman"/>
          <w:sz w:val="26"/>
          <w:szCs w:val="26"/>
        </w:rPr>
      </w:pPr>
      <w:bookmarkStart w:id="648" w:name="_Toc148703464"/>
      <w:r w:rsidRPr="0072600F">
        <w:rPr>
          <w:rStyle w:val="Heading2Char"/>
          <w:rFonts w:eastAsiaTheme="minorHAnsi"/>
          <w:b/>
          <w:sz w:val="26"/>
          <w:szCs w:val="26"/>
        </w:rPr>
        <w:t>25.5</w:t>
      </w:r>
      <w:r w:rsidRPr="0072600F">
        <w:rPr>
          <w:rStyle w:val="Heading2Char"/>
          <w:rFonts w:eastAsiaTheme="minorHAnsi"/>
          <w:b/>
          <w:sz w:val="26"/>
          <w:szCs w:val="26"/>
        </w:rPr>
        <w:tab/>
        <w:t>Audit Results.</w:t>
      </w:r>
      <w:bookmarkEnd w:id="648"/>
      <w:r w:rsidRPr="0072600F">
        <w:rPr>
          <w:rFonts w:ascii="Times New Roman" w:hAnsi="Times New Roman" w:cs="Times New Roman"/>
          <w:sz w:val="26"/>
          <w:szCs w:val="26"/>
        </w:rPr>
        <w:t xml:space="preserve">  If an audit by a Party determines that an overpayment or an underpayment has occurred, a notice of such overpayment or underpayment shall be given to the other Party together with those records from the audit which support such determination.</w:t>
      </w:r>
    </w:p>
    <w:p w:rsidR="00F3594B" w:rsidRPr="0072600F" w14:paraId="3CC6E941" w14:textId="77777777">
      <w:pPr>
        <w:tabs>
          <w:tab w:val="left" w:pos="720"/>
        </w:tabs>
        <w:ind w:left="720" w:hanging="720"/>
        <w:rPr>
          <w:rFonts w:ascii="Times New Roman" w:hAnsi="Times New Roman" w:cs="Times New Roman"/>
          <w:sz w:val="26"/>
          <w:szCs w:val="26"/>
        </w:rPr>
      </w:pPr>
    </w:p>
    <w:p w:rsidR="00F3594B" w:rsidRPr="0072600F" w14:paraId="35EF33FD" w14:textId="77777777">
      <w:pPr>
        <w:tabs>
          <w:tab w:val="left" w:pos="720"/>
        </w:tabs>
        <w:ind w:left="720" w:hanging="720"/>
        <w:rPr>
          <w:rFonts w:ascii="Times New Roman" w:hAnsi="Times New Roman" w:cs="Times New Roman"/>
          <w:sz w:val="26"/>
          <w:szCs w:val="26"/>
        </w:rPr>
      </w:pPr>
    </w:p>
    <w:p w:rsidR="00F3594B" w:rsidRPr="0072600F" w:rsidP="0001616F" w14:paraId="34AA2E6D" w14:textId="77777777">
      <w:pPr>
        <w:pStyle w:val="Heading2"/>
        <w:rPr>
          <w:b/>
          <w:bCs/>
          <w:sz w:val="26"/>
          <w:szCs w:val="26"/>
        </w:rPr>
      </w:pPr>
      <w:r w:rsidRPr="0072600F">
        <w:rPr>
          <w:b/>
          <w:bCs/>
          <w:sz w:val="26"/>
          <w:szCs w:val="26"/>
          <w:lang w:val="en-CA"/>
        </w:rPr>
        <w:fldChar w:fldCharType="begin"/>
      </w:r>
      <w:r w:rsidRPr="0072600F">
        <w:rPr>
          <w:b/>
          <w:bCs/>
          <w:sz w:val="26"/>
          <w:szCs w:val="26"/>
          <w:lang w:val="en-CA"/>
        </w:rPr>
        <w:instrText xml:space="preserve"> SEQ CHAPTER \h \r 1</w:instrText>
      </w:r>
      <w:r w:rsidRPr="0072600F">
        <w:rPr>
          <w:b/>
          <w:bCs/>
          <w:sz w:val="26"/>
          <w:szCs w:val="26"/>
          <w:lang w:val="en-CA"/>
        </w:rPr>
        <w:fldChar w:fldCharType="separate"/>
      </w:r>
      <w:r w:rsidRPr="0072600F">
        <w:rPr>
          <w:b/>
          <w:bCs/>
          <w:sz w:val="26"/>
          <w:szCs w:val="26"/>
          <w:lang w:val="en-CA"/>
        </w:rPr>
        <w:fldChar w:fldCharType="end"/>
      </w:r>
      <w:bookmarkStart w:id="649" w:name="_Toc148703465"/>
      <w:r w:rsidRPr="0072600F">
        <w:rPr>
          <w:b/>
          <w:bCs/>
          <w:sz w:val="26"/>
          <w:szCs w:val="26"/>
        </w:rPr>
        <w:t>Article 26.</w:t>
      </w:r>
      <w:r w:rsidRPr="0072600F">
        <w:rPr>
          <w:b/>
          <w:bCs/>
          <w:sz w:val="26"/>
          <w:szCs w:val="26"/>
        </w:rPr>
        <w:tab/>
        <w:t>Subcontractors</w:t>
      </w:r>
      <w:bookmarkEnd w:id="649"/>
    </w:p>
    <w:p w:rsidR="00F3594B" w:rsidRPr="0072600F" w14:paraId="7FC3EA4E" w14:textId="77777777">
      <w:pPr>
        <w:rPr>
          <w:rFonts w:ascii="Times New Roman" w:hAnsi="Times New Roman" w:cs="Times New Roman"/>
          <w:sz w:val="26"/>
          <w:szCs w:val="26"/>
        </w:rPr>
      </w:pPr>
    </w:p>
    <w:p w:rsidR="00F3594B" w:rsidRPr="0072600F" w14:paraId="1A00A2F5" w14:textId="77777777">
      <w:pPr>
        <w:tabs>
          <w:tab w:val="left" w:pos="720"/>
        </w:tabs>
        <w:ind w:left="720" w:hanging="720"/>
        <w:rPr>
          <w:rFonts w:ascii="Times New Roman" w:hAnsi="Times New Roman" w:cs="Times New Roman"/>
          <w:sz w:val="26"/>
          <w:szCs w:val="26"/>
        </w:rPr>
      </w:pPr>
      <w:bookmarkStart w:id="650" w:name="_Toc148703466"/>
      <w:r w:rsidRPr="0072600F">
        <w:rPr>
          <w:rStyle w:val="Heading2Char"/>
          <w:rFonts w:eastAsiaTheme="minorHAnsi"/>
          <w:b/>
          <w:sz w:val="26"/>
          <w:szCs w:val="26"/>
        </w:rPr>
        <w:t>26.1</w:t>
      </w:r>
      <w:r w:rsidRPr="0072600F">
        <w:rPr>
          <w:rStyle w:val="Heading2Char"/>
          <w:rFonts w:eastAsiaTheme="minorHAnsi"/>
          <w:b/>
          <w:sz w:val="26"/>
          <w:szCs w:val="26"/>
        </w:rPr>
        <w:tab/>
        <w:t>General.</w:t>
      </w:r>
      <w:bookmarkEnd w:id="650"/>
      <w:r w:rsidRPr="0072600F">
        <w:rPr>
          <w:rFonts w:ascii="Times New Roman" w:hAnsi="Times New Roman" w:cs="Times New Roman"/>
          <w:sz w:val="26"/>
          <w:szCs w:val="26"/>
        </w:rPr>
        <w:t xml:space="preserve">  Nothing in this LGIA shall prevent a Party from utilizing the services of any subcontractor as it deems appropriate to perform its obligations under this LGIA; provided, however, that each Party shall require its subcontractors to comply with all applicable terms and conditions of this LGIA in providing such services and each Party shall remain primarily liable to the other Party for the performance of such subcontractor.</w:t>
      </w:r>
    </w:p>
    <w:p w:rsidR="00F3594B" w:rsidRPr="0072600F" w14:paraId="257844C8" w14:textId="77777777">
      <w:pPr>
        <w:rPr>
          <w:rFonts w:ascii="Times New Roman" w:hAnsi="Times New Roman" w:cs="Times New Roman"/>
          <w:sz w:val="26"/>
          <w:szCs w:val="26"/>
        </w:rPr>
      </w:pPr>
    </w:p>
    <w:p w:rsidR="00F3594B" w:rsidRPr="0072600F" w14:paraId="11F373D7" w14:textId="77777777">
      <w:pPr>
        <w:tabs>
          <w:tab w:val="left" w:pos="720"/>
        </w:tabs>
        <w:ind w:left="720" w:hanging="720"/>
        <w:rPr>
          <w:rFonts w:ascii="Times New Roman" w:hAnsi="Times New Roman" w:cs="Times New Roman"/>
          <w:sz w:val="26"/>
          <w:szCs w:val="26"/>
        </w:rPr>
      </w:pPr>
      <w:bookmarkStart w:id="651" w:name="_Toc148703467"/>
      <w:r w:rsidRPr="0072600F">
        <w:rPr>
          <w:rStyle w:val="Heading2Char"/>
          <w:rFonts w:eastAsiaTheme="minorHAnsi"/>
          <w:b/>
          <w:sz w:val="26"/>
          <w:szCs w:val="26"/>
        </w:rPr>
        <w:t>26.2</w:t>
      </w:r>
      <w:r w:rsidRPr="0072600F">
        <w:rPr>
          <w:rStyle w:val="Heading2Char"/>
          <w:rFonts w:eastAsiaTheme="minorHAnsi"/>
          <w:b/>
          <w:sz w:val="26"/>
          <w:szCs w:val="26"/>
        </w:rPr>
        <w:tab/>
        <w:t>Responsibility of Principal.</w:t>
      </w:r>
      <w:bookmarkEnd w:id="651"/>
      <w:r w:rsidRPr="0072600F">
        <w:rPr>
          <w:rFonts w:ascii="Times New Roman" w:hAnsi="Times New Roman" w:cs="Times New Roman"/>
          <w:sz w:val="26"/>
          <w:szCs w:val="26"/>
        </w:rPr>
        <w:t xml:space="preserve">  The creation of any subcontract relationship shall not relieve the hiring Party of any of its obligations under this LGIA.  The hiring Party shall be fully responsible to the other Party for the acts or omissions of any subcontractor the hiring Party hires as if no subcontract had been made; provided, however, that in no event shall Transmission Provider be liable for the actions or inactions of Interconnection Customer or its subcontractors with respect to obligations of Interconnection Customer under Article 5 of this LGIA.  Any applicable obligation imposed by this LGIA upon the hiring Party shall be equally binding upon, and shall be construed as having application to, any subcontractor of such Party.</w:t>
      </w:r>
    </w:p>
    <w:p w:rsidR="00F3594B" w:rsidRPr="0072600F" w14:paraId="43AFC803" w14:textId="77777777">
      <w:pPr>
        <w:rPr>
          <w:rFonts w:ascii="Times New Roman" w:hAnsi="Times New Roman" w:cs="Times New Roman"/>
          <w:sz w:val="26"/>
          <w:szCs w:val="26"/>
        </w:rPr>
      </w:pPr>
    </w:p>
    <w:p w:rsidR="00F3594B" w:rsidRPr="0072600F" w14:paraId="4998EAD0" w14:textId="77777777">
      <w:pPr>
        <w:tabs>
          <w:tab w:val="left" w:pos="720"/>
        </w:tabs>
        <w:ind w:left="720" w:hanging="720"/>
        <w:rPr>
          <w:rFonts w:ascii="Times New Roman" w:hAnsi="Times New Roman" w:cs="Times New Roman"/>
          <w:sz w:val="26"/>
          <w:szCs w:val="26"/>
        </w:rPr>
      </w:pPr>
      <w:bookmarkStart w:id="652" w:name="_Toc148703468"/>
      <w:r w:rsidRPr="0072600F">
        <w:rPr>
          <w:rStyle w:val="Heading2Char"/>
          <w:rFonts w:eastAsiaTheme="minorHAnsi"/>
          <w:b/>
          <w:sz w:val="26"/>
          <w:szCs w:val="26"/>
        </w:rPr>
        <w:t>26.3</w:t>
      </w:r>
      <w:r w:rsidRPr="0072600F">
        <w:rPr>
          <w:rStyle w:val="Heading2Char"/>
          <w:rFonts w:eastAsiaTheme="minorHAnsi"/>
          <w:b/>
          <w:sz w:val="26"/>
          <w:szCs w:val="26"/>
        </w:rPr>
        <w:tab/>
        <w:t>No Limitation by Insurance.</w:t>
      </w:r>
      <w:bookmarkEnd w:id="652"/>
      <w:r w:rsidRPr="0072600F">
        <w:rPr>
          <w:rFonts w:ascii="Times New Roman" w:hAnsi="Times New Roman" w:cs="Times New Roman"/>
          <w:sz w:val="26"/>
          <w:szCs w:val="26"/>
        </w:rPr>
        <w:t xml:space="preserve">  The obligations under this Article 26 will not be limited in any way by any limitation of subcontractor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insurance.</w:t>
      </w:r>
    </w:p>
    <w:p w:rsidR="00F3594B" w:rsidRPr="0072600F" w14:paraId="0A751198" w14:textId="77777777">
      <w:pPr>
        <w:rPr>
          <w:rFonts w:ascii="Times New Roman" w:hAnsi="Times New Roman" w:cs="Times New Roman"/>
          <w:sz w:val="26"/>
          <w:szCs w:val="26"/>
        </w:rPr>
      </w:pPr>
    </w:p>
    <w:p w:rsidR="00F3594B" w:rsidRPr="0072600F" w14:paraId="4830BA80" w14:textId="77777777">
      <w:pPr>
        <w:rPr>
          <w:rFonts w:ascii="Times New Roman" w:hAnsi="Times New Roman" w:cs="Times New Roman"/>
          <w:b/>
          <w:bCs/>
          <w:sz w:val="26"/>
          <w:szCs w:val="26"/>
        </w:rPr>
      </w:pPr>
    </w:p>
    <w:p w:rsidR="00F3594B" w:rsidRPr="0072600F" w:rsidP="0001616F" w14:paraId="106FA8E1" w14:textId="77777777">
      <w:pPr>
        <w:pStyle w:val="Heading2"/>
        <w:rPr>
          <w:b/>
          <w:bCs/>
          <w:sz w:val="26"/>
          <w:szCs w:val="26"/>
        </w:rPr>
      </w:pPr>
      <w:bookmarkStart w:id="653" w:name="_Toc148703469"/>
      <w:r w:rsidRPr="0072600F">
        <w:rPr>
          <w:b/>
          <w:bCs/>
          <w:sz w:val="26"/>
          <w:szCs w:val="26"/>
        </w:rPr>
        <w:t>Article 27.</w:t>
      </w:r>
      <w:r w:rsidRPr="0072600F">
        <w:rPr>
          <w:b/>
          <w:bCs/>
          <w:sz w:val="26"/>
          <w:szCs w:val="26"/>
        </w:rPr>
        <w:tab/>
        <w:t>Disputes</w:t>
      </w:r>
      <w:bookmarkEnd w:id="653"/>
    </w:p>
    <w:p w:rsidR="00F3594B" w:rsidRPr="0072600F" w14:paraId="26AE7431" w14:textId="77777777">
      <w:pPr>
        <w:rPr>
          <w:rFonts w:ascii="Times New Roman" w:hAnsi="Times New Roman" w:cs="Times New Roman"/>
          <w:b/>
          <w:bCs/>
          <w:sz w:val="26"/>
          <w:szCs w:val="26"/>
        </w:rPr>
      </w:pPr>
    </w:p>
    <w:p w:rsidR="00F3594B" w:rsidRPr="0072600F" w14:paraId="0DAC34F9" w14:textId="77777777">
      <w:pPr>
        <w:tabs>
          <w:tab w:val="left" w:pos="720"/>
        </w:tabs>
        <w:ind w:left="720" w:hanging="720"/>
        <w:rPr>
          <w:rFonts w:ascii="Times New Roman" w:hAnsi="Times New Roman" w:cs="Times New Roman"/>
          <w:sz w:val="26"/>
          <w:szCs w:val="26"/>
        </w:rPr>
      </w:pPr>
      <w:bookmarkStart w:id="654" w:name="_Toc148703470"/>
      <w:r w:rsidRPr="0072600F">
        <w:rPr>
          <w:rStyle w:val="Heading2Char"/>
          <w:rFonts w:eastAsiaTheme="minorHAnsi"/>
          <w:b/>
          <w:sz w:val="26"/>
          <w:szCs w:val="26"/>
        </w:rPr>
        <w:t>27.1</w:t>
      </w:r>
      <w:r w:rsidRPr="0072600F">
        <w:rPr>
          <w:rStyle w:val="Heading2Char"/>
          <w:rFonts w:eastAsiaTheme="minorHAnsi"/>
          <w:b/>
          <w:sz w:val="26"/>
          <w:szCs w:val="26"/>
        </w:rPr>
        <w:tab/>
        <w:t>Submission.</w:t>
      </w:r>
      <w:bookmarkEnd w:id="654"/>
      <w:r w:rsidRPr="0072600F">
        <w:rPr>
          <w:rFonts w:ascii="Times New Roman" w:hAnsi="Times New Roman" w:cs="Times New Roman"/>
          <w:sz w:val="26"/>
          <w:szCs w:val="26"/>
        </w:rPr>
        <w:t xml:space="preserve">  In the event either Party has a dispute, or asserts a claim, that arises out of or in connection with this LGIA or its performance, such Party (the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disputing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shall provide the other Party with written notice of the dispute or claim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Notice of Dispute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this LGIA.</w:t>
      </w:r>
    </w:p>
    <w:p w:rsidR="00F3594B" w:rsidRPr="0072600F" w14:paraId="2278FEA3" w14:textId="77777777">
      <w:pPr>
        <w:rPr>
          <w:rFonts w:ascii="Times New Roman" w:hAnsi="Times New Roman" w:cs="Times New Roman"/>
          <w:sz w:val="26"/>
          <w:szCs w:val="26"/>
        </w:rPr>
      </w:pPr>
    </w:p>
    <w:p w:rsidR="00F3594B" w:rsidRPr="0072600F" w14:paraId="16CD8650" w14:textId="77777777">
      <w:pPr>
        <w:tabs>
          <w:tab w:val="left" w:pos="720"/>
        </w:tabs>
        <w:ind w:left="720" w:hanging="720"/>
        <w:rPr>
          <w:rFonts w:ascii="Times New Roman" w:hAnsi="Times New Roman" w:cs="Times New Roman"/>
          <w:sz w:val="26"/>
          <w:szCs w:val="26"/>
        </w:rPr>
      </w:pPr>
      <w:bookmarkStart w:id="655" w:name="_Toc148703471"/>
      <w:r w:rsidRPr="0072600F">
        <w:rPr>
          <w:rStyle w:val="Heading2Char"/>
          <w:rFonts w:eastAsiaTheme="minorHAnsi"/>
          <w:b/>
          <w:sz w:val="26"/>
          <w:szCs w:val="26"/>
        </w:rPr>
        <w:t>27.2</w:t>
      </w:r>
      <w:r w:rsidRPr="0072600F">
        <w:rPr>
          <w:rStyle w:val="Heading2Char"/>
          <w:rFonts w:eastAsiaTheme="minorHAnsi"/>
          <w:b/>
          <w:sz w:val="26"/>
          <w:szCs w:val="26"/>
        </w:rPr>
        <w:tab/>
        <w:t>External Arbitration Procedures.</w:t>
      </w:r>
      <w:bookmarkEnd w:id="655"/>
      <w:r w:rsidRPr="0072600F">
        <w:rPr>
          <w:rFonts w:ascii="Times New Roman" w:hAnsi="Times New Roman" w:cs="Times New Roman"/>
          <w:sz w:val="26"/>
          <w:szCs w:val="26"/>
        </w:rPr>
        <w:t xml:space="preserve">  Any arbitration initiated under this LGIA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and any applicable FERC regulations or RTO rules; provided, however, in the event of a conflict between the Arbitration Rules and the terms of this Article 27, the terms of this Article 27 shall prevail.</w:t>
      </w:r>
    </w:p>
    <w:p w:rsidR="00F3594B" w:rsidRPr="0072600F" w14:paraId="65A66F65" w14:textId="77777777">
      <w:pPr>
        <w:rPr>
          <w:rFonts w:ascii="Times New Roman" w:hAnsi="Times New Roman" w:cs="Times New Roman"/>
          <w:sz w:val="26"/>
          <w:szCs w:val="26"/>
        </w:rPr>
      </w:pPr>
    </w:p>
    <w:p w:rsidR="00F3594B" w:rsidRPr="0072600F" w14:paraId="3D0C68B5" w14:textId="77777777">
      <w:pPr>
        <w:tabs>
          <w:tab w:val="left" w:pos="720"/>
        </w:tabs>
        <w:ind w:left="720" w:hanging="720"/>
        <w:rPr>
          <w:rFonts w:ascii="Times New Roman" w:hAnsi="Times New Roman" w:cs="Times New Roman"/>
          <w:sz w:val="26"/>
          <w:szCs w:val="26"/>
        </w:rPr>
      </w:pPr>
      <w:bookmarkStart w:id="656" w:name="_Toc148703472"/>
      <w:r w:rsidRPr="0072600F">
        <w:rPr>
          <w:rStyle w:val="Heading2Char"/>
          <w:rFonts w:eastAsiaTheme="minorHAnsi"/>
          <w:b/>
          <w:sz w:val="26"/>
          <w:szCs w:val="26"/>
        </w:rPr>
        <w:t>27.3</w:t>
      </w:r>
      <w:r w:rsidRPr="0072600F">
        <w:rPr>
          <w:rStyle w:val="Heading2Char"/>
          <w:rFonts w:eastAsiaTheme="minorHAnsi"/>
          <w:b/>
          <w:sz w:val="26"/>
          <w:szCs w:val="26"/>
        </w:rPr>
        <w:tab/>
        <w:t>Arbitration Decisions.</w:t>
      </w:r>
      <w:bookmarkEnd w:id="656"/>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LGIA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rsidR="00F3594B" w:rsidRPr="0072600F" w14:paraId="2019BAA0" w14:textId="77777777">
      <w:pPr>
        <w:rPr>
          <w:rFonts w:ascii="Times New Roman" w:hAnsi="Times New Roman" w:cs="Times New Roman"/>
          <w:sz w:val="26"/>
          <w:szCs w:val="26"/>
        </w:rPr>
      </w:pPr>
    </w:p>
    <w:p w:rsidR="00F3594B" w:rsidRPr="0072600F" w14:paraId="161961EC" w14:textId="77777777">
      <w:pPr>
        <w:tabs>
          <w:tab w:val="left" w:pos="720"/>
        </w:tabs>
        <w:ind w:left="720" w:hanging="720"/>
        <w:rPr>
          <w:rFonts w:ascii="Times New Roman" w:hAnsi="Times New Roman" w:cs="Times New Roman"/>
          <w:sz w:val="26"/>
          <w:szCs w:val="26"/>
        </w:rPr>
      </w:pPr>
      <w:bookmarkStart w:id="657" w:name="_Toc148703473"/>
      <w:r w:rsidRPr="0072600F">
        <w:rPr>
          <w:rStyle w:val="Heading2Char"/>
          <w:rFonts w:eastAsiaTheme="minorHAnsi"/>
          <w:b/>
          <w:sz w:val="26"/>
          <w:szCs w:val="26"/>
        </w:rPr>
        <w:t>27.4</w:t>
      </w:r>
      <w:r w:rsidRPr="0072600F">
        <w:rPr>
          <w:rStyle w:val="Heading2Char"/>
          <w:rFonts w:eastAsiaTheme="minorHAnsi"/>
          <w:b/>
          <w:sz w:val="26"/>
          <w:szCs w:val="26"/>
        </w:rPr>
        <w:tab/>
        <w:t>Costs.</w:t>
      </w:r>
      <w:bookmarkEnd w:id="657"/>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rsidR="00F3594B" w:rsidRPr="0072600F" w14:paraId="66CE4D62" w14:textId="77777777">
      <w:pPr>
        <w:rPr>
          <w:rFonts w:ascii="Times New Roman" w:hAnsi="Times New Roman" w:cs="Times New Roman"/>
          <w:sz w:val="26"/>
          <w:szCs w:val="26"/>
        </w:rPr>
      </w:pPr>
    </w:p>
    <w:p w:rsidR="00F3594B" w:rsidRPr="0072600F" w14:paraId="137BA0B7" w14:textId="77777777">
      <w:pPr>
        <w:rPr>
          <w:rFonts w:ascii="Times New Roman" w:hAnsi="Times New Roman" w:cs="Times New Roman"/>
          <w:sz w:val="26"/>
          <w:szCs w:val="26"/>
        </w:rPr>
      </w:pPr>
    </w:p>
    <w:p w:rsidR="00F3594B" w:rsidRPr="0072600F" w:rsidP="0001616F" w14:paraId="08D1467B" w14:textId="77777777">
      <w:pPr>
        <w:pStyle w:val="Heading2"/>
        <w:rPr>
          <w:b/>
          <w:bCs/>
          <w:sz w:val="26"/>
          <w:szCs w:val="26"/>
        </w:rPr>
      </w:pPr>
      <w:bookmarkStart w:id="658" w:name="_Toc148703474"/>
      <w:r w:rsidRPr="0072600F">
        <w:rPr>
          <w:b/>
          <w:bCs/>
          <w:sz w:val="26"/>
          <w:szCs w:val="26"/>
        </w:rPr>
        <w:t>Article 28.</w:t>
      </w:r>
      <w:r w:rsidRPr="0072600F">
        <w:rPr>
          <w:b/>
          <w:bCs/>
          <w:sz w:val="26"/>
          <w:szCs w:val="26"/>
        </w:rPr>
        <w:tab/>
        <w:t>Representations, Warranties, and Covenants</w:t>
      </w:r>
      <w:bookmarkEnd w:id="658"/>
    </w:p>
    <w:p w:rsidR="00F3594B" w:rsidRPr="0072600F" w14:paraId="5F89806C" w14:textId="77777777">
      <w:pPr>
        <w:rPr>
          <w:rFonts w:ascii="Times New Roman" w:hAnsi="Times New Roman" w:cs="Times New Roman"/>
          <w:sz w:val="26"/>
          <w:szCs w:val="26"/>
        </w:rPr>
      </w:pPr>
    </w:p>
    <w:p w:rsidR="00F3594B" w:rsidRPr="0072600F" w14:paraId="3910A1BA" w14:textId="77777777">
      <w:pPr>
        <w:tabs>
          <w:tab w:val="left" w:pos="720"/>
        </w:tabs>
        <w:ind w:left="720" w:hanging="720"/>
        <w:rPr>
          <w:rFonts w:ascii="Times New Roman" w:hAnsi="Times New Roman" w:cs="Times New Roman"/>
          <w:sz w:val="26"/>
          <w:szCs w:val="26"/>
        </w:rPr>
      </w:pPr>
      <w:bookmarkStart w:id="659" w:name="_Toc148703475"/>
      <w:r w:rsidRPr="0072600F">
        <w:rPr>
          <w:rStyle w:val="Heading2Char"/>
          <w:rFonts w:eastAsiaTheme="minorHAnsi"/>
          <w:b/>
          <w:sz w:val="26"/>
          <w:szCs w:val="26"/>
        </w:rPr>
        <w:t>28.1</w:t>
      </w:r>
      <w:r w:rsidRPr="0072600F">
        <w:rPr>
          <w:rStyle w:val="Heading2Char"/>
          <w:rFonts w:eastAsiaTheme="minorHAnsi"/>
          <w:b/>
          <w:sz w:val="26"/>
          <w:szCs w:val="26"/>
        </w:rPr>
        <w:tab/>
        <w:t>General.</w:t>
      </w:r>
      <w:bookmarkEnd w:id="659"/>
      <w:r w:rsidRPr="0072600F">
        <w:rPr>
          <w:rFonts w:ascii="Times New Roman" w:hAnsi="Times New Roman" w:cs="Times New Roman"/>
          <w:sz w:val="26"/>
          <w:szCs w:val="26"/>
        </w:rPr>
        <w:t xml:space="preserve">  Each Party makes the following representations, warranties and covenants: </w:t>
      </w:r>
    </w:p>
    <w:p w:rsidR="00F3594B" w:rsidRPr="0072600F" w14:paraId="4E192507" w14:textId="77777777">
      <w:pPr>
        <w:rPr>
          <w:rFonts w:ascii="Times New Roman" w:hAnsi="Times New Roman" w:cs="Times New Roman"/>
          <w:sz w:val="26"/>
          <w:szCs w:val="26"/>
        </w:rPr>
      </w:pPr>
    </w:p>
    <w:p w:rsidR="00F3594B" w:rsidRPr="0072600F" w14:paraId="35AE49D2"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60" w:name="_Toc148703476"/>
      <w:r w:rsidRPr="0072600F">
        <w:rPr>
          <w:rStyle w:val="Heading3Char"/>
          <w:rFonts w:eastAsiaTheme="minorHAnsi"/>
          <w:b/>
          <w:sz w:val="26"/>
        </w:rPr>
        <w:t xml:space="preserve">28.1.1 </w:t>
      </w:r>
      <w:r w:rsidRPr="0072600F">
        <w:rPr>
          <w:rStyle w:val="Heading3Char"/>
          <w:rFonts w:eastAsiaTheme="minorHAnsi"/>
          <w:b/>
          <w:sz w:val="26"/>
        </w:rPr>
        <w:tab/>
      </w:r>
      <w:r w:rsidRPr="0072600F">
        <w:rPr>
          <w:rStyle w:val="Heading3Char"/>
          <w:rFonts w:eastAsiaTheme="minorHAnsi"/>
          <w:b/>
          <w:sz w:val="26"/>
        </w:rPr>
        <w:tab/>
        <w:t>Good Standing</w:t>
      </w:r>
      <w:r w:rsidRPr="0072600F">
        <w:rPr>
          <w:rStyle w:val="Heading3Char"/>
          <w:rFonts w:eastAsiaTheme="minorHAnsi"/>
          <w:sz w:val="26"/>
        </w:rPr>
        <w:t>.</w:t>
      </w:r>
      <w:bookmarkEnd w:id="660"/>
      <w:r w:rsidRPr="0072600F">
        <w:rPr>
          <w:rFonts w:ascii="Times New Roman" w:hAnsi="Times New Roman" w:cs="Times New Roman"/>
          <w:sz w:val="26"/>
          <w:szCs w:val="26"/>
        </w:rPr>
        <w:t xml:space="preserve">  Such Party is duly organized, validly existing and in good standing under the laws of the state in which it is organized, formed, or incorporated, as applicable; that it is qualified to do business in the state or states in which the Large Generating Facility, Interconnection Facilities and Network Upgrades owned by such Party, as applicable, are located</w:t>
      </w:r>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and that it has the corporate power and authority to own its properties, to carry on its business as now being conducted and to enter into this LGIA and carry out the transactions contemplated hereby and perform and carry out all covenants and obligations on its part to be performed under and pursuant to this LGIA.</w:t>
      </w:r>
    </w:p>
    <w:p w:rsidR="00F3594B" w:rsidRPr="0072600F" w14:paraId="7A52D3AE" w14:textId="77777777">
      <w:pPr>
        <w:rPr>
          <w:rFonts w:ascii="Times New Roman" w:hAnsi="Times New Roman" w:cs="Times New Roman"/>
          <w:sz w:val="26"/>
          <w:szCs w:val="26"/>
        </w:rPr>
      </w:pPr>
    </w:p>
    <w:p w:rsidR="00F3594B" w:rsidRPr="0072600F" w14:paraId="568FA49C"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61" w:name="_Toc148703477"/>
      <w:r w:rsidRPr="0072600F">
        <w:rPr>
          <w:rStyle w:val="Heading3Char"/>
          <w:rFonts w:eastAsiaTheme="minorHAnsi"/>
          <w:b/>
          <w:sz w:val="26"/>
        </w:rPr>
        <w:t>28.1.2</w:t>
      </w:r>
      <w:r w:rsidRPr="0072600F">
        <w:rPr>
          <w:rStyle w:val="Heading3Char"/>
          <w:rFonts w:eastAsiaTheme="minorHAnsi"/>
          <w:b/>
          <w:sz w:val="26"/>
        </w:rPr>
        <w:tab/>
      </w:r>
      <w:r w:rsidRPr="0072600F">
        <w:rPr>
          <w:rStyle w:val="Heading3Char"/>
          <w:rFonts w:eastAsiaTheme="minorHAnsi"/>
          <w:b/>
          <w:sz w:val="26"/>
        </w:rPr>
        <w:tab/>
        <w:t>Authority.</w:t>
      </w:r>
      <w:bookmarkEnd w:id="661"/>
      <w:r w:rsidRPr="0072600F">
        <w:rPr>
          <w:rFonts w:ascii="Times New Roman" w:hAnsi="Times New Roman" w:cs="Times New Roman"/>
          <w:sz w:val="26"/>
          <w:szCs w:val="26"/>
        </w:rPr>
        <w:t xml:space="preserve">  Such Party has the right, power and authority to enter into this LGIA, to become a Party hereto and to perform its obligations hereunder.  This LGIA is a legal, valid and binding obligation of such Party, enforceable against such Party in accordance with its terms, except as the enforceability thereof may be limited by applicable bankruptcy, insolvency, reorganization or other similar laws affecting creditors</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rights generally and by general equitable principles (regardless of whether enforceability is sought in a proceeding in equity or at law).</w:t>
      </w:r>
    </w:p>
    <w:p w:rsidR="00F3594B" w:rsidRPr="0072600F" w14:paraId="5FAACBD0" w14:textId="77777777">
      <w:pPr>
        <w:ind w:left="1440" w:hanging="720"/>
        <w:rPr>
          <w:rFonts w:ascii="Times New Roman" w:hAnsi="Times New Roman" w:cs="Times New Roman"/>
          <w:sz w:val="26"/>
          <w:szCs w:val="26"/>
        </w:rPr>
      </w:pPr>
    </w:p>
    <w:p w:rsidR="00F3594B" w:rsidRPr="0072600F" w14:paraId="3659CDEB" w14:textId="77777777">
      <w:pPr>
        <w:tabs>
          <w:tab w:val="left" w:pos="720"/>
          <w:tab w:val="left" w:pos="1440"/>
          <w:tab w:val="left" w:pos="2160"/>
        </w:tabs>
        <w:ind w:left="2160" w:hanging="2160"/>
        <w:rPr>
          <w:rFonts w:ascii="Times New Roman" w:hAnsi="Times New Roman" w:cs="Times New Roman"/>
          <w:b/>
          <w:bCs/>
          <w:sz w:val="26"/>
          <w:szCs w:val="26"/>
        </w:rPr>
      </w:pPr>
      <w:r w:rsidRPr="0072600F">
        <w:rPr>
          <w:rFonts w:ascii="Times New Roman" w:hAnsi="Times New Roman" w:cs="Times New Roman"/>
          <w:b/>
          <w:bCs/>
          <w:sz w:val="26"/>
          <w:szCs w:val="26"/>
        </w:rPr>
        <w:tab/>
      </w:r>
    </w:p>
    <w:p w:rsidR="00F3594B" w:rsidRPr="0072600F" w14:paraId="2E3D84AB"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r>
      <w:bookmarkStart w:id="662" w:name="_Toc148703478"/>
      <w:r w:rsidRPr="0072600F">
        <w:rPr>
          <w:rStyle w:val="Heading3Char"/>
          <w:rFonts w:eastAsiaTheme="minorHAnsi"/>
          <w:b/>
          <w:sz w:val="26"/>
        </w:rPr>
        <w:t xml:space="preserve">28.1.3 </w:t>
      </w:r>
      <w:r w:rsidRPr="0072600F">
        <w:rPr>
          <w:rStyle w:val="Heading3Char"/>
          <w:rFonts w:eastAsiaTheme="minorHAnsi"/>
          <w:b/>
          <w:sz w:val="26"/>
        </w:rPr>
        <w:tab/>
      </w:r>
      <w:r w:rsidRPr="0072600F">
        <w:rPr>
          <w:rStyle w:val="Heading3Char"/>
          <w:rFonts w:eastAsiaTheme="minorHAnsi"/>
          <w:b/>
          <w:sz w:val="26"/>
        </w:rPr>
        <w:tab/>
        <w:t>No Conflict.</w:t>
      </w:r>
      <w:bookmarkEnd w:id="662"/>
      <w:r w:rsidRPr="0072600F">
        <w:rPr>
          <w:rFonts w:ascii="Times New Roman" w:hAnsi="Times New Roman" w:cs="Times New Roman"/>
          <w:sz w:val="26"/>
          <w:szCs w:val="26"/>
        </w:rPr>
        <w:t xml:space="preserve">  The execution, delivery and performance of this LGIA does not violate or conflict with the organizational or formation documents, or bylaws or operating agreement, of such Party, or any judgment, license, permit, order, material agreement or instrument applicable to or binding upon such Party or any of its assets.</w:t>
      </w:r>
    </w:p>
    <w:p w:rsidR="00F3594B" w:rsidRPr="0072600F" w14:paraId="091754DD" w14:textId="77777777">
      <w:pPr>
        <w:rPr>
          <w:rFonts w:ascii="Times New Roman" w:hAnsi="Times New Roman" w:cs="Times New Roman"/>
          <w:sz w:val="26"/>
          <w:szCs w:val="26"/>
        </w:rPr>
      </w:pPr>
    </w:p>
    <w:p w:rsidR="00F3594B" w:rsidRPr="0072600F" w14:paraId="5F1F535D"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bookmarkStart w:id="663" w:name="_Toc148703479"/>
      <w:r w:rsidRPr="0072600F">
        <w:rPr>
          <w:rStyle w:val="Heading3Char"/>
          <w:rFonts w:eastAsiaTheme="minorHAnsi"/>
          <w:b/>
          <w:sz w:val="26"/>
        </w:rPr>
        <w:t xml:space="preserve">28.1.4 </w:t>
      </w:r>
      <w:r w:rsidRPr="0072600F">
        <w:rPr>
          <w:rStyle w:val="Heading3Char"/>
          <w:rFonts w:eastAsiaTheme="minorHAnsi"/>
          <w:b/>
          <w:sz w:val="26"/>
        </w:rPr>
        <w:tab/>
      </w:r>
      <w:r w:rsidRPr="0072600F">
        <w:rPr>
          <w:rStyle w:val="Heading3Char"/>
          <w:rFonts w:eastAsiaTheme="minorHAnsi"/>
          <w:b/>
          <w:sz w:val="26"/>
        </w:rPr>
        <w:tab/>
        <w:t>Consent and Approval.</w:t>
      </w:r>
      <w:bookmarkEnd w:id="663"/>
      <w:r w:rsidRPr="0072600F">
        <w:rPr>
          <w:rFonts w:ascii="Times New Roman" w:hAnsi="Times New Roman" w:cs="Times New Roman"/>
          <w:sz w:val="26"/>
          <w:szCs w:val="26"/>
        </w:rPr>
        <w:t xml:space="preserve">  Such Party has sought or obtained, or, in accordance with this LGIA will seek or obtain, each consent, approval, authorization, order, or acceptance by any Governmental Authority in connection with the execution, delivery and performance of this LGIA, and it will provide to any Governmental Authority notice of any actions under this LGIA that are required by Applicable Laws and Regulations.</w:t>
      </w:r>
    </w:p>
    <w:p w:rsidR="00F3594B" w:rsidRPr="0072600F" w14:paraId="4FCDEFA6" w14:textId="77777777">
      <w:pPr>
        <w:rPr>
          <w:rFonts w:ascii="Times New Roman" w:hAnsi="Times New Roman" w:cs="Times New Roman"/>
          <w:sz w:val="26"/>
          <w:szCs w:val="26"/>
        </w:rPr>
      </w:pPr>
    </w:p>
    <w:p w:rsidR="00F3594B" w:rsidRPr="0072600F" w14:paraId="2A6F9D7B" w14:textId="77777777">
      <w:pPr>
        <w:rPr>
          <w:rFonts w:ascii="Times New Roman" w:hAnsi="Times New Roman" w:cs="Times New Roman"/>
          <w:sz w:val="26"/>
          <w:szCs w:val="26"/>
        </w:rPr>
      </w:pPr>
    </w:p>
    <w:p w:rsidR="00F3594B" w:rsidRPr="0072600F" w:rsidP="0001616F" w14:paraId="16F939EC" w14:textId="77777777">
      <w:pPr>
        <w:pStyle w:val="Heading2"/>
        <w:rPr>
          <w:b/>
          <w:bCs/>
          <w:sz w:val="26"/>
          <w:szCs w:val="26"/>
        </w:rPr>
      </w:pPr>
      <w:bookmarkStart w:id="664" w:name="_Toc148703480"/>
      <w:r w:rsidRPr="0072600F">
        <w:rPr>
          <w:b/>
          <w:bCs/>
          <w:sz w:val="26"/>
          <w:szCs w:val="26"/>
        </w:rPr>
        <w:t>Article 29.</w:t>
      </w:r>
      <w:r w:rsidRPr="0072600F">
        <w:rPr>
          <w:b/>
          <w:bCs/>
          <w:sz w:val="26"/>
          <w:szCs w:val="26"/>
        </w:rPr>
        <w:tab/>
        <w:t>Joint Operating Committee</w:t>
      </w:r>
      <w:bookmarkEnd w:id="664"/>
    </w:p>
    <w:p w:rsidR="00F3594B" w:rsidRPr="0072600F" w14:paraId="722FDC16" w14:textId="77777777">
      <w:pPr>
        <w:rPr>
          <w:rFonts w:ascii="Times New Roman" w:hAnsi="Times New Roman" w:cs="Times New Roman"/>
          <w:sz w:val="26"/>
          <w:szCs w:val="26"/>
        </w:rPr>
      </w:pPr>
    </w:p>
    <w:p w:rsidR="00F3594B" w:rsidRPr="0072600F" w14:paraId="311B3187" w14:textId="77777777">
      <w:pPr>
        <w:tabs>
          <w:tab w:val="left" w:pos="720"/>
        </w:tabs>
        <w:ind w:left="720" w:hanging="720"/>
        <w:rPr>
          <w:rFonts w:ascii="Times New Roman" w:hAnsi="Times New Roman" w:cs="Times New Roman"/>
          <w:sz w:val="26"/>
          <w:szCs w:val="26"/>
        </w:rPr>
      </w:pPr>
      <w:bookmarkStart w:id="665" w:name="_Toc148703481"/>
      <w:r w:rsidRPr="0072600F">
        <w:rPr>
          <w:rStyle w:val="Heading2Char"/>
          <w:rFonts w:eastAsiaTheme="minorHAnsi"/>
          <w:b/>
          <w:sz w:val="26"/>
          <w:szCs w:val="26"/>
        </w:rPr>
        <w:t>29.1</w:t>
      </w:r>
      <w:r w:rsidRPr="0072600F">
        <w:rPr>
          <w:rStyle w:val="Heading2Char"/>
          <w:rFonts w:eastAsiaTheme="minorHAnsi"/>
          <w:b/>
          <w:sz w:val="26"/>
          <w:szCs w:val="26"/>
        </w:rPr>
        <w:tab/>
        <w:t>Joint Operating Committee.</w:t>
      </w:r>
      <w:bookmarkEnd w:id="665"/>
      <w:r w:rsidRPr="0072600F">
        <w:rPr>
          <w:rFonts w:ascii="Times New Roman" w:hAnsi="Times New Roman" w:cs="Times New Roman"/>
          <w:sz w:val="26"/>
          <w:szCs w:val="26"/>
        </w:rPr>
        <w:t xml:space="preserve">  Except in the case of ISOs and RTOs, Transmission Provider shall constitute a Joint Operating Committee to coordinate operating and technical considerations of Interconnection Service.  At least six (6) months prior to the expected Initial Synchronization Date, Interconnection Customer and Transmission Provider shall each appoint one representative and one alternate to the Joint Operating Committee.  Each Interconnection Customer shall notify Transmission Provider of its appointment in writing.  Such appointments may be changed at any time by similar notice.  The Joint Operating Committee shall meet as necessary, but not less than once each calendar year, to carry out the duties set forth herein.  The Joint Operating Committee shall hold a meeting at the request of either Party, at a time and place agreed upon by the representatives.  The Joint Operating Committee shall perform all of its duties consistent with the provisions of this LGIA.  Each Party shall cooperate in providing to the Joint Operating Committee all information required in the performance of the Joint Operating Committee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duties.  All decisions and agreements, if any, made by the Joint Operating Committee, shall be evidenced in writing.  The duties of the Joint Operating Committee shall include the following:</w:t>
      </w:r>
    </w:p>
    <w:p w:rsidR="00F3594B" w:rsidRPr="0072600F" w14:paraId="7B47D37E" w14:textId="77777777">
      <w:pPr>
        <w:rPr>
          <w:rFonts w:ascii="Times New Roman" w:hAnsi="Times New Roman" w:cs="Times New Roman"/>
          <w:sz w:val="26"/>
          <w:szCs w:val="26"/>
        </w:rPr>
      </w:pPr>
    </w:p>
    <w:p w:rsidR="00F3594B" w:rsidRPr="0072600F" w14:paraId="0D89859B"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29.1.1</w:t>
      </w:r>
      <w:r w:rsidRPr="0072600F">
        <w:rPr>
          <w:rFonts w:ascii="Times New Roman" w:hAnsi="Times New Roman" w:cs="Times New Roman"/>
          <w:b/>
          <w:bCs/>
          <w:sz w:val="26"/>
          <w:szCs w:val="26"/>
        </w:rPr>
        <w:tab/>
      </w:r>
      <w:r w:rsidRPr="0072600F">
        <w:rPr>
          <w:rFonts w:ascii="Times New Roman" w:hAnsi="Times New Roman" w:cs="Times New Roman"/>
          <w:b/>
          <w:bCs/>
          <w:sz w:val="26"/>
          <w:szCs w:val="26"/>
        </w:rPr>
        <w:tab/>
      </w:r>
      <w:r w:rsidRPr="0072600F">
        <w:rPr>
          <w:rFonts w:ascii="Times New Roman" w:hAnsi="Times New Roman" w:cs="Times New Roman"/>
          <w:sz w:val="26"/>
          <w:szCs w:val="26"/>
        </w:rPr>
        <w:t>Establish data requirements and operating record requirements.</w:t>
      </w:r>
    </w:p>
    <w:p w:rsidR="00F3594B" w:rsidRPr="0072600F" w14:paraId="6FD75676" w14:textId="77777777">
      <w:pPr>
        <w:rPr>
          <w:rFonts w:ascii="Times New Roman" w:hAnsi="Times New Roman" w:cs="Times New Roman"/>
          <w:sz w:val="26"/>
          <w:szCs w:val="26"/>
        </w:rPr>
      </w:pPr>
    </w:p>
    <w:p w:rsidR="00F3594B" w:rsidRPr="0072600F" w14:paraId="331CCDD3"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29.1.2</w:t>
      </w:r>
      <w:r w:rsidRPr="0072600F">
        <w:rPr>
          <w:rFonts w:ascii="Times New Roman" w:hAnsi="Times New Roman" w:cs="Times New Roman"/>
          <w:b/>
          <w:bCs/>
          <w:sz w:val="26"/>
          <w:szCs w:val="26"/>
        </w:rPr>
        <w:tab/>
      </w:r>
      <w:r w:rsidRPr="0072600F">
        <w:rPr>
          <w:rFonts w:ascii="Times New Roman" w:hAnsi="Times New Roman" w:cs="Times New Roman"/>
          <w:sz w:val="26"/>
          <w:szCs w:val="26"/>
        </w:rPr>
        <w:tab/>
        <w:t>Review the requirements, standards, and procedures for data acquisition equipment, protective equipment, and any other equipment or software.</w:t>
      </w:r>
    </w:p>
    <w:p w:rsidR="00F3594B" w:rsidRPr="0072600F" w14:paraId="7310F349" w14:textId="77777777">
      <w:pPr>
        <w:rPr>
          <w:rFonts w:ascii="Times New Roman" w:hAnsi="Times New Roman" w:cs="Times New Roman"/>
          <w:sz w:val="26"/>
          <w:szCs w:val="26"/>
        </w:rPr>
      </w:pPr>
    </w:p>
    <w:p w:rsidR="00F3594B" w:rsidRPr="0072600F" w14:paraId="6C523D57"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t>29.1.3</w:t>
      </w:r>
      <w:r w:rsidRPr="0072600F">
        <w:rPr>
          <w:rFonts w:ascii="Times New Roman" w:hAnsi="Times New Roman" w:cs="Times New Roman"/>
          <w:b/>
          <w:bCs/>
          <w:sz w:val="26"/>
          <w:szCs w:val="26"/>
        </w:rPr>
        <w:tab/>
      </w:r>
      <w:r w:rsidRPr="0072600F">
        <w:rPr>
          <w:rFonts w:ascii="Times New Roman" w:hAnsi="Times New Roman" w:cs="Times New Roman"/>
          <w:sz w:val="26"/>
          <w:szCs w:val="26"/>
        </w:rPr>
        <w:tab/>
        <w:t xml:space="preserve">Annually review the one (1) year forecast of maintenance and planned outage schedules of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and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facilities at the Point of Interconnection.</w:t>
      </w:r>
    </w:p>
    <w:p w:rsidR="00F3594B" w:rsidRPr="0072600F" w14:paraId="2A081C55" w14:textId="77777777">
      <w:pPr>
        <w:rPr>
          <w:rFonts w:ascii="Times New Roman" w:hAnsi="Times New Roman" w:cs="Times New Roman"/>
          <w:sz w:val="26"/>
          <w:szCs w:val="26"/>
        </w:rPr>
      </w:pPr>
    </w:p>
    <w:p w:rsidR="00F3594B" w:rsidRPr="0072600F" w14:paraId="1433A7BF"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29.1.4</w:t>
      </w:r>
      <w:r w:rsidRPr="0072600F">
        <w:rPr>
          <w:rFonts w:ascii="Times New Roman" w:hAnsi="Times New Roman" w:cs="Times New Roman"/>
          <w:b/>
          <w:bCs/>
          <w:sz w:val="26"/>
          <w:szCs w:val="26"/>
        </w:rPr>
        <w:tab/>
      </w:r>
      <w:r w:rsidRPr="0072600F">
        <w:rPr>
          <w:rFonts w:ascii="Times New Roman" w:hAnsi="Times New Roman" w:cs="Times New Roman"/>
          <w:sz w:val="26"/>
          <w:szCs w:val="26"/>
        </w:rPr>
        <w:tab/>
        <w:t>Coordinate the scheduling of maintenance and planned outages on the Interconnection Facilities, the Large Generating Facility and other facilities that impact the normal operation of the interconnection of the Large Generating Facility to the Transmission System.</w:t>
      </w:r>
    </w:p>
    <w:p w:rsidR="00F3594B" w:rsidRPr="0072600F" w14:paraId="1CB70D13" w14:textId="77777777">
      <w:pPr>
        <w:rPr>
          <w:rFonts w:ascii="Times New Roman" w:hAnsi="Times New Roman" w:cs="Times New Roman"/>
          <w:sz w:val="26"/>
          <w:szCs w:val="26"/>
        </w:rPr>
      </w:pPr>
    </w:p>
    <w:p w:rsidR="00F3594B" w:rsidRPr="0072600F" w14:paraId="357D5EB4"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b/>
          <w:bCs/>
          <w:sz w:val="26"/>
          <w:szCs w:val="26"/>
        </w:rPr>
        <w:t>29.1.5</w:t>
      </w:r>
      <w:r w:rsidRPr="0072600F">
        <w:rPr>
          <w:rFonts w:ascii="Times New Roman" w:hAnsi="Times New Roman" w:cs="Times New Roman"/>
          <w:b/>
          <w:bCs/>
          <w:sz w:val="26"/>
          <w:szCs w:val="26"/>
        </w:rPr>
        <w:tab/>
      </w:r>
      <w:r w:rsidRPr="0072600F">
        <w:rPr>
          <w:rFonts w:ascii="Times New Roman" w:hAnsi="Times New Roman" w:cs="Times New Roman"/>
          <w:sz w:val="26"/>
          <w:szCs w:val="26"/>
        </w:rPr>
        <w:tab/>
        <w:t>Ensure that information is being provided by each Party regarding equipment availability.</w:t>
      </w:r>
    </w:p>
    <w:p w:rsidR="00F3594B" w:rsidRPr="0072600F" w14:paraId="25A70033" w14:textId="77777777">
      <w:pPr>
        <w:rPr>
          <w:rFonts w:ascii="Times New Roman" w:hAnsi="Times New Roman" w:cs="Times New Roman"/>
          <w:sz w:val="26"/>
          <w:szCs w:val="26"/>
        </w:rPr>
      </w:pPr>
    </w:p>
    <w:p w:rsidR="00F3594B" w:rsidRPr="0072600F" w14:paraId="12BF7215" w14:textId="77777777">
      <w:pPr>
        <w:tabs>
          <w:tab w:val="left" w:pos="720"/>
          <w:tab w:val="left" w:pos="1440"/>
          <w:tab w:val="left" w:pos="2160"/>
        </w:tabs>
        <w:ind w:left="2160" w:hanging="2160"/>
        <w:rPr>
          <w:rFonts w:ascii="Times New Roman" w:hAnsi="Times New Roman" w:cs="Times New Roman"/>
          <w:sz w:val="26"/>
          <w:szCs w:val="26"/>
        </w:rPr>
      </w:pPr>
      <w:r w:rsidRPr="0072600F">
        <w:rPr>
          <w:rFonts w:ascii="Times New Roman" w:hAnsi="Times New Roman" w:cs="Times New Roman"/>
          <w:b/>
          <w:bCs/>
          <w:sz w:val="26"/>
          <w:szCs w:val="26"/>
        </w:rPr>
        <w:tab/>
        <w:t>29.1.6</w:t>
      </w:r>
      <w:r w:rsidRPr="0072600F">
        <w:rPr>
          <w:rFonts w:ascii="Times New Roman" w:hAnsi="Times New Roman" w:cs="Times New Roman"/>
          <w:b/>
          <w:bCs/>
          <w:sz w:val="26"/>
          <w:szCs w:val="26"/>
        </w:rPr>
        <w:tab/>
      </w:r>
      <w:r w:rsidRPr="0072600F">
        <w:rPr>
          <w:rFonts w:ascii="Times New Roman" w:hAnsi="Times New Roman" w:cs="Times New Roman"/>
          <w:sz w:val="26"/>
          <w:szCs w:val="26"/>
        </w:rPr>
        <w:tab/>
        <w:t>Perform such other duties as may be conferred upon it by mutual agreement of the Parties.</w:t>
      </w:r>
    </w:p>
    <w:p w:rsidR="00F3594B" w:rsidRPr="0072600F" w14:paraId="55884307" w14:textId="77777777">
      <w:pPr>
        <w:rPr>
          <w:rFonts w:ascii="Times New Roman" w:hAnsi="Times New Roman" w:cs="Times New Roman"/>
          <w:sz w:val="26"/>
          <w:szCs w:val="26"/>
        </w:rPr>
      </w:pPr>
    </w:p>
    <w:p w:rsidR="00F3594B" w:rsidRPr="0072600F" w14:paraId="6780549C" w14:textId="77777777">
      <w:pPr>
        <w:rPr>
          <w:rFonts w:ascii="Times New Roman" w:hAnsi="Times New Roman" w:cs="Times New Roman"/>
          <w:sz w:val="26"/>
          <w:szCs w:val="26"/>
        </w:rPr>
      </w:pPr>
    </w:p>
    <w:p w:rsidR="00F3594B" w:rsidRPr="0072600F" w:rsidP="0001616F" w14:paraId="413AC22F" w14:textId="77777777">
      <w:pPr>
        <w:pStyle w:val="Heading2"/>
        <w:rPr>
          <w:b/>
          <w:bCs/>
          <w:sz w:val="26"/>
          <w:szCs w:val="26"/>
        </w:rPr>
      </w:pPr>
      <w:bookmarkStart w:id="666" w:name="_Toc148703482"/>
      <w:r w:rsidRPr="0072600F">
        <w:rPr>
          <w:b/>
          <w:bCs/>
          <w:sz w:val="26"/>
          <w:szCs w:val="26"/>
        </w:rPr>
        <w:t>Article 30.</w:t>
      </w:r>
      <w:r w:rsidRPr="0072600F">
        <w:rPr>
          <w:b/>
          <w:bCs/>
          <w:sz w:val="26"/>
          <w:szCs w:val="26"/>
        </w:rPr>
        <w:tab/>
        <w:t>Miscellaneous</w:t>
      </w:r>
      <w:bookmarkEnd w:id="666"/>
    </w:p>
    <w:p w:rsidR="00F3594B" w:rsidRPr="0072600F" w14:paraId="063852EE" w14:textId="77777777">
      <w:pPr>
        <w:ind w:left="720" w:hanging="720"/>
        <w:rPr>
          <w:rFonts w:ascii="Times New Roman" w:hAnsi="Times New Roman" w:cs="Times New Roman"/>
          <w:b/>
          <w:bCs/>
          <w:sz w:val="26"/>
          <w:szCs w:val="26"/>
        </w:rPr>
      </w:pPr>
    </w:p>
    <w:p w:rsidR="00F3594B" w:rsidRPr="0072600F" w14:paraId="39D21D5F" w14:textId="77777777">
      <w:pPr>
        <w:tabs>
          <w:tab w:val="left" w:pos="720"/>
        </w:tabs>
        <w:ind w:left="720" w:hanging="720"/>
        <w:rPr>
          <w:rFonts w:ascii="Times New Roman" w:hAnsi="Times New Roman" w:cs="Times New Roman"/>
          <w:sz w:val="26"/>
          <w:szCs w:val="26"/>
        </w:rPr>
      </w:pPr>
      <w:bookmarkStart w:id="667" w:name="_Toc148703483"/>
      <w:r w:rsidRPr="0072600F">
        <w:rPr>
          <w:rStyle w:val="Heading2Char"/>
          <w:rFonts w:eastAsiaTheme="minorHAnsi"/>
          <w:b/>
          <w:sz w:val="26"/>
          <w:szCs w:val="26"/>
        </w:rPr>
        <w:t>30.1</w:t>
      </w:r>
      <w:r w:rsidRPr="0072600F">
        <w:rPr>
          <w:rStyle w:val="Heading2Char"/>
          <w:rFonts w:eastAsiaTheme="minorHAnsi"/>
          <w:b/>
          <w:sz w:val="26"/>
          <w:szCs w:val="26"/>
        </w:rPr>
        <w:tab/>
        <w:t>Binding Effect.</w:t>
      </w:r>
      <w:bookmarkEnd w:id="667"/>
      <w:r w:rsidRPr="0072600F">
        <w:rPr>
          <w:rFonts w:ascii="Times New Roman" w:hAnsi="Times New Roman" w:cs="Times New Roman"/>
          <w:sz w:val="26"/>
          <w:szCs w:val="26"/>
        </w:rPr>
        <w:t xml:space="preserve">  This LGIA and the rights and obligations hereof, shall be binding upon and shall inure to the benefit of the successors and assigns of the Parties hereto.</w:t>
      </w:r>
    </w:p>
    <w:p w:rsidR="00F3594B" w:rsidRPr="0072600F" w14:paraId="4CBDA618" w14:textId="77777777">
      <w:pPr>
        <w:rPr>
          <w:rFonts w:ascii="Times New Roman" w:hAnsi="Times New Roman" w:cs="Times New Roman"/>
          <w:sz w:val="26"/>
          <w:szCs w:val="26"/>
        </w:rPr>
      </w:pPr>
    </w:p>
    <w:p w:rsidR="00F3594B" w:rsidRPr="0072600F" w14:paraId="2299C5BB" w14:textId="77777777">
      <w:pPr>
        <w:tabs>
          <w:tab w:val="left" w:pos="720"/>
        </w:tabs>
        <w:ind w:left="720" w:hanging="720"/>
        <w:rPr>
          <w:rFonts w:ascii="Times New Roman" w:hAnsi="Times New Roman" w:cs="Times New Roman"/>
          <w:sz w:val="26"/>
          <w:szCs w:val="26"/>
        </w:rPr>
      </w:pPr>
      <w:bookmarkStart w:id="668" w:name="_Toc148703484"/>
      <w:r w:rsidRPr="0072600F">
        <w:rPr>
          <w:rStyle w:val="Heading2Char"/>
          <w:rFonts w:eastAsiaTheme="minorHAnsi"/>
          <w:b/>
          <w:sz w:val="26"/>
          <w:szCs w:val="26"/>
        </w:rPr>
        <w:t>30.2</w:t>
      </w:r>
      <w:r w:rsidRPr="0072600F">
        <w:rPr>
          <w:rStyle w:val="Heading2Char"/>
          <w:rFonts w:eastAsiaTheme="minorHAnsi"/>
          <w:b/>
          <w:sz w:val="26"/>
          <w:szCs w:val="26"/>
        </w:rPr>
        <w:tab/>
        <w:t>Conflicts.</w:t>
      </w:r>
      <w:bookmarkEnd w:id="668"/>
      <w:r w:rsidRPr="0072600F">
        <w:rPr>
          <w:rFonts w:ascii="Times New Roman" w:hAnsi="Times New Roman" w:cs="Times New Roman"/>
          <w:sz w:val="26"/>
          <w:szCs w:val="26"/>
        </w:rPr>
        <w:t xml:space="preserve">  In the event of a conflict between the body of this LGIA and any attachment, appendices or exhibits hereto, the terms and provisions of the body of this LGIA shall prevail and be deemed the final intent of the Parties.</w:t>
      </w:r>
    </w:p>
    <w:p w:rsidR="00F3594B" w:rsidRPr="0072600F" w14:paraId="004356B4" w14:textId="77777777">
      <w:pPr>
        <w:rPr>
          <w:rFonts w:ascii="Times New Roman" w:hAnsi="Times New Roman" w:cs="Times New Roman"/>
          <w:sz w:val="26"/>
          <w:szCs w:val="26"/>
        </w:rPr>
      </w:pPr>
    </w:p>
    <w:p w:rsidR="00F3594B" w:rsidRPr="0072600F" w14:paraId="3261DA9C" w14:textId="77777777">
      <w:pPr>
        <w:tabs>
          <w:tab w:val="left" w:pos="720"/>
        </w:tabs>
        <w:ind w:left="720" w:hanging="720"/>
        <w:rPr>
          <w:rFonts w:ascii="Times New Roman" w:hAnsi="Times New Roman" w:cs="Times New Roman"/>
          <w:sz w:val="26"/>
          <w:szCs w:val="26"/>
        </w:rPr>
      </w:pPr>
      <w:bookmarkStart w:id="669" w:name="_Toc148703485"/>
      <w:r w:rsidRPr="0072600F">
        <w:rPr>
          <w:rStyle w:val="Heading2Char"/>
          <w:rFonts w:eastAsiaTheme="minorHAnsi"/>
          <w:b/>
          <w:sz w:val="26"/>
          <w:szCs w:val="26"/>
        </w:rPr>
        <w:t>30.3</w:t>
      </w:r>
      <w:r w:rsidRPr="0072600F">
        <w:rPr>
          <w:rStyle w:val="Heading2Char"/>
          <w:rFonts w:eastAsiaTheme="minorHAnsi"/>
          <w:b/>
          <w:sz w:val="26"/>
          <w:szCs w:val="26"/>
        </w:rPr>
        <w:tab/>
        <w:t>Rules of Interpretation.</w:t>
      </w:r>
      <w:bookmarkEnd w:id="669"/>
      <w:r w:rsidRPr="0072600F">
        <w:rPr>
          <w:rFonts w:ascii="Times New Roman" w:hAnsi="Times New Roman" w:cs="Times New Roman"/>
          <w:sz w:val="26"/>
          <w:szCs w:val="26"/>
        </w:rPr>
        <w:t xml:space="preserve">  This LGIA, unless a clear contrary intention appears, shall be construed and interpreted as follows:  (1) the singular number includes the plural number and vice versa;  (2) reference to any person includes such person</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s successors and assigns but, in the case of a Party, only if such successors and assigns are permitted by this LGIA, and reference to a person in a particular capacity excludes such person in any other capacity or individually; (3) reference to any agreement (including this LGIA),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LGIA or such Appendix to this LGIA, or such Section to the LGIP or such Appendix to the LGIP, as the case may be; (6)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hereunder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hereof</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herein</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hereto</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and words of similar import shall be deemed references to this LGIA as a whole and not to any particular Article or other provision hereof or thereof; (7)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including</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(and with correlative meaning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include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means including without limiting the generality of any description preceding such term; and (8) relative to the determination of any period of time,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from</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means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from and including</w:t>
      </w:r>
      <w:r w:rsidRPr="0072600F" w:rsidR="002A6C18">
        <w:rPr>
          <w:rFonts w:ascii="Times New Roman" w:hAnsi="Times New Roman" w:cs="Times New Roman"/>
          <w:sz w:val="26"/>
          <w:szCs w:val="26"/>
        </w:rPr>
        <w:t>,</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to</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means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to but excluding</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and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through</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means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through and including</w:t>
      </w:r>
      <w:r w:rsidRPr="0072600F" w:rsidR="002A6C18">
        <w:rPr>
          <w:rFonts w:ascii="Times New Roman" w:hAnsi="Times New Roman" w:cs="Times New Roman"/>
          <w:sz w:val="26"/>
          <w:szCs w:val="26"/>
        </w:rPr>
        <w:t>.</w:t>
      </w:r>
      <w:r w:rsidRPr="0072600F" w:rsidR="002C0896">
        <w:rPr>
          <w:rFonts w:ascii="Times New Roman" w:hAnsi="Times New Roman" w:cs="Times New Roman"/>
          <w:sz w:val="26"/>
          <w:szCs w:val="26"/>
        </w:rPr>
        <w:t>”</w:t>
      </w:r>
    </w:p>
    <w:p w:rsidR="00F3594B" w:rsidRPr="0072600F" w14:paraId="6F0C5462" w14:textId="77777777">
      <w:pPr>
        <w:rPr>
          <w:rFonts w:ascii="Times New Roman" w:hAnsi="Times New Roman" w:cs="Times New Roman"/>
          <w:sz w:val="26"/>
          <w:szCs w:val="26"/>
        </w:rPr>
      </w:pPr>
    </w:p>
    <w:p w:rsidR="00F3594B" w:rsidRPr="0072600F" w14:paraId="470E274A" w14:textId="77777777">
      <w:pPr>
        <w:tabs>
          <w:tab w:val="left" w:pos="720"/>
        </w:tabs>
        <w:ind w:left="720" w:hanging="720"/>
        <w:rPr>
          <w:rFonts w:ascii="Times New Roman" w:hAnsi="Times New Roman" w:cs="Times New Roman"/>
          <w:sz w:val="26"/>
          <w:szCs w:val="26"/>
        </w:rPr>
      </w:pPr>
      <w:bookmarkStart w:id="670" w:name="_Toc148703486"/>
      <w:r w:rsidRPr="0072600F">
        <w:rPr>
          <w:rStyle w:val="Heading2Char"/>
          <w:rFonts w:eastAsiaTheme="minorHAnsi"/>
          <w:b/>
          <w:sz w:val="26"/>
          <w:szCs w:val="26"/>
        </w:rPr>
        <w:t>30.4</w:t>
      </w:r>
      <w:r w:rsidRPr="0072600F">
        <w:rPr>
          <w:rStyle w:val="Heading2Char"/>
          <w:rFonts w:eastAsiaTheme="minorHAnsi"/>
          <w:b/>
          <w:sz w:val="26"/>
          <w:szCs w:val="26"/>
        </w:rPr>
        <w:tab/>
        <w:t>Entire Agreement.</w:t>
      </w:r>
      <w:bookmarkEnd w:id="670"/>
      <w:r w:rsidRPr="0072600F">
        <w:rPr>
          <w:rFonts w:ascii="Times New Roman" w:hAnsi="Times New Roman" w:cs="Times New Roman"/>
          <w:sz w:val="26"/>
          <w:szCs w:val="26"/>
        </w:rPr>
        <w:t xml:space="preserve">  This LGIA,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LGIA.  There are no other agreements, representations, warranties, or covenants which constitute any part of the consideration for, or any condition to, either Party</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compliance with its obligations under this LGIA.</w:t>
      </w:r>
    </w:p>
    <w:p w:rsidR="00F3594B" w:rsidRPr="0072600F" w14:paraId="05062D1C" w14:textId="77777777">
      <w:pPr>
        <w:rPr>
          <w:rFonts w:ascii="Times New Roman" w:hAnsi="Times New Roman" w:cs="Times New Roman"/>
          <w:sz w:val="26"/>
          <w:szCs w:val="26"/>
        </w:rPr>
      </w:pPr>
    </w:p>
    <w:p w:rsidR="00F3594B" w:rsidRPr="0072600F" w14:paraId="58FD3BE0" w14:textId="77777777">
      <w:pPr>
        <w:tabs>
          <w:tab w:val="left" w:pos="720"/>
        </w:tabs>
        <w:ind w:left="720" w:hanging="720"/>
        <w:rPr>
          <w:rFonts w:ascii="Times New Roman" w:hAnsi="Times New Roman" w:cs="Times New Roman"/>
          <w:sz w:val="26"/>
          <w:szCs w:val="26"/>
        </w:rPr>
      </w:pPr>
      <w:bookmarkStart w:id="671" w:name="_Toc148703487"/>
      <w:r w:rsidRPr="0072600F">
        <w:rPr>
          <w:rStyle w:val="Heading2Char"/>
          <w:rFonts w:eastAsiaTheme="minorHAnsi"/>
          <w:b/>
          <w:sz w:val="26"/>
          <w:szCs w:val="26"/>
        </w:rPr>
        <w:t>30.5</w:t>
      </w:r>
      <w:r w:rsidRPr="0072600F">
        <w:rPr>
          <w:rStyle w:val="Heading2Char"/>
          <w:rFonts w:eastAsiaTheme="minorHAnsi"/>
          <w:b/>
          <w:sz w:val="26"/>
          <w:szCs w:val="26"/>
        </w:rPr>
        <w:tab/>
        <w:t>No Third Party Beneficiaries</w:t>
      </w:r>
      <w:r w:rsidRPr="0072600F">
        <w:rPr>
          <w:rStyle w:val="Heading2Char"/>
          <w:rFonts w:eastAsiaTheme="minorHAnsi"/>
          <w:sz w:val="26"/>
          <w:szCs w:val="26"/>
        </w:rPr>
        <w:t>.</w:t>
      </w:r>
      <w:bookmarkEnd w:id="671"/>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This LGIA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F3594B" w:rsidRPr="0072600F" w14:paraId="05EEDCC4" w14:textId="77777777">
      <w:pPr>
        <w:rPr>
          <w:rFonts w:ascii="Times New Roman" w:hAnsi="Times New Roman" w:cs="Times New Roman"/>
          <w:sz w:val="26"/>
          <w:szCs w:val="26"/>
        </w:rPr>
      </w:pPr>
    </w:p>
    <w:p w:rsidR="00F3594B" w:rsidRPr="0072600F" w14:paraId="3797FD42" w14:textId="77777777">
      <w:pPr>
        <w:tabs>
          <w:tab w:val="left" w:pos="720"/>
        </w:tabs>
        <w:ind w:left="720" w:hanging="720"/>
        <w:rPr>
          <w:rFonts w:ascii="Times New Roman" w:hAnsi="Times New Roman" w:cs="Times New Roman"/>
          <w:sz w:val="26"/>
          <w:szCs w:val="26"/>
        </w:rPr>
      </w:pPr>
      <w:bookmarkStart w:id="672" w:name="_Toc148703488"/>
      <w:r w:rsidRPr="0072600F">
        <w:rPr>
          <w:rStyle w:val="Heading2Char"/>
          <w:rFonts w:eastAsiaTheme="minorHAnsi"/>
          <w:b/>
          <w:sz w:val="26"/>
          <w:szCs w:val="26"/>
        </w:rPr>
        <w:t>30.6</w:t>
      </w:r>
      <w:r w:rsidRPr="0072600F">
        <w:rPr>
          <w:rStyle w:val="Heading2Char"/>
          <w:rFonts w:eastAsiaTheme="minorHAnsi"/>
          <w:b/>
          <w:sz w:val="26"/>
          <w:szCs w:val="26"/>
        </w:rPr>
        <w:tab/>
        <w:t>Waiver.</w:t>
      </w:r>
      <w:bookmarkEnd w:id="672"/>
      <w:r w:rsidRPr="0072600F">
        <w:rPr>
          <w:rFonts w:ascii="Times New Roman" w:hAnsi="Times New Roman" w:cs="Times New Roman"/>
          <w:sz w:val="26"/>
          <w:szCs w:val="26"/>
        </w:rPr>
        <w:t xml:space="preserve">  The failure of a Party to this LGIA to insist, on any occasion, upon strict performance of any provision of this LGIA will not be considered a waiver of any obligation, right, or duty of, or imposed upon, such Party.</w:t>
      </w:r>
    </w:p>
    <w:p w:rsidR="00F3594B" w:rsidRPr="0072600F" w14:paraId="5CDB8D57" w14:textId="77777777">
      <w:pPr>
        <w:tabs>
          <w:tab w:val="left" w:pos="720"/>
        </w:tabs>
        <w:ind w:left="720" w:hanging="720"/>
        <w:rPr>
          <w:rFonts w:ascii="Times New Roman" w:hAnsi="Times New Roman" w:cs="Times New Roman"/>
          <w:sz w:val="26"/>
          <w:szCs w:val="26"/>
        </w:rPr>
      </w:pPr>
    </w:p>
    <w:p w:rsidR="00F3594B" w:rsidRPr="0072600F" w14:paraId="6DCA1D91" w14:textId="77777777">
      <w:pPr>
        <w:ind w:left="720"/>
        <w:rPr>
          <w:rFonts w:ascii="Times New Roman" w:hAnsi="Times New Roman" w:cs="Times New Roman"/>
          <w:sz w:val="26"/>
          <w:szCs w:val="26"/>
        </w:rPr>
      </w:pPr>
      <w:r w:rsidRPr="0072600F">
        <w:rPr>
          <w:rFonts w:ascii="Times New Roman" w:hAnsi="Times New Roman" w:cs="Times New Roman"/>
          <w:sz w:val="26"/>
          <w:szCs w:val="26"/>
        </w:rPr>
        <w:t>Any waiver at any time by either Party of its rights with respect to this LGIA shall not be deemed a continuing waiver or a waiver with respect to any other failure to comply with any other obligation, right, duty of this LGIA.  Termination or Default of this LGIA for any reason by Interconnection Customer shall not constitute a waiver of Interconnection Customer</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legal rights to obtain an interconnection from Transmission Provider.  Any waiver of this LGIA shall, if requested, be provided in writing.</w:t>
      </w:r>
    </w:p>
    <w:p w:rsidR="00F3594B" w:rsidRPr="0072600F" w14:paraId="7DDD3124" w14:textId="77777777">
      <w:pPr>
        <w:rPr>
          <w:rFonts w:ascii="Times New Roman" w:hAnsi="Times New Roman" w:cs="Times New Roman"/>
          <w:sz w:val="26"/>
          <w:szCs w:val="26"/>
        </w:rPr>
      </w:pPr>
    </w:p>
    <w:p w:rsidR="00F3594B" w:rsidRPr="0072600F" w14:paraId="29B340D1" w14:textId="77777777">
      <w:pPr>
        <w:tabs>
          <w:tab w:val="left" w:pos="720"/>
        </w:tabs>
        <w:ind w:left="720" w:hanging="720"/>
        <w:rPr>
          <w:rFonts w:ascii="Times New Roman" w:hAnsi="Times New Roman" w:cs="Times New Roman"/>
          <w:sz w:val="26"/>
          <w:szCs w:val="26"/>
        </w:rPr>
      </w:pPr>
      <w:bookmarkStart w:id="673" w:name="_Toc148703489"/>
      <w:r w:rsidRPr="0072600F">
        <w:rPr>
          <w:rStyle w:val="Heading2Char"/>
          <w:rFonts w:eastAsiaTheme="minorHAnsi"/>
          <w:b/>
          <w:sz w:val="26"/>
          <w:szCs w:val="26"/>
        </w:rPr>
        <w:t>30.7</w:t>
      </w:r>
      <w:r w:rsidRPr="0072600F">
        <w:rPr>
          <w:rStyle w:val="Heading2Char"/>
          <w:rFonts w:eastAsiaTheme="minorHAnsi"/>
          <w:b/>
          <w:sz w:val="26"/>
          <w:szCs w:val="26"/>
        </w:rPr>
        <w:tab/>
        <w:t>Headings.</w:t>
      </w:r>
      <w:bookmarkEnd w:id="673"/>
      <w:r w:rsidRPr="0072600F">
        <w:rPr>
          <w:rFonts w:ascii="Times New Roman" w:hAnsi="Times New Roman" w:cs="Times New Roman"/>
          <w:sz w:val="26"/>
          <w:szCs w:val="26"/>
        </w:rPr>
        <w:t xml:space="preserve">  The descriptive headings of the various Articles of this LGIA have been inserted for convenience of reference only and are of no significance in the interpretation or construction of this LGIA.</w:t>
      </w:r>
    </w:p>
    <w:p w:rsidR="00F3594B" w:rsidRPr="0072600F" w14:paraId="5CCA6CD0" w14:textId="77777777">
      <w:pPr>
        <w:rPr>
          <w:rFonts w:ascii="Times New Roman" w:hAnsi="Times New Roman" w:cs="Times New Roman"/>
          <w:sz w:val="26"/>
          <w:szCs w:val="26"/>
        </w:rPr>
      </w:pPr>
    </w:p>
    <w:p w:rsidR="00F3594B" w:rsidRPr="0072600F" w14:paraId="5CBD4E10" w14:textId="77777777">
      <w:pPr>
        <w:tabs>
          <w:tab w:val="left" w:pos="720"/>
        </w:tabs>
        <w:ind w:left="720" w:hanging="720"/>
        <w:rPr>
          <w:rFonts w:ascii="Times New Roman" w:hAnsi="Times New Roman" w:cs="Times New Roman"/>
          <w:sz w:val="26"/>
          <w:szCs w:val="26"/>
        </w:rPr>
      </w:pPr>
      <w:bookmarkStart w:id="674" w:name="_Toc148703490"/>
      <w:r w:rsidRPr="0072600F">
        <w:rPr>
          <w:rStyle w:val="Heading2Char"/>
          <w:rFonts w:eastAsiaTheme="minorHAnsi"/>
          <w:b/>
          <w:sz w:val="26"/>
          <w:szCs w:val="26"/>
        </w:rPr>
        <w:t>30.8</w:t>
      </w:r>
      <w:r w:rsidRPr="0072600F">
        <w:rPr>
          <w:rStyle w:val="Heading2Char"/>
          <w:rFonts w:eastAsiaTheme="minorHAnsi"/>
          <w:b/>
          <w:sz w:val="26"/>
          <w:szCs w:val="26"/>
        </w:rPr>
        <w:tab/>
        <w:t>Multiple Counterparts.</w:t>
      </w:r>
      <w:bookmarkEnd w:id="674"/>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This LGIA may be executed in two or more counterparts, each of which is deemed an original but all constitute one and the same instrument.</w:t>
      </w:r>
    </w:p>
    <w:p w:rsidR="00F3594B" w:rsidRPr="0072600F" w14:paraId="6568A83B" w14:textId="77777777">
      <w:pPr>
        <w:rPr>
          <w:rFonts w:ascii="Times New Roman" w:hAnsi="Times New Roman" w:cs="Times New Roman"/>
          <w:sz w:val="26"/>
          <w:szCs w:val="26"/>
        </w:rPr>
      </w:pPr>
    </w:p>
    <w:p w:rsidR="00F3594B" w:rsidRPr="0072600F" w14:paraId="7B0AD944" w14:textId="77777777">
      <w:pPr>
        <w:tabs>
          <w:tab w:val="left" w:pos="720"/>
        </w:tabs>
        <w:ind w:left="720" w:hanging="720"/>
        <w:rPr>
          <w:rFonts w:ascii="Times New Roman" w:hAnsi="Times New Roman" w:cs="Times New Roman"/>
          <w:sz w:val="26"/>
          <w:szCs w:val="26"/>
        </w:rPr>
      </w:pPr>
      <w:bookmarkStart w:id="675" w:name="_Toc148703491"/>
      <w:r w:rsidRPr="0072600F">
        <w:rPr>
          <w:rStyle w:val="Heading2Char"/>
          <w:rFonts w:eastAsiaTheme="minorHAnsi"/>
          <w:b/>
          <w:sz w:val="26"/>
          <w:szCs w:val="26"/>
        </w:rPr>
        <w:t>30.9</w:t>
      </w:r>
      <w:r w:rsidRPr="0072600F">
        <w:rPr>
          <w:rStyle w:val="Heading2Char"/>
          <w:rFonts w:eastAsiaTheme="minorHAnsi"/>
          <w:b/>
          <w:sz w:val="26"/>
          <w:szCs w:val="26"/>
        </w:rPr>
        <w:tab/>
        <w:t>Amendment.</w:t>
      </w:r>
      <w:bookmarkEnd w:id="675"/>
      <w:r w:rsidRPr="0072600F">
        <w:rPr>
          <w:rFonts w:ascii="Times New Roman" w:hAnsi="Times New Roman" w:cs="Times New Roman"/>
          <w:b/>
          <w:bCs/>
          <w:sz w:val="26"/>
          <w:szCs w:val="26"/>
        </w:rPr>
        <w:t xml:space="preserve">  </w:t>
      </w:r>
      <w:r w:rsidRPr="0072600F">
        <w:rPr>
          <w:rFonts w:ascii="Times New Roman" w:hAnsi="Times New Roman" w:cs="Times New Roman"/>
          <w:sz w:val="26"/>
          <w:szCs w:val="26"/>
        </w:rPr>
        <w:t>The Parties may by mutual agreement amend this LGIA by a written instrument duly executed by the Parties.</w:t>
      </w:r>
    </w:p>
    <w:p w:rsidR="00F3594B" w:rsidRPr="0072600F" w14:paraId="6A3DECE1" w14:textId="77777777">
      <w:pPr>
        <w:rPr>
          <w:rFonts w:ascii="Times New Roman" w:hAnsi="Times New Roman" w:cs="Times New Roman"/>
          <w:sz w:val="26"/>
          <w:szCs w:val="26"/>
        </w:rPr>
      </w:pPr>
    </w:p>
    <w:p w:rsidR="00F3594B" w:rsidRPr="0072600F" w14:paraId="64B55239" w14:textId="77777777">
      <w:pPr>
        <w:tabs>
          <w:tab w:val="left" w:pos="720"/>
        </w:tabs>
        <w:ind w:left="720" w:hanging="720"/>
        <w:rPr>
          <w:rFonts w:ascii="Times New Roman" w:hAnsi="Times New Roman" w:cs="Times New Roman"/>
          <w:sz w:val="26"/>
          <w:szCs w:val="26"/>
        </w:rPr>
      </w:pPr>
      <w:bookmarkStart w:id="676" w:name="_Toc148703492"/>
      <w:r w:rsidRPr="0072600F">
        <w:rPr>
          <w:rStyle w:val="Heading2Char"/>
          <w:rFonts w:eastAsiaTheme="minorHAnsi"/>
          <w:b/>
          <w:sz w:val="26"/>
          <w:szCs w:val="26"/>
        </w:rPr>
        <w:t>30.10</w:t>
      </w:r>
      <w:r w:rsidRPr="0072600F">
        <w:rPr>
          <w:rStyle w:val="Heading2Char"/>
          <w:rFonts w:eastAsiaTheme="minorHAnsi"/>
          <w:b/>
          <w:sz w:val="26"/>
          <w:szCs w:val="26"/>
        </w:rPr>
        <w:tab/>
        <w:t>Modification by the Parties.</w:t>
      </w:r>
      <w:bookmarkEnd w:id="676"/>
      <w:r w:rsidRPr="0072600F">
        <w:rPr>
          <w:rFonts w:ascii="Times New Roman" w:hAnsi="Times New Roman" w:cs="Times New Roman"/>
          <w:sz w:val="26"/>
          <w:szCs w:val="26"/>
        </w:rPr>
        <w:t xml:space="preserve">  The Parties may by mutual agreement amend the Appendices to this LGIA by a written instrument duly executed by the Parties.  Such amendment shall become effective and a part of this LGIA upon satisfaction of all Applicable Laws and Regulations.</w:t>
      </w:r>
    </w:p>
    <w:p w:rsidR="00F3594B" w:rsidRPr="0072600F" w14:paraId="1B20306C" w14:textId="77777777">
      <w:pPr>
        <w:rPr>
          <w:rFonts w:ascii="Times New Roman" w:hAnsi="Times New Roman" w:cs="Times New Roman"/>
          <w:sz w:val="26"/>
          <w:szCs w:val="26"/>
        </w:rPr>
      </w:pPr>
    </w:p>
    <w:p w:rsidR="00F3594B" w:rsidRPr="0072600F" w14:paraId="3CEE5F4C" w14:textId="77777777">
      <w:pPr>
        <w:tabs>
          <w:tab w:val="left" w:pos="720"/>
        </w:tabs>
        <w:ind w:left="720" w:hanging="720"/>
        <w:rPr>
          <w:rFonts w:ascii="Times New Roman" w:hAnsi="Times New Roman" w:cs="Times New Roman"/>
          <w:sz w:val="26"/>
          <w:szCs w:val="26"/>
        </w:rPr>
      </w:pPr>
      <w:bookmarkStart w:id="677" w:name="_Toc148703493"/>
      <w:r w:rsidRPr="0072600F">
        <w:rPr>
          <w:rStyle w:val="Heading2Char"/>
          <w:rFonts w:eastAsiaTheme="minorHAnsi"/>
          <w:b/>
          <w:sz w:val="26"/>
          <w:szCs w:val="26"/>
        </w:rPr>
        <w:t>30.11</w:t>
      </w:r>
      <w:r w:rsidRPr="0072600F">
        <w:rPr>
          <w:rStyle w:val="Heading2Char"/>
          <w:rFonts w:eastAsiaTheme="minorHAnsi"/>
          <w:b/>
          <w:sz w:val="26"/>
          <w:szCs w:val="26"/>
        </w:rPr>
        <w:tab/>
        <w:t>Reservation of Rights</w:t>
      </w:r>
      <w:r w:rsidRPr="0072600F">
        <w:rPr>
          <w:rStyle w:val="Heading2Char"/>
          <w:rFonts w:eastAsiaTheme="minorHAnsi"/>
          <w:sz w:val="26"/>
          <w:szCs w:val="26"/>
        </w:rPr>
        <w:t>.</w:t>
      </w:r>
      <w:bookmarkEnd w:id="677"/>
      <w:r w:rsidRPr="0072600F">
        <w:rPr>
          <w:rFonts w:ascii="Times New Roman" w:hAnsi="Times New Roman" w:cs="Times New Roman"/>
          <w:sz w:val="26"/>
          <w:szCs w:val="26"/>
        </w:rPr>
        <w:t xml:space="preserve">  Transmission Provider shall have the right to make a unilateral filing with FERC to modify this LGIA with respect to any rates, terms and conditions, charges, classifications of service, rule or regulation under section 205 or any other applicable provision of the Federal Power Act and FERC</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rules and regulations thereunder, and Interconnection Customer shall have the right to make a unilateral filing with FERC to modify this LGIA pursuant to section 206 or any other applicable provision of the Federal Power Act and FERC</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rules and regulations thereunder; provided that each Party shall have the right to protest any such filing by the other Party and to participate fully in any proceeding before FERC in which such modifications may be considered.  Nothing in this LGIA shall limit the rights of the Parties or of FERC under sections 205 or 206 of the Federal Power Act and FERC</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s rules and regulations thereunder, except to the extent that the Parties otherwise mutually agree as provided herein.</w:t>
      </w:r>
    </w:p>
    <w:p w:rsidR="00F3594B" w:rsidRPr="0072600F" w14:paraId="1FCACC11" w14:textId="77777777">
      <w:pPr>
        <w:rPr>
          <w:rFonts w:ascii="Times New Roman" w:hAnsi="Times New Roman" w:cs="Times New Roman"/>
          <w:sz w:val="26"/>
          <w:szCs w:val="26"/>
        </w:rPr>
      </w:pPr>
    </w:p>
    <w:p w:rsidR="00F3594B" w:rsidRPr="0072600F" w14:paraId="42035967" w14:textId="77777777">
      <w:pPr>
        <w:tabs>
          <w:tab w:val="left" w:pos="720"/>
        </w:tabs>
        <w:ind w:left="720" w:hanging="720"/>
        <w:rPr>
          <w:rFonts w:ascii="Times New Roman" w:hAnsi="Times New Roman" w:cs="Times New Roman"/>
          <w:sz w:val="26"/>
          <w:szCs w:val="26"/>
        </w:rPr>
      </w:pPr>
      <w:bookmarkStart w:id="678" w:name="_Toc148703494"/>
      <w:r w:rsidRPr="0072600F">
        <w:rPr>
          <w:rStyle w:val="Heading2Char"/>
          <w:rFonts w:eastAsiaTheme="minorHAnsi"/>
          <w:b/>
          <w:sz w:val="26"/>
          <w:szCs w:val="26"/>
        </w:rPr>
        <w:t>30.12</w:t>
      </w:r>
      <w:r w:rsidRPr="0072600F">
        <w:rPr>
          <w:rStyle w:val="Heading2Char"/>
          <w:rFonts w:eastAsiaTheme="minorHAnsi"/>
          <w:b/>
          <w:sz w:val="26"/>
          <w:szCs w:val="26"/>
        </w:rPr>
        <w:tab/>
        <w:t>No Partnership.</w:t>
      </w:r>
      <w:bookmarkEnd w:id="678"/>
      <w:r w:rsidRPr="0072600F">
        <w:rPr>
          <w:rFonts w:ascii="Times New Roman" w:hAnsi="Times New Roman" w:cs="Times New Roman"/>
          <w:sz w:val="26"/>
          <w:szCs w:val="26"/>
        </w:rPr>
        <w:t xml:space="preserve">  This LGIA shall not be interpreted or construed to create an association, joint venture, agency relationship, or partnership between the Parties or to impose any partnership obligation or partnership liability upon either Party.  Neither Party shall have any right, power</w:t>
      </w:r>
      <w:r w:rsidRPr="0072600F" w:rsidR="00506C16">
        <w:rPr>
          <w:rFonts w:ascii="Times New Roman" w:hAnsi="Times New Roman" w:cs="Times New Roman"/>
          <w:i/>
          <w:iCs/>
          <w:sz w:val="26"/>
          <w:szCs w:val="26"/>
        </w:rPr>
        <w:t>,</w:t>
      </w:r>
      <w:r w:rsidRPr="0072600F">
        <w:rPr>
          <w:rFonts w:ascii="Times New Roman" w:hAnsi="Times New Roman" w:cs="Times New Roman"/>
          <w:sz w:val="26"/>
          <w:szCs w:val="26"/>
        </w:rPr>
        <w:t xml:space="preserve"> or authority to enter into any agreement or undertaking for, or act on behalf of, or to act as or be an agent or representative of, or to otherwise bind, the other Party.</w:t>
      </w:r>
    </w:p>
    <w:p w:rsidR="00F3594B" w:rsidRPr="0072600F" w14:paraId="1589AB39" w14:textId="77777777">
      <w:pPr>
        <w:rPr>
          <w:rFonts w:ascii="Times New Roman" w:hAnsi="Times New Roman" w:cs="Times New Roman"/>
          <w:sz w:val="26"/>
          <w:szCs w:val="26"/>
        </w:rPr>
      </w:pPr>
    </w:p>
    <w:p w:rsidR="00F3594B" w:rsidRPr="0072600F" w14:paraId="5D7A6546"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F3594B" w:rsidRPr="0072600F" w14:paraId="3B8C17C8" w14:textId="77777777">
      <w:pPr>
        <w:rPr>
          <w:rFonts w:ascii="Times New Roman" w:hAnsi="Times New Roman" w:cs="Times New Roman"/>
          <w:sz w:val="26"/>
          <w:szCs w:val="26"/>
        </w:rPr>
      </w:pPr>
      <w:r w:rsidRPr="0072600F">
        <w:rPr>
          <w:rFonts w:ascii="Times New Roman" w:hAnsi="Times New Roman" w:cs="Times New Roman"/>
          <w:b/>
          <w:bCs/>
          <w:sz w:val="26"/>
          <w:szCs w:val="26"/>
        </w:rPr>
        <w:tab/>
        <w:t>IN WITNESS WHEREOF,</w:t>
      </w:r>
      <w:r w:rsidRPr="0072600F">
        <w:rPr>
          <w:rFonts w:ascii="Times New Roman" w:hAnsi="Times New Roman" w:cs="Times New Roman"/>
          <w:sz w:val="26"/>
          <w:szCs w:val="26"/>
        </w:rPr>
        <w:t xml:space="preserve"> the Parties have executed this LGIA in duplicate originals, each of which shall constitute and be an original effective Agreement between the Parties.</w:t>
      </w:r>
    </w:p>
    <w:p w:rsidR="00F3594B" w:rsidRPr="0072600F" w14:paraId="087915F9" w14:textId="77777777">
      <w:pPr>
        <w:rPr>
          <w:rFonts w:ascii="Times New Roman" w:hAnsi="Times New Roman" w:cs="Times New Roman"/>
          <w:sz w:val="26"/>
          <w:szCs w:val="26"/>
        </w:rPr>
      </w:pPr>
    </w:p>
    <w:p w:rsidR="00F3594B" w:rsidRPr="0072600F" w14:paraId="284C9B6B"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Transmission Provider or Transmission Owner, if applicable</w:t>
      </w:r>
      <w:r w:rsidRPr="0072600F">
        <w:rPr>
          <w:rFonts w:ascii="Times New Roman" w:hAnsi="Times New Roman" w:cs="Times New Roman"/>
          <w:b/>
          <w:bCs/>
          <w:sz w:val="26"/>
          <w:szCs w:val="26"/>
        </w:rPr>
        <w:t>}</w:t>
      </w:r>
    </w:p>
    <w:p w:rsidR="00F3594B" w:rsidRPr="0072600F" w14:paraId="1DF326EC" w14:textId="77777777">
      <w:pPr>
        <w:rPr>
          <w:rFonts w:ascii="Times New Roman" w:hAnsi="Times New Roman" w:cs="Times New Roman"/>
          <w:sz w:val="26"/>
          <w:szCs w:val="26"/>
        </w:rPr>
      </w:pPr>
    </w:p>
    <w:p w:rsidR="00F3594B" w:rsidRPr="0072600F" w14:paraId="1428F76A"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By:</w:t>
      </w:r>
      <w:r w:rsidRPr="0072600F">
        <w:rPr>
          <w:rFonts w:ascii="Times New Roman" w:hAnsi="Times New Roman" w:cs="Times New Roman"/>
          <w:sz w:val="26"/>
          <w:szCs w:val="26"/>
        </w:rPr>
        <w:tab/>
        <w:t>______________________________</w:t>
      </w:r>
    </w:p>
    <w:p w:rsidR="00F3594B" w:rsidRPr="0072600F" w14:paraId="02A86285" w14:textId="77777777">
      <w:pPr>
        <w:rPr>
          <w:rFonts w:ascii="Times New Roman" w:hAnsi="Times New Roman" w:cs="Times New Roman"/>
          <w:sz w:val="26"/>
          <w:szCs w:val="26"/>
        </w:rPr>
      </w:pPr>
    </w:p>
    <w:p w:rsidR="00F3594B" w:rsidRPr="0072600F" w14:paraId="10D846F6"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t>Title:</w:t>
      </w:r>
      <w:r w:rsidRPr="0072600F">
        <w:rPr>
          <w:rFonts w:ascii="Times New Roman" w:hAnsi="Times New Roman" w:cs="Times New Roman"/>
          <w:sz w:val="26"/>
          <w:szCs w:val="26"/>
        </w:rPr>
        <w:tab/>
        <w:t xml:space="preserve"> _____________________________</w:t>
      </w:r>
    </w:p>
    <w:p w:rsidR="00F3594B" w:rsidRPr="0072600F" w14:paraId="5426F926"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F3594B" w:rsidRPr="0072600F" w14:paraId="763116F8" w14:textId="77777777">
      <w:pPr>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ab/>
        <w:t>Date:</w:t>
      </w:r>
      <w:r w:rsidRPr="0072600F">
        <w:rPr>
          <w:rFonts w:ascii="Times New Roman" w:hAnsi="Times New Roman" w:cs="Times New Roman"/>
          <w:sz w:val="26"/>
          <w:szCs w:val="26"/>
        </w:rPr>
        <w:tab/>
        <w:t xml:space="preserve"> _____________________________</w:t>
      </w:r>
    </w:p>
    <w:p w:rsidR="00F3594B" w:rsidRPr="0072600F" w14:paraId="544B2513" w14:textId="77777777">
      <w:pPr>
        <w:rPr>
          <w:rFonts w:ascii="Times New Roman" w:hAnsi="Times New Roman" w:cs="Times New Roman"/>
          <w:sz w:val="26"/>
          <w:szCs w:val="26"/>
        </w:rPr>
      </w:pPr>
    </w:p>
    <w:p w:rsidR="00F3594B" w:rsidRPr="0072600F" w14:paraId="61DA22D7" w14:textId="77777777">
      <w:pPr>
        <w:rPr>
          <w:rFonts w:ascii="Times New Roman" w:hAnsi="Times New Roman" w:cs="Times New Roman"/>
          <w:sz w:val="26"/>
          <w:szCs w:val="26"/>
        </w:rPr>
      </w:pPr>
    </w:p>
    <w:p w:rsidR="00F3594B" w:rsidRPr="0072600F" w14:paraId="08778340" w14:textId="77777777">
      <w:pPr>
        <w:rPr>
          <w:rFonts w:ascii="Times New Roman" w:hAnsi="Times New Roman" w:cs="Times New Roman"/>
          <w:sz w:val="26"/>
          <w:szCs w:val="26"/>
        </w:rPr>
      </w:pPr>
    </w:p>
    <w:p w:rsidR="00F3594B" w:rsidRPr="0072600F" w14:paraId="6BF2EC5D" w14:textId="77777777">
      <w:pPr>
        <w:rPr>
          <w:rFonts w:ascii="Times New Roman" w:hAnsi="Times New Roman" w:cs="Times New Roman"/>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name of Interconnection Customer</w:t>
      </w:r>
      <w:r w:rsidRPr="0072600F">
        <w:rPr>
          <w:rFonts w:ascii="Times New Roman" w:hAnsi="Times New Roman" w:cs="Times New Roman"/>
          <w:b/>
          <w:bCs/>
          <w:sz w:val="26"/>
          <w:szCs w:val="26"/>
        </w:rPr>
        <w:t>}</w:t>
      </w:r>
    </w:p>
    <w:p w:rsidR="00F3594B" w:rsidRPr="0072600F" w14:paraId="61629BE0" w14:textId="77777777">
      <w:pPr>
        <w:rPr>
          <w:rFonts w:ascii="Times New Roman" w:hAnsi="Times New Roman" w:cs="Times New Roman"/>
          <w:sz w:val="26"/>
          <w:szCs w:val="26"/>
        </w:rPr>
      </w:pPr>
    </w:p>
    <w:p w:rsidR="00F3594B" w:rsidRPr="0072600F" w14:paraId="1F02D664" w14:textId="77777777">
      <w:pPr>
        <w:rPr>
          <w:rFonts w:ascii="Times New Roman" w:hAnsi="Times New Roman" w:cs="Times New Roman"/>
          <w:sz w:val="26"/>
          <w:szCs w:val="26"/>
        </w:rPr>
      </w:pPr>
    </w:p>
    <w:p w:rsidR="00F3594B" w:rsidRPr="0072600F" w14:paraId="4AE77107" w14:textId="77777777">
      <w:pPr>
        <w:rPr>
          <w:rFonts w:ascii="Times New Roman" w:hAnsi="Times New Roman" w:cs="Times New Roman"/>
          <w:sz w:val="26"/>
          <w:szCs w:val="26"/>
        </w:rPr>
      </w:pPr>
      <w:r w:rsidRPr="0072600F">
        <w:rPr>
          <w:rFonts w:ascii="Times New Roman" w:hAnsi="Times New Roman" w:cs="Times New Roman"/>
          <w:sz w:val="26"/>
          <w:szCs w:val="26"/>
        </w:rPr>
        <w:t>By:</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F3594B" w:rsidRPr="0072600F" w14:paraId="2BE7E3F3" w14:textId="77777777">
      <w:pPr>
        <w:rPr>
          <w:rFonts w:ascii="Times New Roman" w:hAnsi="Times New Roman" w:cs="Times New Roman"/>
          <w:sz w:val="26"/>
          <w:szCs w:val="26"/>
        </w:rPr>
      </w:pPr>
    </w:p>
    <w:p w:rsidR="00F3594B" w:rsidRPr="0072600F" w14:paraId="7A20A2E9" w14:textId="77777777">
      <w:pPr>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F3594B" w:rsidRPr="0072600F" w14:paraId="5116C958" w14:textId="77777777">
      <w:pPr>
        <w:rPr>
          <w:rFonts w:ascii="Times New Roman" w:hAnsi="Times New Roman" w:cs="Times New Roman"/>
          <w:sz w:val="26"/>
          <w:szCs w:val="26"/>
        </w:rPr>
      </w:pPr>
    </w:p>
    <w:p w:rsidR="00F3594B" w:rsidRPr="0072600F" w14:paraId="723702D1" w14:textId="77777777">
      <w:pPr>
        <w:rPr>
          <w:rFonts w:ascii="Times New Roman" w:hAnsi="Times New Roman" w:cs="Times New Roman"/>
          <w:sz w:val="26"/>
          <w:szCs w:val="26"/>
        </w:rPr>
      </w:pPr>
      <w:r w:rsidRPr="0072600F">
        <w:rPr>
          <w:rFonts w:ascii="Times New Roman" w:hAnsi="Times New Roman" w:cs="Times New Roman"/>
          <w:sz w:val="26"/>
          <w:szCs w:val="26"/>
        </w:rPr>
        <w:t xml:space="preserve">Date: </w:t>
      </w:r>
      <w:r w:rsidRPr="0072600F">
        <w:rPr>
          <w:rFonts w:ascii="Times New Roman" w:hAnsi="Times New Roman" w:cs="Times New Roman"/>
          <w:sz w:val="26"/>
          <w:szCs w:val="26"/>
        </w:rPr>
        <w:tab/>
      </w:r>
      <w:r w:rsidRPr="0072600F">
        <w:rPr>
          <w:rFonts w:ascii="Times New Roman" w:hAnsi="Times New Roman" w:cs="Times New Roman"/>
          <w:sz w:val="26"/>
          <w:szCs w:val="26"/>
          <w:u w:val="single"/>
        </w:rPr>
        <w:t xml:space="preserve">                                                      </w:t>
      </w:r>
      <w:r w:rsidRPr="0072600F">
        <w:rPr>
          <w:rFonts w:ascii="Times New Roman" w:hAnsi="Times New Roman" w:cs="Times New Roman"/>
          <w:sz w:val="26"/>
          <w:szCs w:val="26"/>
        </w:rPr>
        <w:tab/>
      </w:r>
    </w:p>
    <w:p w:rsidR="00F3594B" w:rsidRPr="0072600F" w14:paraId="43740190" w14:textId="77777777">
      <w:pPr>
        <w:rPr>
          <w:rFonts w:ascii="Times New Roman" w:hAnsi="Times New Roman" w:cs="Times New Roman"/>
          <w:sz w:val="26"/>
          <w:szCs w:val="26"/>
        </w:rPr>
        <w:sectPr>
          <w:footerReference w:type="default" r:id="rId41"/>
          <w:pgSz w:w="12240" w:h="15840"/>
          <w:pgMar w:top="1440" w:right="1440" w:bottom="1440" w:left="1440" w:header="1440" w:footer="1440" w:gutter="0"/>
          <w:pgNumType w:fmt="numberInDash" w:start="1"/>
          <w:cols w:space="720"/>
        </w:sectPr>
      </w:pPr>
    </w:p>
    <w:p w:rsidR="00F3594B" w:rsidRPr="0072600F" w:rsidP="002A6C18" w14:paraId="546CD20B"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Appendix A to LGIA</w:t>
      </w:r>
    </w:p>
    <w:p w:rsidR="00F3594B" w:rsidRPr="0072600F" w14:paraId="6DC2DCF0"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Interconnection Facilities, Network Upgrades and Distribution Upgrades</w:t>
      </w:r>
    </w:p>
    <w:p w:rsidR="00F3594B" w:rsidRPr="0072600F" w14:paraId="67A2E76F" w14:textId="77777777">
      <w:pPr>
        <w:rPr>
          <w:rFonts w:ascii="Times New Roman" w:hAnsi="Times New Roman" w:cs="Times New Roman"/>
          <w:sz w:val="26"/>
          <w:szCs w:val="26"/>
        </w:rPr>
      </w:pPr>
    </w:p>
    <w:p w:rsidR="00F3594B" w:rsidRPr="0072600F" w14:paraId="6F957E17" w14:textId="77777777">
      <w:pPr>
        <w:rPr>
          <w:rFonts w:ascii="Times New Roman" w:hAnsi="Times New Roman" w:cs="Times New Roman"/>
          <w:b/>
          <w:bCs/>
          <w:sz w:val="26"/>
          <w:szCs w:val="26"/>
        </w:rPr>
      </w:pPr>
    </w:p>
    <w:p w:rsidR="00F3594B" w:rsidRPr="0072600F" w:rsidP="002C0896" w14:paraId="5513205B" w14:textId="77777777">
      <w:pPr>
        <w:rPr>
          <w:rFonts w:ascii="Times New Roman" w:hAnsi="Times New Roman" w:cs="Times New Roman"/>
          <w:sz w:val="26"/>
          <w:szCs w:val="26"/>
        </w:rPr>
      </w:pPr>
      <w:r w:rsidRPr="0072600F">
        <w:rPr>
          <w:rFonts w:ascii="Times New Roman" w:hAnsi="Times New Roman" w:cs="Times New Roman"/>
          <w:sz w:val="26"/>
          <w:szCs w:val="26"/>
        </w:rPr>
        <w:t>1.  Interconnection Facilities:</w:t>
      </w:r>
    </w:p>
    <w:p w:rsidR="00F3594B" w:rsidRPr="0072600F" w14:paraId="59CD2164" w14:textId="77777777">
      <w:pPr>
        <w:rPr>
          <w:rFonts w:ascii="Times New Roman" w:hAnsi="Times New Roman" w:cs="Times New Roman"/>
          <w:sz w:val="26"/>
          <w:szCs w:val="26"/>
        </w:rPr>
      </w:pPr>
    </w:p>
    <w:p w:rsidR="00F3594B" w:rsidRPr="0072600F" w14:paraId="2D86ED78" w14:textId="77777777">
      <w:pPr>
        <w:rPr>
          <w:rFonts w:ascii="Times New Roman" w:hAnsi="Times New Roman" w:cs="Times New Roman"/>
          <w:sz w:val="26"/>
          <w:szCs w:val="26"/>
        </w:rPr>
      </w:pPr>
    </w:p>
    <w:p w:rsidR="00F3594B" w:rsidRPr="0072600F" w:rsidP="002C0896" w14:paraId="2C50DCE7" w14:textId="77777777">
      <w:pPr>
        <w:rPr>
          <w:rFonts w:ascii="Times New Roman" w:hAnsi="Times New Roman" w:cs="Times New Roman"/>
          <w:sz w:val="26"/>
          <w:szCs w:val="26"/>
        </w:rPr>
      </w:pPr>
      <w:r w:rsidRPr="0072600F">
        <w:rPr>
          <w:rFonts w:ascii="Times New Roman" w:hAnsi="Times New Roman" w:cs="Times New Roman"/>
          <w:sz w:val="26"/>
          <w:szCs w:val="26"/>
        </w:rPr>
        <w:tab/>
        <w:t xml:space="preserve">(a)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insert Interconnection Customer's Interconnection Facilities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F3594B" w:rsidRPr="0072600F" w14:paraId="35374842" w14:textId="77777777">
      <w:pPr>
        <w:rPr>
          <w:rFonts w:ascii="Times New Roman" w:hAnsi="Times New Roman" w:cs="Times New Roman"/>
          <w:sz w:val="26"/>
          <w:szCs w:val="26"/>
        </w:rPr>
      </w:pPr>
    </w:p>
    <w:p w:rsidR="00F3594B" w:rsidRPr="0072600F" w14:paraId="24DBEA9D" w14:textId="77777777">
      <w:pPr>
        <w:rPr>
          <w:rFonts w:ascii="Times New Roman" w:hAnsi="Times New Roman" w:cs="Times New Roman"/>
          <w:sz w:val="26"/>
          <w:szCs w:val="26"/>
        </w:rPr>
      </w:pPr>
    </w:p>
    <w:p w:rsidR="00F3594B" w:rsidRPr="0072600F" w14:paraId="23C44C53" w14:textId="77777777">
      <w:pPr>
        <w:rPr>
          <w:rFonts w:ascii="Times New Roman" w:hAnsi="Times New Roman" w:cs="Times New Roman"/>
          <w:sz w:val="26"/>
          <w:szCs w:val="26"/>
        </w:rPr>
      </w:pPr>
      <w:r w:rsidRPr="0072600F">
        <w:rPr>
          <w:rFonts w:ascii="Times New Roman" w:hAnsi="Times New Roman" w:cs="Times New Roman"/>
          <w:b/>
          <w:bCs/>
          <w:sz w:val="26"/>
          <w:szCs w:val="26"/>
        </w:rPr>
        <w:tab/>
        <w:t xml:space="preserve">(b) </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insert Transmission Provider</w:t>
      </w:r>
      <w:r w:rsidRPr="0072600F" w:rsidR="00BD11B3">
        <w:rPr>
          <w:rFonts w:ascii="Times New Roman" w:hAnsi="Times New Roman" w:cs="Times New Roman"/>
          <w:b/>
          <w:bCs/>
          <w:sz w:val="26"/>
          <w:szCs w:val="26"/>
        </w:rPr>
        <w:t>’</w:t>
      </w:r>
      <w:r w:rsidRPr="0072600F">
        <w:rPr>
          <w:rFonts w:ascii="Times New Roman" w:hAnsi="Times New Roman" w:cs="Times New Roman"/>
          <w:b/>
          <w:bCs/>
          <w:sz w:val="26"/>
          <w:szCs w:val="26"/>
        </w:rPr>
        <w:t>s Interconnection Facilities</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w:t>
      </w:r>
    </w:p>
    <w:p w:rsidR="00F3594B" w:rsidRPr="0072600F" w14:paraId="3CB0C3F9" w14:textId="77777777">
      <w:pPr>
        <w:rPr>
          <w:rFonts w:ascii="Times New Roman" w:hAnsi="Times New Roman" w:cs="Times New Roman"/>
          <w:sz w:val="26"/>
          <w:szCs w:val="26"/>
        </w:rPr>
      </w:pPr>
    </w:p>
    <w:p w:rsidR="00F3594B" w:rsidRPr="0072600F" w14:paraId="645B0DA8" w14:textId="77777777">
      <w:pPr>
        <w:rPr>
          <w:rFonts w:ascii="Times New Roman" w:hAnsi="Times New Roman" w:cs="Times New Roman"/>
          <w:sz w:val="26"/>
          <w:szCs w:val="26"/>
        </w:rPr>
      </w:pPr>
    </w:p>
    <w:p w:rsidR="00F3594B" w:rsidRPr="0072600F" w14:paraId="1427DCF2" w14:textId="77777777">
      <w:pPr>
        <w:rPr>
          <w:rFonts w:ascii="Times New Roman" w:hAnsi="Times New Roman" w:cs="Times New Roman"/>
          <w:sz w:val="26"/>
          <w:szCs w:val="26"/>
        </w:rPr>
      </w:pPr>
    </w:p>
    <w:p w:rsidR="00F3594B" w:rsidRPr="0072600F" w:rsidP="002C0896" w14:paraId="5853ED81" w14:textId="77777777">
      <w:pPr>
        <w:rPr>
          <w:rFonts w:ascii="Times New Roman" w:hAnsi="Times New Roman" w:cs="Times New Roman"/>
          <w:sz w:val="26"/>
          <w:szCs w:val="26"/>
        </w:rPr>
      </w:pPr>
      <w:r w:rsidRPr="0072600F">
        <w:rPr>
          <w:rFonts w:ascii="Times New Roman" w:hAnsi="Times New Roman" w:cs="Times New Roman"/>
          <w:sz w:val="26"/>
          <w:szCs w:val="26"/>
        </w:rPr>
        <w:t>2.  Network Upgrades:</w:t>
      </w:r>
    </w:p>
    <w:p w:rsidR="00F3594B" w:rsidRPr="0072600F" w14:paraId="26CB538B" w14:textId="77777777">
      <w:pPr>
        <w:rPr>
          <w:rFonts w:ascii="Times New Roman" w:hAnsi="Times New Roman" w:cs="Times New Roman"/>
          <w:sz w:val="26"/>
          <w:szCs w:val="26"/>
        </w:rPr>
      </w:pPr>
    </w:p>
    <w:p w:rsidR="00F3594B" w:rsidRPr="0072600F" w14:paraId="6150C1A1" w14:textId="77777777">
      <w:pPr>
        <w:rPr>
          <w:rFonts w:ascii="Times New Roman" w:hAnsi="Times New Roman" w:cs="Times New Roman"/>
          <w:sz w:val="26"/>
          <w:szCs w:val="26"/>
        </w:rPr>
      </w:pPr>
    </w:p>
    <w:p w:rsidR="00F3594B" w:rsidRPr="0072600F" w:rsidP="002C0896" w14:paraId="722117ED" w14:textId="77777777">
      <w:pPr>
        <w:rPr>
          <w:rFonts w:ascii="Times New Roman" w:hAnsi="Times New Roman" w:cs="Times New Roman"/>
          <w:sz w:val="26"/>
          <w:szCs w:val="26"/>
        </w:rPr>
      </w:pPr>
      <w:r w:rsidRPr="0072600F">
        <w:rPr>
          <w:rFonts w:ascii="Times New Roman" w:hAnsi="Times New Roman" w:cs="Times New Roman"/>
          <w:sz w:val="26"/>
          <w:szCs w:val="26"/>
        </w:rPr>
        <w:tab/>
        <w:t xml:space="preserve">(a)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insert Stand Alone Network Upgrades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F3594B" w:rsidRPr="0072600F" w14:paraId="7A9FC226" w14:textId="77777777">
      <w:pPr>
        <w:rPr>
          <w:rFonts w:ascii="Times New Roman" w:hAnsi="Times New Roman" w:cs="Times New Roman"/>
          <w:sz w:val="26"/>
          <w:szCs w:val="26"/>
        </w:rPr>
      </w:pPr>
    </w:p>
    <w:p w:rsidR="00F3594B" w:rsidRPr="0072600F" w14:paraId="5DE8311A" w14:textId="77777777">
      <w:pPr>
        <w:rPr>
          <w:rFonts w:ascii="Times New Roman" w:hAnsi="Times New Roman" w:cs="Times New Roman"/>
          <w:sz w:val="26"/>
          <w:szCs w:val="26"/>
        </w:rPr>
      </w:pPr>
    </w:p>
    <w:p w:rsidR="00F3594B" w:rsidRPr="0072600F" w14:paraId="2FB091AE" w14:textId="77777777">
      <w:pPr>
        <w:rPr>
          <w:rFonts w:ascii="Times New Roman" w:hAnsi="Times New Roman" w:cs="Times New Roman"/>
          <w:b/>
          <w:bCs/>
          <w:sz w:val="26"/>
          <w:szCs w:val="26"/>
        </w:rPr>
      </w:pPr>
      <w:r w:rsidRPr="0072600F">
        <w:rPr>
          <w:rFonts w:ascii="Times New Roman" w:hAnsi="Times New Roman" w:cs="Times New Roman"/>
          <w:b/>
          <w:bCs/>
          <w:sz w:val="26"/>
          <w:szCs w:val="26"/>
        </w:rPr>
        <w:tab/>
        <w:t xml:space="preserve">(b) </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insert Substation Network Upgrades</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w:t>
      </w:r>
    </w:p>
    <w:p w:rsidR="00F3594B" w:rsidRPr="0072600F" w14:paraId="23D194E2" w14:textId="77777777">
      <w:pPr>
        <w:rPr>
          <w:rFonts w:ascii="Times New Roman" w:hAnsi="Times New Roman" w:cs="Times New Roman"/>
          <w:b/>
          <w:bCs/>
          <w:sz w:val="26"/>
          <w:szCs w:val="26"/>
        </w:rPr>
      </w:pPr>
    </w:p>
    <w:p w:rsidR="00F3594B" w:rsidRPr="0072600F" w14:paraId="3A495F52" w14:textId="77777777">
      <w:pPr>
        <w:rPr>
          <w:rFonts w:ascii="Times New Roman" w:hAnsi="Times New Roman" w:cs="Times New Roman"/>
          <w:b/>
          <w:bCs/>
          <w:sz w:val="26"/>
          <w:szCs w:val="26"/>
        </w:rPr>
      </w:pPr>
    </w:p>
    <w:p w:rsidR="00F3594B" w:rsidRPr="0072600F" w:rsidP="002C0896" w14:paraId="2BDA8FA0" w14:textId="77777777">
      <w:pPr>
        <w:rPr>
          <w:rFonts w:ascii="Times New Roman" w:hAnsi="Times New Roman" w:cs="Times New Roman"/>
          <w:sz w:val="26"/>
          <w:szCs w:val="26"/>
        </w:rPr>
      </w:pPr>
      <w:r w:rsidRPr="0072600F">
        <w:rPr>
          <w:rFonts w:ascii="Times New Roman" w:hAnsi="Times New Roman" w:cs="Times New Roman"/>
          <w:sz w:val="26"/>
          <w:szCs w:val="26"/>
        </w:rPr>
        <w:tab/>
        <w:t xml:space="preserve">(c)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insert System Network Upgrades</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w:t>
      </w:r>
    </w:p>
    <w:p w:rsidR="00F3594B" w:rsidRPr="0072600F" w14:paraId="7AC4C7DC" w14:textId="77777777">
      <w:pPr>
        <w:rPr>
          <w:rFonts w:ascii="Times New Roman" w:hAnsi="Times New Roman" w:cs="Times New Roman"/>
          <w:sz w:val="26"/>
          <w:szCs w:val="26"/>
        </w:rPr>
      </w:pPr>
    </w:p>
    <w:p w:rsidR="00F3594B" w:rsidRPr="0072600F" w14:paraId="6A3441D9" w14:textId="77777777">
      <w:pPr>
        <w:rPr>
          <w:rFonts w:ascii="Times New Roman" w:hAnsi="Times New Roman" w:cs="Times New Roman"/>
          <w:sz w:val="26"/>
          <w:szCs w:val="26"/>
        </w:rPr>
      </w:pPr>
    </w:p>
    <w:p w:rsidR="00F3594B" w:rsidRPr="0072600F" w:rsidP="002C0896" w14:paraId="71CF16A4" w14:textId="77777777">
      <w:pPr>
        <w:rPr>
          <w:rFonts w:ascii="Times New Roman" w:hAnsi="Times New Roman" w:cs="Times New Roman"/>
          <w:sz w:val="26"/>
          <w:szCs w:val="26"/>
        </w:rPr>
      </w:pPr>
      <w:r w:rsidRPr="0072600F">
        <w:rPr>
          <w:rFonts w:ascii="Times New Roman" w:hAnsi="Times New Roman" w:cs="Times New Roman"/>
          <w:sz w:val="26"/>
          <w:szCs w:val="26"/>
        </w:rPr>
        <w:t>3.  Distribution Upgrades:</w:t>
      </w:r>
    </w:p>
    <w:p w:rsidR="00F3594B" w:rsidRPr="0072600F" w14:paraId="30A4989A" w14:textId="77777777">
      <w:pPr>
        <w:rPr>
          <w:rFonts w:ascii="Times New Roman" w:hAnsi="Times New Roman" w:cs="Times New Roman"/>
          <w:sz w:val="26"/>
          <w:szCs w:val="26"/>
        </w:rPr>
        <w:sectPr>
          <w:footerReference w:type="default" r:id="rId42"/>
          <w:pgSz w:w="12240" w:h="15840"/>
          <w:pgMar w:top="1440" w:right="1440" w:bottom="1440" w:left="1440" w:header="1440" w:footer="1440" w:gutter="0"/>
          <w:cols w:space="720"/>
          <w:noEndnote/>
        </w:sectPr>
      </w:pPr>
    </w:p>
    <w:p w:rsidR="00F3594B" w:rsidRPr="0072600F" w14:paraId="357F0BB6"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Appendix B to LGIA</w:t>
      </w:r>
    </w:p>
    <w:p w:rsidR="00F3594B" w:rsidRPr="0072600F" w14:paraId="65F10EB2" w14:textId="77777777">
      <w:pPr>
        <w:jc w:val="center"/>
        <w:rPr>
          <w:rFonts w:ascii="Times New Roman" w:hAnsi="Times New Roman" w:cs="Times New Roman"/>
          <w:b/>
          <w:bCs/>
          <w:sz w:val="26"/>
          <w:szCs w:val="26"/>
        </w:rPr>
      </w:pPr>
      <w:r w:rsidRPr="0072600F">
        <w:rPr>
          <w:rFonts w:ascii="Times New Roman" w:hAnsi="Times New Roman" w:cs="Times New Roman"/>
          <w:b/>
          <w:bCs/>
          <w:sz w:val="26"/>
          <w:szCs w:val="26"/>
        </w:rPr>
        <w:t>Milestones</w:t>
      </w:r>
    </w:p>
    <w:p w:rsidR="00F3594B" w:rsidRPr="0072600F" w14:paraId="6BCDAABD" w14:textId="77777777">
      <w:pPr>
        <w:rPr>
          <w:rFonts w:ascii="Times New Roman" w:hAnsi="Times New Roman" w:cs="Times New Roman"/>
          <w:b/>
          <w:bCs/>
          <w:sz w:val="26"/>
          <w:szCs w:val="26"/>
        </w:rPr>
      </w:pPr>
    </w:p>
    <w:p w:rsidR="00F3594B" w:rsidRPr="0072600F" w14:paraId="4C1BF9F6" w14:textId="77777777">
      <w:pPr>
        <w:rPr>
          <w:rFonts w:ascii="Times New Roman" w:hAnsi="Times New Roman" w:cs="Times New Roman"/>
          <w:b/>
          <w:bCs/>
          <w:sz w:val="26"/>
          <w:szCs w:val="26"/>
          <w:u w:val="single"/>
        </w:rPr>
      </w:pPr>
      <w:r w:rsidRPr="0072600F">
        <w:rPr>
          <w:rFonts w:ascii="Times New Roman" w:hAnsi="Times New Roman" w:cs="Times New Roman"/>
          <w:b/>
          <w:bCs/>
          <w:sz w:val="26"/>
          <w:szCs w:val="26"/>
          <w:u w:val="single"/>
        </w:rPr>
        <w:t>Site Control</w:t>
      </w:r>
    </w:p>
    <w:p w:rsidR="00F3594B" w:rsidRPr="0072600F" w14:paraId="68514262" w14:textId="77777777">
      <w:pPr>
        <w:rPr>
          <w:rFonts w:ascii="Times New Roman" w:hAnsi="Times New Roman" w:cs="Times New Roman"/>
          <w:sz w:val="26"/>
          <w:szCs w:val="26"/>
        </w:rPr>
      </w:pPr>
    </w:p>
    <w:p w:rsidR="00F3594B" w:rsidRPr="0072600F" w14:paraId="106C98A6" w14:textId="77777777">
      <w:pPr>
        <w:rPr>
          <w:rFonts w:ascii="Times New Roman" w:hAnsi="Times New Roman" w:cs="Times New Roman"/>
          <w:sz w:val="26"/>
          <w:szCs w:val="26"/>
        </w:rPr>
      </w:pPr>
      <w:r w:rsidRPr="0072600F">
        <w:rPr>
          <w:rFonts w:ascii="Times New Roman" w:hAnsi="Times New Roman" w:cs="Times New Roman"/>
          <w:sz w:val="26"/>
          <w:szCs w:val="26"/>
        </w:rPr>
        <w:t>Check box if applicable</w:t>
      </w: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2166D">
        <w:rPr>
          <w:rFonts w:ascii="Times New Roman" w:hAnsi="Times New Roman" w:cs="Times New Roman"/>
          <w:sz w:val="26"/>
          <w:szCs w:val="26"/>
        </w:rPr>
        <w:t>}</w:t>
      </w:r>
    </w:p>
    <w:p w:rsidR="00F3594B" w:rsidRPr="0072600F" w14:paraId="3128D320" w14:textId="77777777">
      <w:pPr>
        <w:rPr>
          <w:rFonts w:ascii="Times New Roman" w:hAnsi="Times New Roman" w:cs="Times New Roman"/>
          <w:sz w:val="26"/>
          <w:szCs w:val="26"/>
        </w:rPr>
      </w:pPr>
    </w:p>
    <w:p w:rsidR="00F3594B" w:rsidRPr="0072600F" w14:paraId="06383CA8" w14:textId="77777777">
      <w:pPr>
        <w:rPr>
          <w:rFonts w:ascii="Times New Roman" w:hAnsi="Times New Roman" w:cs="Times New Roman"/>
          <w:sz w:val="26"/>
          <w:szCs w:val="26"/>
        </w:rPr>
      </w:pPr>
      <w:r w:rsidRPr="0072600F">
        <w:rPr>
          <w:rFonts w:ascii="Times New Roman" w:hAnsi="Times New Roman" w:cs="Times New Roman"/>
          <w:sz w:val="26"/>
          <w:szCs w:val="26"/>
        </w:rPr>
        <w:t xml:space="preserve">Interconnection Customer with qualifying regulatory limitations must demonstrate 100% Site Control by {Transmission Provider to insert date </w:t>
      </w:r>
      <w:r w:rsidRPr="0072600F" w:rsidR="0056592A">
        <w:rPr>
          <w:rFonts w:ascii="Times New Roman" w:hAnsi="Times New Roman" w:cs="Times New Roman"/>
          <w:i/>
          <w:iCs/>
          <w:sz w:val="26"/>
          <w:szCs w:val="26"/>
        </w:rPr>
        <w:t>one hundred eighty (</w:t>
      </w:r>
      <w:r w:rsidRPr="0072600F">
        <w:rPr>
          <w:rFonts w:ascii="Times New Roman" w:hAnsi="Times New Roman" w:cs="Times New Roman"/>
          <w:sz w:val="26"/>
          <w:szCs w:val="26"/>
        </w:rPr>
        <w:t>180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 xml:space="preserve">Calendar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 xml:space="preserve">ays from the effective date of this LGIA} or the LGIA may be terminated per Article 17 (Default) of this LGIA and </w:t>
      </w:r>
      <w:r w:rsidRPr="0072600F" w:rsidR="00991171">
        <w:rPr>
          <w:rFonts w:ascii="Times New Roman" w:hAnsi="Times New Roman" w:cs="Times New Roman"/>
          <w:sz w:val="26"/>
          <w:szCs w:val="26"/>
        </w:rPr>
        <w:t>[</w:t>
      </w:r>
      <w:r w:rsidRPr="0072600F">
        <w:rPr>
          <w:rFonts w:ascii="Times New Roman" w:hAnsi="Times New Roman" w:cs="Times New Roman"/>
          <w:sz w:val="26"/>
          <w:szCs w:val="26"/>
        </w:rPr>
        <w:t>the</w:t>
      </w:r>
      <w:r w:rsidRPr="0072600F" w:rsidR="0099117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may be subject to Withdrawal Penalties per Section 3.7.1.1 of </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the</w:t>
      </w:r>
      <w:r w:rsidRPr="0072600F" w:rsidR="002C0896">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LGIP (Calculation of the Withdrawal Penalty).</w:t>
      </w:r>
    </w:p>
    <w:p w:rsidR="00F3594B" w:rsidRPr="0072600F" w14:paraId="367BBE31" w14:textId="77777777">
      <w:pPr>
        <w:rPr>
          <w:rFonts w:ascii="Times New Roman" w:hAnsi="Times New Roman" w:cs="Times New Roman"/>
          <w:sz w:val="26"/>
          <w:szCs w:val="26"/>
        </w:rPr>
        <w:sectPr>
          <w:footerReference w:type="default" r:id="rId43"/>
          <w:pgSz w:w="12240" w:h="15840"/>
          <w:pgMar w:top="1440" w:right="1440" w:bottom="1440" w:left="1440" w:header="1440" w:footer="1440" w:gutter="0"/>
          <w:cols w:space="720"/>
          <w:noEndnote/>
        </w:sectPr>
      </w:pPr>
    </w:p>
    <w:p w:rsidR="00F3594B" w:rsidRPr="0072600F" w14:paraId="443C2A61"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Appendix C to LGIA</w:t>
      </w:r>
    </w:p>
    <w:p w:rsidR="00F3594B" w:rsidRPr="0072600F" w14:paraId="53329724"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Interconnection Details</w:t>
      </w:r>
    </w:p>
    <w:p w:rsidR="00F3594B" w:rsidRPr="0072600F" w14:paraId="56DD19FE" w14:textId="77777777">
      <w:pPr>
        <w:rPr>
          <w:rFonts w:ascii="Times New Roman" w:hAnsi="Times New Roman" w:cs="Times New Roman"/>
          <w:sz w:val="26"/>
          <w:szCs w:val="26"/>
        </w:rPr>
      </w:pPr>
    </w:p>
    <w:p w:rsidR="00F3594B" w:rsidRPr="0072600F" w14:paraId="7B3AFDE9" w14:textId="77777777">
      <w:pPr>
        <w:rPr>
          <w:rFonts w:ascii="Times New Roman" w:hAnsi="Times New Roman" w:cs="Times New Roman"/>
          <w:sz w:val="26"/>
          <w:szCs w:val="26"/>
        </w:rPr>
      </w:pPr>
    </w:p>
    <w:p w:rsidR="00F3594B" w:rsidRPr="0072600F" w14:paraId="212BCF47" w14:textId="77777777">
      <w:pPr>
        <w:rPr>
          <w:rFonts w:ascii="Times New Roman" w:hAnsi="Times New Roman" w:cs="Times New Roman"/>
          <w:sz w:val="26"/>
          <w:szCs w:val="26"/>
        </w:rPr>
        <w:sectPr>
          <w:footerReference w:type="default" r:id="rId44"/>
          <w:pgSz w:w="12240" w:h="15840"/>
          <w:pgMar w:top="1440" w:right="1440" w:bottom="1440" w:left="1440" w:header="1440" w:footer="1440" w:gutter="0"/>
          <w:cols w:space="720"/>
          <w:noEndnote/>
        </w:sectPr>
      </w:pPr>
    </w:p>
    <w:p w:rsidR="00F3594B" w:rsidRPr="0072600F" w14:paraId="28BBA58B"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Appendix D to LGIA</w:t>
      </w:r>
    </w:p>
    <w:p w:rsidR="00F3594B" w:rsidRPr="0072600F" w14:paraId="41CA9BAA"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Security Arrangements Details</w:t>
      </w:r>
    </w:p>
    <w:p w:rsidR="00F3594B" w:rsidRPr="0072600F" w14:paraId="14C29E41" w14:textId="77777777">
      <w:pPr>
        <w:rPr>
          <w:rFonts w:ascii="Times New Roman" w:hAnsi="Times New Roman" w:cs="Times New Roman"/>
          <w:sz w:val="26"/>
          <w:szCs w:val="26"/>
        </w:rPr>
      </w:pPr>
    </w:p>
    <w:p w:rsidR="00F3594B" w:rsidRPr="0072600F" w14:paraId="093DE0C2" w14:textId="77777777">
      <w:pPr>
        <w:rPr>
          <w:rFonts w:ascii="Times New Roman" w:hAnsi="Times New Roman" w:cs="Times New Roman"/>
          <w:sz w:val="26"/>
          <w:szCs w:val="26"/>
        </w:rPr>
      </w:pPr>
    </w:p>
    <w:p w:rsidR="00F3594B" w:rsidRPr="0072600F" w14:paraId="25E42E59" w14:textId="77777777">
      <w:pPr>
        <w:rPr>
          <w:rFonts w:ascii="Times New Roman" w:hAnsi="Times New Roman" w:cs="Times New Roman"/>
          <w:sz w:val="26"/>
          <w:szCs w:val="26"/>
        </w:rPr>
      </w:pPr>
      <w:r w:rsidRPr="0072600F">
        <w:rPr>
          <w:rFonts w:ascii="Times New Roman" w:hAnsi="Times New Roman" w:cs="Times New Roman"/>
          <w:sz w:val="26"/>
          <w:szCs w:val="26"/>
        </w:rPr>
        <w:t>Infrastructure security of Transmission System equipment and operations and control hardware and software is essential to ensure day-to-day Transmission System reliability and operational security.  FERC will expect all Transmission Providers, market participants, and Interconnection Customers interconnected to the Transmission System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F3594B" w:rsidRPr="0072600F" w14:paraId="3DD2C4D4" w14:textId="77777777">
      <w:pPr>
        <w:rPr>
          <w:rFonts w:ascii="Times New Roman" w:hAnsi="Times New Roman" w:cs="Times New Roman"/>
          <w:sz w:val="26"/>
          <w:szCs w:val="26"/>
        </w:rPr>
        <w:sectPr>
          <w:footerReference w:type="default" r:id="rId45"/>
          <w:pgSz w:w="12240" w:h="15840"/>
          <w:pgMar w:top="1440" w:right="1440" w:bottom="1440" w:left="1440" w:header="1440" w:footer="1440" w:gutter="0"/>
          <w:cols w:space="720"/>
          <w:noEndnote/>
        </w:sectPr>
      </w:pPr>
    </w:p>
    <w:p w:rsidR="00F3594B" w:rsidRPr="0072600F" w14:paraId="59D5D134"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Appendix E to LGIA</w:t>
      </w:r>
    </w:p>
    <w:p w:rsidR="00F3594B" w:rsidRPr="0072600F" w14:paraId="7AC7B013"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Commercial Operation Date</w:t>
      </w:r>
    </w:p>
    <w:p w:rsidR="00F3594B" w:rsidRPr="0072600F" w14:paraId="59BAB03A" w14:textId="77777777">
      <w:pPr>
        <w:rPr>
          <w:rFonts w:ascii="Times New Roman" w:hAnsi="Times New Roman" w:cs="Times New Roman"/>
          <w:sz w:val="26"/>
          <w:szCs w:val="26"/>
        </w:rPr>
      </w:pPr>
    </w:p>
    <w:p w:rsidR="00F3594B" w:rsidRPr="0072600F" w14:paraId="6A078D7D" w14:textId="77777777">
      <w:pPr>
        <w:rPr>
          <w:rFonts w:ascii="Times New Roman" w:hAnsi="Times New Roman" w:cs="Times New Roman"/>
          <w:sz w:val="26"/>
          <w:szCs w:val="26"/>
        </w:rPr>
      </w:pPr>
    </w:p>
    <w:p w:rsidR="00F3594B" w:rsidRPr="0072600F" w14:paraId="3ECBEE3E" w14:textId="77777777">
      <w:pPr>
        <w:rPr>
          <w:rFonts w:ascii="Times New Roman" w:hAnsi="Times New Roman" w:cs="Times New Roman"/>
          <w:sz w:val="26"/>
          <w:szCs w:val="26"/>
        </w:rPr>
      </w:pPr>
      <w:r w:rsidRPr="0072600F">
        <w:rPr>
          <w:rFonts w:ascii="Times New Roman" w:hAnsi="Times New Roman" w:cs="Times New Roman"/>
          <w:sz w:val="26"/>
          <w:szCs w:val="26"/>
        </w:rPr>
        <w:t>This Appendix E is a part of the LGIA between Transmission Provider and Interconnection Customer.</w:t>
      </w:r>
    </w:p>
    <w:p w:rsidR="00F3594B" w:rsidRPr="0072600F" w14:paraId="307FA7B3" w14:textId="77777777">
      <w:pPr>
        <w:rPr>
          <w:rFonts w:ascii="Times New Roman" w:hAnsi="Times New Roman" w:cs="Times New Roman"/>
          <w:sz w:val="26"/>
          <w:szCs w:val="26"/>
        </w:rPr>
      </w:pPr>
    </w:p>
    <w:p w:rsidR="00F3594B" w:rsidRPr="0072600F" w14:paraId="2C515C70" w14:textId="77777777">
      <w:pPr>
        <w:rPr>
          <w:rFonts w:ascii="Times New Roman" w:hAnsi="Times New Roman" w:cs="Times New Roman"/>
          <w:sz w:val="26"/>
          <w:szCs w:val="26"/>
        </w:rPr>
      </w:pPr>
      <w:r w:rsidRPr="0072600F">
        <w:rPr>
          <w:rFonts w:ascii="Times New Roman" w:hAnsi="Times New Roman" w:cs="Times New Roman"/>
          <w:b/>
          <w:bCs/>
          <w:sz w:val="26"/>
          <w:szCs w:val="26"/>
        </w:rPr>
        <w:tab/>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Date</w:t>
      </w:r>
      <w:r w:rsidRPr="0072600F" w:rsidR="0042166D">
        <w:rPr>
          <w:rFonts w:ascii="Times New Roman" w:hAnsi="Times New Roman" w:cs="Times New Roman"/>
          <w:b/>
          <w:bCs/>
          <w:sz w:val="26"/>
          <w:szCs w:val="26"/>
        </w:rPr>
        <w:t>}</w:t>
      </w:r>
    </w:p>
    <w:p w:rsidR="00F3594B" w:rsidRPr="0072600F" w14:paraId="4854096E" w14:textId="77777777">
      <w:pPr>
        <w:rPr>
          <w:rFonts w:ascii="Times New Roman" w:hAnsi="Times New Roman" w:cs="Times New Roman"/>
          <w:sz w:val="26"/>
          <w:szCs w:val="26"/>
        </w:rPr>
      </w:pPr>
    </w:p>
    <w:p w:rsidR="00F3594B" w:rsidRPr="0072600F" w14:paraId="5AFAAB82" w14:textId="77777777">
      <w:pPr>
        <w:rPr>
          <w:rFonts w:ascii="Times New Roman" w:hAnsi="Times New Roman" w:cs="Times New Roman"/>
          <w:sz w:val="26"/>
          <w:szCs w:val="26"/>
        </w:rPr>
      </w:pPr>
      <w:r w:rsidRPr="0072600F">
        <w:rPr>
          <w:rFonts w:ascii="Times New Roman" w:hAnsi="Times New Roman" w:cs="Times New Roman"/>
          <w:b/>
          <w:bCs/>
          <w:sz w:val="26"/>
          <w:szCs w:val="26"/>
        </w:rPr>
        <w:tab/>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Transmission Provider Address</w:t>
      </w:r>
      <w:r w:rsidRPr="0072600F" w:rsidR="0042166D">
        <w:rPr>
          <w:rFonts w:ascii="Times New Roman" w:hAnsi="Times New Roman" w:cs="Times New Roman"/>
          <w:b/>
          <w:bCs/>
          <w:sz w:val="26"/>
          <w:szCs w:val="26"/>
        </w:rPr>
        <w:t>}</w:t>
      </w:r>
    </w:p>
    <w:p w:rsidR="00F3594B" w:rsidRPr="0072600F" w14:paraId="5D927F4E" w14:textId="77777777">
      <w:pPr>
        <w:rPr>
          <w:rFonts w:ascii="Times New Roman" w:hAnsi="Times New Roman" w:cs="Times New Roman"/>
          <w:sz w:val="26"/>
          <w:szCs w:val="26"/>
        </w:rPr>
      </w:pPr>
    </w:p>
    <w:p w:rsidR="00F3594B" w:rsidRPr="0072600F" w14:paraId="582AAE73" w14:textId="77777777">
      <w:pPr>
        <w:rPr>
          <w:rFonts w:ascii="Times New Roman" w:hAnsi="Times New Roman" w:cs="Times New Roman"/>
          <w:sz w:val="26"/>
          <w:szCs w:val="26"/>
        </w:rPr>
      </w:pPr>
      <w:r w:rsidRPr="0072600F">
        <w:rPr>
          <w:rFonts w:ascii="Times New Roman" w:hAnsi="Times New Roman" w:cs="Times New Roman"/>
          <w:sz w:val="26"/>
          <w:szCs w:val="26"/>
        </w:rPr>
        <w:tab/>
        <w:t>Re:</w:t>
      </w:r>
      <w:r w:rsidRPr="0072600F">
        <w:rPr>
          <w:rFonts w:ascii="Times New Roman" w:hAnsi="Times New Roman" w:cs="Times New Roman"/>
          <w:sz w:val="26"/>
          <w:szCs w:val="26"/>
        </w:rPr>
        <w:tab/>
        <w:t>_____________ Large Generating Facility</w:t>
      </w:r>
    </w:p>
    <w:p w:rsidR="00F3594B" w:rsidRPr="0072600F" w14:paraId="787346D1" w14:textId="77777777">
      <w:pPr>
        <w:rPr>
          <w:rFonts w:ascii="Times New Roman" w:hAnsi="Times New Roman" w:cs="Times New Roman"/>
          <w:sz w:val="26"/>
          <w:szCs w:val="26"/>
        </w:rPr>
      </w:pPr>
    </w:p>
    <w:p w:rsidR="00F3594B" w:rsidRPr="0072600F" w14:paraId="7970C658" w14:textId="77777777">
      <w:pPr>
        <w:rPr>
          <w:rFonts w:ascii="Times New Roman" w:hAnsi="Times New Roman" w:cs="Times New Roman"/>
          <w:sz w:val="26"/>
          <w:szCs w:val="26"/>
        </w:rPr>
      </w:pPr>
      <w:r w:rsidRPr="0072600F">
        <w:rPr>
          <w:rFonts w:ascii="Times New Roman" w:hAnsi="Times New Roman" w:cs="Times New Roman"/>
          <w:sz w:val="26"/>
          <w:szCs w:val="26"/>
        </w:rPr>
        <w:tab/>
        <w:t>Dear _______________:</w:t>
      </w:r>
    </w:p>
    <w:p w:rsidR="00F3594B" w:rsidRPr="0072600F" w14:paraId="76761913" w14:textId="77777777">
      <w:pPr>
        <w:rPr>
          <w:rFonts w:ascii="Times New Roman" w:hAnsi="Times New Roman" w:cs="Times New Roman"/>
          <w:sz w:val="26"/>
          <w:szCs w:val="26"/>
        </w:rPr>
      </w:pPr>
    </w:p>
    <w:p w:rsidR="00F3594B" w:rsidRPr="0072600F" w14:paraId="2BACD887" w14:textId="77777777">
      <w:pPr>
        <w:rPr>
          <w:rFonts w:ascii="Times New Roman" w:hAnsi="Times New Roman" w:cs="Times New Roman"/>
          <w:sz w:val="26"/>
          <w:szCs w:val="26"/>
        </w:rPr>
      </w:pPr>
      <w:r w:rsidRPr="0072600F">
        <w:rPr>
          <w:rFonts w:ascii="Times New Roman" w:hAnsi="Times New Roman" w:cs="Times New Roman"/>
          <w:sz w:val="26"/>
          <w:szCs w:val="26"/>
        </w:rPr>
        <w:tab/>
        <w:t>On</w:t>
      </w:r>
      <w:r w:rsidRPr="0072600F">
        <w:rPr>
          <w:rFonts w:ascii="Times New Roman" w:hAnsi="Times New Roman" w:cs="Times New Roman"/>
          <w:b/>
          <w:bCs/>
          <w:sz w:val="26"/>
          <w:szCs w:val="26"/>
        </w:rPr>
        <w:t xml:space="preserve"> </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Date</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 xml:space="preserve"> </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Interconnection Customer</w:t>
      </w:r>
      <w:r w:rsidRPr="0072600F" w:rsidR="0042166D">
        <w:rPr>
          <w:rFonts w:ascii="Times New Roman" w:hAnsi="Times New Roman" w:cs="Times New Roman"/>
          <w:b/>
          <w:bCs/>
          <w:sz w:val="26"/>
          <w:szCs w:val="26"/>
        </w:rPr>
        <w:t>}</w:t>
      </w:r>
      <w:r w:rsidRPr="0072600F">
        <w:rPr>
          <w:rFonts w:ascii="Times New Roman" w:hAnsi="Times New Roman" w:cs="Times New Roman"/>
          <w:sz w:val="26"/>
          <w:szCs w:val="26"/>
        </w:rPr>
        <w:t xml:space="preserve"> has completed Trial Operation of Unit No. ___.  This letter confirms that </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Interconnection Customer</w:t>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commenced Commercial Operation of Unit No. ___ at the Large Generating Facility, effective as of</w:t>
      </w:r>
      <w:r w:rsidRPr="0072600F">
        <w:rPr>
          <w:rFonts w:ascii="Times New Roman" w:hAnsi="Times New Roman" w:cs="Times New Roman"/>
          <w:b/>
          <w:bCs/>
          <w:sz w:val="26"/>
          <w:szCs w:val="26"/>
        </w:rPr>
        <w:t xml:space="preserve"> </w:t>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Date plus one day</w:t>
      </w:r>
      <w:r w:rsidRPr="0072600F" w:rsidR="0042166D">
        <w:rPr>
          <w:rFonts w:ascii="Times New Roman" w:hAnsi="Times New Roman" w:cs="Times New Roman"/>
          <w:b/>
          <w:bCs/>
          <w:sz w:val="26"/>
          <w:szCs w:val="26"/>
        </w:rPr>
        <w:t>}</w:t>
      </w:r>
      <w:r w:rsidRPr="0072600F">
        <w:rPr>
          <w:rFonts w:ascii="Times New Roman" w:hAnsi="Times New Roman" w:cs="Times New Roman"/>
          <w:sz w:val="26"/>
          <w:szCs w:val="26"/>
        </w:rPr>
        <w:t>.</w:t>
      </w:r>
    </w:p>
    <w:p w:rsidR="00F3594B" w:rsidRPr="0072600F" w14:paraId="20FB78CE" w14:textId="77777777">
      <w:pPr>
        <w:rPr>
          <w:rFonts w:ascii="Times New Roman" w:hAnsi="Times New Roman" w:cs="Times New Roman"/>
          <w:sz w:val="26"/>
          <w:szCs w:val="26"/>
        </w:rPr>
      </w:pPr>
    </w:p>
    <w:p w:rsidR="00F3594B" w:rsidRPr="0072600F" w14:paraId="6A562E6E" w14:textId="77777777">
      <w:pPr>
        <w:rPr>
          <w:rFonts w:ascii="Times New Roman" w:hAnsi="Times New Roman" w:cs="Times New Roman"/>
          <w:sz w:val="26"/>
          <w:szCs w:val="26"/>
        </w:rPr>
      </w:pPr>
      <w:r w:rsidRPr="0072600F">
        <w:rPr>
          <w:rFonts w:ascii="Times New Roman" w:hAnsi="Times New Roman" w:cs="Times New Roman"/>
          <w:sz w:val="26"/>
          <w:szCs w:val="26"/>
        </w:rPr>
        <w:tab/>
        <w:t>Thank you.</w:t>
      </w:r>
    </w:p>
    <w:p w:rsidR="00F3594B" w:rsidRPr="0072600F" w14:paraId="074029A0" w14:textId="77777777">
      <w:pPr>
        <w:rPr>
          <w:rFonts w:ascii="Times New Roman" w:hAnsi="Times New Roman" w:cs="Times New Roman"/>
          <w:sz w:val="26"/>
          <w:szCs w:val="26"/>
        </w:rPr>
      </w:pPr>
    </w:p>
    <w:p w:rsidR="00F3594B" w:rsidRPr="0072600F" w14:paraId="438995AC" w14:textId="77777777">
      <w:pPr>
        <w:rPr>
          <w:rFonts w:ascii="Times New Roman" w:hAnsi="Times New Roman" w:cs="Times New Roman"/>
          <w:b/>
          <w:bCs/>
          <w:sz w:val="26"/>
          <w:szCs w:val="26"/>
        </w:rPr>
      </w:pPr>
      <w:r w:rsidRPr="0072600F">
        <w:rPr>
          <w:rFonts w:ascii="Times New Roman" w:hAnsi="Times New Roman" w:cs="Times New Roman"/>
          <w:b/>
          <w:bCs/>
          <w:sz w:val="26"/>
          <w:szCs w:val="26"/>
        </w:rPr>
        <w:tab/>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Signature</w:t>
      </w:r>
      <w:r w:rsidRPr="0072600F" w:rsidR="0042166D">
        <w:rPr>
          <w:rFonts w:ascii="Times New Roman" w:hAnsi="Times New Roman" w:cs="Times New Roman"/>
          <w:b/>
          <w:bCs/>
          <w:sz w:val="26"/>
          <w:szCs w:val="26"/>
        </w:rPr>
        <w:t>}</w:t>
      </w:r>
    </w:p>
    <w:p w:rsidR="00F3594B" w:rsidRPr="0072600F" w14:paraId="103FCA51" w14:textId="77777777">
      <w:pPr>
        <w:rPr>
          <w:rFonts w:ascii="Times New Roman" w:hAnsi="Times New Roman" w:cs="Times New Roman"/>
          <w:b/>
          <w:bCs/>
          <w:sz w:val="26"/>
          <w:szCs w:val="26"/>
        </w:rPr>
      </w:pPr>
    </w:p>
    <w:p w:rsidR="00F3594B" w:rsidRPr="0072600F" w14:paraId="7A414F4D" w14:textId="77777777">
      <w:pPr>
        <w:rPr>
          <w:rFonts w:ascii="Times New Roman" w:hAnsi="Times New Roman" w:cs="Times New Roman"/>
          <w:sz w:val="26"/>
          <w:szCs w:val="26"/>
        </w:rPr>
      </w:pPr>
      <w:r w:rsidRPr="0072600F">
        <w:rPr>
          <w:rFonts w:ascii="Times New Roman" w:hAnsi="Times New Roman" w:cs="Times New Roman"/>
          <w:b/>
          <w:bCs/>
          <w:sz w:val="26"/>
          <w:szCs w:val="26"/>
        </w:rPr>
        <w:tab/>
      </w:r>
      <w:r w:rsidRPr="0072600F" w:rsidR="0042166D">
        <w:rPr>
          <w:rFonts w:ascii="Times New Roman" w:hAnsi="Times New Roman" w:cs="Times New Roman"/>
          <w:b/>
          <w:bCs/>
          <w:sz w:val="26"/>
          <w:szCs w:val="26"/>
        </w:rPr>
        <w:t>{</w:t>
      </w:r>
      <w:r w:rsidRPr="0072600F">
        <w:rPr>
          <w:rFonts w:ascii="Times New Roman" w:hAnsi="Times New Roman" w:cs="Times New Roman"/>
          <w:b/>
          <w:bCs/>
          <w:sz w:val="26"/>
          <w:szCs w:val="26"/>
        </w:rPr>
        <w:t>Interconnection Customer Representative</w:t>
      </w:r>
      <w:r w:rsidRPr="0072600F" w:rsidR="0042166D">
        <w:rPr>
          <w:rFonts w:ascii="Times New Roman" w:hAnsi="Times New Roman" w:cs="Times New Roman"/>
          <w:b/>
          <w:bCs/>
          <w:sz w:val="26"/>
          <w:szCs w:val="26"/>
        </w:rPr>
        <w:t>}</w:t>
      </w:r>
    </w:p>
    <w:p w:rsidR="00F3594B" w:rsidRPr="0072600F" w14:paraId="368C40EC" w14:textId="77777777">
      <w:pPr>
        <w:rPr>
          <w:rFonts w:ascii="Times New Roman" w:hAnsi="Times New Roman" w:cs="Times New Roman"/>
          <w:sz w:val="26"/>
          <w:szCs w:val="26"/>
        </w:rPr>
      </w:pPr>
    </w:p>
    <w:p w:rsidR="00F3594B" w:rsidRPr="0072600F" w14:paraId="3DA372A1" w14:textId="77777777">
      <w:pPr>
        <w:rPr>
          <w:rFonts w:ascii="Times New Roman" w:hAnsi="Times New Roman" w:cs="Times New Roman"/>
          <w:sz w:val="26"/>
          <w:szCs w:val="26"/>
        </w:rPr>
      </w:pPr>
    </w:p>
    <w:p w:rsidR="00F3594B" w:rsidRPr="0072600F" w14:paraId="42715C9C" w14:textId="77777777">
      <w:pPr>
        <w:rPr>
          <w:rFonts w:ascii="Times New Roman" w:hAnsi="Times New Roman" w:cs="Times New Roman"/>
          <w:sz w:val="26"/>
          <w:szCs w:val="26"/>
        </w:rPr>
      </w:pPr>
    </w:p>
    <w:p w:rsidR="00F3594B" w:rsidRPr="0072600F" w14:paraId="11FAA983" w14:textId="77777777">
      <w:pPr>
        <w:rPr>
          <w:rFonts w:ascii="Times New Roman" w:hAnsi="Times New Roman" w:cs="Times New Roman"/>
          <w:sz w:val="26"/>
          <w:szCs w:val="26"/>
        </w:rPr>
        <w:sectPr>
          <w:footerReference w:type="default" r:id="rId46"/>
          <w:pgSz w:w="12240" w:h="15840"/>
          <w:pgMar w:top="1440" w:right="1440" w:bottom="1440" w:left="1440" w:header="1440" w:footer="1440" w:gutter="0"/>
          <w:cols w:space="720"/>
          <w:noEndnote/>
        </w:sectPr>
      </w:pPr>
    </w:p>
    <w:p w:rsidR="00FE408A" w:rsidRPr="0072600F" w14:paraId="5845BC16" w14:textId="77777777">
      <w:pPr>
        <w:rPr>
          <w:rFonts w:ascii="Times New Roman" w:hAnsi="Times New Roman" w:cs="Times New Roman"/>
          <w:b/>
          <w:bCs/>
          <w:sz w:val="26"/>
          <w:szCs w:val="26"/>
        </w:rPr>
      </w:pPr>
      <w:r w:rsidRPr="0072600F">
        <w:rPr>
          <w:rFonts w:ascii="Times New Roman" w:hAnsi="Times New Roman" w:cs="Times New Roman"/>
          <w:b/>
          <w:bCs/>
          <w:sz w:val="26"/>
          <w:szCs w:val="26"/>
        </w:rPr>
        <w:br w:type="page"/>
      </w:r>
    </w:p>
    <w:p w:rsidR="00F3594B" w:rsidRPr="0072600F" w14:paraId="064D8C5C"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Appendix F to LGIA</w:t>
      </w:r>
    </w:p>
    <w:p w:rsidR="00F3594B" w:rsidRPr="0072600F" w14:paraId="680E5C44" w14:textId="77777777">
      <w:pPr>
        <w:jc w:val="center"/>
        <w:rPr>
          <w:rFonts w:ascii="Times New Roman" w:hAnsi="Times New Roman" w:cs="Times New Roman"/>
          <w:sz w:val="26"/>
          <w:szCs w:val="26"/>
        </w:rPr>
      </w:pPr>
      <w:r w:rsidRPr="0072600F">
        <w:rPr>
          <w:rFonts w:ascii="Times New Roman" w:hAnsi="Times New Roman" w:cs="Times New Roman"/>
          <w:b/>
          <w:bCs/>
          <w:sz w:val="26"/>
          <w:szCs w:val="26"/>
        </w:rPr>
        <w:t>Addresses for Delivery of Notices and Billings</w:t>
      </w:r>
    </w:p>
    <w:p w:rsidR="00F3594B" w:rsidRPr="0072600F" w14:paraId="09F69B69" w14:textId="77777777">
      <w:pPr>
        <w:rPr>
          <w:rFonts w:ascii="Times New Roman" w:hAnsi="Times New Roman" w:cs="Times New Roman"/>
          <w:sz w:val="26"/>
          <w:szCs w:val="26"/>
        </w:rPr>
      </w:pPr>
    </w:p>
    <w:p w:rsidR="00F3594B" w:rsidRPr="0072600F" w14:paraId="54B4C48A" w14:textId="77777777">
      <w:pPr>
        <w:rPr>
          <w:rFonts w:ascii="Times New Roman" w:hAnsi="Times New Roman" w:cs="Times New Roman"/>
          <w:sz w:val="26"/>
          <w:szCs w:val="26"/>
        </w:rPr>
      </w:pPr>
    </w:p>
    <w:p w:rsidR="00F3594B" w:rsidRPr="0072600F" w14:paraId="35E4C138" w14:textId="77777777">
      <w:pPr>
        <w:rPr>
          <w:rFonts w:ascii="Times New Roman" w:hAnsi="Times New Roman" w:cs="Times New Roman"/>
          <w:sz w:val="26"/>
          <w:szCs w:val="26"/>
        </w:rPr>
      </w:pPr>
      <w:r w:rsidRPr="0072600F">
        <w:rPr>
          <w:rFonts w:ascii="Times New Roman" w:hAnsi="Times New Roman" w:cs="Times New Roman"/>
          <w:b/>
          <w:bCs/>
          <w:sz w:val="26"/>
          <w:szCs w:val="26"/>
        </w:rPr>
        <w:t>Notices:</w:t>
      </w:r>
      <w:r w:rsidRPr="0072600F" w:rsidR="00A10825">
        <w:rPr>
          <w:rFonts w:ascii="Times New Roman" w:hAnsi="Times New Roman" w:cs="Times New Roman"/>
          <w:b/>
          <w:bCs/>
          <w:sz w:val="26"/>
          <w:szCs w:val="26"/>
        </w:rPr>
        <w:t>[</w:t>
      </w:r>
      <w:r w:rsidRPr="0072600F">
        <w:rPr>
          <w:rFonts w:ascii="Times New Roman" w:hAnsi="Times New Roman" w:cs="Times New Roman"/>
          <w:sz w:val="26"/>
          <w:szCs w:val="26"/>
        </w:rPr>
        <w:t>.</w:t>
      </w:r>
      <w:r w:rsidRPr="0072600F" w:rsidR="00A10825">
        <w:rPr>
          <w:rFonts w:ascii="Times New Roman" w:hAnsi="Times New Roman" w:cs="Times New Roman"/>
          <w:sz w:val="26"/>
          <w:szCs w:val="26"/>
        </w:rPr>
        <w:t>]</w:t>
      </w:r>
    </w:p>
    <w:p w:rsidR="00F3594B" w:rsidRPr="0072600F" w14:paraId="23D54814" w14:textId="77777777">
      <w:pPr>
        <w:rPr>
          <w:rFonts w:ascii="Times New Roman" w:hAnsi="Times New Roman" w:cs="Times New Roman"/>
          <w:sz w:val="26"/>
          <w:szCs w:val="26"/>
        </w:rPr>
      </w:pPr>
    </w:p>
    <w:p w:rsidR="00F3594B" w:rsidRPr="0072600F" w14:paraId="483AECB9"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u w:val="single"/>
        </w:rPr>
        <w:t>Transmission Provider</w:t>
      </w:r>
      <w:r w:rsidRPr="0072600F">
        <w:rPr>
          <w:rFonts w:ascii="Times New Roman" w:hAnsi="Times New Roman" w:cs="Times New Roman"/>
          <w:sz w:val="26"/>
          <w:szCs w:val="26"/>
        </w:rPr>
        <w:t>:</w:t>
      </w:r>
    </w:p>
    <w:p w:rsidR="00F3594B" w:rsidRPr="0072600F" w14:paraId="17985DA9" w14:textId="77777777">
      <w:pPr>
        <w:rPr>
          <w:rFonts w:ascii="Times New Roman" w:hAnsi="Times New Roman" w:cs="Times New Roman"/>
          <w:sz w:val="26"/>
          <w:szCs w:val="26"/>
        </w:rPr>
      </w:pPr>
      <w:r w:rsidRPr="0072600F">
        <w:rPr>
          <w:rFonts w:ascii="Times New Roman" w:hAnsi="Times New Roman" w:cs="Times New Roman"/>
          <w:sz w:val="26"/>
          <w:szCs w:val="26"/>
        </w:rPr>
        <w:tab/>
      </w:r>
    </w:p>
    <w:p w:rsidR="00F3594B" w:rsidRPr="0072600F" w14:paraId="4B4DD7D0"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supplied.</w:t>
      </w:r>
      <w:r w:rsidRPr="0072600F" w:rsidR="0042166D">
        <w:rPr>
          <w:rFonts w:ascii="Times New Roman" w:hAnsi="Times New Roman" w:cs="Times New Roman"/>
          <w:sz w:val="26"/>
          <w:szCs w:val="26"/>
        </w:rPr>
        <w:t>}</w:t>
      </w:r>
    </w:p>
    <w:p w:rsidR="00F3594B" w:rsidRPr="0072600F" w14:paraId="045D21FB" w14:textId="77777777">
      <w:pPr>
        <w:rPr>
          <w:rFonts w:ascii="Times New Roman" w:hAnsi="Times New Roman" w:cs="Times New Roman"/>
          <w:sz w:val="26"/>
          <w:szCs w:val="26"/>
        </w:rPr>
      </w:pPr>
    </w:p>
    <w:p w:rsidR="00F3594B" w:rsidRPr="0072600F" w14:paraId="03ED3E61" w14:textId="77777777">
      <w:pPr>
        <w:rPr>
          <w:rFonts w:ascii="Times New Roman" w:hAnsi="Times New Roman" w:cs="Times New Roman"/>
          <w:sz w:val="26"/>
          <w:szCs w:val="26"/>
        </w:rPr>
      </w:pPr>
    </w:p>
    <w:p w:rsidR="00F3594B" w:rsidRPr="0072600F" w14:paraId="3F7EB873"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u w:val="single"/>
        </w:rPr>
        <w:t>Interconnection Customer</w:t>
      </w:r>
      <w:r w:rsidRPr="0072600F">
        <w:rPr>
          <w:rFonts w:ascii="Times New Roman" w:hAnsi="Times New Roman" w:cs="Times New Roman"/>
          <w:sz w:val="26"/>
          <w:szCs w:val="26"/>
        </w:rPr>
        <w:t>:</w:t>
      </w:r>
    </w:p>
    <w:p w:rsidR="00F3594B" w:rsidRPr="0072600F" w14:paraId="7B76E9DE" w14:textId="77777777">
      <w:pPr>
        <w:rPr>
          <w:rFonts w:ascii="Times New Roman" w:hAnsi="Times New Roman" w:cs="Times New Roman"/>
          <w:sz w:val="26"/>
          <w:szCs w:val="26"/>
        </w:rPr>
      </w:pPr>
    </w:p>
    <w:p w:rsidR="00F3594B" w:rsidRPr="0072600F" w14:paraId="1BF6DE8A"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supplied.</w:t>
      </w:r>
      <w:r w:rsidRPr="0072600F" w:rsidR="0042166D">
        <w:rPr>
          <w:rFonts w:ascii="Times New Roman" w:hAnsi="Times New Roman" w:cs="Times New Roman"/>
          <w:sz w:val="26"/>
          <w:szCs w:val="26"/>
        </w:rPr>
        <w:t>}</w:t>
      </w:r>
    </w:p>
    <w:p w:rsidR="00F3594B" w:rsidRPr="0072600F" w14:paraId="68C41565" w14:textId="77777777">
      <w:pPr>
        <w:rPr>
          <w:rFonts w:ascii="Times New Roman" w:hAnsi="Times New Roman" w:cs="Times New Roman"/>
          <w:sz w:val="26"/>
          <w:szCs w:val="26"/>
        </w:rPr>
      </w:pPr>
    </w:p>
    <w:p w:rsidR="00F3594B" w:rsidRPr="0072600F" w14:paraId="4575A58C" w14:textId="77777777">
      <w:pPr>
        <w:rPr>
          <w:rFonts w:ascii="Times New Roman" w:hAnsi="Times New Roman" w:cs="Times New Roman"/>
          <w:sz w:val="26"/>
          <w:szCs w:val="26"/>
        </w:rPr>
      </w:pPr>
    </w:p>
    <w:p w:rsidR="00F3594B" w:rsidRPr="0072600F" w14:paraId="4D5CCE3D" w14:textId="77777777">
      <w:pPr>
        <w:rPr>
          <w:rFonts w:ascii="Times New Roman" w:hAnsi="Times New Roman" w:cs="Times New Roman"/>
          <w:sz w:val="26"/>
          <w:szCs w:val="26"/>
        </w:rPr>
      </w:pPr>
      <w:r w:rsidRPr="0072600F">
        <w:rPr>
          <w:rFonts w:ascii="Times New Roman" w:hAnsi="Times New Roman" w:cs="Times New Roman"/>
          <w:b/>
          <w:bCs/>
          <w:sz w:val="26"/>
          <w:szCs w:val="26"/>
        </w:rPr>
        <w:t>Billings and Payments:</w:t>
      </w:r>
    </w:p>
    <w:p w:rsidR="00F3594B" w:rsidRPr="0072600F" w14:paraId="7C60E6F4" w14:textId="77777777">
      <w:pPr>
        <w:rPr>
          <w:rFonts w:ascii="Times New Roman" w:hAnsi="Times New Roman" w:cs="Times New Roman"/>
          <w:sz w:val="26"/>
          <w:szCs w:val="26"/>
        </w:rPr>
      </w:pPr>
    </w:p>
    <w:p w:rsidR="00F3594B" w:rsidRPr="0072600F" w14:paraId="2C8914F4" w14:textId="77777777">
      <w:pPr>
        <w:rPr>
          <w:rFonts w:ascii="Times New Roman" w:hAnsi="Times New Roman" w:cs="Times New Roman"/>
          <w:sz w:val="26"/>
          <w:szCs w:val="26"/>
        </w:rPr>
      </w:pPr>
    </w:p>
    <w:p w:rsidR="00F3594B" w:rsidRPr="0072600F" w14:paraId="21F5A74A"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u w:val="single"/>
        </w:rPr>
        <w:t>Transmission Provider</w:t>
      </w:r>
      <w:r w:rsidRPr="0072600F">
        <w:rPr>
          <w:rFonts w:ascii="Times New Roman" w:hAnsi="Times New Roman" w:cs="Times New Roman"/>
          <w:sz w:val="26"/>
          <w:szCs w:val="26"/>
        </w:rPr>
        <w:t>:</w:t>
      </w:r>
    </w:p>
    <w:p w:rsidR="00F3594B" w:rsidRPr="0072600F" w14:paraId="681F82C5" w14:textId="77777777">
      <w:pPr>
        <w:rPr>
          <w:rFonts w:ascii="Times New Roman" w:hAnsi="Times New Roman" w:cs="Times New Roman"/>
          <w:sz w:val="26"/>
          <w:szCs w:val="26"/>
        </w:rPr>
      </w:pPr>
    </w:p>
    <w:p w:rsidR="00F3594B" w:rsidRPr="0072600F" w14:paraId="1BE8A4F2"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supplied.</w:t>
      </w:r>
      <w:r w:rsidRPr="0072600F" w:rsidR="0042166D">
        <w:rPr>
          <w:rFonts w:ascii="Times New Roman" w:hAnsi="Times New Roman" w:cs="Times New Roman"/>
          <w:sz w:val="26"/>
          <w:szCs w:val="26"/>
        </w:rPr>
        <w:t>}</w:t>
      </w:r>
    </w:p>
    <w:p w:rsidR="00F3594B" w:rsidRPr="0072600F" w14:paraId="470CA889" w14:textId="77777777">
      <w:pPr>
        <w:rPr>
          <w:rFonts w:ascii="Times New Roman" w:hAnsi="Times New Roman" w:cs="Times New Roman"/>
          <w:sz w:val="26"/>
          <w:szCs w:val="26"/>
        </w:rPr>
      </w:pPr>
    </w:p>
    <w:p w:rsidR="00F3594B" w:rsidRPr="0072600F" w14:paraId="4BAA7AB1" w14:textId="77777777">
      <w:pPr>
        <w:rPr>
          <w:rFonts w:ascii="Times New Roman" w:hAnsi="Times New Roman" w:cs="Times New Roman"/>
          <w:sz w:val="26"/>
          <w:szCs w:val="26"/>
        </w:rPr>
      </w:pPr>
    </w:p>
    <w:p w:rsidR="00F3594B" w:rsidRPr="0072600F" w14:paraId="6631B9DB" w14:textId="77777777">
      <w:pPr>
        <w:rPr>
          <w:rFonts w:ascii="Times New Roman" w:hAnsi="Times New Roman" w:cs="Times New Roman"/>
          <w:sz w:val="26"/>
          <w:szCs w:val="26"/>
        </w:rPr>
      </w:pPr>
      <w:r w:rsidRPr="0072600F">
        <w:rPr>
          <w:rFonts w:ascii="Times New Roman" w:hAnsi="Times New Roman" w:cs="Times New Roman"/>
          <w:sz w:val="26"/>
          <w:szCs w:val="26"/>
        </w:rPr>
        <w:tab/>
        <w:t>I</w:t>
      </w:r>
      <w:r w:rsidRPr="0072600F">
        <w:rPr>
          <w:rFonts w:ascii="Times New Roman" w:hAnsi="Times New Roman" w:cs="Times New Roman"/>
          <w:sz w:val="26"/>
          <w:szCs w:val="26"/>
          <w:u w:val="single"/>
        </w:rPr>
        <w:t>nterconnection Customer</w:t>
      </w:r>
      <w:r w:rsidRPr="0072600F">
        <w:rPr>
          <w:rFonts w:ascii="Times New Roman" w:hAnsi="Times New Roman" w:cs="Times New Roman"/>
          <w:sz w:val="26"/>
          <w:szCs w:val="26"/>
        </w:rPr>
        <w:t>:</w:t>
      </w:r>
    </w:p>
    <w:p w:rsidR="00F3594B" w:rsidRPr="0072600F" w14:paraId="1CB3F36F" w14:textId="77777777">
      <w:pPr>
        <w:rPr>
          <w:rFonts w:ascii="Times New Roman" w:hAnsi="Times New Roman" w:cs="Times New Roman"/>
          <w:sz w:val="26"/>
          <w:szCs w:val="26"/>
        </w:rPr>
      </w:pPr>
    </w:p>
    <w:p w:rsidR="00F3594B" w:rsidRPr="0072600F" w14:paraId="3E8E99E1"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supplied.</w:t>
      </w:r>
      <w:r w:rsidRPr="0072600F" w:rsidR="0042166D">
        <w:rPr>
          <w:rFonts w:ascii="Times New Roman" w:hAnsi="Times New Roman" w:cs="Times New Roman"/>
          <w:sz w:val="26"/>
          <w:szCs w:val="26"/>
        </w:rPr>
        <w:t>}</w:t>
      </w:r>
    </w:p>
    <w:p w:rsidR="00F3594B" w:rsidRPr="0072600F" w14:paraId="7FB21B2F" w14:textId="77777777">
      <w:pPr>
        <w:rPr>
          <w:rFonts w:ascii="Times New Roman" w:hAnsi="Times New Roman" w:cs="Times New Roman"/>
          <w:sz w:val="26"/>
          <w:szCs w:val="26"/>
        </w:rPr>
      </w:pPr>
    </w:p>
    <w:p w:rsidR="00F3594B" w:rsidRPr="0072600F" w14:paraId="6EC9E118" w14:textId="77777777">
      <w:pPr>
        <w:rPr>
          <w:rFonts w:ascii="Times New Roman" w:hAnsi="Times New Roman" w:cs="Times New Roman"/>
          <w:sz w:val="26"/>
          <w:szCs w:val="26"/>
        </w:rPr>
      </w:pPr>
    </w:p>
    <w:p w:rsidR="00F3594B" w:rsidRPr="0072600F" w14:paraId="51CD3BD8" w14:textId="77777777">
      <w:pPr>
        <w:rPr>
          <w:rFonts w:ascii="Times New Roman" w:hAnsi="Times New Roman" w:cs="Times New Roman"/>
          <w:sz w:val="26"/>
          <w:szCs w:val="26"/>
        </w:rPr>
      </w:pPr>
      <w:r w:rsidRPr="0072600F">
        <w:rPr>
          <w:rFonts w:ascii="Times New Roman" w:hAnsi="Times New Roman" w:cs="Times New Roman"/>
          <w:b/>
          <w:bCs/>
          <w:sz w:val="26"/>
          <w:szCs w:val="26"/>
        </w:rPr>
        <w:t>Alternative Forms of Delivery of Notices (telephone, facsimile or email):</w:t>
      </w:r>
    </w:p>
    <w:p w:rsidR="00F3594B" w:rsidRPr="0072600F" w14:paraId="497DBD7C" w14:textId="77777777">
      <w:pPr>
        <w:rPr>
          <w:rFonts w:ascii="Times New Roman" w:hAnsi="Times New Roman" w:cs="Times New Roman"/>
          <w:sz w:val="26"/>
          <w:szCs w:val="26"/>
        </w:rPr>
      </w:pPr>
    </w:p>
    <w:p w:rsidR="00F3594B" w:rsidRPr="0072600F" w14:paraId="77DB2D16" w14:textId="77777777">
      <w:pPr>
        <w:rPr>
          <w:rFonts w:ascii="Times New Roman" w:hAnsi="Times New Roman" w:cs="Times New Roman"/>
          <w:sz w:val="26"/>
          <w:szCs w:val="26"/>
        </w:rPr>
      </w:pPr>
    </w:p>
    <w:p w:rsidR="00F3594B" w:rsidRPr="0072600F" w14:paraId="2E5DAC8A"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u w:val="single"/>
        </w:rPr>
        <w:t>Transmission Provider</w:t>
      </w:r>
      <w:r w:rsidRPr="0072600F">
        <w:rPr>
          <w:rFonts w:ascii="Times New Roman" w:hAnsi="Times New Roman" w:cs="Times New Roman"/>
          <w:sz w:val="26"/>
          <w:szCs w:val="26"/>
        </w:rPr>
        <w:t>:</w:t>
      </w:r>
    </w:p>
    <w:p w:rsidR="00F3594B" w:rsidRPr="0072600F" w14:paraId="5AB0F43C" w14:textId="77777777">
      <w:pPr>
        <w:rPr>
          <w:rFonts w:ascii="Times New Roman" w:hAnsi="Times New Roman" w:cs="Times New Roman"/>
          <w:sz w:val="26"/>
          <w:szCs w:val="26"/>
        </w:rPr>
      </w:pPr>
    </w:p>
    <w:p w:rsidR="00F3594B" w:rsidRPr="0072600F" w14:paraId="51969449"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supplied.</w:t>
      </w:r>
      <w:r w:rsidRPr="0072600F" w:rsidR="0042166D">
        <w:rPr>
          <w:rFonts w:ascii="Times New Roman" w:hAnsi="Times New Roman" w:cs="Times New Roman"/>
          <w:sz w:val="26"/>
          <w:szCs w:val="26"/>
        </w:rPr>
        <w:t>}</w:t>
      </w:r>
    </w:p>
    <w:p w:rsidR="00F3594B" w:rsidRPr="0072600F" w14:paraId="18C3A357" w14:textId="77777777">
      <w:pPr>
        <w:rPr>
          <w:rFonts w:ascii="Times New Roman" w:hAnsi="Times New Roman" w:cs="Times New Roman"/>
          <w:sz w:val="26"/>
          <w:szCs w:val="26"/>
        </w:rPr>
      </w:pPr>
    </w:p>
    <w:p w:rsidR="00F3594B" w:rsidRPr="0072600F" w14:paraId="245E0CE2" w14:textId="77777777">
      <w:pPr>
        <w:rPr>
          <w:rFonts w:ascii="Times New Roman" w:hAnsi="Times New Roman" w:cs="Times New Roman"/>
          <w:sz w:val="26"/>
          <w:szCs w:val="26"/>
          <w:u w:val="single"/>
        </w:rPr>
      </w:pPr>
    </w:p>
    <w:p w:rsidR="00F3594B" w:rsidRPr="0072600F" w14:paraId="4721107E"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u w:val="single"/>
        </w:rPr>
        <w:t>Interconnection Customer</w:t>
      </w:r>
      <w:r w:rsidRPr="0072600F">
        <w:rPr>
          <w:rFonts w:ascii="Times New Roman" w:hAnsi="Times New Roman" w:cs="Times New Roman"/>
          <w:sz w:val="26"/>
          <w:szCs w:val="26"/>
        </w:rPr>
        <w:t>:</w:t>
      </w:r>
    </w:p>
    <w:p w:rsidR="00F3594B" w:rsidRPr="0072600F" w14:paraId="5A829C2C" w14:textId="77777777">
      <w:pPr>
        <w:rPr>
          <w:rFonts w:ascii="Times New Roman" w:hAnsi="Times New Roman" w:cs="Times New Roman"/>
          <w:sz w:val="26"/>
          <w:szCs w:val="26"/>
        </w:rPr>
      </w:pPr>
    </w:p>
    <w:p w:rsidR="00F3594B" w:rsidRPr="0072600F" w14:paraId="5FAE1B20" w14:textId="77777777">
      <w:pPr>
        <w:rPr>
          <w:rFonts w:ascii="Times New Roman" w:hAnsi="Times New Roman" w:cs="Times New Roman"/>
          <w:sz w:val="26"/>
          <w:szCs w:val="26"/>
        </w:rPr>
      </w:pP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To be supplied.</w:t>
      </w:r>
      <w:r w:rsidRPr="0072600F" w:rsidR="0042166D">
        <w:rPr>
          <w:rFonts w:ascii="Times New Roman" w:hAnsi="Times New Roman" w:cs="Times New Roman"/>
          <w:sz w:val="26"/>
          <w:szCs w:val="26"/>
        </w:rPr>
        <w:t>}</w:t>
      </w:r>
    </w:p>
    <w:p w:rsidR="00FE408A" w:rsidRPr="0072600F" w14:paraId="35537DFB" w14:textId="77777777">
      <w:pPr>
        <w:rPr>
          <w:rFonts w:ascii="Times New Roman" w:hAnsi="Times New Roman" w:cs="Times New Roman"/>
          <w:b/>
          <w:sz w:val="26"/>
          <w:szCs w:val="26"/>
        </w:rPr>
      </w:pPr>
      <w:r w:rsidRPr="0072600F">
        <w:rPr>
          <w:rFonts w:ascii="Times New Roman" w:hAnsi="Times New Roman" w:cs="Times New Roman"/>
          <w:b/>
          <w:sz w:val="26"/>
          <w:szCs w:val="26"/>
        </w:rPr>
        <w:br w:type="page"/>
      </w:r>
    </w:p>
    <w:p w:rsidR="00F3594B" w:rsidRPr="0072600F" w14:paraId="5F14DA7A" w14:textId="77777777">
      <w:pPr>
        <w:widowControl w:val="0"/>
        <w:spacing w:line="480" w:lineRule="auto"/>
        <w:jc w:val="center"/>
        <w:rPr>
          <w:rFonts w:ascii="Times New Roman" w:hAnsi="Times New Roman" w:cs="Times New Roman"/>
          <w:b/>
          <w:sz w:val="26"/>
          <w:szCs w:val="26"/>
        </w:rPr>
      </w:pPr>
      <w:r w:rsidRPr="0072600F">
        <w:rPr>
          <w:rFonts w:ascii="Times New Roman" w:hAnsi="Times New Roman" w:cs="Times New Roman"/>
          <w:b/>
          <w:sz w:val="26"/>
          <w:szCs w:val="26"/>
        </w:rPr>
        <w:t>APPENDIX G</w:t>
      </w:r>
    </w:p>
    <w:p w:rsidR="00F3594B" w:rsidRPr="0072600F" w14:paraId="3E0E616C" w14:textId="77777777">
      <w:pPr>
        <w:widowControl w:val="0"/>
        <w:jc w:val="center"/>
        <w:rPr>
          <w:rFonts w:ascii="Times New Roman" w:hAnsi="Times New Roman" w:cs="Times New Roman"/>
          <w:b/>
          <w:sz w:val="26"/>
          <w:szCs w:val="26"/>
        </w:rPr>
      </w:pPr>
      <w:r w:rsidRPr="0072600F">
        <w:rPr>
          <w:rFonts w:ascii="Times New Roman" w:hAnsi="Times New Roman" w:cs="Times New Roman"/>
          <w:b/>
          <w:sz w:val="26"/>
          <w:szCs w:val="26"/>
        </w:rPr>
        <w:t>INTERCONNECTION REQUIREMENTS FOR A WIND GENERATING PLANT</w:t>
      </w:r>
    </w:p>
    <w:p w:rsidR="00F3594B" w:rsidRPr="0072600F" w14:paraId="48BC43AD" w14:textId="77777777">
      <w:pPr>
        <w:widowControl w:val="0"/>
        <w:spacing w:line="480" w:lineRule="auto"/>
        <w:jc w:val="center"/>
        <w:rPr>
          <w:rFonts w:ascii="Times New Roman" w:hAnsi="Times New Roman" w:cs="Times New Roman"/>
          <w:b/>
          <w:sz w:val="26"/>
          <w:szCs w:val="26"/>
        </w:rPr>
      </w:pPr>
    </w:p>
    <w:p w:rsidR="00F3594B" w:rsidRPr="0072600F" w14:paraId="797D1CB6" w14:textId="77777777">
      <w:pPr>
        <w:widowControl w:val="0"/>
        <w:spacing w:line="480" w:lineRule="auto"/>
        <w:rPr>
          <w:rFonts w:ascii="Times New Roman" w:hAnsi="Times New Roman" w:cs="Times New Roman"/>
          <w:sz w:val="26"/>
          <w:szCs w:val="26"/>
        </w:rPr>
      </w:pPr>
      <w:r w:rsidRPr="0072600F">
        <w:rPr>
          <w:rFonts w:ascii="Times New Roman" w:hAnsi="Times New Roman" w:cs="Times New Roman"/>
          <w:sz w:val="26"/>
          <w:szCs w:val="26"/>
        </w:rPr>
        <w:tab/>
        <w:t xml:space="preserve">Appendix G sets forth requirements and provisions specific to a wind generating plant </w:t>
      </w:r>
      <w:r w:rsidRPr="0072600F">
        <w:rPr>
          <w:rFonts w:ascii="Times New Roman" w:hAnsi="Times New Roman" w:cs="Times New Roman"/>
          <w:i/>
          <w:sz w:val="26"/>
          <w:szCs w:val="26"/>
        </w:rPr>
        <w:t>or a Generating Facility that contains a wind generating plant</w:t>
      </w:r>
      <w:r w:rsidRPr="0072600F">
        <w:rPr>
          <w:rFonts w:ascii="Times New Roman" w:hAnsi="Times New Roman" w:cs="Times New Roman"/>
          <w:sz w:val="26"/>
          <w:szCs w:val="26"/>
        </w:rPr>
        <w:t xml:space="preserve">.  All other requirements of this LGIA continue to apply to wind generating plant interconnections. </w:t>
      </w:r>
    </w:p>
    <w:p w:rsidR="00F3594B" w:rsidRPr="0072600F" w14:paraId="4FC35C4A" w14:textId="77777777">
      <w:pPr>
        <w:widowControl w:val="0"/>
        <w:spacing w:line="480" w:lineRule="auto"/>
        <w:ind w:left="1440" w:hanging="720"/>
        <w:rPr>
          <w:rFonts w:ascii="Times New Roman" w:hAnsi="Times New Roman" w:cs="Times New Roman"/>
          <w:b/>
          <w:sz w:val="26"/>
          <w:szCs w:val="26"/>
          <w:u w:val="single"/>
        </w:rPr>
      </w:pPr>
      <w:r w:rsidRPr="0072600F">
        <w:rPr>
          <w:rFonts w:ascii="Times New Roman" w:hAnsi="Times New Roman" w:cs="Times New Roman"/>
          <w:b/>
          <w:sz w:val="26"/>
          <w:szCs w:val="26"/>
        </w:rPr>
        <w:t>A.</w:t>
      </w:r>
      <w:r w:rsidRPr="0072600F">
        <w:rPr>
          <w:rFonts w:ascii="Times New Roman" w:hAnsi="Times New Roman" w:cs="Times New Roman"/>
          <w:sz w:val="26"/>
          <w:szCs w:val="26"/>
        </w:rPr>
        <w:tab/>
      </w:r>
      <w:r w:rsidRPr="0072600F">
        <w:rPr>
          <w:rFonts w:ascii="Times New Roman" w:hAnsi="Times New Roman" w:cs="Times New Roman"/>
          <w:b/>
          <w:sz w:val="26"/>
          <w:szCs w:val="26"/>
          <w:u w:val="single"/>
        </w:rPr>
        <w:t>Technical Standards Applicable to a Wind Generating Plant</w:t>
      </w:r>
      <w:r w:rsidRPr="0072600F">
        <w:rPr>
          <w:rFonts w:ascii="Times New Roman" w:hAnsi="Times New Roman" w:cs="Times New Roman"/>
          <w:b/>
          <w:sz w:val="26"/>
          <w:szCs w:val="26"/>
        </w:rPr>
        <w:t xml:space="preserve"> </w:t>
      </w:r>
    </w:p>
    <w:p w:rsidR="00F3594B" w:rsidRPr="0072600F" w14:paraId="14B86B90" w14:textId="77777777">
      <w:pPr>
        <w:numPr>
          <w:ilvl w:val="2"/>
          <w:numId w:val="0"/>
        </w:numPr>
        <w:tabs>
          <w:tab w:val="num" w:pos="1430"/>
        </w:tabs>
        <w:spacing w:line="480" w:lineRule="auto"/>
        <w:rPr>
          <w:rFonts w:ascii="Times New Roman" w:hAnsi="Times New Roman" w:cs="Times New Roman"/>
          <w:b/>
          <w:sz w:val="26"/>
          <w:szCs w:val="26"/>
          <w:u w:val="single"/>
        </w:rPr>
      </w:pPr>
      <w:r w:rsidRPr="0072600F">
        <w:rPr>
          <w:rFonts w:ascii="Times New Roman" w:hAnsi="Times New Roman" w:cs="Times New Roman"/>
          <w:b/>
          <w:sz w:val="26"/>
          <w:szCs w:val="26"/>
        </w:rPr>
        <w:tab/>
      </w:r>
      <w:r w:rsidRPr="0072600F">
        <w:rPr>
          <w:rFonts w:ascii="Times New Roman" w:hAnsi="Times New Roman" w:cs="Times New Roman"/>
          <w:b/>
          <w:sz w:val="26"/>
          <w:szCs w:val="26"/>
        </w:rPr>
        <w:t>i</w:t>
      </w:r>
      <w:r w:rsidRPr="0072600F">
        <w:rPr>
          <w:rFonts w:ascii="Times New Roman" w:hAnsi="Times New Roman" w:cs="Times New Roman"/>
          <w:b/>
          <w:sz w:val="26"/>
          <w:szCs w:val="26"/>
        </w:rPr>
        <w:t>.</w:t>
      </w:r>
      <w:r w:rsidRPr="0072600F">
        <w:rPr>
          <w:rFonts w:ascii="Times New Roman" w:hAnsi="Times New Roman" w:cs="Times New Roman"/>
          <w:b/>
          <w:sz w:val="26"/>
          <w:szCs w:val="26"/>
        </w:rPr>
        <w:tab/>
      </w:r>
      <w:r w:rsidRPr="0072600F">
        <w:rPr>
          <w:rFonts w:ascii="Times New Roman" w:hAnsi="Times New Roman" w:cs="Times New Roman"/>
          <w:b/>
          <w:sz w:val="26"/>
          <w:szCs w:val="26"/>
          <w:u w:val="single"/>
        </w:rPr>
        <w:t>Low Voltage Ride-Through (LVRT) Capability</w:t>
      </w:r>
    </w:p>
    <w:p w:rsidR="00F3594B" w:rsidRPr="0072600F" w14:paraId="02031D47" w14:textId="77777777">
      <w:pPr>
        <w:widowControl w:val="0"/>
        <w:spacing w:line="480" w:lineRule="auto"/>
        <w:rPr>
          <w:rFonts w:ascii="Times New Roman" w:hAnsi="Times New Roman" w:cs="Times New Roman"/>
          <w:sz w:val="26"/>
          <w:szCs w:val="26"/>
        </w:rPr>
      </w:pPr>
      <w:r w:rsidRPr="0072600F">
        <w:rPr>
          <w:rFonts w:ascii="Times New Roman" w:hAnsi="Times New Roman" w:cs="Times New Roman"/>
          <w:sz w:val="26"/>
          <w:szCs w:val="26"/>
        </w:rPr>
        <w:tab/>
        <w:t xml:space="preserve">A wind generating plant shall be able to remain online during voltage disturbances up to the time periods and associated voltage levels set forth in the standard below.  The LVRT standard provides for a transition period standard and a post-transition period standard. </w:t>
      </w:r>
    </w:p>
    <w:p w:rsidR="00F3594B" w:rsidRPr="0072600F" w14:paraId="4C86D57B" w14:textId="77777777">
      <w:pPr>
        <w:widowControl w:val="0"/>
        <w:spacing w:line="480" w:lineRule="auto"/>
        <w:ind w:firstLine="720"/>
        <w:rPr>
          <w:rFonts w:ascii="Times New Roman" w:hAnsi="Times New Roman" w:cs="Times New Roman"/>
          <w:b/>
          <w:sz w:val="26"/>
          <w:szCs w:val="26"/>
          <w:u w:val="single"/>
        </w:rPr>
      </w:pPr>
      <w:r w:rsidRPr="0072600F">
        <w:rPr>
          <w:rFonts w:ascii="Times New Roman" w:hAnsi="Times New Roman" w:cs="Times New Roman"/>
          <w:b/>
          <w:sz w:val="26"/>
          <w:szCs w:val="26"/>
          <w:u w:val="single"/>
        </w:rPr>
        <w:t xml:space="preserve">Transition Period LVRT Standard </w:t>
      </w:r>
    </w:p>
    <w:p w:rsidR="00F3594B" w:rsidRPr="0072600F" w14:paraId="6BB89B5C" w14:textId="77777777">
      <w:pPr>
        <w:widowControl w:val="0"/>
        <w:spacing w:line="480" w:lineRule="auto"/>
        <w:ind w:firstLine="720"/>
        <w:rPr>
          <w:rFonts w:ascii="Times New Roman" w:hAnsi="Times New Roman" w:cs="Times New Roman"/>
          <w:sz w:val="26"/>
          <w:szCs w:val="26"/>
        </w:rPr>
      </w:pPr>
      <w:r w:rsidRPr="0072600F">
        <w:rPr>
          <w:rFonts w:ascii="Times New Roman" w:hAnsi="Times New Roman" w:cs="Times New Roman"/>
          <w:sz w:val="26"/>
          <w:szCs w:val="26"/>
        </w:rPr>
        <w:t xml:space="preserve">The transition period standard applies to wind generating plants subject to FERC Order 661 that have either: </w:t>
      </w:r>
      <w:r w:rsidRPr="0072600F" w:rsidR="00737CBF">
        <w:rPr>
          <w:rFonts w:ascii="Times New Roman" w:hAnsi="Times New Roman" w:cs="Times New Roman"/>
          <w:sz w:val="26"/>
          <w:szCs w:val="26"/>
        </w:rPr>
        <w:t xml:space="preserve"> </w:t>
      </w:r>
      <w:r w:rsidRPr="0072600F">
        <w:rPr>
          <w:rFonts w:ascii="Times New Roman" w:hAnsi="Times New Roman" w:cs="Times New Roman"/>
          <w:sz w:val="26"/>
          <w:szCs w:val="26"/>
        </w:rPr>
        <w:t>(</w:t>
      </w:r>
      <w:r w:rsidRPr="0072600F">
        <w:rPr>
          <w:rFonts w:ascii="Times New Roman" w:hAnsi="Times New Roman" w:cs="Times New Roman"/>
          <w:sz w:val="26"/>
          <w:szCs w:val="26"/>
        </w:rPr>
        <w:t>i</w:t>
      </w:r>
      <w:r w:rsidRPr="0072600F">
        <w:rPr>
          <w:rFonts w:ascii="Times New Roman" w:hAnsi="Times New Roman" w:cs="Times New Roman"/>
          <w:sz w:val="26"/>
          <w:szCs w:val="26"/>
        </w:rPr>
        <w:t xml:space="preserve">) interconnection agreements signed and filed with the Commission, filed with the Commission in unexecuted form, or filed with the Commission as non-conforming agreements between January 1, 2006 and December 31, 2006, with a scheduled in-service date no later than December 31, 2007, or (ii) wind </w:t>
      </w:r>
    </w:p>
    <w:p w:rsidR="00F3594B" w:rsidRPr="0072600F" w14:paraId="242D1ACD" w14:textId="77777777">
      <w:pPr>
        <w:widowControl w:val="0"/>
        <w:spacing w:line="480" w:lineRule="auto"/>
        <w:rPr>
          <w:rFonts w:ascii="Times New Roman" w:hAnsi="Times New Roman" w:cs="Times New Roman"/>
          <w:sz w:val="26"/>
          <w:szCs w:val="26"/>
        </w:rPr>
      </w:pPr>
      <w:r w:rsidRPr="0072600F">
        <w:rPr>
          <w:rFonts w:ascii="Times New Roman" w:hAnsi="Times New Roman" w:cs="Times New Roman"/>
          <w:sz w:val="26"/>
          <w:szCs w:val="26"/>
        </w:rPr>
        <w:t>generating turbines subject to a wind turbine procurement contract executed prior to December 31, 2005, for delivery through 2007.</w:t>
      </w:r>
    </w:p>
    <w:p w:rsidR="00F3594B" w:rsidRPr="0072600F" w14:paraId="7169E00B"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F3594B" w:rsidRPr="0072600F" w14:paraId="05C50155" w14:textId="77777777">
      <w:pPr>
        <w:pStyle w:val="ListParagraph"/>
        <w:numPr>
          <w:ilvl w:val="0"/>
          <w:numId w:val="10"/>
        </w:numPr>
        <w:autoSpaceDE w:val="0"/>
        <w:autoSpaceDN w:val="0"/>
        <w:adjustRightInd w:val="0"/>
        <w:spacing w:line="480" w:lineRule="auto"/>
        <w:rPr>
          <w:szCs w:val="26"/>
        </w:rPr>
      </w:pPr>
      <w:r w:rsidRPr="0072600F">
        <w:rPr>
          <w:szCs w:val="26"/>
        </w:rPr>
        <w:t xml:space="preserve">Wind generating plants are required to remain in-service during three-phase faults with normal clearing (which is a time period of approximately 4 – 9 cycles) and single line to ground faults with delayed clearing, and subsequent post-fault voltage recovery to </w:t>
      </w:r>
      <w:r w:rsidRPr="0072600F">
        <w:rPr>
          <w:szCs w:val="26"/>
        </w:rPr>
        <w:t>prefault</w:t>
      </w:r>
      <w:r w:rsidRPr="0072600F">
        <w:rPr>
          <w:szCs w:val="26"/>
        </w:rPr>
        <w:t xml:space="preserve"> voltage unless clearing the fault effectively disconnects the generator from the system.  The clearing time requirement for a three-phase fault will be specific to the wind generating plant substation location, as determined by and documented by </w:t>
      </w:r>
      <w:r w:rsidRPr="0072600F" w:rsidR="002C0896">
        <w:rPr>
          <w:szCs w:val="26"/>
        </w:rPr>
        <w:t>[</w:t>
      </w:r>
      <w:r w:rsidRPr="0072600F">
        <w:rPr>
          <w:szCs w:val="26"/>
        </w:rPr>
        <w:t>the</w:t>
      </w:r>
      <w:r w:rsidRPr="0072600F" w:rsidR="002C0896">
        <w:rPr>
          <w:szCs w:val="26"/>
        </w:rPr>
        <w:t>]</w:t>
      </w:r>
      <w:r w:rsidRPr="0072600F">
        <w:rPr>
          <w:szCs w:val="26"/>
        </w:rPr>
        <w:t xml:space="preserve"> transmission provider.  The maximum clearing time the wind generating plant shall be required to withstand for a three-phase fault shall be 9 cycles at a voltage as low as 0.15 </w:t>
      </w:r>
      <w:r w:rsidRPr="0072600F">
        <w:rPr>
          <w:szCs w:val="26"/>
        </w:rPr>
        <w:t>p.u</w:t>
      </w:r>
      <w:r w:rsidRPr="0072600F">
        <w:rPr>
          <w:szCs w:val="26"/>
        </w:rPr>
        <w:t>., as measured at the high side of the wind generating plant step-up transformer</w:t>
      </w:r>
      <w:r w:rsidRPr="0072600F" w:rsidR="0023472B">
        <w:rPr>
          <w:szCs w:val="26"/>
        </w:rPr>
        <w:t xml:space="preserve"> </w:t>
      </w:r>
      <w:r w:rsidRPr="0072600F">
        <w:rPr>
          <w:szCs w:val="26"/>
        </w:rPr>
        <w:t>(i.e. the transformer that steps the voltage up to the transmission interconnection voltage or</w:t>
      </w:r>
      <w:r w:rsidRPr="0072600F" w:rsidR="0023472B">
        <w:rPr>
          <w:szCs w:val="26"/>
        </w:rPr>
        <w:t xml:space="preserve"> “</w:t>
      </w:r>
      <w:r w:rsidRPr="0072600F">
        <w:rPr>
          <w:szCs w:val="26"/>
        </w:rPr>
        <w:t>GSU”), after which, if the fault remains following the location-specific normal clearing time for three-phase faults, the wind generating plant may disconnect from the transmission system.</w:t>
      </w:r>
    </w:p>
    <w:p w:rsidR="00F3594B" w:rsidRPr="0072600F" w14:paraId="71D0CCC1" w14:textId="77777777">
      <w:pPr>
        <w:pStyle w:val="ListParagraph"/>
        <w:numPr>
          <w:ilvl w:val="0"/>
          <w:numId w:val="10"/>
        </w:numPr>
        <w:autoSpaceDE w:val="0"/>
        <w:autoSpaceDN w:val="0"/>
        <w:adjustRightInd w:val="0"/>
        <w:spacing w:line="480" w:lineRule="auto"/>
        <w:rPr>
          <w:szCs w:val="26"/>
        </w:rPr>
      </w:pPr>
      <w:r w:rsidRPr="0072600F">
        <w:rPr>
          <w:szCs w:val="26"/>
        </w:rPr>
        <w:t>This requirement does not apply to faults that would occur between the wind generator terminals and the high side of the GSU or to faults that would result in a voltage lower than 0.15 per unit on the high side of the GSU serving the facility.</w:t>
      </w:r>
    </w:p>
    <w:p w:rsidR="00F3594B" w:rsidRPr="0072600F" w14:paraId="724BEEC3" w14:textId="77777777">
      <w:pPr>
        <w:pStyle w:val="ListParagraph"/>
        <w:numPr>
          <w:ilvl w:val="0"/>
          <w:numId w:val="10"/>
        </w:numPr>
        <w:autoSpaceDE w:val="0"/>
        <w:autoSpaceDN w:val="0"/>
        <w:adjustRightInd w:val="0"/>
        <w:spacing w:line="480" w:lineRule="auto"/>
        <w:rPr>
          <w:szCs w:val="26"/>
        </w:rPr>
      </w:pPr>
      <w:r w:rsidRPr="0072600F">
        <w:rPr>
          <w:szCs w:val="26"/>
        </w:rPr>
        <w:t>Wind generating plants may be tripped after the fault period if this action is intended as part of a special protection system.</w:t>
      </w:r>
    </w:p>
    <w:p w:rsidR="00F3594B" w:rsidRPr="0072600F" w14:paraId="6613A958" w14:textId="77777777">
      <w:pPr>
        <w:pStyle w:val="ListParagraph"/>
        <w:numPr>
          <w:ilvl w:val="0"/>
          <w:numId w:val="10"/>
        </w:numPr>
        <w:autoSpaceDE w:val="0"/>
        <w:autoSpaceDN w:val="0"/>
        <w:adjustRightInd w:val="0"/>
        <w:spacing w:line="480" w:lineRule="auto"/>
        <w:rPr>
          <w:szCs w:val="26"/>
        </w:rPr>
      </w:pPr>
      <w:r w:rsidRPr="0072600F">
        <w:rPr>
          <w:szCs w:val="26"/>
        </w:rPr>
        <w:t xml:space="preserve">Wind generating plants may meet the LVRT requirements of this standard by the performance of the generators or by installing additional equipment (e.g., Static </w:t>
      </w:r>
      <w:r w:rsidRPr="0072600F">
        <w:rPr>
          <w:szCs w:val="26"/>
        </w:rPr>
        <w:t>VAr</w:t>
      </w:r>
      <w:r w:rsidRPr="0072600F">
        <w:rPr>
          <w:szCs w:val="26"/>
        </w:rPr>
        <w:t xml:space="preserve"> Compensator, etc.) within the wind generating plant or by a combination of generator performance and additional equipment.</w:t>
      </w:r>
    </w:p>
    <w:p w:rsidR="00F3594B" w:rsidRPr="0072600F" w14:paraId="1B549493" w14:textId="77777777">
      <w:pPr>
        <w:pStyle w:val="ListParagraph"/>
        <w:numPr>
          <w:ilvl w:val="0"/>
          <w:numId w:val="10"/>
        </w:numPr>
        <w:autoSpaceDE w:val="0"/>
        <w:autoSpaceDN w:val="0"/>
        <w:adjustRightInd w:val="0"/>
        <w:spacing w:line="480" w:lineRule="auto"/>
        <w:rPr>
          <w:szCs w:val="26"/>
        </w:rPr>
      </w:pPr>
      <w:r w:rsidRPr="0072600F">
        <w:rPr>
          <w:szCs w:val="26"/>
        </w:rPr>
        <w:t>Existing individual generator units that are, or have been, interconnected to the network at the same location at the effective date of the Appendix G LVRT</w:t>
      </w:r>
    </w:p>
    <w:p w:rsidR="00F3594B" w:rsidRPr="0072600F" w14:paraId="16D48BB2" w14:textId="77777777">
      <w:pPr>
        <w:pStyle w:val="ListParagraph"/>
        <w:spacing w:line="480" w:lineRule="auto"/>
        <w:rPr>
          <w:szCs w:val="26"/>
        </w:rPr>
      </w:pPr>
      <w:r w:rsidRPr="0072600F">
        <w:rPr>
          <w:szCs w:val="26"/>
        </w:rPr>
        <w:t>Standard are exempt from meeting the Appendix G LVRT Standard for the remaining life of the existing generation equipment. Existing individual generator units that are replaced are required to meet the Appendix G LVRT Standard.</w:t>
      </w:r>
    </w:p>
    <w:p w:rsidR="00F3594B" w:rsidRPr="0072600F" w14:paraId="72FFD94B" w14:textId="77777777">
      <w:pPr>
        <w:widowControl w:val="0"/>
        <w:spacing w:line="480" w:lineRule="auto"/>
        <w:rPr>
          <w:rFonts w:ascii="Times New Roman" w:hAnsi="Times New Roman" w:cs="Times New Roman"/>
          <w:b/>
          <w:sz w:val="26"/>
          <w:szCs w:val="26"/>
        </w:rPr>
      </w:pPr>
      <w:r w:rsidRPr="0072600F">
        <w:rPr>
          <w:rFonts w:ascii="Times New Roman" w:hAnsi="Times New Roman" w:cs="Times New Roman"/>
          <w:b/>
          <w:sz w:val="26"/>
          <w:szCs w:val="26"/>
        </w:rPr>
        <w:t>Post-transition Period LVRT Standard</w:t>
      </w:r>
    </w:p>
    <w:p w:rsidR="00F3594B" w:rsidRPr="0072600F" w14:paraId="5C4003D6" w14:textId="77777777">
      <w:pPr>
        <w:pStyle w:val="ListParagraph"/>
        <w:spacing w:line="480" w:lineRule="auto"/>
        <w:ind w:left="0"/>
        <w:rPr>
          <w:szCs w:val="26"/>
        </w:rPr>
      </w:pPr>
      <w:r w:rsidRPr="0072600F">
        <w:rPr>
          <w:szCs w:val="26"/>
        </w:rPr>
        <w:t>All wind generating plants subject to FERC Order No. 661 and not covered by the transition period described above must meet the following requirements:</w:t>
      </w:r>
    </w:p>
    <w:p w:rsidR="00F3594B" w:rsidRPr="0072600F" w14:paraId="1EE010AC" w14:textId="77777777">
      <w:pPr>
        <w:pStyle w:val="ListParagraph"/>
        <w:numPr>
          <w:ilvl w:val="0"/>
          <w:numId w:val="11"/>
        </w:numPr>
        <w:autoSpaceDE w:val="0"/>
        <w:autoSpaceDN w:val="0"/>
        <w:adjustRightInd w:val="0"/>
        <w:spacing w:line="480" w:lineRule="auto"/>
        <w:rPr>
          <w:szCs w:val="26"/>
        </w:rPr>
      </w:pPr>
      <w:r w:rsidRPr="0072600F">
        <w:rPr>
          <w:szCs w:val="26"/>
        </w:rPr>
        <w:t xml:space="preserve">Wind generating plants are required to remain in-service during three-phase faults with normal clearing (which is a time period of approximately 4 – 9 cycles) and single line to ground faults with delayed clearing, and subsequent post-fault voltage recovery to </w:t>
      </w:r>
      <w:r w:rsidRPr="0072600F">
        <w:rPr>
          <w:szCs w:val="26"/>
        </w:rPr>
        <w:t>prefault</w:t>
      </w:r>
      <w:r w:rsidRPr="0072600F">
        <w:rPr>
          <w:szCs w:val="26"/>
        </w:rPr>
        <w:t xml:space="preserve"> voltage unless clearing the fault effectively disconnects the generator from the system.  The clearing time requirement for a three-phase fault will be specific to the wind generating plant substation location, as determined by and documented by </w:t>
      </w:r>
      <w:r w:rsidRPr="0072600F" w:rsidR="002C0896">
        <w:rPr>
          <w:szCs w:val="26"/>
        </w:rPr>
        <w:t>[</w:t>
      </w:r>
      <w:r w:rsidRPr="0072600F">
        <w:rPr>
          <w:szCs w:val="26"/>
        </w:rPr>
        <w:t>the</w:t>
      </w:r>
      <w:r w:rsidRPr="0072600F" w:rsidR="002C0896">
        <w:rPr>
          <w:szCs w:val="26"/>
        </w:rPr>
        <w:t>]</w:t>
      </w:r>
      <w:r w:rsidRPr="0072600F">
        <w:rPr>
          <w:szCs w:val="26"/>
        </w:rPr>
        <w:t xml:space="preserve"> transmission provider.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F3594B" w:rsidRPr="0072600F" w14:paraId="14EC477E" w14:textId="77777777">
      <w:pPr>
        <w:pStyle w:val="ListParagraph"/>
        <w:numPr>
          <w:ilvl w:val="0"/>
          <w:numId w:val="11"/>
        </w:numPr>
        <w:autoSpaceDE w:val="0"/>
        <w:autoSpaceDN w:val="0"/>
        <w:adjustRightInd w:val="0"/>
        <w:spacing w:line="480" w:lineRule="auto"/>
        <w:rPr>
          <w:szCs w:val="26"/>
        </w:rPr>
      </w:pPr>
      <w:r w:rsidRPr="0072600F">
        <w:rPr>
          <w:szCs w:val="26"/>
        </w:rPr>
        <w:t>This requirement does not apply to faults that would occur between the wind generator terminals and the high side of the GSU.</w:t>
      </w:r>
    </w:p>
    <w:p w:rsidR="00F3594B" w:rsidRPr="0072600F" w14:paraId="477F584F" w14:textId="77777777">
      <w:pPr>
        <w:pStyle w:val="ListParagraph"/>
        <w:numPr>
          <w:ilvl w:val="0"/>
          <w:numId w:val="11"/>
        </w:numPr>
        <w:autoSpaceDE w:val="0"/>
        <w:autoSpaceDN w:val="0"/>
        <w:adjustRightInd w:val="0"/>
        <w:spacing w:line="480" w:lineRule="auto"/>
        <w:rPr>
          <w:szCs w:val="26"/>
        </w:rPr>
      </w:pPr>
      <w:r w:rsidRPr="0072600F">
        <w:rPr>
          <w:szCs w:val="26"/>
        </w:rPr>
        <w:t>Wind generating plants may be tripped after the fault period if this action is intended as part of a special protection system.</w:t>
      </w:r>
    </w:p>
    <w:p w:rsidR="00F3594B" w:rsidRPr="0072600F" w14:paraId="7B6B96A1" w14:textId="77777777">
      <w:pPr>
        <w:pStyle w:val="ListParagraph"/>
        <w:numPr>
          <w:ilvl w:val="0"/>
          <w:numId w:val="11"/>
        </w:numPr>
        <w:autoSpaceDE w:val="0"/>
        <w:autoSpaceDN w:val="0"/>
        <w:adjustRightInd w:val="0"/>
        <w:spacing w:line="480" w:lineRule="auto"/>
        <w:rPr>
          <w:szCs w:val="26"/>
        </w:rPr>
      </w:pPr>
      <w:r w:rsidRPr="0072600F">
        <w:rPr>
          <w:szCs w:val="26"/>
        </w:rPr>
        <w:t>Wind generating plants may meet the LVRT requirements of this standard by the performance of the generators or by installing additional equipment (e.g., Static VA</w:t>
      </w:r>
      <w:r w:rsidRPr="0072600F" w:rsidR="0023472B">
        <w:rPr>
          <w:szCs w:val="26"/>
        </w:rPr>
        <w:t>R</w:t>
      </w:r>
      <w:r w:rsidRPr="0072600F">
        <w:rPr>
          <w:szCs w:val="26"/>
        </w:rPr>
        <w:t xml:space="preserve"> Compensator) within the wind generating plant or by a combination of generator performance and additional equipment.</w:t>
      </w:r>
    </w:p>
    <w:p w:rsidR="00F3594B" w:rsidRPr="0072600F" w14:paraId="697E86B6" w14:textId="77777777">
      <w:pPr>
        <w:widowControl w:val="0"/>
        <w:spacing w:line="480" w:lineRule="auto"/>
        <w:rPr>
          <w:rFonts w:ascii="Times New Roman" w:hAnsi="Times New Roman" w:cs="Times New Roman"/>
          <w:b/>
          <w:bCs/>
          <w:sz w:val="26"/>
          <w:szCs w:val="26"/>
        </w:rPr>
      </w:pPr>
      <w:r w:rsidRPr="0072600F">
        <w:rPr>
          <w:rFonts w:ascii="Times New Roman" w:hAnsi="Times New Roman" w:cs="Times New Roman"/>
          <w:sz w:val="26"/>
          <w:szCs w:val="26"/>
        </w:rP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F3594B" w:rsidRPr="0072600F" w14:paraId="3602E76F" w14:textId="77777777">
      <w:pPr>
        <w:numPr>
          <w:ilvl w:val="2"/>
          <w:numId w:val="0"/>
        </w:numPr>
        <w:tabs>
          <w:tab w:val="num" w:pos="650"/>
        </w:tabs>
        <w:spacing w:line="480" w:lineRule="auto"/>
        <w:ind w:right="-130"/>
        <w:rPr>
          <w:rFonts w:ascii="Times New Roman" w:hAnsi="Times New Roman" w:cs="Times New Roman"/>
          <w:b/>
          <w:sz w:val="26"/>
          <w:szCs w:val="26"/>
        </w:rPr>
      </w:pPr>
      <w:r w:rsidRPr="0072600F">
        <w:rPr>
          <w:rFonts w:ascii="Times New Roman" w:hAnsi="Times New Roman" w:cs="Times New Roman"/>
          <w:b/>
          <w:sz w:val="26"/>
          <w:szCs w:val="26"/>
        </w:rPr>
        <w:tab/>
      </w:r>
      <w:r w:rsidRPr="0072600F">
        <w:rPr>
          <w:rFonts w:ascii="Times New Roman" w:hAnsi="Times New Roman" w:cs="Times New Roman"/>
          <w:b/>
          <w:sz w:val="26"/>
          <w:szCs w:val="26"/>
        </w:rPr>
        <w:tab/>
      </w:r>
      <w:r w:rsidRPr="0072600F">
        <w:rPr>
          <w:rFonts w:ascii="Times New Roman" w:hAnsi="Times New Roman" w:cs="Times New Roman"/>
          <w:b/>
          <w:sz w:val="26"/>
          <w:szCs w:val="26"/>
        </w:rPr>
        <w:tab/>
        <w:t xml:space="preserve">ii.   </w:t>
      </w:r>
      <w:r w:rsidRPr="0072600F">
        <w:rPr>
          <w:rFonts w:ascii="Times New Roman" w:hAnsi="Times New Roman" w:cs="Times New Roman"/>
          <w:b/>
          <w:sz w:val="26"/>
          <w:szCs w:val="26"/>
          <w:u w:val="single"/>
        </w:rPr>
        <w:t>Power Factor Design Criteria (Reactive Power)</w:t>
      </w:r>
    </w:p>
    <w:p w:rsidR="00F3594B" w:rsidRPr="0072600F" w14:paraId="287555B5" w14:textId="77777777">
      <w:pPr>
        <w:widowControl w:val="0"/>
        <w:spacing w:line="480" w:lineRule="auto"/>
        <w:ind w:firstLine="720"/>
        <w:rPr>
          <w:rFonts w:ascii="Times New Roman" w:hAnsi="Times New Roman" w:cs="Times New Roman"/>
          <w:sz w:val="26"/>
          <w:szCs w:val="26"/>
        </w:rPr>
      </w:pPr>
      <w:r w:rsidRPr="0072600F">
        <w:rPr>
          <w:rFonts w:ascii="Times New Roman" w:hAnsi="Times New Roman" w:cs="Times New Roman"/>
          <w:sz w:val="26"/>
          <w:szCs w:val="26"/>
        </w:rPr>
        <w:t xml:space="preserve">The following reactive power requirements apply only to a newly interconnecting wind generating plant that has executed a Facilities Study Agreement as of the effective date of the Final Rule establishing the reactive power requirements for non-synchronous generators in </w:t>
      </w:r>
      <w:r w:rsidRPr="0072600F" w:rsidR="00506C16">
        <w:rPr>
          <w:rFonts w:ascii="Times New Roman" w:hAnsi="Times New Roman" w:cs="Times New Roman"/>
          <w:sz w:val="26"/>
          <w:szCs w:val="26"/>
        </w:rPr>
        <w:t>[</w:t>
      </w:r>
      <w:r w:rsidRPr="0072600F">
        <w:rPr>
          <w:rFonts w:ascii="Times New Roman" w:hAnsi="Times New Roman" w:cs="Times New Roman"/>
          <w:sz w:val="26"/>
          <w:szCs w:val="26"/>
        </w:rPr>
        <w:t>Section</w:t>
      </w:r>
      <w:r w:rsidRPr="0072600F" w:rsidR="00506C16">
        <w:rPr>
          <w:rFonts w:ascii="Times New Roman" w:hAnsi="Times New Roman" w:cs="Times New Roman"/>
          <w:sz w:val="26"/>
          <w:szCs w:val="26"/>
        </w:rPr>
        <w:t>]</w:t>
      </w:r>
      <w:r w:rsidRPr="0072600F" w:rsidR="00506C16">
        <w:rPr>
          <w:rFonts w:ascii="Times New Roman" w:hAnsi="Times New Roman" w:cs="Times New Roman"/>
          <w:i/>
          <w:iCs/>
          <w:sz w:val="26"/>
          <w:szCs w:val="26"/>
        </w:rPr>
        <w:t>article</w:t>
      </w:r>
      <w:r w:rsidRPr="0072600F">
        <w:rPr>
          <w:rFonts w:ascii="Times New Roman" w:hAnsi="Times New Roman" w:cs="Times New Roman"/>
          <w:sz w:val="26"/>
          <w:szCs w:val="26"/>
        </w:rPr>
        <w:t xml:space="preserve"> 9.6.1 of this LGIA (Order No. 827).  A wind generating plant to which this provision applies shall maintain a power factor within the range of 0.95 leading to 0.95 lagging, measured at the Point of Interconnection as defined in this LGIA, if </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the</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Cluster Study shows that such a requirement is necessary to ensure safety or reliability.  The power factor range standard can be met by using, for example, power electronics designed to supply this level of reactive capability </w:t>
      </w:r>
      <w:r w:rsidRPr="0072600F" w:rsidR="00506C16">
        <w:rPr>
          <w:rFonts w:ascii="Times New Roman" w:hAnsi="Times New Roman" w:cs="Times New Roman"/>
          <w:sz w:val="26"/>
          <w:szCs w:val="26"/>
        </w:rPr>
        <w:t>[</w:t>
      </w:r>
      <w:r w:rsidRPr="0072600F">
        <w:rPr>
          <w:rFonts w:ascii="Times New Roman" w:hAnsi="Times New Roman" w:cs="Times New Roman"/>
          <w:sz w:val="26"/>
          <w:szCs w:val="26"/>
        </w:rPr>
        <w:t>606</w:t>
      </w:r>
      <w:r w:rsidRPr="0072600F" w:rsidR="00506C16">
        <w:rPr>
          <w:rFonts w:ascii="Times New Roman" w:hAnsi="Times New Roman" w:cs="Times New Roman"/>
          <w:sz w:val="26"/>
          <w:szCs w:val="26"/>
        </w:rPr>
        <w:t>]</w:t>
      </w:r>
      <w:r w:rsidRPr="0072600F">
        <w:rPr>
          <w:rFonts w:ascii="Times New Roman" w:hAnsi="Times New Roman" w:cs="Times New Roman"/>
          <w:sz w:val="26"/>
          <w:szCs w:val="26"/>
        </w:rPr>
        <w:t xml:space="preserve"> (taking into account any limitations due to voltage level, real power output, etc.) or fixed and switched capacitors if agreed to by </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the</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a combination of the two.</w:t>
      </w:r>
      <w:r w:rsidRPr="0072600F">
        <w:rPr>
          <w:rFonts w:ascii="Times New Roman" w:hAnsi="Times New Roman" w:cs="Times New Roman"/>
          <w:b/>
          <w:sz w:val="26"/>
          <w:szCs w:val="26"/>
        </w:rPr>
        <w:t xml:space="preserve">  </w:t>
      </w:r>
      <w:r w:rsidRPr="0072600F" w:rsidR="00991171">
        <w:rPr>
          <w:rFonts w:ascii="Times New Roman" w:hAnsi="Times New Roman" w:cs="Times New Roman"/>
          <w:b/>
          <w:sz w:val="26"/>
          <w:szCs w:val="26"/>
        </w:rPr>
        <w:t>[</w:t>
      </w:r>
      <w:r w:rsidRPr="0072600F">
        <w:rPr>
          <w:rFonts w:ascii="Times New Roman" w:hAnsi="Times New Roman" w:cs="Times New Roman"/>
          <w:sz w:val="26"/>
          <w:szCs w:val="26"/>
        </w:rPr>
        <w:t>The</w:t>
      </w:r>
      <w:r w:rsidRPr="0072600F" w:rsidR="0099117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not disable power factor equipment while the wind plant is in operation.  Wind plants shall also be able to provide sufficient dynamic voltage support in lieu of the power system stabilizer and automatic voltage regulation at the generator excitation system if the </w:t>
      </w:r>
      <w:r w:rsidRPr="0072600F" w:rsidR="00F236D9">
        <w:rPr>
          <w:rFonts w:ascii="Times New Roman" w:hAnsi="Times New Roman" w:cs="Times New Roman"/>
          <w:sz w:val="26"/>
          <w:szCs w:val="26"/>
        </w:rPr>
        <w:t>[</w:t>
      </w:r>
      <w:r w:rsidRPr="0072600F">
        <w:rPr>
          <w:rFonts w:ascii="Times New Roman" w:hAnsi="Times New Roman" w:cs="Times New Roman"/>
          <w:sz w:val="26"/>
          <w:szCs w:val="26"/>
        </w:rPr>
        <w:t>System Impact</w:t>
      </w:r>
      <w:r w:rsidRPr="0072600F" w:rsidR="00F236D9">
        <w:rPr>
          <w:rFonts w:ascii="Times New Roman" w:hAnsi="Times New Roman" w:cs="Times New Roman"/>
          <w:sz w:val="26"/>
          <w:szCs w:val="26"/>
        </w:rPr>
        <w:t xml:space="preserve">] </w:t>
      </w:r>
      <w:r w:rsidRPr="0072600F" w:rsidR="00F236D9">
        <w:rPr>
          <w:rFonts w:ascii="Times New Roman" w:hAnsi="Times New Roman" w:cs="Times New Roman"/>
          <w:i/>
          <w:iCs/>
          <w:sz w:val="26"/>
          <w:szCs w:val="26"/>
        </w:rPr>
        <w:t>Cluster</w:t>
      </w:r>
      <w:r w:rsidRPr="0072600F">
        <w:rPr>
          <w:rFonts w:ascii="Times New Roman" w:hAnsi="Times New Roman" w:cs="Times New Roman"/>
          <w:sz w:val="26"/>
          <w:szCs w:val="26"/>
        </w:rPr>
        <w:t xml:space="preserve"> Study shows this to be required for system safety or reliability.</w:t>
      </w:r>
    </w:p>
    <w:p w:rsidR="00F3594B" w:rsidRPr="0072600F" w:rsidP="0023472B" w14:paraId="3865C610" w14:textId="77777777">
      <w:pPr>
        <w:numPr>
          <w:ilvl w:val="2"/>
          <w:numId w:val="0"/>
        </w:numPr>
        <w:tabs>
          <w:tab w:val="num" w:pos="1430"/>
        </w:tabs>
        <w:spacing w:line="480" w:lineRule="auto"/>
        <w:ind w:right="-130"/>
        <w:rPr>
          <w:rFonts w:ascii="Times New Roman" w:hAnsi="Times New Roman" w:cs="Times New Roman"/>
          <w:b/>
          <w:sz w:val="26"/>
          <w:szCs w:val="26"/>
        </w:rPr>
      </w:pPr>
      <w:r w:rsidRPr="0072600F">
        <w:rPr>
          <w:rFonts w:ascii="Times New Roman" w:hAnsi="Times New Roman" w:cs="Times New Roman"/>
          <w:b/>
          <w:sz w:val="26"/>
          <w:szCs w:val="26"/>
        </w:rPr>
        <w:tab/>
        <w:t>iii.</w:t>
      </w:r>
      <w:r w:rsidRPr="0072600F">
        <w:rPr>
          <w:rFonts w:ascii="Times New Roman" w:hAnsi="Times New Roman" w:cs="Times New Roman"/>
          <w:b/>
          <w:sz w:val="26"/>
          <w:szCs w:val="26"/>
        </w:rPr>
        <w:tab/>
      </w:r>
      <w:r w:rsidRPr="0072600F">
        <w:rPr>
          <w:rFonts w:ascii="Times New Roman" w:hAnsi="Times New Roman" w:cs="Times New Roman"/>
          <w:b/>
          <w:sz w:val="26"/>
          <w:szCs w:val="26"/>
          <w:u w:val="single"/>
        </w:rPr>
        <w:t>Supervisory Control and Data Acquisition (SCADA) Capability</w:t>
      </w:r>
      <w:r w:rsidRPr="0072600F">
        <w:rPr>
          <w:rFonts w:ascii="Times New Roman" w:hAnsi="Times New Roman" w:cs="Times New Roman"/>
          <w:b/>
          <w:sz w:val="26"/>
          <w:szCs w:val="26"/>
        </w:rPr>
        <w:t xml:space="preserve">   </w:t>
      </w:r>
    </w:p>
    <w:p w:rsidR="00F3594B" w:rsidRPr="0072600F" w14:paraId="336C2E54" w14:textId="77777777">
      <w:pPr>
        <w:widowControl w:val="0"/>
        <w:spacing w:line="480" w:lineRule="auto"/>
        <w:ind w:firstLine="720"/>
        <w:rPr>
          <w:rFonts w:ascii="Times New Roman" w:hAnsi="Times New Roman" w:cs="Times New Roman"/>
          <w:sz w:val="26"/>
          <w:szCs w:val="26"/>
        </w:rPr>
      </w:pPr>
      <w:r w:rsidRPr="0072600F">
        <w:rPr>
          <w:rFonts w:ascii="Times New Roman" w:hAnsi="Times New Roman" w:cs="Times New Roman"/>
          <w:sz w:val="26"/>
          <w:szCs w:val="26"/>
        </w:rPr>
        <w:t xml:space="preserve">The wind plant shall provide SCADA capability to transmit data and receive instructions from </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the</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to protect system reliability.  </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The</w:t>
      </w:r>
      <w:r w:rsidRPr="0072600F" w:rsidR="00A57CF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the wind plant Interconnection Customer shall determine what SCADA information is essential for the proposed wind plant, taking into account the size of the plant and its characteristics, location, and importance in maintaining generation resource adequacy and transmission system reliability in its area.  </w:t>
      </w:r>
    </w:p>
    <w:p w:rsidR="00F3594B" w:rsidRPr="0072600F" w14:paraId="583A102D"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F3594B" w:rsidRPr="0072600F" w14:paraId="468B6903" w14:textId="77777777">
      <w:pPr>
        <w:widowControl w:val="0"/>
        <w:spacing w:line="480" w:lineRule="auto"/>
        <w:jc w:val="center"/>
        <w:rPr>
          <w:rFonts w:ascii="Times New Roman" w:hAnsi="Times New Roman" w:cs="Times New Roman"/>
          <w:b/>
          <w:sz w:val="26"/>
          <w:szCs w:val="26"/>
        </w:rPr>
      </w:pPr>
      <w:r w:rsidRPr="0072600F">
        <w:rPr>
          <w:rFonts w:ascii="Times New Roman" w:hAnsi="Times New Roman" w:cs="Times New Roman"/>
          <w:b/>
          <w:sz w:val="26"/>
          <w:szCs w:val="26"/>
        </w:rPr>
        <w:t>Appendix H to LGIA</w:t>
      </w:r>
    </w:p>
    <w:p w:rsidR="00F3594B" w:rsidRPr="0072600F" w14:paraId="6D4869AF" w14:textId="77777777">
      <w:pPr>
        <w:widowControl w:val="0"/>
        <w:spacing w:line="480" w:lineRule="auto"/>
        <w:jc w:val="center"/>
        <w:rPr>
          <w:rFonts w:ascii="Times New Roman" w:hAnsi="Times New Roman" w:cs="Times New Roman"/>
          <w:b/>
          <w:sz w:val="26"/>
          <w:szCs w:val="26"/>
        </w:rPr>
      </w:pPr>
      <w:r w:rsidRPr="0072600F">
        <w:rPr>
          <w:rFonts w:ascii="Times New Roman" w:hAnsi="Times New Roman" w:cs="Times New Roman"/>
          <w:b/>
          <w:sz w:val="26"/>
          <w:szCs w:val="26"/>
        </w:rPr>
        <w:t>Operating Assumptions for Generating Facility</w:t>
      </w:r>
    </w:p>
    <w:p w:rsidR="00F3594B" w:rsidRPr="0072600F" w14:paraId="0E0B575D" w14:textId="77777777">
      <w:pPr>
        <w:rPr>
          <w:rFonts w:ascii="Times New Roman" w:hAnsi="Times New Roman" w:cs="Times New Roman"/>
          <w:sz w:val="26"/>
          <w:szCs w:val="26"/>
        </w:rPr>
      </w:pPr>
      <w:r w:rsidRPr="0072600F">
        <w:rPr>
          <w:rFonts w:ascii="Times New Roman" w:hAnsi="Times New Roman" w:cs="Times New Roman"/>
          <w:sz w:val="26"/>
          <w:szCs w:val="26"/>
        </w:rPr>
        <w:t>Check box if applicable</w:t>
      </w:r>
      <w:r w:rsidRPr="0072600F">
        <w:rPr>
          <w:rFonts w:ascii="Times New Roman" w:hAnsi="Times New Roman" w:cs="Times New Roman"/>
          <w:sz w:val="26"/>
          <w:szCs w:val="26"/>
        </w:rPr>
        <w:tab/>
      </w:r>
      <w:r w:rsidRPr="0072600F" w:rsidR="0042166D">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42166D">
        <w:rPr>
          <w:rFonts w:ascii="Times New Roman" w:hAnsi="Times New Roman" w:cs="Times New Roman"/>
          <w:sz w:val="26"/>
          <w:szCs w:val="26"/>
        </w:rPr>
        <w:t>}</w:t>
      </w:r>
    </w:p>
    <w:p w:rsidR="00F3594B" w:rsidRPr="0072600F" w14:paraId="642336C4" w14:textId="77777777">
      <w:pPr>
        <w:rPr>
          <w:rFonts w:ascii="Times New Roman" w:hAnsi="Times New Roman" w:cs="Times New Roman"/>
          <w:sz w:val="26"/>
          <w:szCs w:val="26"/>
        </w:rPr>
      </w:pPr>
    </w:p>
    <w:p w:rsidR="00F3594B" w:rsidRPr="0072600F" w14:paraId="35F8EEF2" w14:textId="77777777">
      <w:pPr>
        <w:rPr>
          <w:rFonts w:ascii="Times New Roman" w:hAnsi="Times New Roman" w:cs="Times New Roman"/>
          <w:b/>
          <w:bCs/>
          <w:sz w:val="26"/>
          <w:szCs w:val="26"/>
        </w:rPr>
      </w:pPr>
      <w:r w:rsidRPr="0072600F">
        <w:rPr>
          <w:rFonts w:ascii="Times New Roman" w:hAnsi="Times New Roman" w:cs="Times New Roman"/>
          <w:b/>
          <w:bCs/>
          <w:sz w:val="26"/>
          <w:szCs w:val="26"/>
        </w:rPr>
        <w:t xml:space="preserve">Operating Assumptions: </w:t>
      </w:r>
    </w:p>
    <w:p w:rsidR="00F3594B" w:rsidRPr="0072600F" w14:paraId="29F3896A" w14:textId="77777777">
      <w:pPr>
        <w:rPr>
          <w:rFonts w:ascii="Times New Roman" w:hAnsi="Times New Roman" w:cs="Times New Roman"/>
          <w:sz w:val="26"/>
          <w:szCs w:val="26"/>
        </w:rPr>
      </w:pPr>
    </w:p>
    <w:p w:rsidR="00F3594B" w:rsidRPr="0072600F" w14:paraId="7EEB76A1" w14:textId="77777777">
      <w:pPr>
        <w:widowControl w:val="0"/>
        <w:spacing w:line="480" w:lineRule="auto"/>
        <w:rPr>
          <w:rFonts w:ascii="Times New Roman" w:hAnsi="Times New Roman" w:cs="Times New Roman"/>
          <w:b/>
          <w:bCs/>
          <w:sz w:val="26"/>
          <w:szCs w:val="26"/>
        </w:rPr>
      </w:pPr>
      <w:r w:rsidRPr="0072600F">
        <w:rPr>
          <w:rFonts w:ascii="Times New Roman" w:hAnsi="Times New Roman" w:cs="Times New Roman"/>
          <w:b/>
          <w:bCs/>
          <w:sz w:val="26"/>
          <w:szCs w:val="26"/>
        </w:rPr>
        <w:t>{</w:t>
      </w:r>
      <w:r w:rsidRPr="0072600F">
        <w:rPr>
          <w:rFonts w:ascii="Times New Roman" w:hAnsi="Times New Roman" w:cs="Times New Roman"/>
          <w:b/>
          <w:bCs/>
          <w:sz w:val="26"/>
          <w:szCs w:val="26"/>
        </w:rPr>
        <w:t>insert operating assumptions that reflect the charging behavior of the Generating Facility that includes at least one electric storage resource</w:t>
      </w:r>
      <w:r w:rsidRPr="0072600F">
        <w:rPr>
          <w:rFonts w:ascii="Times New Roman" w:hAnsi="Times New Roman" w:cs="Times New Roman"/>
          <w:b/>
          <w:bCs/>
          <w:sz w:val="26"/>
          <w:szCs w:val="26"/>
        </w:rPr>
        <w:t>}</w:t>
      </w:r>
    </w:p>
    <w:p w:rsidR="00F3594B" w:rsidRPr="0072600F" w14:paraId="2A32F780"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F3594B" w:rsidRPr="0072600F" w:rsidP="00F3594B" w14:paraId="004DAA78" w14:textId="77777777">
      <w:pPr>
        <w:pStyle w:val="Heading1"/>
        <w:rPr>
          <w:rFonts w:eastAsia="Calibri"/>
          <w:sz w:val="26"/>
          <w:szCs w:val="26"/>
        </w:rPr>
      </w:pPr>
      <w:r w:rsidRPr="0072600F">
        <w:rPr>
          <w:rFonts w:eastAsia="Calibri"/>
          <w:sz w:val="26"/>
          <w:szCs w:val="26"/>
        </w:rPr>
        <w:t xml:space="preserve">Appendix </w:t>
      </w:r>
      <w:r w:rsidRPr="0072600F" w:rsidR="00503D78">
        <w:rPr>
          <w:rFonts w:eastAsia="Calibri"/>
          <w:sz w:val="26"/>
          <w:szCs w:val="26"/>
        </w:rPr>
        <w:t>E</w:t>
      </w:r>
      <w:r w:rsidRPr="0072600F">
        <w:rPr>
          <w:rFonts w:eastAsia="Calibri"/>
          <w:sz w:val="26"/>
          <w:szCs w:val="26"/>
        </w:rPr>
        <w:t xml:space="preserve">:  Changes to </w:t>
      </w:r>
      <w:r w:rsidRPr="0072600F">
        <w:rPr>
          <w:rFonts w:eastAsia="Calibri"/>
          <w:i/>
          <w:iCs/>
          <w:sz w:val="26"/>
          <w:szCs w:val="26"/>
        </w:rPr>
        <w:t>pro forma</w:t>
      </w:r>
      <w:r w:rsidRPr="0072600F">
        <w:rPr>
          <w:rFonts w:eastAsia="Calibri"/>
          <w:sz w:val="26"/>
          <w:szCs w:val="26"/>
        </w:rPr>
        <w:t xml:space="preserve"> SGIP</w:t>
      </w:r>
    </w:p>
    <w:p w:rsidR="00911580" w:rsidRPr="0072600F" w14:paraId="3E915D37" w14:textId="77777777">
      <w:pPr>
        <w:jc w:val="center"/>
        <w:rPr>
          <w:rFonts w:ascii="Times New Roman" w:eastAsia="Calibri" w:hAnsi="Times New Roman" w:cs="Times New Roman"/>
          <w:i/>
          <w:iCs/>
          <w:sz w:val="26"/>
          <w:szCs w:val="26"/>
        </w:rPr>
      </w:pPr>
    </w:p>
    <w:p w:rsidR="00911580" w:rsidRPr="0072600F" w:rsidP="00F3594B" w14:paraId="69B1D37B" w14:textId="77777777">
      <w:pPr>
        <w:rPr>
          <w:rFonts w:ascii="Times New Roman" w:eastAsia="Calibri" w:hAnsi="Times New Roman" w:cs="Times New Roman"/>
          <w:b/>
          <w:bCs/>
          <w:i/>
          <w:iCs/>
          <w:sz w:val="26"/>
          <w:szCs w:val="26"/>
        </w:rPr>
      </w:pPr>
    </w:p>
    <w:p w:rsidR="00F3594B" w:rsidRPr="0072600F" w14:paraId="660B0F5D" w14:textId="77777777">
      <w:pPr>
        <w:tabs>
          <w:tab w:val="center" w:pos="4680"/>
          <w:tab w:val="right" w:pos="9360"/>
        </w:tabs>
        <w:jc w:val="center"/>
        <w:rPr>
          <w:rFonts w:ascii="Times New Roman" w:hAnsi="Times New Roman" w:cs="Times New Roman"/>
          <w:b/>
          <w:sz w:val="26"/>
          <w:szCs w:val="26"/>
        </w:rPr>
      </w:pPr>
    </w:p>
    <w:p w:rsidR="00F3594B" w:rsidRPr="0072600F" w14:paraId="51596263" w14:textId="77777777">
      <w:pPr>
        <w:tabs>
          <w:tab w:val="center" w:pos="4680"/>
          <w:tab w:val="right" w:pos="9360"/>
        </w:tabs>
        <w:jc w:val="center"/>
        <w:rPr>
          <w:rFonts w:ascii="Times New Roman" w:hAnsi="Times New Roman" w:cs="Times New Roman"/>
          <w:b/>
          <w:sz w:val="26"/>
          <w:szCs w:val="26"/>
        </w:rPr>
      </w:pPr>
    </w:p>
    <w:p w:rsidR="00F3594B" w:rsidRPr="0072600F" w14:paraId="6D20569D" w14:textId="77777777">
      <w:pPr>
        <w:tabs>
          <w:tab w:val="center" w:pos="4680"/>
          <w:tab w:val="right" w:pos="9360"/>
        </w:tabs>
        <w:jc w:val="center"/>
        <w:rPr>
          <w:rFonts w:ascii="Times New Roman" w:hAnsi="Times New Roman" w:cs="Times New Roman"/>
          <w:b/>
          <w:sz w:val="26"/>
          <w:szCs w:val="26"/>
        </w:rPr>
      </w:pPr>
    </w:p>
    <w:p w:rsidR="00F3594B" w:rsidRPr="0072600F" w14:paraId="0CA7BF66" w14:textId="77777777">
      <w:pPr>
        <w:tabs>
          <w:tab w:val="center" w:pos="4680"/>
          <w:tab w:val="right" w:pos="9360"/>
        </w:tabs>
        <w:jc w:val="center"/>
        <w:rPr>
          <w:rFonts w:ascii="Times New Roman" w:hAnsi="Times New Roman" w:cs="Times New Roman"/>
          <w:b/>
          <w:sz w:val="26"/>
          <w:szCs w:val="26"/>
        </w:rPr>
      </w:pPr>
    </w:p>
    <w:p w:rsidR="00F3594B" w:rsidRPr="0072600F" w14:paraId="1A6650FF" w14:textId="77777777">
      <w:pPr>
        <w:tabs>
          <w:tab w:val="center" w:pos="4680"/>
          <w:tab w:val="right" w:pos="9360"/>
        </w:tabs>
        <w:jc w:val="center"/>
        <w:rPr>
          <w:rFonts w:ascii="Times New Roman" w:hAnsi="Times New Roman" w:cs="Times New Roman"/>
          <w:b/>
          <w:sz w:val="26"/>
          <w:szCs w:val="26"/>
        </w:rPr>
      </w:pPr>
    </w:p>
    <w:p w:rsidR="00F3594B" w:rsidRPr="0072600F" w14:paraId="623E0F2A" w14:textId="77777777">
      <w:pPr>
        <w:tabs>
          <w:tab w:val="center" w:pos="4680"/>
          <w:tab w:val="right" w:pos="9360"/>
        </w:tabs>
        <w:jc w:val="center"/>
        <w:rPr>
          <w:rFonts w:ascii="Times New Roman" w:hAnsi="Times New Roman" w:cs="Times New Roman"/>
          <w:b/>
          <w:sz w:val="26"/>
          <w:szCs w:val="26"/>
        </w:rPr>
      </w:pPr>
    </w:p>
    <w:p w:rsidR="00F3594B" w:rsidRPr="0072600F" w14:paraId="01D8B7DF" w14:textId="77777777">
      <w:pPr>
        <w:tabs>
          <w:tab w:val="center" w:pos="4680"/>
          <w:tab w:val="right" w:pos="9360"/>
        </w:tabs>
        <w:jc w:val="center"/>
        <w:rPr>
          <w:rFonts w:ascii="Times New Roman" w:hAnsi="Times New Roman" w:cs="Times New Roman"/>
          <w:b/>
          <w:sz w:val="26"/>
          <w:szCs w:val="26"/>
        </w:rPr>
      </w:pPr>
    </w:p>
    <w:p w:rsidR="00F3594B" w:rsidRPr="0072600F" w14:paraId="721291EB" w14:textId="77777777">
      <w:pPr>
        <w:tabs>
          <w:tab w:val="center" w:pos="4680"/>
          <w:tab w:val="right" w:pos="9360"/>
        </w:tabs>
        <w:jc w:val="center"/>
        <w:rPr>
          <w:rFonts w:ascii="Times New Roman" w:hAnsi="Times New Roman" w:cs="Times New Roman"/>
          <w:b/>
          <w:sz w:val="26"/>
          <w:szCs w:val="26"/>
        </w:rPr>
      </w:pPr>
    </w:p>
    <w:p w:rsidR="00F3594B" w:rsidRPr="0072600F" w14:paraId="4D74CF25" w14:textId="77777777">
      <w:pPr>
        <w:tabs>
          <w:tab w:val="center" w:pos="4680"/>
          <w:tab w:val="right" w:pos="9360"/>
        </w:tabs>
        <w:jc w:val="center"/>
        <w:rPr>
          <w:rFonts w:ascii="Times New Roman" w:hAnsi="Times New Roman" w:cs="Times New Roman"/>
          <w:b/>
          <w:sz w:val="26"/>
          <w:szCs w:val="26"/>
        </w:rPr>
      </w:pPr>
      <w:r w:rsidRPr="0072600F">
        <w:rPr>
          <w:rFonts w:ascii="Times New Roman" w:hAnsi="Times New Roman" w:cs="Times New Roman"/>
          <w:b/>
          <w:sz w:val="26"/>
          <w:szCs w:val="26"/>
        </w:rPr>
        <w:t>Small Generator Interconnection Procedures (SGIP)</w:t>
      </w:r>
    </w:p>
    <w:p w:rsidR="00F3594B" w:rsidRPr="0072600F" w14:paraId="153BA911" w14:textId="77777777">
      <w:pPr>
        <w:tabs>
          <w:tab w:val="center" w:pos="4680"/>
          <w:tab w:val="right" w:pos="9360"/>
        </w:tabs>
        <w:jc w:val="center"/>
        <w:rPr>
          <w:rFonts w:ascii="Times New Roman" w:hAnsi="Times New Roman" w:cs="Times New Roman"/>
          <w:b/>
          <w:sz w:val="26"/>
          <w:szCs w:val="26"/>
        </w:rPr>
      </w:pPr>
    </w:p>
    <w:p w:rsidR="00F3594B" w:rsidRPr="0072600F" w14:paraId="2CD1B6DC" w14:textId="77777777">
      <w:pPr>
        <w:tabs>
          <w:tab w:val="center" w:pos="4680"/>
          <w:tab w:val="right" w:pos="9360"/>
        </w:tabs>
        <w:jc w:val="center"/>
        <w:rPr>
          <w:rFonts w:ascii="Times New Roman" w:hAnsi="Times New Roman" w:cs="Times New Roman"/>
          <w:b/>
          <w:sz w:val="26"/>
          <w:szCs w:val="26"/>
        </w:rPr>
      </w:pPr>
      <w:r w:rsidRPr="0072600F">
        <w:rPr>
          <w:rFonts w:ascii="Times New Roman" w:hAnsi="Times New Roman" w:cs="Times New Roman"/>
          <w:b/>
          <w:sz w:val="26"/>
          <w:szCs w:val="26"/>
        </w:rPr>
        <w:t>(For Generating Facilities No Larger Than 20 MW)</w:t>
      </w:r>
    </w:p>
    <w:p w:rsidR="00F3594B" w:rsidRPr="0072600F" w14:paraId="0460ECEB" w14:textId="77777777">
      <w:pPr>
        <w:spacing w:after="200" w:line="276" w:lineRule="auto"/>
        <w:rPr>
          <w:rFonts w:ascii="Times New Roman" w:hAnsi="Times New Roman" w:cs="Times New Roman"/>
          <w:b/>
          <w:bCs/>
          <w:sz w:val="26"/>
          <w:szCs w:val="26"/>
        </w:rPr>
      </w:pPr>
    </w:p>
    <w:p w:rsidR="00F3594B" w:rsidRPr="0072600F" w14:paraId="156DA26E" w14:textId="77777777">
      <w:pPr>
        <w:spacing w:after="200" w:line="276" w:lineRule="auto"/>
        <w:rPr>
          <w:rFonts w:ascii="Times New Roman" w:hAnsi="Times New Roman" w:cs="Times New Roman"/>
          <w:b/>
          <w:bCs/>
          <w:sz w:val="26"/>
          <w:szCs w:val="26"/>
        </w:rPr>
      </w:pPr>
    </w:p>
    <w:p w:rsidR="00F3594B" w:rsidRPr="0072600F" w14:paraId="29FD0C23" w14:textId="77777777">
      <w:pPr>
        <w:spacing w:after="200" w:line="276" w:lineRule="auto"/>
        <w:rPr>
          <w:rFonts w:ascii="Times New Roman" w:hAnsi="Times New Roman" w:cs="Times New Roman"/>
          <w:b/>
          <w:bCs/>
          <w:sz w:val="26"/>
          <w:szCs w:val="26"/>
        </w:rPr>
      </w:pPr>
    </w:p>
    <w:p w:rsidR="00F3594B" w:rsidRPr="0072600F" w14:paraId="6BC75AB4" w14:textId="77777777">
      <w:pPr>
        <w:spacing w:after="200" w:line="276" w:lineRule="auto"/>
        <w:rPr>
          <w:rFonts w:ascii="Times New Roman" w:hAnsi="Times New Roman" w:cs="Times New Roman"/>
          <w:b/>
          <w:bCs/>
          <w:sz w:val="26"/>
          <w:szCs w:val="26"/>
        </w:rPr>
      </w:pPr>
    </w:p>
    <w:p w:rsidR="00F3594B" w:rsidRPr="0072600F" w14:paraId="59EF89E0" w14:textId="77777777">
      <w:pPr>
        <w:spacing w:after="200" w:line="276" w:lineRule="auto"/>
        <w:rPr>
          <w:rFonts w:ascii="Times New Roman" w:hAnsi="Times New Roman" w:cs="Times New Roman"/>
          <w:b/>
          <w:bCs/>
          <w:sz w:val="26"/>
          <w:szCs w:val="26"/>
        </w:rPr>
      </w:pPr>
    </w:p>
    <w:p w:rsidR="00F3594B" w:rsidRPr="0072600F" w14:paraId="55893229" w14:textId="77777777">
      <w:pPr>
        <w:rPr>
          <w:rFonts w:ascii="Times New Roman" w:hAnsi="Times New Roman" w:cs="Times New Roman"/>
          <w:b/>
          <w:sz w:val="26"/>
          <w:szCs w:val="26"/>
        </w:rPr>
      </w:pPr>
    </w:p>
    <w:p w:rsidR="00F3594B" w:rsidRPr="0072600F" w14:paraId="0B563C4B" w14:textId="77777777">
      <w:pPr>
        <w:rPr>
          <w:rFonts w:ascii="Times New Roman" w:hAnsi="Times New Roman" w:cs="Times New Roman"/>
          <w:sz w:val="26"/>
          <w:szCs w:val="26"/>
        </w:rPr>
      </w:pPr>
      <w:r w:rsidRPr="0072600F">
        <w:rPr>
          <w:rFonts w:ascii="Times New Roman" w:hAnsi="Times New Roman" w:cs="Times New Roman"/>
          <w:sz w:val="26"/>
          <w:szCs w:val="26"/>
        </w:rPr>
        <w:t xml:space="preserve">    </w:t>
      </w:r>
    </w:p>
    <w:p w:rsidR="00F3594B" w:rsidRPr="0072600F" w14:paraId="0653C438" w14:textId="77777777">
      <w:pPr>
        <w:spacing w:after="200" w:line="276" w:lineRule="auto"/>
        <w:rPr>
          <w:rFonts w:ascii="Times New Roman" w:hAnsi="Times New Roman" w:cs="Times New Roman"/>
          <w:b/>
          <w:bCs/>
          <w:sz w:val="26"/>
          <w:szCs w:val="26"/>
        </w:rPr>
        <w:sectPr>
          <w:headerReference w:type="even" r:id="rId47"/>
          <w:headerReference w:type="default" r:id="rId48"/>
          <w:footerReference w:type="even" r:id="rId49"/>
          <w:footerReference w:type="default" r:id="rId50"/>
          <w:headerReference w:type="first" r:id="rId51"/>
          <w:footerReference w:type="first" r:id="rId52"/>
          <w:type w:val="continuous"/>
          <w:pgSz w:w="12240" w:h="15840"/>
          <w:pgMar w:top="1440" w:right="1440" w:bottom="1440" w:left="1440" w:header="720" w:footer="720" w:gutter="0"/>
          <w:pgNumType w:start="1"/>
          <w:cols w:space="720"/>
          <w:docGrid w:linePitch="360"/>
        </w:sectPr>
      </w:pPr>
    </w:p>
    <w:p w:rsidR="00F3594B" w:rsidRPr="0072600F" w14:paraId="569B49F2" w14:textId="77777777">
      <w:pPr>
        <w:spacing w:line="276" w:lineRule="auto"/>
        <w:jc w:val="center"/>
        <w:rPr>
          <w:rFonts w:ascii="Times New Roman" w:hAnsi="Times New Roman" w:cs="Times New Roman"/>
          <w:b/>
          <w:bCs/>
          <w:sz w:val="26"/>
          <w:szCs w:val="26"/>
        </w:rPr>
      </w:pPr>
      <w:r w:rsidRPr="0072600F">
        <w:rPr>
          <w:rFonts w:ascii="Times New Roman" w:hAnsi="Times New Roman" w:cs="Times New Roman"/>
          <w:b/>
          <w:bCs/>
          <w:sz w:val="26"/>
          <w:szCs w:val="26"/>
        </w:rPr>
        <w:t>TABLE OF CONTENTS</w:t>
      </w:r>
    </w:p>
    <w:p w:rsidR="00F3594B" w:rsidRPr="0072600F" w14:paraId="1E70AC32" w14:textId="77777777">
      <w:pPr>
        <w:spacing w:line="276" w:lineRule="auto"/>
        <w:jc w:val="right"/>
        <w:rPr>
          <w:rFonts w:ascii="Times New Roman" w:hAnsi="Times New Roman" w:cs="Times New Roman"/>
          <w:bCs/>
          <w:sz w:val="26"/>
          <w:szCs w:val="26"/>
        </w:rPr>
      </w:pPr>
      <w:r w:rsidRPr="0072600F">
        <w:rPr>
          <w:rFonts w:ascii="Times New Roman" w:hAnsi="Times New Roman" w:cs="Times New Roman"/>
          <w:bCs/>
          <w:sz w:val="26"/>
          <w:szCs w:val="26"/>
        </w:rPr>
        <w:t>Page No.</w:t>
      </w:r>
    </w:p>
    <w:p w:rsidR="00F3594B" w:rsidRPr="0072600F" w14:paraId="638AC77D" w14:textId="77777777">
      <w:pPr>
        <w:tabs>
          <w:tab w:val="right" w:leader="dot" w:pos="9350"/>
        </w:tabs>
        <w:spacing w:after="100" w:line="276" w:lineRule="auto"/>
        <w:rPr>
          <w:rFonts w:ascii="Times New Roman" w:hAnsi="Times New Roman" w:cs="Times New Roman"/>
          <w:noProof/>
          <w:sz w:val="26"/>
          <w:szCs w:val="26"/>
        </w:rPr>
      </w:pPr>
      <w:r w:rsidRPr="0072600F">
        <w:rPr>
          <w:rFonts w:ascii="Times New Roman" w:eastAsia="Calibri" w:hAnsi="Times New Roman" w:cs="Times New Roman"/>
          <w:b/>
          <w:noProof/>
          <w:sz w:val="26"/>
          <w:szCs w:val="26"/>
        </w:rPr>
        <w:fldChar w:fldCharType="begin"/>
      </w:r>
      <w:r w:rsidRPr="0072600F">
        <w:rPr>
          <w:rFonts w:ascii="Times New Roman" w:eastAsia="Calibri" w:hAnsi="Times New Roman" w:cs="Times New Roman"/>
          <w:b/>
          <w:noProof/>
          <w:sz w:val="26"/>
          <w:szCs w:val="26"/>
        </w:rPr>
        <w:instrText xml:space="preserve"> TOC \o "1-3" \h \z </w:instrText>
      </w:r>
      <w:r w:rsidRPr="0072600F">
        <w:rPr>
          <w:rFonts w:ascii="Times New Roman" w:eastAsia="Calibri" w:hAnsi="Times New Roman" w:cs="Times New Roman"/>
          <w:b/>
          <w:noProof/>
          <w:sz w:val="26"/>
          <w:szCs w:val="26"/>
        </w:rPr>
        <w:fldChar w:fldCharType="separate"/>
      </w:r>
      <w:hyperlink w:anchor="_Toc371514226" w:history="1">
        <w:r w:rsidRPr="0072600F">
          <w:rPr>
            <w:rFonts w:ascii="Times New Roman" w:eastAsia="Calibri" w:hAnsi="Times New Roman" w:cs="Times New Roman"/>
            <w:b/>
            <w:noProof/>
            <w:sz w:val="26"/>
            <w:szCs w:val="26"/>
          </w:rPr>
          <w:t>Section 1.  Application</w:t>
        </w:r>
        <w:r w:rsidRPr="0072600F">
          <w:rPr>
            <w:rFonts w:ascii="Times New Roman" w:eastAsia="Calibri" w:hAnsi="Times New Roman" w:cs="Times New Roman"/>
            <w:b/>
            <w:noProof/>
            <w:webHidden/>
            <w:sz w:val="26"/>
            <w:szCs w:val="26"/>
          </w:rPr>
          <w:tab/>
        </w:r>
        <w:r w:rsidRPr="0072600F">
          <w:rPr>
            <w:rFonts w:ascii="Times New Roman" w:eastAsia="Calibri" w:hAnsi="Times New Roman" w:cs="Times New Roman"/>
            <w:b/>
            <w:noProof/>
            <w:webHidden/>
            <w:sz w:val="26"/>
            <w:szCs w:val="26"/>
          </w:rPr>
          <w:fldChar w:fldCharType="begin"/>
        </w:r>
        <w:r w:rsidRPr="0072600F">
          <w:rPr>
            <w:rFonts w:ascii="Times New Roman" w:eastAsia="Calibri" w:hAnsi="Times New Roman" w:cs="Times New Roman"/>
            <w:b/>
            <w:noProof/>
            <w:webHidden/>
            <w:sz w:val="26"/>
            <w:szCs w:val="26"/>
          </w:rPr>
          <w:instrText xml:space="preserve"> PAGEREF _Toc371514226 \h </w:instrText>
        </w:r>
        <w:r w:rsidRPr="0072600F">
          <w:rPr>
            <w:rFonts w:ascii="Times New Roman" w:eastAsia="Calibri" w:hAnsi="Times New Roman" w:cs="Times New Roman"/>
            <w:b/>
            <w:noProof/>
            <w:webHidden/>
            <w:sz w:val="26"/>
            <w:szCs w:val="26"/>
          </w:rPr>
          <w:fldChar w:fldCharType="separate"/>
        </w:r>
        <w:r w:rsidR="00C46123">
          <w:rPr>
            <w:rFonts w:ascii="Times New Roman" w:eastAsia="Calibri" w:hAnsi="Times New Roman" w:cs="Times New Roman"/>
            <w:b/>
            <w:noProof/>
            <w:webHidden/>
            <w:sz w:val="26"/>
            <w:szCs w:val="26"/>
          </w:rPr>
          <w:t>1</w:t>
        </w:r>
        <w:r w:rsidRPr="0072600F">
          <w:rPr>
            <w:rFonts w:ascii="Times New Roman" w:eastAsia="Calibri" w:hAnsi="Times New Roman" w:cs="Times New Roman"/>
            <w:b/>
            <w:noProof/>
            <w:webHidden/>
            <w:sz w:val="26"/>
            <w:szCs w:val="26"/>
          </w:rPr>
          <w:fldChar w:fldCharType="end"/>
        </w:r>
      </w:hyperlink>
    </w:p>
    <w:p w:rsidR="00F3594B" w:rsidRPr="0072600F" w14:paraId="5E13F1A2" w14:textId="77777777">
      <w:pPr>
        <w:tabs>
          <w:tab w:val="right" w:leader="dot" w:pos="9350"/>
        </w:tabs>
        <w:spacing w:after="100" w:line="276" w:lineRule="auto"/>
        <w:ind w:left="220"/>
        <w:rPr>
          <w:rFonts w:ascii="Times New Roman" w:hAnsi="Times New Roman" w:cs="Times New Roman"/>
          <w:noProof/>
          <w:sz w:val="26"/>
          <w:szCs w:val="26"/>
        </w:rPr>
      </w:pPr>
      <w:hyperlink w:anchor="_Toc371514227" w:history="1">
        <w:r w:rsidRPr="0072600F">
          <w:rPr>
            <w:rFonts w:ascii="Times New Roman" w:eastAsia="Calibri" w:hAnsi="Times New Roman" w:cs="Times New Roman"/>
            <w:noProof/>
            <w:sz w:val="26"/>
            <w:szCs w:val="26"/>
          </w:rPr>
          <w:t>1.1     Applicability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_Toc371514227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w:t>
        </w:r>
        <w:r w:rsidRPr="0072600F">
          <w:rPr>
            <w:rFonts w:ascii="Times New Roman" w:eastAsia="Calibri" w:hAnsi="Times New Roman" w:cs="Times New Roman"/>
            <w:noProof/>
            <w:webHidden/>
            <w:sz w:val="26"/>
            <w:szCs w:val="26"/>
          </w:rPr>
          <w:fldChar w:fldCharType="end"/>
        </w:r>
      </w:hyperlink>
    </w:p>
    <w:p w:rsidR="00F3594B" w:rsidRPr="0072600F" w14:paraId="3E29AAEB"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28" w:history="1">
        <w:r w:rsidRPr="0072600F">
          <w:rPr>
            <w:rFonts w:ascii="Times New Roman" w:eastAsia="Calibri" w:hAnsi="Times New Roman" w:cs="Times New Roman"/>
            <w:noProof/>
            <w:sz w:val="26"/>
            <w:szCs w:val="26"/>
          </w:rPr>
          <w:t xml:space="preserve">1.2 </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Pre-Application</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_Toc371514228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w:t>
        </w:r>
        <w:r w:rsidRPr="0072600F">
          <w:rPr>
            <w:rFonts w:ascii="Times New Roman" w:eastAsia="Calibri" w:hAnsi="Times New Roman" w:cs="Times New Roman"/>
            <w:noProof/>
            <w:webHidden/>
            <w:sz w:val="26"/>
            <w:szCs w:val="26"/>
          </w:rPr>
          <w:fldChar w:fldCharType="end"/>
        </w:r>
      </w:hyperlink>
    </w:p>
    <w:p w:rsidR="00F3594B" w:rsidRPr="0072600F" w14:paraId="5F8ED5C2"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29" w:history="1">
        <w:r w:rsidRPr="0072600F">
          <w:rPr>
            <w:rFonts w:ascii="Times New Roman" w:eastAsia="Calibri" w:hAnsi="Times New Roman" w:cs="Times New Roman"/>
            <w:noProof/>
            <w:sz w:val="26"/>
            <w:szCs w:val="26"/>
          </w:rPr>
          <w:t>1.3</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Interconnection Request</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_Toc371514229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5</w:t>
        </w:r>
        <w:r w:rsidRPr="0072600F">
          <w:rPr>
            <w:rFonts w:ascii="Times New Roman" w:eastAsia="Calibri" w:hAnsi="Times New Roman" w:cs="Times New Roman"/>
            <w:noProof/>
            <w:webHidden/>
            <w:sz w:val="26"/>
            <w:szCs w:val="26"/>
          </w:rPr>
          <w:fldChar w:fldCharType="end"/>
        </w:r>
      </w:hyperlink>
    </w:p>
    <w:p w:rsidR="00F3594B" w:rsidRPr="0072600F" w14:paraId="05AB4BE5"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0" w:history="1">
        <w:r w:rsidRPr="0072600F">
          <w:rPr>
            <w:rFonts w:ascii="Times New Roman" w:eastAsia="Calibri" w:hAnsi="Times New Roman" w:cs="Times New Roman"/>
            <w:noProof/>
            <w:sz w:val="26"/>
            <w:szCs w:val="26"/>
          </w:rPr>
          <w:t>1.4</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Modification of the Interconnection Request</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_Toc371514230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6</w:t>
        </w:r>
        <w:r w:rsidRPr="0072600F">
          <w:rPr>
            <w:rFonts w:ascii="Times New Roman" w:eastAsia="Calibri" w:hAnsi="Times New Roman" w:cs="Times New Roman"/>
            <w:noProof/>
            <w:webHidden/>
            <w:sz w:val="26"/>
            <w:szCs w:val="26"/>
          </w:rPr>
          <w:fldChar w:fldCharType="end"/>
        </w:r>
      </w:hyperlink>
    </w:p>
    <w:p w:rsidR="00F3594B" w:rsidRPr="0072600F" w14:paraId="178B508F"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1" w:history="1">
        <w:r w:rsidRPr="0072600F">
          <w:rPr>
            <w:rFonts w:ascii="Times New Roman" w:eastAsia="Calibri" w:hAnsi="Times New Roman" w:cs="Times New Roman"/>
            <w:noProof/>
            <w:sz w:val="26"/>
            <w:szCs w:val="26"/>
          </w:rPr>
          <w:t>1.5</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Site Control</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_Toc371514231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6</w:t>
        </w:r>
        <w:r w:rsidRPr="0072600F">
          <w:rPr>
            <w:rFonts w:ascii="Times New Roman" w:eastAsia="Calibri" w:hAnsi="Times New Roman" w:cs="Times New Roman"/>
            <w:noProof/>
            <w:webHidden/>
            <w:sz w:val="26"/>
            <w:szCs w:val="26"/>
          </w:rPr>
          <w:fldChar w:fldCharType="end"/>
        </w:r>
      </w:hyperlink>
    </w:p>
    <w:p w:rsidR="00F3594B" w:rsidRPr="0072600F" w14:paraId="569E328C"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2" w:history="1">
        <w:r w:rsidRPr="0072600F">
          <w:rPr>
            <w:rFonts w:ascii="Times New Roman" w:eastAsia="Calibri" w:hAnsi="Times New Roman" w:cs="Times New Roman"/>
            <w:noProof/>
            <w:sz w:val="26"/>
            <w:szCs w:val="26"/>
          </w:rPr>
          <w:t>1.6</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Queue Position</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_Toc371514232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7</w:t>
        </w:r>
        <w:r w:rsidRPr="0072600F">
          <w:rPr>
            <w:rFonts w:ascii="Times New Roman" w:eastAsia="Calibri" w:hAnsi="Times New Roman" w:cs="Times New Roman"/>
            <w:noProof/>
            <w:webHidden/>
            <w:sz w:val="26"/>
            <w:szCs w:val="26"/>
          </w:rPr>
          <w:fldChar w:fldCharType="end"/>
        </w:r>
      </w:hyperlink>
    </w:p>
    <w:p w:rsidR="00F3594B" w:rsidRPr="0072600F" w14:paraId="0E061255"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3" w:history="1">
        <w:r w:rsidRPr="0072600F">
          <w:rPr>
            <w:rFonts w:ascii="Times New Roman" w:eastAsia="Calibri" w:hAnsi="Times New Roman" w:cs="Times New Roman"/>
            <w:noProof/>
            <w:sz w:val="26"/>
            <w:szCs w:val="26"/>
          </w:rPr>
          <w:t>1.7</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Interconnection Requests Submitted Prior to the Effective Date of the SGIP</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_Toc371514233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7</w:t>
        </w:r>
        <w:r w:rsidRPr="0072600F">
          <w:rPr>
            <w:rFonts w:ascii="Times New Roman" w:eastAsia="Calibri" w:hAnsi="Times New Roman" w:cs="Times New Roman"/>
            <w:noProof/>
            <w:webHidden/>
            <w:sz w:val="26"/>
            <w:szCs w:val="26"/>
          </w:rPr>
          <w:fldChar w:fldCharType="end"/>
        </w:r>
      </w:hyperlink>
    </w:p>
    <w:p w:rsidR="00F3594B" w:rsidRPr="0072600F" w14:paraId="19FA08D2" w14:textId="77777777">
      <w:pPr>
        <w:tabs>
          <w:tab w:val="right" w:leader="dot" w:pos="9350"/>
        </w:tabs>
        <w:spacing w:after="100" w:line="276" w:lineRule="auto"/>
        <w:rPr>
          <w:rFonts w:ascii="Times New Roman" w:hAnsi="Times New Roman" w:cs="Times New Roman"/>
          <w:noProof/>
          <w:sz w:val="26"/>
          <w:szCs w:val="26"/>
        </w:rPr>
      </w:pPr>
      <w:hyperlink w:anchor="_Toc371514234" w:history="1">
        <w:r w:rsidRPr="0072600F">
          <w:rPr>
            <w:rFonts w:ascii="Times New Roman" w:eastAsia="Calibri" w:hAnsi="Times New Roman" w:cs="Times New Roman"/>
            <w:b/>
            <w:noProof/>
            <w:sz w:val="26"/>
            <w:szCs w:val="26"/>
          </w:rPr>
          <w:t>Section 2.  Fast Track Process</w:t>
        </w:r>
        <w:r w:rsidRPr="0072600F">
          <w:rPr>
            <w:rFonts w:ascii="Times New Roman" w:eastAsia="Calibri" w:hAnsi="Times New Roman" w:cs="Times New Roman"/>
            <w:b/>
            <w:noProof/>
            <w:webHidden/>
            <w:sz w:val="26"/>
            <w:szCs w:val="26"/>
          </w:rPr>
          <w:tab/>
        </w:r>
        <w:r w:rsidRPr="0072600F">
          <w:rPr>
            <w:rFonts w:ascii="Times New Roman" w:eastAsia="Calibri" w:hAnsi="Times New Roman" w:cs="Times New Roman"/>
            <w:b/>
            <w:noProof/>
            <w:webHidden/>
            <w:sz w:val="26"/>
            <w:szCs w:val="26"/>
          </w:rPr>
          <w:fldChar w:fldCharType="begin"/>
        </w:r>
        <w:r w:rsidRPr="0072600F">
          <w:rPr>
            <w:rFonts w:ascii="Times New Roman" w:eastAsia="Calibri" w:hAnsi="Times New Roman" w:cs="Times New Roman"/>
            <w:b/>
            <w:noProof/>
            <w:webHidden/>
            <w:sz w:val="26"/>
            <w:szCs w:val="26"/>
          </w:rPr>
          <w:instrText xml:space="preserve"> PAGEREF _Toc371514234 \h </w:instrText>
        </w:r>
        <w:r w:rsidRPr="0072600F">
          <w:rPr>
            <w:rFonts w:ascii="Times New Roman" w:eastAsia="Calibri" w:hAnsi="Times New Roman" w:cs="Times New Roman"/>
            <w:b/>
            <w:noProof/>
            <w:webHidden/>
            <w:sz w:val="26"/>
            <w:szCs w:val="26"/>
          </w:rPr>
          <w:fldChar w:fldCharType="separate"/>
        </w:r>
        <w:r w:rsidR="00C46123">
          <w:rPr>
            <w:rFonts w:ascii="Times New Roman" w:eastAsia="Calibri" w:hAnsi="Times New Roman" w:cs="Times New Roman"/>
            <w:b/>
            <w:noProof/>
            <w:webHidden/>
            <w:sz w:val="26"/>
            <w:szCs w:val="26"/>
          </w:rPr>
          <w:t>7</w:t>
        </w:r>
        <w:r w:rsidRPr="0072600F">
          <w:rPr>
            <w:rFonts w:ascii="Times New Roman" w:eastAsia="Calibri" w:hAnsi="Times New Roman" w:cs="Times New Roman"/>
            <w:b/>
            <w:noProof/>
            <w:webHidden/>
            <w:sz w:val="26"/>
            <w:szCs w:val="26"/>
          </w:rPr>
          <w:fldChar w:fldCharType="end"/>
        </w:r>
      </w:hyperlink>
    </w:p>
    <w:p w:rsidR="00F3594B" w:rsidRPr="0072600F" w14:paraId="28310DC6"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5" w:history="1">
        <w:r w:rsidRPr="0072600F">
          <w:rPr>
            <w:rFonts w:ascii="Times New Roman" w:eastAsia="Calibri" w:hAnsi="Times New Roman" w:cs="Times New Roman"/>
            <w:noProof/>
            <w:sz w:val="26"/>
            <w:szCs w:val="26"/>
          </w:rPr>
          <w:t>2.1</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Applicability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_Toc371514235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7</w:t>
        </w:r>
        <w:r w:rsidRPr="0072600F">
          <w:rPr>
            <w:rFonts w:ascii="Times New Roman" w:eastAsia="Calibri" w:hAnsi="Times New Roman" w:cs="Times New Roman"/>
            <w:noProof/>
            <w:webHidden/>
            <w:sz w:val="26"/>
            <w:szCs w:val="26"/>
          </w:rPr>
          <w:fldChar w:fldCharType="end"/>
        </w:r>
      </w:hyperlink>
    </w:p>
    <w:p w:rsidR="00F3594B" w:rsidRPr="0072600F" w14:paraId="7CEA2238"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6" w:history="1">
        <w:r w:rsidRPr="0072600F">
          <w:rPr>
            <w:rFonts w:ascii="Times New Roman" w:eastAsia="Calibri" w:hAnsi="Times New Roman" w:cs="Times New Roman"/>
            <w:noProof/>
            <w:sz w:val="26"/>
            <w:szCs w:val="26"/>
          </w:rPr>
          <w:t>2.2</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Initial Review</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_Toc371514236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9</w:t>
        </w:r>
        <w:r w:rsidRPr="0072600F">
          <w:rPr>
            <w:rFonts w:ascii="Times New Roman" w:eastAsia="Calibri" w:hAnsi="Times New Roman" w:cs="Times New Roman"/>
            <w:noProof/>
            <w:webHidden/>
            <w:sz w:val="26"/>
            <w:szCs w:val="26"/>
          </w:rPr>
          <w:fldChar w:fldCharType="end"/>
        </w:r>
      </w:hyperlink>
    </w:p>
    <w:p w:rsidR="00F3594B" w:rsidRPr="0072600F" w14:paraId="3D2FAE83"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7" w:history="1">
        <w:r w:rsidRPr="0072600F">
          <w:rPr>
            <w:rFonts w:ascii="Times New Roman" w:eastAsia="Calibri" w:hAnsi="Times New Roman" w:cs="Times New Roman"/>
            <w:noProof/>
            <w:sz w:val="26"/>
            <w:szCs w:val="26"/>
          </w:rPr>
          <w:t>2.3</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Customer Options Meeting</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_Toc371514237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12</w:t>
        </w:r>
        <w:r w:rsidRPr="0072600F">
          <w:rPr>
            <w:rFonts w:ascii="Times New Roman" w:eastAsia="Calibri" w:hAnsi="Times New Roman" w:cs="Times New Roman"/>
            <w:noProof/>
            <w:webHidden/>
            <w:sz w:val="26"/>
            <w:szCs w:val="26"/>
          </w:rPr>
          <w:fldChar w:fldCharType="end"/>
        </w:r>
      </w:hyperlink>
    </w:p>
    <w:p w:rsidR="00F3594B" w:rsidRPr="0072600F" w14:paraId="6946AE48"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38" w:history="1">
        <w:r w:rsidRPr="0072600F">
          <w:rPr>
            <w:rFonts w:ascii="Times New Roman" w:eastAsia="Calibri" w:hAnsi="Times New Roman" w:cs="Times New Roman"/>
            <w:noProof/>
            <w:sz w:val="26"/>
            <w:szCs w:val="26"/>
          </w:rPr>
          <w:t>2.4</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Supplemental Review</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_Toc371514238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13</w:t>
        </w:r>
        <w:r w:rsidRPr="0072600F">
          <w:rPr>
            <w:rFonts w:ascii="Times New Roman" w:eastAsia="Calibri" w:hAnsi="Times New Roman" w:cs="Times New Roman"/>
            <w:noProof/>
            <w:webHidden/>
            <w:sz w:val="26"/>
            <w:szCs w:val="26"/>
          </w:rPr>
          <w:fldChar w:fldCharType="end"/>
        </w:r>
      </w:hyperlink>
    </w:p>
    <w:p w:rsidR="00F3594B" w:rsidRPr="0072600F" w14:paraId="5798E010" w14:textId="77777777">
      <w:pPr>
        <w:tabs>
          <w:tab w:val="right" w:leader="dot" w:pos="9350"/>
        </w:tabs>
        <w:spacing w:after="100" w:line="276" w:lineRule="auto"/>
        <w:rPr>
          <w:rFonts w:ascii="Times New Roman" w:hAnsi="Times New Roman" w:cs="Times New Roman"/>
          <w:noProof/>
          <w:sz w:val="26"/>
          <w:szCs w:val="26"/>
        </w:rPr>
      </w:pPr>
      <w:hyperlink w:anchor="_Toc371514239" w:history="1">
        <w:r w:rsidRPr="0072600F">
          <w:rPr>
            <w:rFonts w:ascii="Times New Roman" w:eastAsia="Calibri" w:hAnsi="Times New Roman" w:cs="Times New Roman"/>
            <w:b/>
            <w:noProof/>
            <w:sz w:val="26"/>
            <w:szCs w:val="26"/>
          </w:rPr>
          <w:t>Section 3.  Study Process</w:t>
        </w:r>
        <w:r w:rsidRPr="0072600F">
          <w:rPr>
            <w:rFonts w:ascii="Times New Roman" w:eastAsia="Calibri" w:hAnsi="Times New Roman" w:cs="Times New Roman"/>
            <w:b/>
            <w:noProof/>
            <w:webHidden/>
            <w:sz w:val="26"/>
            <w:szCs w:val="26"/>
          </w:rPr>
          <w:tab/>
        </w:r>
        <w:r w:rsidRPr="0072600F">
          <w:rPr>
            <w:rFonts w:ascii="Times New Roman" w:eastAsia="Calibri" w:hAnsi="Times New Roman" w:cs="Times New Roman"/>
            <w:b/>
            <w:noProof/>
            <w:webHidden/>
            <w:sz w:val="26"/>
            <w:szCs w:val="26"/>
          </w:rPr>
          <w:fldChar w:fldCharType="begin"/>
        </w:r>
        <w:r w:rsidRPr="0072600F">
          <w:rPr>
            <w:rFonts w:ascii="Times New Roman" w:eastAsia="Calibri" w:hAnsi="Times New Roman" w:cs="Times New Roman"/>
            <w:b/>
            <w:noProof/>
            <w:webHidden/>
            <w:sz w:val="26"/>
            <w:szCs w:val="26"/>
          </w:rPr>
          <w:instrText xml:space="preserve"> PAGEREF _Toc371514239 \h </w:instrText>
        </w:r>
        <w:r w:rsidRPr="0072600F">
          <w:rPr>
            <w:rFonts w:ascii="Times New Roman" w:eastAsia="Calibri" w:hAnsi="Times New Roman" w:cs="Times New Roman"/>
            <w:b/>
            <w:noProof/>
            <w:webHidden/>
            <w:sz w:val="26"/>
            <w:szCs w:val="26"/>
          </w:rPr>
          <w:fldChar w:fldCharType="separate"/>
        </w:r>
        <w:r w:rsidR="00C46123">
          <w:rPr>
            <w:rFonts w:ascii="Times New Roman" w:eastAsia="Calibri" w:hAnsi="Times New Roman" w:cs="Times New Roman"/>
            <w:b/>
            <w:noProof/>
            <w:webHidden/>
            <w:sz w:val="26"/>
            <w:szCs w:val="26"/>
          </w:rPr>
          <w:t>17</w:t>
        </w:r>
        <w:r w:rsidRPr="0072600F">
          <w:rPr>
            <w:rFonts w:ascii="Times New Roman" w:eastAsia="Calibri" w:hAnsi="Times New Roman" w:cs="Times New Roman"/>
            <w:b/>
            <w:noProof/>
            <w:webHidden/>
            <w:sz w:val="26"/>
            <w:szCs w:val="26"/>
          </w:rPr>
          <w:fldChar w:fldCharType="end"/>
        </w:r>
      </w:hyperlink>
    </w:p>
    <w:p w:rsidR="00F3594B" w:rsidRPr="0072600F" w14:paraId="1ED8B2D6"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0" w:history="1">
        <w:r w:rsidRPr="0072600F">
          <w:rPr>
            <w:rFonts w:ascii="Times New Roman" w:eastAsia="Calibri" w:hAnsi="Times New Roman" w:cs="Times New Roman"/>
            <w:noProof/>
            <w:sz w:val="26"/>
            <w:szCs w:val="26"/>
          </w:rPr>
          <w:t>3.1</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Applicability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_Toc371514240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17</w:t>
        </w:r>
        <w:r w:rsidRPr="0072600F">
          <w:rPr>
            <w:rFonts w:ascii="Times New Roman" w:eastAsia="Calibri" w:hAnsi="Times New Roman" w:cs="Times New Roman"/>
            <w:noProof/>
            <w:webHidden/>
            <w:sz w:val="26"/>
            <w:szCs w:val="26"/>
          </w:rPr>
          <w:fldChar w:fldCharType="end"/>
        </w:r>
      </w:hyperlink>
    </w:p>
    <w:p w:rsidR="00F3594B" w:rsidRPr="0072600F" w14:paraId="7A517A3B"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1" w:history="1">
        <w:r w:rsidRPr="0072600F">
          <w:rPr>
            <w:rFonts w:ascii="Times New Roman" w:eastAsia="Calibri" w:hAnsi="Times New Roman" w:cs="Times New Roman"/>
            <w:noProof/>
            <w:sz w:val="26"/>
            <w:szCs w:val="26"/>
          </w:rPr>
          <w:t>3.2</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Scoping Meeting</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_Toc371514241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17</w:t>
        </w:r>
        <w:r w:rsidRPr="0072600F">
          <w:rPr>
            <w:rFonts w:ascii="Times New Roman" w:eastAsia="Calibri" w:hAnsi="Times New Roman" w:cs="Times New Roman"/>
            <w:noProof/>
            <w:webHidden/>
            <w:sz w:val="26"/>
            <w:szCs w:val="26"/>
          </w:rPr>
          <w:fldChar w:fldCharType="end"/>
        </w:r>
      </w:hyperlink>
    </w:p>
    <w:p w:rsidR="00F3594B" w:rsidRPr="0072600F" w14:paraId="22CB1602"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2" w:history="1">
        <w:r w:rsidRPr="0072600F">
          <w:rPr>
            <w:rFonts w:ascii="Times New Roman" w:eastAsia="Calibri" w:hAnsi="Times New Roman" w:cs="Times New Roman"/>
            <w:noProof/>
            <w:sz w:val="26"/>
            <w:szCs w:val="26"/>
          </w:rPr>
          <w:t>3.3</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Feasibility Study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_Toc371514242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18</w:t>
        </w:r>
        <w:r w:rsidRPr="0072600F">
          <w:rPr>
            <w:rFonts w:ascii="Times New Roman" w:eastAsia="Calibri" w:hAnsi="Times New Roman" w:cs="Times New Roman"/>
            <w:noProof/>
            <w:webHidden/>
            <w:sz w:val="26"/>
            <w:szCs w:val="26"/>
          </w:rPr>
          <w:fldChar w:fldCharType="end"/>
        </w:r>
      </w:hyperlink>
    </w:p>
    <w:p w:rsidR="00F3594B" w:rsidRPr="0072600F" w14:paraId="641805D8"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3" w:history="1">
        <w:r w:rsidRPr="0072600F">
          <w:rPr>
            <w:rFonts w:ascii="Times New Roman" w:eastAsia="Calibri" w:hAnsi="Times New Roman" w:cs="Times New Roman"/>
            <w:noProof/>
            <w:sz w:val="26"/>
            <w:szCs w:val="26"/>
          </w:rPr>
          <w:t>3.4</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System Impact Study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_Toc371514243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19</w:t>
        </w:r>
        <w:r w:rsidRPr="0072600F">
          <w:rPr>
            <w:rFonts w:ascii="Times New Roman" w:eastAsia="Calibri" w:hAnsi="Times New Roman" w:cs="Times New Roman"/>
            <w:noProof/>
            <w:webHidden/>
            <w:sz w:val="26"/>
            <w:szCs w:val="26"/>
          </w:rPr>
          <w:fldChar w:fldCharType="end"/>
        </w:r>
      </w:hyperlink>
    </w:p>
    <w:p w:rsidR="00F3594B" w:rsidRPr="0072600F" w14:paraId="08A51560"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4" w:history="1">
        <w:r w:rsidRPr="0072600F">
          <w:rPr>
            <w:rFonts w:ascii="Times New Roman" w:eastAsia="Calibri" w:hAnsi="Times New Roman" w:cs="Times New Roman"/>
            <w:noProof/>
            <w:sz w:val="26"/>
            <w:szCs w:val="26"/>
          </w:rPr>
          <w:t>3.5</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Facilities Study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_Toc371514244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21</w:t>
        </w:r>
        <w:r w:rsidRPr="0072600F">
          <w:rPr>
            <w:rFonts w:ascii="Times New Roman" w:eastAsia="Calibri" w:hAnsi="Times New Roman" w:cs="Times New Roman"/>
            <w:noProof/>
            <w:webHidden/>
            <w:sz w:val="26"/>
            <w:szCs w:val="26"/>
          </w:rPr>
          <w:fldChar w:fldCharType="end"/>
        </w:r>
      </w:hyperlink>
    </w:p>
    <w:p w:rsidR="00F3594B" w:rsidRPr="0072600F" w14:paraId="4031B88D" w14:textId="77777777">
      <w:pPr>
        <w:tabs>
          <w:tab w:val="right" w:leader="dot" w:pos="9350"/>
        </w:tabs>
        <w:spacing w:after="100" w:line="276" w:lineRule="auto"/>
        <w:rPr>
          <w:rFonts w:ascii="Times New Roman" w:hAnsi="Times New Roman" w:cs="Times New Roman"/>
          <w:noProof/>
          <w:sz w:val="26"/>
          <w:szCs w:val="26"/>
        </w:rPr>
      </w:pPr>
      <w:hyperlink w:anchor="_Toc371514245" w:history="1">
        <w:r w:rsidRPr="0072600F">
          <w:rPr>
            <w:rFonts w:ascii="Times New Roman" w:eastAsia="Calibri" w:hAnsi="Times New Roman" w:cs="Times New Roman"/>
            <w:b/>
            <w:noProof/>
            <w:sz w:val="26"/>
            <w:szCs w:val="26"/>
          </w:rPr>
          <w:t>Section 4.  Provisions that Apply to All Interconnection Requests</w:t>
        </w:r>
        <w:r w:rsidRPr="0072600F">
          <w:rPr>
            <w:rFonts w:ascii="Times New Roman" w:eastAsia="Calibri" w:hAnsi="Times New Roman" w:cs="Times New Roman"/>
            <w:b/>
            <w:noProof/>
            <w:webHidden/>
            <w:sz w:val="26"/>
            <w:szCs w:val="26"/>
          </w:rPr>
          <w:tab/>
        </w:r>
        <w:r w:rsidRPr="0072600F">
          <w:rPr>
            <w:rFonts w:ascii="Times New Roman" w:eastAsia="Calibri" w:hAnsi="Times New Roman" w:cs="Times New Roman"/>
            <w:b/>
            <w:noProof/>
            <w:webHidden/>
            <w:sz w:val="26"/>
            <w:szCs w:val="26"/>
          </w:rPr>
          <w:fldChar w:fldCharType="begin"/>
        </w:r>
        <w:r w:rsidRPr="0072600F">
          <w:rPr>
            <w:rFonts w:ascii="Times New Roman" w:eastAsia="Calibri" w:hAnsi="Times New Roman" w:cs="Times New Roman"/>
            <w:b/>
            <w:noProof/>
            <w:webHidden/>
            <w:sz w:val="26"/>
            <w:szCs w:val="26"/>
          </w:rPr>
          <w:instrText xml:space="preserve"> PAGEREF _Toc371514245 \h </w:instrText>
        </w:r>
        <w:r w:rsidRPr="0072600F">
          <w:rPr>
            <w:rFonts w:ascii="Times New Roman" w:eastAsia="Calibri" w:hAnsi="Times New Roman" w:cs="Times New Roman"/>
            <w:b/>
            <w:noProof/>
            <w:webHidden/>
            <w:sz w:val="26"/>
            <w:szCs w:val="26"/>
          </w:rPr>
          <w:fldChar w:fldCharType="separate"/>
        </w:r>
        <w:r w:rsidR="00C46123">
          <w:rPr>
            <w:rFonts w:ascii="Times New Roman" w:eastAsia="Calibri" w:hAnsi="Times New Roman" w:cs="Times New Roman"/>
            <w:b/>
            <w:noProof/>
            <w:webHidden/>
            <w:sz w:val="26"/>
            <w:szCs w:val="26"/>
          </w:rPr>
          <w:t>22</w:t>
        </w:r>
        <w:r w:rsidRPr="0072600F">
          <w:rPr>
            <w:rFonts w:ascii="Times New Roman" w:eastAsia="Calibri" w:hAnsi="Times New Roman" w:cs="Times New Roman"/>
            <w:b/>
            <w:noProof/>
            <w:webHidden/>
            <w:sz w:val="26"/>
            <w:szCs w:val="26"/>
          </w:rPr>
          <w:fldChar w:fldCharType="end"/>
        </w:r>
      </w:hyperlink>
    </w:p>
    <w:p w:rsidR="00F3594B" w:rsidRPr="0072600F" w14:paraId="4E81C74C"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6" w:history="1">
        <w:r w:rsidRPr="0072600F">
          <w:rPr>
            <w:rFonts w:ascii="Times New Roman" w:eastAsia="Calibri" w:hAnsi="Times New Roman" w:cs="Times New Roman"/>
            <w:noProof/>
            <w:sz w:val="26"/>
            <w:szCs w:val="26"/>
          </w:rPr>
          <w:t>4.1</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Reasonable Efforts</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_Toc371514246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22</w:t>
        </w:r>
        <w:r w:rsidRPr="0072600F">
          <w:rPr>
            <w:rFonts w:ascii="Times New Roman" w:eastAsia="Calibri" w:hAnsi="Times New Roman" w:cs="Times New Roman"/>
            <w:noProof/>
            <w:webHidden/>
            <w:sz w:val="26"/>
            <w:szCs w:val="26"/>
          </w:rPr>
          <w:fldChar w:fldCharType="end"/>
        </w:r>
      </w:hyperlink>
    </w:p>
    <w:p w:rsidR="00F3594B" w:rsidRPr="0072600F" w14:paraId="63C792C9"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7" w:history="1">
        <w:r w:rsidRPr="0072600F">
          <w:rPr>
            <w:rFonts w:ascii="Times New Roman" w:eastAsia="Calibri" w:hAnsi="Times New Roman" w:cs="Times New Roman"/>
            <w:noProof/>
            <w:sz w:val="26"/>
            <w:szCs w:val="26"/>
          </w:rPr>
          <w:t>4.2</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Disputes</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_Toc371514247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22</w:t>
        </w:r>
        <w:r w:rsidRPr="0072600F">
          <w:rPr>
            <w:rFonts w:ascii="Times New Roman" w:eastAsia="Calibri" w:hAnsi="Times New Roman" w:cs="Times New Roman"/>
            <w:noProof/>
            <w:webHidden/>
            <w:sz w:val="26"/>
            <w:szCs w:val="26"/>
          </w:rPr>
          <w:fldChar w:fldCharType="end"/>
        </w:r>
      </w:hyperlink>
    </w:p>
    <w:p w:rsidR="00F3594B" w:rsidRPr="0072600F" w14:paraId="7A572399"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8" w:history="1">
        <w:r w:rsidRPr="0072600F">
          <w:rPr>
            <w:rFonts w:ascii="Times New Roman" w:eastAsia="Calibri" w:hAnsi="Times New Roman" w:cs="Times New Roman"/>
            <w:noProof/>
            <w:sz w:val="26"/>
            <w:szCs w:val="26"/>
          </w:rPr>
          <w:t>4.3</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Interconnection Metering</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_Toc371514248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23</w:t>
        </w:r>
        <w:r w:rsidRPr="0072600F">
          <w:rPr>
            <w:rFonts w:ascii="Times New Roman" w:eastAsia="Calibri" w:hAnsi="Times New Roman" w:cs="Times New Roman"/>
            <w:noProof/>
            <w:webHidden/>
            <w:sz w:val="26"/>
            <w:szCs w:val="26"/>
          </w:rPr>
          <w:fldChar w:fldCharType="end"/>
        </w:r>
      </w:hyperlink>
    </w:p>
    <w:p w:rsidR="00F3594B" w:rsidRPr="0072600F" w14:paraId="7BFDAB13"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49" w:history="1">
        <w:r w:rsidRPr="0072600F">
          <w:rPr>
            <w:rFonts w:ascii="Times New Roman" w:eastAsia="Calibri" w:hAnsi="Times New Roman" w:cs="Times New Roman"/>
            <w:noProof/>
            <w:sz w:val="26"/>
            <w:szCs w:val="26"/>
          </w:rPr>
          <w:t>4.4</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Commissioning</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_Toc371514249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23</w:t>
        </w:r>
        <w:r w:rsidRPr="0072600F">
          <w:rPr>
            <w:rFonts w:ascii="Times New Roman" w:eastAsia="Calibri" w:hAnsi="Times New Roman" w:cs="Times New Roman"/>
            <w:noProof/>
            <w:webHidden/>
            <w:sz w:val="26"/>
            <w:szCs w:val="26"/>
          </w:rPr>
          <w:fldChar w:fldCharType="end"/>
        </w:r>
      </w:hyperlink>
    </w:p>
    <w:p w:rsidR="00F3594B" w:rsidRPr="0072600F" w14:paraId="4D98F9E7"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50" w:history="1">
        <w:r w:rsidRPr="0072600F">
          <w:rPr>
            <w:rFonts w:ascii="Times New Roman" w:eastAsia="Calibri" w:hAnsi="Times New Roman" w:cs="Times New Roman"/>
            <w:noProof/>
            <w:sz w:val="26"/>
            <w:szCs w:val="26"/>
          </w:rPr>
          <w:t>4.5.</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Confidentiality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_Toc371514250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23</w:t>
        </w:r>
        <w:r w:rsidRPr="0072600F">
          <w:rPr>
            <w:rFonts w:ascii="Times New Roman" w:eastAsia="Calibri" w:hAnsi="Times New Roman" w:cs="Times New Roman"/>
            <w:noProof/>
            <w:webHidden/>
            <w:sz w:val="26"/>
            <w:szCs w:val="26"/>
          </w:rPr>
          <w:fldChar w:fldCharType="end"/>
        </w:r>
      </w:hyperlink>
    </w:p>
    <w:p w:rsidR="00F3594B" w:rsidRPr="0072600F" w14:paraId="00B7F275"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51" w:history="1">
        <w:r w:rsidRPr="0072600F">
          <w:rPr>
            <w:rFonts w:ascii="Times New Roman" w:eastAsia="Calibri" w:hAnsi="Times New Roman" w:cs="Times New Roman"/>
            <w:noProof/>
            <w:sz w:val="26"/>
            <w:szCs w:val="26"/>
          </w:rPr>
          <w:t>4.6</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Comparability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_Toc371514251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25</w:t>
        </w:r>
        <w:r w:rsidRPr="0072600F">
          <w:rPr>
            <w:rFonts w:ascii="Times New Roman" w:eastAsia="Calibri" w:hAnsi="Times New Roman" w:cs="Times New Roman"/>
            <w:noProof/>
            <w:webHidden/>
            <w:sz w:val="26"/>
            <w:szCs w:val="26"/>
          </w:rPr>
          <w:fldChar w:fldCharType="end"/>
        </w:r>
      </w:hyperlink>
    </w:p>
    <w:p w:rsidR="00F3594B" w:rsidRPr="0072600F" w14:paraId="2BDD1652"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52" w:history="1">
        <w:r w:rsidRPr="0072600F">
          <w:rPr>
            <w:rFonts w:ascii="Times New Roman" w:eastAsia="Calibri" w:hAnsi="Times New Roman" w:cs="Times New Roman"/>
            <w:noProof/>
            <w:sz w:val="26"/>
            <w:szCs w:val="26"/>
          </w:rPr>
          <w:t>4.7</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Record Retention</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_Toc371514252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25</w:t>
        </w:r>
        <w:r w:rsidRPr="0072600F">
          <w:rPr>
            <w:rFonts w:ascii="Times New Roman" w:eastAsia="Calibri" w:hAnsi="Times New Roman" w:cs="Times New Roman"/>
            <w:noProof/>
            <w:webHidden/>
            <w:sz w:val="26"/>
            <w:szCs w:val="26"/>
          </w:rPr>
          <w:fldChar w:fldCharType="end"/>
        </w:r>
      </w:hyperlink>
    </w:p>
    <w:p w:rsidR="00F3594B" w:rsidRPr="0072600F" w14:paraId="5BAE1AE2"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53" w:history="1">
        <w:r w:rsidRPr="0072600F">
          <w:rPr>
            <w:rFonts w:ascii="Times New Roman" w:eastAsia="Calibri" w:hAnsi="Times New Roman" w:cs="Times New Roman"/>
            <w:noProof/>
            <w:sz w:val="26"/>
            <w:szCs w:val="26"/>
          </w:rPr>
          <w:t>4.8</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Interconnection Agreement</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_Toc371514253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25</w:t>
        </w:r>
        <w:r w:rsidRPr="0072600F">
          <w:rPr>
            <w:rFonts w:ascii="Times New Roman" w:eastAsia="Calibri" w:hAnsi="Times New Roman" w:cs="Times New Roman"/>
            <w:noProof/>
            <w:webHidden/>
            <w:sz w:val="26"/>
            <w:szCs w:val="26"/>
          </w:rPr>
          <w:fldChar w:fldCharType="end"/>
        </w:r>
      </w:hyperlink>
    </w:p>
    <w:p w:rsidR="00F3594B" w:rsidRPr="0072600F" w14:paraId="414A464D"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54" w:history="1">
        <w:r w:rsidRPr="0072600F">
          <w:rPr>
            <w:rFonts w:ascii="Times New Roman" w:eastAsia="Calibri" w:hAnsi="Times New Roman" w:cs="Times New Roman"/>
            <w:noProof/>
            <w:sz w:val="26"/>
            <w:szCs w:val="26"/>
          </w:rPr>
          <w:t>4.9</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Coordination with Affected Systems</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_Toc371514254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25</w:t>
        </w:r>
        <w:r w:rsidRPr="0072600F">
          <w:rPr>
            <w:rFonts w:ascii="Times New Roman" w:eastAsia="Calibri" w:hAnsi="Times New Roman" w:cs="Times New Roman"/>
            <w:noProof/>
            <w:webHidden/>
            <w:sz w:val="26"/>
            <w:szCs w:val="26"/>
          </w:rPr>
          <w:fldChar w:fldCharType="end"/>
        </w:r>
      </w:hyperlink>
    </w:p>
    <w:p w:rsidR="00F3594B" w:rsidRPr="0072600F" w14:paraId="5977D33C" w14:textId="77777777">
      <w:pPr>
        <w:tabs>
          <w:tab w:val="left" w:pos="880"/>
          <w:tab w:val="right" w:leader="dot" w:pos="9350"/>
        </w:tabs>
        <w:spacing w:after="100" w:line="276" w:lineRule="auto"/>
        <w:ind w:left="220"/>
        <w:rPr>
          <w:rFonts w:ascii="Times New Roman" w:hAnsi="Times New Roman" w:cs="Times New Roman"/>
          <w:noProof/>
          <w:sz w:val="26"/>
          <w:szCs w:val="26"/>
        </w:rPr>
      </w:pPr>
      <w:hyperlink w:anchor="_Toc371514255" w:history="1">
        <w:r w:rsidRPr="0072600F">
          <w:rPr>
            <w:rFonts w:ascii="Times New Roman" w:eastAsia="Calibri" w:hAnsi="Times New Roman" w:cs="Times New Roman"/>
            <w:noProof/>
            <w:sz w:val="26"/>
            <w:szCs w:val="26"/>
          </w:rPr>
          <w:t>4.10</w:t>
        </w:r>
        <w:r w:rsidRPr="0072600F">
          <w:rPr>
            <w:rFonts w:ascii="Times New Roman" w:hAnsi="Times New Roman" w:cs="Times New Roman"/>
            <w:noProof/>
            <w:sz w:val="26"/>
            <w:szCs w:val="26"/>
          </w:rPr>
          <w:tab/>
        </w:r>
        <w:r w:rsidRPr="0072600F">
          <w:rPr>
            <w:rFonts w:ascii="Times New Roman" w:eastAsia="Calibri" w:hAnsi="Times New Roman" w:cs="Times New Roman"/>
            <w:noProof/>
            <w:sz w:val="26"/>
            <w:szCs w:val="26"/>
          </w:rPr>
          <w:t>Capacity of the Small Generating Facility</w:t>
        </w:r>
        <w:r w:rsidRPr="0072600F">
          <w:rPr>
            <w:rFonts w:ascii="Times New Roman" w:eastAsia="Calibri" w:hAnsi="Times New Roman" w:cs="Times New Roman"/>
            <w:noProof/>
            <w:webHidden/>
            <w:sz w:val="26"/>
            <w:szCs w:val="26"/>
          </w:rPr>
          <w:tab/>
        </w:r>
        <w:r w:rsidRPr="0072600F">
          <w:rPr>
            <w:rFonts w:ascii="Times New Roman" w:eastAsia="Calibri" w:hAnsi="Times New Roman" w:cs="Times New Roman"/>
            <w:noProof/>
            <w:webHidden/>
            <w:sz w:val="26"/>
            <w:szCs w:val="26"/>
          </w:rPr>
          <w:fldChar w:fldCharType="begin"/>
        </w:r>
        <w:r w:rsidRPr="0072600F">
          <w:rPr>
            <w:rFonts w:ascii="Times New Roman" w:eastAsia="Calibri" w:hAnsi="Times New Roman" w:cs="Times New Roman"/>
            <w:noProof/>
            <w:webHidden/>
            <w:sz w:val="26"/>
            <w:szCs w:val="26"/>
          </w:rPr>
          <w:instrText xml:space="preserve"> PAGEREF _Toc371514255 \h </w:instrText>
        </w:r>
        <w:r w:rsidRPr="0072600F">
          <w:rPr>
            <w:rFonts w:ascii="Times New Roman" w:eastAsia="Calibri" w:hAnsi="Times New Roman" w:cs="Times New Roman"/>
            <w:noProof/>
            <w:webHidden/>
            <w:sz w:val="26"/>
            <w:szCs w:val="26"/>
          </w:rPr>
          <w:fldChar w:fldCharType="separate"/>
        </w:r>
        <w:r w:rsidR="00C46123">
          <w:rPr>
            <w:rFonts w:ascii="Times New Roman" w:eastAsia="Calibri" w:hAnsi="Times New Roman" w:cs="Times New Roman"/>
            <w:noProof/>
            <w:webHidden/>
            <w:sz w:val="26"/>
            <w:szCs w:val="26"/>
          </w:rPr>
          <w:t>26</w:t>
        </w:r>
        <w:r w:rsidRPr="0072600F">
          <w:rPr>
            <w:rFonts w:ascii="Times New Roman" w:eastAsia="Calibri" w:hAnsi="Times New Roman" w:cs="Times New Roman"/>
            <w:noProof/>
            <w:webHidden/>
            <w:sz w:val="26"/>
            <w:szCs w:val="26"/>
          </w:rPr>
          <w:fldChar w:fldCharType="end"/>
        </w:r>
      </w:hyperlink>
    </w:p>
    <w:p w:rsidR="00F3594B" w:rsidRPr="0072600F" w14:paraId="64EF87C6" w14:textId="77777777">
      <w:pPr>
        <w:jc w:val="right"/>
        <w:rPr>
          <w:rFonts w:ascii="Times New Roman" w:eastAsia="Calibri" w:hAnsi="Times New Roman" w:cs="Times New Roman"/>
          <w:sz w:val="26"/>
          <w:szCs w:val="26"/>
        </w:rPr>
      </w:pPr>
      <w:r w:rsidRPr="0072600F">
        <w:rPr>
          <w:rFonts w:ascii="Times New Roman" w:eastAsia="Calibri" w:hAnsi="Times New Roman" w:cs="Times New Roman"/>
          <w:sz w:val="26"/>
          <w:szCs w:val="26"/>
        </w:rPr>
        <w:fldChar w:fldCharType="end"/>
      </w:r>
      <w:r w:rsidRPr="0072600F">
        <w:rPr>
          <w:rFonts w:ascii="Times New Roman" w:eastAsia="Calibri" w:hAnsi="Times New Roman" w:cs="Times New Roman"/>
          <w:sz w:val="26"/>
          <w:szCs w:val="26"/>
        </w:rPr>
        <w:t xml:space="preserve"> </w:t>
      </w:r>
    </w:p>
    <w:p w:rsidR="00F3594B" w:rsidRPr="0072600F" w14:paraId="5438B51C" w14:textId="77777777">
      <w:pPr>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1</w:t>
      </w:r>
      <w:r w:rsidRPr="0072600F">
        <w:rPr>
          <w:rFonts w:ascii="Times New Roman" w:eastAsia="Calibri" w:hAnsi="Times New Roman" w:cs="Times New Roman"/>
          <w:sz w:val="26"/>
          <w:szCs w:val="26"/>
        </w:rPr>
        <w:t xml:space="preserve"> – Glossary of Terms</w:t>
      </w:r>
    </w:p>
    <w:p w:rsidR="00F3594B" w:rsidRPr="0072600F" w14:paraId="1E88C884"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2</w:t>
      </w:r>
      <w:r w:rsidRPr="0072600F">
        <w:rPr>
          <w:rFonts w:ascii="Times New Roman" w:eastAsia="Calibri" w:hAnsi="Times New Roman" w:cs="Times New Roman"/>
          <w:sz w:val="26"/>
          <w:szCs w:val="26"/>
        </w:rPr>
        <w:t xml:space="preserve"> – Small Generator Interconnection Request</w:t>
      </w:r>
    </w:p>
    <w:p w:rsidR="00F3594B" w:rsidRPr="0072600F" w14:paraId="00814587"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3</w:t>
      </w:r>
      <w:r w:rsidRPr="0072600F">
        <w:rPr>
          <w:rFonts w:ascii="Times New Roman" w:eastAsia="Calibri" w:hAnsi="Times New Roman" w:cs="Times New Roman"/>
          <w:sz w:val="26"/>
          <w:szCs w:val="26"/>
        </w:rPr>
        <w:t xml:space="preserve"> – Certification Codes and Standards</w:t>
      </w:r>
    </w:p>
    <w:p w:rsidR="00F3594B" w:rsidRPr="0072600F" w14:paraId="7A54E9C9"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4</w:t>
      </w:r>
      <w:r w:rsidRPr="0072600F">
        <w:rPr>
          <w:rFonts w:ascii="Times New Roman" w:eastAsia="Calibri" w:hAnsi="Times New Roman" w:cs="Times New Roman"/>
          <w:sz w:val="26"/>
          <w:szCs w:val="26"/>
        </w:rPr>
        <w:t xml:space="preserve"> – Certification of Small Generator Equipment Packages</w:t>
      </w:r>
    </w:p>
    <w:p w:rsidR="00F3594B" w:rsidRPr="0072600F" w14:paraId="2699C87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5</w:t>
      </w:r>
      <w:r w:rsidRPr="0072600F">
        <w:rPr>
          <w:rFonts w:ascii="Times New Roman" w:eastAsia="Calibri" w:hAnsi="Times New Roman" w:cs="Times New Roman"/>
          <w:sz w:val="26"/>
          <w:szCs w:val="26"/>
        </w:rPr>
        <w:t xml:space="preserve"> – Application, Procedures, and Terms and Conditions for Interconnecting a Certified Invertor-Based Small Generating Facility No Larger than 10 kW (“10 kW Inverter Process”).</w:t>
      </w:r>
    </w:p>
    <w:p w:rsidR="00F3594B" w:rsidRPr="0072600F" w14:paraId="74AD748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6</w:t>
      </w:r>
      <w:r w:rsidRPr="0072600F">
        <w:rPr>
          <w:rFonts w:ascii="Times New Roman" w:eastAsia="Calibri" w:hAnsi="Times New Roman" w:cs="Times New Roman"/>
          <w:sz w:val="26"/>
          <w:szCs w:val="26"/>
        </w:rPr>
        <w:t xml:space="preserve"> – Feasibility Study Agreement</w:t>
      </w:r>
    </w:p>
    <w:p w:rsidR="00F3594B" w:rsidRPr="0072600F" w14:paraId="3D5CF27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Attachment 7</w:t>
      </w:r>
      <w:r w:rsidRPr="0072600F">
        <w:rPr>
          <w:rFonts w:ascii="Times New Roman" w:eastAsia="Calibri" w:hAnsi="Times New Roman" w:cs="Times New Roman"/>
          <w:sz w:val="26"/>
          <w:szCs w:val="26"/>
        </w:rPr>
        <w:t xml:space="preserve"> – System Impact Study Agreement</w:t>
      </w:r>
    </w:p>
    <w:p w:rsidR="00F3594B" w:rsidRPr="0072600F" w14:paraId="31CF276F" w14:textId="77777777">
      <w:pPr>
        <w:spacing w:line="276" w:lineRule="auto"/>
        <w:rPr>
          <w:rFonts w:ascii="Times New Roman" w:eastAsia="Calibri" w:hAnsi="Times New Roman" w:cs="Times New Roman"/>
          <w:sz w:val="26"/>
          <w:szCs w:val="26"/>
        </w:rPr>
        <w:sectPr>
          <w:footerReference w:type="default" r:id="rId53"/>
          <w:pgSz w:w="12240" w:h="15840" w:code="1"/>
          <w:pgMar w:top="1440" w:right="1440" w:bottom="1440" w:left="1440" w:header="720" w:footer="720" w:gutter="0"/>
          <w:pgNumType w:start="1"/>
          <w:cols w:space="720"/>
          <w:docGrid w:linePitch="360"/>
        </w:sectPr>
      </w:pPr>
      <w:r w:rsidRPr="0072600F">
        <w:rPr>
          <w:rFonts w:ascii="Times New Roman" w:eastAsia="Calibri" w:hAnsi="Times New Roman" w:cs="Times New Roman"/>
          <w:sz w:val="26"/>
          <w:szCs w:val="26"/>
          <w:u w:val="single"/>
        </w:rPr>
        <w:t>Attachment 8</w:t>
      </w:r>
      <w:r w:rsidRPr="0072600F">
        <w:rPr>
          <w:rFonts w:ascii="Times New Roman" w:eastAsia="Calibri" w:hAnsi="Times New Roman" w:cs="Times New Roman"/>
          <w:sz w:val="26"/>
          <w:szCs w:val="26"/>
        </w:rPr>
        <w:t xml:space="preserve"> – Facilities Study Agreement</w:t>
      </w:r>
    </w:p>
    <w:p w:rsidR="00F3594B" w:rsidRPr="0072600F" w:rsidP="00D83734" w14:paraId="7328A37D" w14:textId="77777777">
      <w:pPr>
        <w:pStyle w:val="Heading2"/>
        <w:rPr>
          <w:b/>
          <w:bCs/>
          <w:sz w:val="26"/>
          <w:szCs w:val="26"/>
        </w:rPr>
      </w:pPr>
      <w:bookmarkStart w:id="681" w:name="_Toc371514226"/>
      <w:r w:rsidRPr="0072600F">
        <w:rPr>
          <w:b/>
          <w:bCs/>
          <w:sz w:val="26"/>
          <w:szCs w:val="26"/>
        </w:rPr>
        <w:t>Section 1.  Application</w:t>
      </w:r>
      <w:bookmarkEnd w:id="681"/>
    </w:p>
    <w:p w:rsidR="00D83734" w:rsidRPr="0072600F" w:rsidP="00D83734" w14:paraId="7914EE43" w14:textId="77777777">
      <w:pPr>
        <w:rPr>
          <w:rFonts w:ascii="Times New Roman" w:hAnsi="Times New Roman" w:cs="Times New Roman"/>
          <w:sz w:val="26"/>
          <w:szCs w:val="26"/>
        </w:rPr>
      </w:pPr>
    </w:p>
    <w:p w:rsidR="00F3594B" w:rsidRPr="0072600F" w14:paraId="33058A49" w14:textId="77777777">
      <w:pPr>
        <w:pStyle w:val="Heading3"/>
        <w:numPr>
          <w:ilvl w:val="1"/>
          <w:numId w:val="12"/>
        </w:numPr>
        <w:rPr>
          <w:sz w:val="26"/>
          <w:u w:val="single"/>
        </w:rPr>
      </w:pPr>
      <w:bookmarkStart w:id="682" w:name="_Toc371514227"/>
      <w:r w:rsidRPr="0072600F">
        <w:rPr>
          <w:sz w:val="26"/>
          <w:u w:val="single"/>
        </w:rPr>
        <w:t>Applicability</w:t>
      </w:r>
      <w:bookmarkEnd w:id="682"/>
    </w:p>
    <w:p w:rsidR="007C0B2A" w:rsidRPr="0072600F" w:rsidP="007C0B2A" w14:paraId="7696D56D" w14:textId="77777777">
      <w:pPr>
        <w:pStyle w:val="ListParagraph"/>
        <w:rPr>
          <w:szCs w:val="26"/>
        </w:rPr>
      </w:pPr>
    </w:p>
    <w:p w:rsidR="00F3594B" w:rsidRPr="0072600F" w14:paraId="1386BEAC" w14:textId="77777777">
      <w:pPr>
        <w:numPr>
          <w:ilvl w:val="2"/>
          <w:numId w:val="12"/>
        </w:numPr>
        <w:spacing w:after="200" w:line="276" w:lineRule="auto"/>
        <w:ind w:left="1440"/>
        <w:contextualSpacing/>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 request to interconnect a certified Small Generating Facility (See Attachments 3 and 4 for description of certification criteria) to </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Distribution System shall be evaluated under the section 2 Fast Track Process if the eligibility requirements of section 2.1 are met.  A request to interconnect a certified inverter-based Small Generating Facility no larger than 10 kilowatts (kW) shall be evaluated under the Attachment 5 10 kW Inverter Process.  A request to interconnect a Small Generating Facility no larger than 20 megawatts (MW) that does not meet the eligibility requirements of section 2.1, or does not pass the Fast Track Process or the 10 kW Inverter Process, shall be evaluated under the section 3 Study Process.  If </w:t>
      </w:r>
      <w:r w:rsidRPr="0072600F" w:rsidR="00991171">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991171">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wishes to interconnect its Small Generating Facility using Network Resource Interconnection Service, it must do so under the Standard Large Generator Interconnection Procedures and execute the Standard Large Generator Interconnection Agreement.</w:t>
      </w:r>
    </w:p>
    <w:p w:rsidR="00F3594B" w:rsidRPr="0072600F" w14:paraId="334D7A91" w14:textId="77777777">
      <w:pPr>
        <w:spacing w:after="200" w:line="276" w:lineRule="auto"/>
        <w:ind w:left="720"/>
        <w:contextualSpacing/>
        <w:rPr>
          <w:rFonts w:ascii="Times New Roman" w:eastAsia="Calibri" w:hAnsi="Times New Roman" w:cs="Times New Roman"/>
          <w:sz w:val="26"/>
          <w:szCs w:val="26"/>
        </w:rPr>
      </w:pPr>
    </w:p>
    <w:p w:rsidR="00F3594B" w:rsidRPr="0072600F" w14:paraId="3E63DB5A"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1.1.2</w:t>
      </w:r>
      <w:r w:rsidRPr="0072600F">
        <w:rPr>
          <w:rFonts w:ascii="Times New Roman" w:eastAsia="Calibri" w:hAnsi="Times New Roman" w:cs="Times New Roman"/>
          <w:sz w:val="26"/>
          <w:szCs w:val="26"/>
        </w:rPr>
        <w:tab/>
        <w:t>Capitalized terms used herein shall have the meanings specified in the Glossary of Terms in Attachment 1 or the body of these procedures.</w:t>
      </w:r>
    </w:p>
    <w:p w:rsidR="00F3594B" w:rsidRPr="0072600F" w14:paraId="17E2DAE6"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1.1.3</w:t>
      </w:r>
      <w:r w:rsidRPr="0072600F">
        <w:rPr>
          <w:rFonts w:ascii="Times New Roman" w:eastAsia="Calibri" w:hAnsi="Times New Roman" w:cs="Times New Roman"/>
          <w:sz w:val="26"/>
          <w:szCs w:val="26"/>
        </w:rPr>
        <w:tab/>
        <w:t xml:space="preserve">Neither these procedures nor the requirements included hereunder apply to Small Generating Facilities interconnected or approved for interconnection prior to </w:t>
      </w:r>
      <w:r w:rsidRPr="0072600F" w:rsidR="0056592A">
        <w:rPr>
          <w:rFonts w:ascii="Times New Roman" w:eastAsia="Calibri" w:hAnsi="Times New Roman" w:cs="Times New Roman"/>
          <w:i/>
          <w:iCs/>
          <w:sz w:val="26"/>
          <w:szCs w:val="26"/>
        </w:rPr>
        <w:t>sixty (</w:t>
      </w:r>
      <w:r w:rsidRPr="0072600F">
        <w:rPr>
          <w:rFonts w:ascii="Times New Roman" w:eastAsia="Calibri" w:hAnsi="Times New Roman" w:cs="Times New Roman"/>
          <w:sz w:val="26"/>
          <w:szCs w:val="26"/>
        </w:rPr>
        <w:t>60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after the effective date of these procedures.</w:t>
      </w:r>
    </w:p>
    <w:p w:rsidR="00F3594B" w:rsidRPr="0072600F" w14:paraId="74F45CCE"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1.1.4</w:t>
      </w:r>
      <w:r w:rsidRPr="0072600F">
        <w:rPr>
          <w:rFonts w:ascii="Times New Roman" w:eastAsia="Calibri" w:hAnsi="Times New Roman" w:cs="Times New Roman"/>
          <w:sz w:val="26"/>
          <w:szCs w:val="26"/>
        </w:rPr>
        <w:tab/>
        <w:t xml:space="preserve">Prior to submitting its Interconnection Request (Attachment 2), </w:t>
      </w:r>
      <w:r w:rsidRPr="0072600F" w:rsidR="002342E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342E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may ask </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interconnection contact employee or office whether the proposed interconnection is subject to these procedures.  </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respond within </w:t>
      </w:r>
      <w:r w:rsidRPr="0072600F" w:rsidR="0056592A">
        <w:rPr>
          <w:rFonts w:ascii="Times New Roman" w:eastAsia="Calibri" w:hAnsi="Times New Roman" w:cs="Times New Roman"/>
          <w:i/>
          <w:iCs/>
          <w:sz w:val="26"/>
          <w:szCs w:val="26"/>
        </w:rPr>
        <w:t>fifteen (</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w:t>
      </w:r>
    </w:p>
    <w:p w:rsidR="00F3594B" w:rsidRPr="0072600F" w14:paraId="5D992DF7"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1.1.5</w:t>
      </w:r>
      <w:r w:rsidRPr="0072600F">
        <w:rPr>
          <w:rFonts w:ascii="Times New Roman" w:eastAsia="Calibri" w:hAnsi="Times New Roman" w:cs="Times New Roman"/>
          <w:sz w:val="26"/>
          <w:szCs w:val="26"/>
        </w:rPr>
        <w:tab/>
        <w:t>Infrastructure security of electric system equipment and operations and control hardware and software is essential to ensure day-to-day reliability and operational security.  The Federal Energy Regulatory Commission expects all Transmission Providers, market participants, and Interconnection Customers interconnected with electric systems to comply with the recommendations offered by the President</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s Critical Infrastructure Protection Board and best practice recommendations from the electric reliability authority.  All public utilities are expected to meet basic standards for electric system infrastructure and operational security, including physical, operational, and cyber-security practices.</w:t>
      </w:r>
    </w:p>
    <w:p w:rsidR="00F3594B" w:rsidRPr="0072600F" w14:paraId="5885428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1.1.6</w:t>
      </w:r>
      <w:r w:rsidRPr="0072600F">
        <w:rPr>
          <w:rFonts w:ascii="Times New Roman" w:eastAsia="Calibri" w:hAnsi="Times New Roman" w:cs="Times New Roman"/>
          <w:sz w:val="26"/>
          <w:szCs w:val="26"/>
        </w:rPr>
        <w:tab/>
        <w:t>References in these procedures to interconnection agreement are to the Small Generator Interconnection Agreement (SGIA).</w:t>
      </w:r>
    </w:p>
    <w:p w:rsidR="00F3594B" w:rsidRPr="0072600F" w14:paraId="0B573C06" w14:textId="77777777">
      <w:pPr>
        <w:spacing w:after="200" w:line="276" w:lineRule="auto"/>
        <w:ind w:left="720" w:hanging="720"/>
        <w:rPr>
          <w:rFonts w:ascii="Times New Roman" w:eastAsia="Calibri" w:hAnsi="Times New Roman" w:cs="Times New Roman"/>
          <w:sz w:val="26"/>
          <w:szCs w:val="26"/>
        </w:rPr>
      </w:pPr>
    </w:p>
    <w:p w:rsidR="00F3594B" w:rsidRPr="0072600F" w:rsidP="00A57CF5" w14:paraId="2CA65E04" w14:textId="77777777">
      <w:pPr>
        <w:pStyle w:val="Heading3"/>
        <w:ind w:left="0" w:firstLine="0"/>
        <w:rPr>
          <w:sz w:val="26"/>
        </w:rPr>
      </w:pPr>
      <w:bookmarkStart w:id="683" w:name="_Toc371514228"/>
      <w:r w:rsidRPr="0072600F">
        <w:rPr>
          <w:sz w:val="26"/>
        </w:rPr>
        <w:t xml:space="preserve">1.2 </w:t>
      </w:r>
      <w:r w:rsidRPr="0072600F">
        <w:rPr>
          <w:sz w:val="26"/>
        </w:rPr>
        <w:tab/>
      </w:r>
      <w:r w:rsidRPr="0072600F">
        <w:rPr>
          <w:sz w:val="26"/>
          <w:u w:val="single"/>
        </w:rPr>
        <w:t>Pre-Application</w:t>
      </w:r>
      <w:bookmarkEnd w:id="683"/>
    </w:p>
    <w:p w:rsidR="00714EF1" w:rsidRPr="0072600F" w14:paraId="05717CE6" w14:textId="77777777">
      <w:pPr>
        <w:spacing w:after="200" w:line="276" w:lineRule="auto"/>
        <w:ind w:left="1440" w:hanging="720"/>
        <w:rPr>
          <w:rFonts w:ascii="Times New Roman" w:eastAsia="Calibri" w:hAnsi="Times New Roman" w:cs="Times New Roman"/>
          <w:sz w:val="26"/>
          <w:szCs w:val="26"/>
        </w:rPr>
      </w:pPr>
    </w:p>
    <w:p w:rsidR="00F3594B" w:rsidRPr="0072600F" w14:paraId="6DD134EE"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w:t>
      </w:r>
      <w:r w:rsidRPr="0072600F">
        <w:rPr>
          <w:rFonts w:ascii="Times New Roman" w:eastAsia="Calibri" w:hAnsi="Times New Roman" w:cs="Times New Roman"/>
          <w:sz w:val="26"/>
          <w:szCs w:val="26"/>
        </w:rPr>
        <w:t xml:space="preserve">.2.1   </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57CF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designate an employee or office from which information on the application process and on an Affected System can be obtained through informal requests from </w:t>
      </w:r>
      <w:r w:rsidRPr="0072600F" w:rsidR="002342E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342E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presenting a proposed project for a specific site.  The name, telephone number, and e-mail address of such contact employee or office shall be made available on </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Internet web site.  Electric system information provided to </w:t>
      </w:r>
      <w:r w:rsidRPr="0072600F" w:rsidR="00FE180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E180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should include relevant system studies, interconnection studies, and other materials useful to an understanding of an interconnection at a particular point on </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to the extent such provision does not violate confidentiality provisions of prior agreements or critical infrastructure requirements.  </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comply with reasonable requests for such information.</w:t>
      </w:r>
    </w:p>
    <w:p w:rsidR="00F3594B" w:rsidRPr="0072600F" w14:paraId="0DE88334"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   In addition to the information described in section 1.2.1, which may be provided in response to an informal request, an Interconnection Customer may submit a formal written request form along with a non-refundable fee of $300 for a pre-application report on a proposed project at a specific site.  </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the pre-application data described in section 1.2.3 to </w:t>
      </w:r>
      <w:r w:rsidRPr="0072600F" w:rsidR="00FE180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E180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within </w:t>
      </w:r>
      <w:r w:rsidRPr="0072600F" w:rsidR="0056592A">
        <w:rPr>
          <w:rFonts w:ascii="Times New Roman" w:eastAsia="Calibri" w:hAnsi="Times New Roman" w:cs="Times New Roman"/>
          <w:i/>
          <w:iCs/>
          <w:sz w:val="26"/>
          <w:szCs w:val="26"/>
        </w:rPr>
        <w:t>twenty (</w:t>
      </w:r>
      <w:r w:rsidRPr="0072600F">
        <w:rPr>
          <w:rFonts w:ascii="Times New Roman" w:eastAsia="Calibri" w:hAnsi="Times New Roman" w:cs="Times New Roman"/>
          <w:sz w:val="26"/>
          <w:szCs w:val="26"/>
        </w:rPr>
        <w:t>20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receipt of the completed request form and payment of the $300 fee.  The pre-application report produced by </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is non-binding, does not confer any rights, and </w:t>
      </w:r>
      <w:r w:rsidRPr="0072600F" w:rsidR="00FE180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FE180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still successfully apply to interconnect to </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A633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system.  The written pre-application report request form shall include the information in sections 1.2.2.1 through 1.2.2.8 below to clearly and sufficiently identify the location of the proposed Point of Interconnection.</w:t>
      </w:r>
    </w:p>
    <w:p w:rsidR="00F3594B" w:rsidRPr="0072600F" w14:paraId="2BFE155E"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1.2.2.1</w:t>
      </w:r>
      <w:r w:rsidRPr="0072600F">
        <w:rPr>
          <w:rFonts w:ascii="Times New Roman" w:eastAsia="Calibri" w:hAnsi="Times New Roman" w:cs="Times New Roman"/>
          <w:sz w:val="26"/>
          <w:szCs w:val="26"/>
        </w:rPr>
        <w:tab/>
        <w:t>Project contact information, including name, address, phone number, and email address.</w:t>
      </w:r>
    </w:p>
    <w:p w:rsidR="00F3594B" w:rsidRPr="0072600F" w14:paraId="4D8688D2"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1.2.2.2</w:t>
      </w:r>
      <w:r w:rsidRPr="0072600F">
        <w:rPr>
          <w:rFonts w:ascii="Times New Roman" w:eastAsia="Calibri" w:hAnsi="Times New Roman" w:cs="Times New Roman"/>
          <w:sz w:val="26"/>
          <w:szCs w:val="26"/>
        </w:rPr>
        <w:tab/>
        <w:t>Project location (street address with nearby cross streets and town)</w:t>
      </w:r>
    </w:p>
    <w:p w:rsidR="00F3594B" w:rsidRPr="0072600F" w14:paraId="3D3BB9AE"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1.2.2.3 </w:t>
      </w:r>
      <w:r w:rsidRPr="0072600F">
        <w:rPr>
          <w:rFonts w:ascii="Times New Roman" w:eastAsia="Calibri" w:hAnsi="Times New Roman" w:cs="Times New Roman"/>
          <w:sz w:val="26"/>
          <w:szCs w:val="26"/>
        </w:rPr>
        <w:tab/>
        <w:t>Meter number, pole number, or other equivalent information identifying proposed Point of Interconnection, if available.</w:t>
      </w:r>
    </w:p>
    <w:p w:rsidR="00F3594B" w:rsidRPr="0072600F" w14:paraId="374F1670"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1.2.2.4 </w:t>
      </w:r>
      <w:r w:rsidRPr="0072600F">
        <w:rPr>
          <w:rFonts w:ascii="Times New Roman" w:eastAsia="Calibri" w:hAnsi="Times New Roman" w:cs="Times New Roman"/>
          <w:sz w:val="26"/>
          <w:szCs w:val="26"/>
        </w:rPr>
        <w:tab/>
        <w:t>Generator Type (e.g., solar, wind, combined heat and power, etc.)</w:t>
      </w:r>
    </w:p>
    <w:p w:rsidR="00F3594B" w:rsidRPr="0072600F" w14:paraId="701C9270"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1.2.2.5 </w:t>
      </w:r>
      <w:r w:rsidRPr="0072600F">
        <w:rPr>
          <w:rFonts w:ascii="Times New Roman" w:eastAsia="Calibri" w:hAnsi="Times New Roman" w:cs="Times New Roman"/>
          <w:sz w:val="26"/>
          <w:szCs w:val="26"/>
        </w:rPr>
        <w:tab/>
        <w:t>Size (alternating current kW)</w:t>
      </w:r>
    </w:p>
    <w:p w:rsidR="00F3594B" w:rsidRPr="0072600F" w14:paraId="132AC508"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1.2.2.6 </w:t>
      </w:r>
      <w:r w:rsidRPr="0072600F">
        <w:rPr>
          <w:rFonts w:ascii="Times New Roman" w:eastAsia="Calibri" w:hAnsi="Times New Roman" w:cs="Times New Roman"/>
          <w:sz w:val="26"/>
          <w:szCs w:val="26"/>
        </w:rPr>
        <w:tab/>
        <w:t>Single or three phase generator configuration</w:t>
      </w:r>
    </w:p>
    <w:p w:rsidR="00F3594B" w:rsidRPr="0072600F" w14:paraId="6AD57E93"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1.2.2.7 </w:t>
      </w:r>
      <w:r w:rsidRPr="0072600F">
        <w:rPr>
          <w:rFonts w:ascii="Times New Roman" w:eastAsia="Calibri" w:hAnsi="Times New Roman" w:cs="Times New Roman"/>
          <w:sz w:val="26"/>
          <w:szCs w:val="26"/>
        </w:rPr>
        <w:tab/>
        <w:t>Stand-alone generator (no onsite load, not including station service – Yes or No?)</w:t>
      </w:r>
    </w:p>
    <w:p w:rsidR="00F3594B" w:rsidRPr="0072600F" w14:paraId="1B65AFDC"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1.2.2.8 </w:t>
      </w:r>
      <w:r w:rsidRPr="0072600F">
        <w:rPr>
          <w:rFonts w:ascii="Times New Roman" w:eastAsia="Calibri" w:hAnsi="Times New Roman" w:cs="Times New Roman"/>
          <w:sz w:val="26"/>
          <w:szCs w:val="26"/>
        </w:rPr>
        <w:tab/>
        <w:t>Is new service requested?  Yes or No?  If there is existing service, include the customer account number, site minimum and maximum current or proposed electric loads in kW (if available) and specify if the load is expected to change.</w:t>
      </w:r>
    </w:p>
    <w:p w:rsidR="00F3594B" w:rsidRPr="0072600F" w14:paraId="27185879"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1.2.3.  Using the information provided in the pre-application report request form in section 1.2.2, </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identify the substation/area bus, bank or circuit likely to serve the proposed Point of Interconnection.  This selection by </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does not necessarily indicate, after application of the screens and/or study, that this would be the circuit the project ultimately connects to.  </w:t>
      </w:r>
      <w:r w:rsidRPr="0072600F" w:rsidR="00D3427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27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request additional pre-application reports if information about multiple Points of Interconnection is requested.  Subject to section 1.2.4, the pre-application report will include the following information:</w:t>
      </w:r>
    </w:p>
    <w:p w:rsidR="00F3594B" w:rsidRPr="0072600F" w14:paraId="6C06F3B8"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1.2.3.1</w:t>
      </w:r>
      <w:r w:rsidRPr="0072600F">
        <w:rPr>
          <w:rFonts w:ascii="Times New Roman" w:eastAsia="Calibri" w:hAnsi="Times New Roman" w:cs="Times New Roman"/>
          <w:sz w:val="26"/>
          <w:szCs w:val="26"/>
        </w:rPr>
        <w:tab/>
        <w:t>Total capacity (in MW) of substation/area bus, bank or circuit based on normal or operating ratings likely to serve the proposed Point of Interconnection.</w:t>
      </w:r>
    </w:p>
    <w:p w:rsidR="00F3594B" w:rsidRPr="0072600F" w14:paraId="61C0CAE9"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1.2.3.2</w:t>
      </w:r>
      <w:r w:rsidRPr="0072600F">
        <w:rPr>
          <w:rFonts w:ascii="Times New Roman" w:eastAsia="Calibri" w:hAnsi="Times New Roman" w:cs="Times New Roman"/>
          <w:sz w:val="26"/>
          <w:szCs w:val="26"/>
        </w:rPr>
        <w:tab/>
        <w:t>Existing aggregate generation capacity (in MW) interconnected to a substation/area bus, bank or circuit (i.e., amount of generation online) likely to serve the proposed Point of Interconnection.</w:t>
      </w:r>
    </w:p>
    <w:p w:rsidR="00F3594B" w:rsidRPr="0072600F" w14:paraId="3C352A3B"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1.2.3.3</w:t>
      </w:r>
      <w:r w:rsidRPr="0072600F">
        <w:rPr>
          <w:rFonts w:ascii="Times New Roman" w:eastAsia="Calibri" w:hAnsi="Times New Roman" w:cs="Times New Roman"/>
          <w:sz w:val="26"/>
          <w:szCs w:val="26"/>
        </w:rPr>
        <w:tab/>
        <w:t>Aggregate queued generation capacity (in MW) for a substation/area bus, bank or circuit (i.e., amount of generation in the queue) likely to serve the proposed Point of Interconnection.</w:t>
      </w:r>
    </w:p>
    <w:p w:rsidR="00F3594B" w:rsidRPr="0072600F" w14:paraId="5EA1EE40"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1.2.3.4</w:t>
      </w:r>
      <w:r w:rsidRPr="0072600F">
        <w:rPr>
          <w:rFonts w:ascii="Times New Roman" w:eastAsia="Calibri" w:hAnsi="Times New Roman" w:cs="Times New Roman"/>
          <w:sz w:val="26"/>
          <w:szCs w:val="26"/>
        </w:rPr>
        <w:tab/>
        <w:t>Available capacity (in MW) of substation/area bus or bank and circuit likely to serve the proposed Point of Interconnection (i.e., total capacity less the sum of existing aggregate generation capacity and aggregate queued generation capacity).</w:t>
      </w:r>
    </w:p>
    <w:p w:rsidR="00F3594B" w:rsidRPr="0072600F" w14:paraId="053DFEC5"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1.2.3.5</w:t>
      </w:r>
      <w:r w:rsidRPr="0072600F">
        <w:rPr>
          <w:rFonts w:ascii="Times New Roman" w:eastAsia="Calibri" w:hAnsi="Times New Roman" w:cs="Times New Roman"/>
          <w:sz w:val="26"/>
          <w:szCs w:val="26"/>
        </w:rPr>
        <w:tab/>
        <w:t>Substation nominal distribution voltage and/or transmission nominal voltage if applicable.</w:t>
      </w:r>
    </w:p>
    <w:p w:rsidR="00F3594B" w:rsidRPr="0072600F" w14:paraId="36638629"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1.2.3.6</w:t>
      </w:r>
      <w:r w:rsidRPr="0072600F">
        <w:rPr>
          <w:rFonts w:ascii="Times New Roman" w:eastAsia="Calibri" w:hAnsi="Times New Roman" w:cs="Times New Roman"/>
          <w:sz w:val="26"/>
          <w:szCs w:val="26"/>
        </w:rPr>
        <w:tab/>
        <w:t>Nominal distribution circuit voltage at the proposed Point of Interconnection.</w:t>
      </w:r>
    </w:p>
    <w:p w:rsidR="00F3594B" w:rsidRPr="0072600F" w14:paraId="231EAE62"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1.2.3.7</w:t>
      </w:r>
      <w:r w:rsidRPr="0072600F">
        <w:rPr>
          <w:rFonts w:ascii="Times New Roman" w:eastAsia="Calibri" w:hAnsi="Times New Roman" w:cs="Times New Roman"/>
          <w:sz w:val="26"/>
          <w:szCs w:val="26"/>
        </w:rPr>
        <w:tab/>
        <w:t>Approximate circuit distance between the proposed Point of Interconnection and the substation.</w:t>
      </w:r>
    </w:p>
    <w:p w:rsidR="00F3594B" w:rsidRPr="0072600F" w14:paraId="6B14B71F"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1.2.3.8</w:t>
      </w:r>
      <w:r w:rsidRPr="0072600F">
        <w:rPr>
          <w:rFonts w:ascii="Times New Roman" w:eastAsia="Calibri" w:hAnsi="Times New Roman" w:cs="Times New Roman"/>
          <w:sz w:val="26"/>
          <w:szCs w:val="26"/>
        </w:rPr>
        <w:tab/>
        <w:t>Relevant line section(s) actual or estimated peak load and minimum load data, including daytime minimum load as described in section 2.4.4.1.1 below and absolute minimum load, when available.</w:t>
      </w:r>
    </w:p>
    <w:p w:rsidR="00F3594B" w:rsidRPr="0072600F" w14:paraId="14C21215"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1.2.3.9</w:t>
      </w:r>
      <w:r w:rsidRPr="0072600F">
        <w:rPr>
          <w:rFonts w:ascii="Times New Roman" w:eastAsia="Calibri" w:hAnsi="Times New Roman" w:cs="Times New Roman"/>
          <w:sz w:val="26"/>
          <w:szCs w:val="26"/>
        </w:rPr>
        <w:tab/>
        <w:t>Number and rating of protective devices and number and type (standard, bi-directional) of voltage regulating devices between the proposed Point of Interconnection and the substation/area.  Identify whether the substation has a load tap changer.</w:t>
      </w:r>
    </w:p>
    <w:p w:rsidR="00F3594B" w:rsidRPr="0072600F" w14:paraId="743C5FCE"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1.2.3.10</w:t>
      </w:r>
      <w:r w:rsidRPr="0072600F">
        <w:rPr>
          <w:rFonts w:ascii="Times New Roman" w:eastAsia="Calibri" w:hAnsi="Times New Roman" w:cs="Times New Roman"/>
          <w:sz w:val="26"/>
          <w:szCs w:val="26"/>
        </w:rPr>
        <w:tab/>
        <w:t>Number of phases available at the proposed Point of Interconnection.  If a single phase, distance from the three-phase circuit.</w:t>
      </w:r>
    </w:p>
    <w:p w:rsidR="00F3594B" w:rsidRPr="0072600F" w14:paraId="4B345A2C"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1.2.3.11</w:t>
      </w:r>
      <w:r w:rsidRPr="0072600F">
        <w:rPr>
          <w:rFonts w:ascii="Times New Roman" w:eastAsia="Calibri" w:hAnsi="Times New Roman" w:cs="Times New Roman"/>
          <w:sz w:val="26"/>
          <w:szCs w:val="26"/>
        </w:rPr>
        <w:tab/>
        <w:t>Limiting conductor ratings from the proposed Point of Interconnection to the distribution substation.</w:t>
      </w:r>
    </w:p>
    <w:p w:rsidR="00F3594B" w:rsidRPr="0072600F" w14:paraId="32741909"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1.2.3.12</w:t>
      </w:r>
      <w:r w:rsidRPr="0072600F">
        <w:rPr>
          <w:rFonts w:ascii="Times New Roman" w:eastAsia="Calibri" w:hAnsi="Times New Roman" w:cs="Times New Roman"/>
          <w:sz w:val="26"/>
          <w:szCs w:val="26"/>
        </w:rPr>
        <w:tab/>
        <w:t>Whether the Point of Interconnection is located on a spot network, grid network, or radial supply.</w:t>
      </w:r>
    </w:p>
    <w:p w:rsidR="00F3594B" w:rsidRPr="0072600F" w14:paraId="2AF139F3" w14:textId="77777777">
      <w:pPr>
        <w:spacing w:after="12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1.2.3.13</w:t>
      </w:r>
      <w:r w:rsidRPr="0072600F">
        <w:rPr>
          <w:rFonts w:ascii="Times New Roman" w:eastAsia="Calibri" w:hAnsi="Times New Roman" w:cs="Times New Roman"/>
          <w:sz w:val="26"/>
          <w:szCs w:val="26"/>
        </w:rPr>
        <w:tab/>
        <w:t>Based on the proposed Point of Interconnection, existing or known constraints such as, but not limited to, electrical dependencies at that location, short circuit interrupting capacity issues, power quality or stability issues on the circuit, capacity constraints, or secondary networks.</w:t>
      </w:r>
    </w:p>
    <w:p w:rsidR="00F3594B" w:rsidRPr="0072600F" w14:paraId="0348E44A"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1.2.4 </w:t>
      </w:r>
      <w:r w:rsidRPr="0072600F">
        <w:rPr>
          <w:rFonts w:ascii="Times New Roman" w:eastAsia="Calibri" w:hAnsi="Times New Roman" w:cs="Times New Roman"/>
          <w:sz w:val="26"/>
          <w:szCs w:val="26"/>
        </w:rPr>
        <w:tab/>
        <w:t xml:space="preserve">The pre-application report need only include existing data.  A pre-application report request does not obligate </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to conduct a study or other analysis of the proposed generator in the event that data is not readily available.  If </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cannot complete all or some of a pre-application report due to lack of available data, the</w:t>
      </w:r>
    </w:p>
    <w:p w:rsidR="00F3594B" w:rsidRPr="0072600F" w14:paraId="1E6AA986" w14:textId="77777777">
      <w:pPr>
        <w:spacing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Transmission Provider shall provide </w:t>
      </w:r>
      <w:r w:rsidRPr="0072600F" w:rsidR="00D3427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 a pre-application report that includes the data that is available.  The provision</w:t>
      </w:r>
    </w:p>
    <w:p w:rsidR="00F3594B" w:rsidRPr="0072600F" w14:paraId="7CF64DD3" w14:textId="77777777">
      <w:pPr>
        <w:spacing w:line="276" w:lineRule="auto"/>
        <w:ind w:left="1440"/>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rPr>
        <w:t>O</w:t>
      </w:r>
      <w:r w:rsidRPr="0072600F">
        <w:rPr>
          <w:rFonts w:ascii="Times New Roman" w:eastAsia="Calibri" w:hAnsi="Times New Roman" w:cs="Times New Roman"/>
          <w:sz w:val="26"/>
          <w:szCs w:val="26"/>
        </w:rPr>
        <w:t xml:space="preserve">f information on “available capacity” pursuant to section 1.2.3.4 does not imply that an interconnection up to this level may be completed without impacts since there are many variables studied as part of the interconnection review process, and data provided in the pre-application report may become outdated at the time of the submission of the complete Interconnection Request.  Notwithstanding any of the provisions of this section,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in good faith, include data in the pre-application report that represents the best available information at the time of reporting.</w:t>
      </w:r>
    </w:p>
    <w:p w:rsidR="00F3594B" w:rsidRPr="0072600F" w:rsidP="00655736" w14:paraId="101487D3" w14:textId="77777777">
      <w:pPr>
        <w:pStyle w:val="Heading3"/>
        <w:spacing w:after="240"/>
        <w:ind w:left="0" w:firstLine="0"/>
        <w:rPr>
          <w:sz w:val="26"/>
          <w:u w:val="single"/>
        </w:rPr>
      </w:pPr>
      <w:bookmarkStart w:id="684" w:name="_Toc371514229"/>
      <w:r w:rsidRPr="0072600F">
        <w:rPr>
          <w:sz w:val="26"/>
        </w:rPr>
        <w:t>1.3</w:t>
      </w:r>
      <w:r w:rsidRPr="0072600F">
        <w:rPr>
          <w:sz w:val="26"/>
        </w:rPr>
        <w:tab/>
      </w:r>
      <w:r w:rsidRPr="0072600F">
        <w:rPr>
          <w:sz w:val="26"/>
          <w:u w:val="single"/>
        </w:rPr>
        <w:t>Interconnection Request</w:t>
      </w:r>
      <w:bookmarkEnd w:id="684"/>
    </w:p>
    <w:p w:rsidR="00F3594B" w:rsidRPr="0072600F" w14:paraId="7EAB59FA"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submit its Interconnection Request to </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55736">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together with the processing fee or deposit specified in the Interconnection Request.  The Interconnection Request shall be date- and time-stamped upon receipt.  The original date- and time-stamp applied to the Interconnection Request at the time of its original submission shall be accepted as the qualifying date- and time-stamp for the purposes of any timetable in these procedures.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be notified of receipt by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within three</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(3)</w:t>
      </w:r>
      <w:r w:rsidRPr="0072600F">
        <w:rPr>
          <w:rFonts w:ascii="Times New Roman" w:eastAsia="Calibri" w:hAnsi="Times New Roman" w:cs="Times New Roman"/>
          <w:sz w:val="26"/>
          <w:szCs w:val="26"/>
        </w:rPr>
        <w:t xml:space="preserve"> Business Days of receiving the Interconnection Request.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notify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within ten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(10)</w:t>
      </w:r>
      <w:r w:rsidRPr="0072600F">
        <w:rPr>
          <w:rFonts w:ascii="Times New Roman" w:eastAsia="Calibri" w:hAnsi="Times New Roman" w:cs="Times New Roman"/>
          <w:sz w:val="26"/>
          <w:szCs w:val="26"/>
        </w:rPr>
        <w:t xml:space="preserve"> Business Days of the receipt of the Interconnection Request as to whether the Interconnection Request is complete or incomplete.  If the Interconnection Request is incomplete,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along with the notice that the Interconnection Request is incomplete, a written list detailing all information that must be provided to complete the Interconnection Request.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will have ten </w:t>
      </w:r>
      <w:r w:rsidRPr="0072600F" w:rsidR="0056592A">
        <w:rPr>
          <w:rFonts w:ascii="Times New Roman" w:eastAsia="Calibri" w:hAnsi="Times New Roman" w:cs="Times New Roman"/>
          <w:i/>
          <w:iCs/>
          <w:sz w:val="26"/>
          <w:szCs w:val="26"/>
        </w:rPr>
        <w:t xml:space="preserve">(10) </w:t>
      </w:r>
      <w:r w:rsidRPr="0072600F">
        <w:rPr>
          <w:rFonts w:ascii="Times New Roman" w:eastAsia="Calibri" w:hAnsi="Times New Roman" w:cs="Times New Roman"/>
          <w:sz w:val="26"/>
          <w:szCs w:val="26"/>
        </w:rPr>
        <w:t xml:space="preserve">Business Days after receipt of the notice to submit the listed information or to request an extension of time to provide such information.  If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does not provide the listed information or a request for an extension of time within the deadline, the Interconnection Request will be deemed withdrawn.  An Interconnection Request will be deemed complete upon submission of the listed information to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w:t>
      </w:r>
    </w:p>
    <w:p w:rsidR="00F3594B" w:rsidRPr="0072600F" w:rsidP="004D7E63" w14:paraId="0EA7D218" w14:textId="77777777">
      <w:pPr>
        <w:pStyle w:val="Heading3"/>
        <w:spacing w:after="240"/>
        <w:ind w:left="0" w:firstLine="0"/>
        <w:rPr>
          <w:sz w:val="26"/>
        </w:rPr>
      </w:pPr>
      <w:bookmarkStart w:id="685" w:name="_Toc371514230"/>
      <w:bookmarkStart w:id="686" w:name="_Hlk149636959"/>
      <w:r w:rsidRPr="0072600F">
        <w:rPr>
          <w:sz w:val="26"/>
        </w:rPr>
        <w:t>1.4</w:t>
      </w:r>
      <w:r w:rsidRPr="0072600F">
        <w:rPr>
          <w:sz w:val="26"/>
        </w:rPr>
        <w:tab/>
      </w:r>
      <w:r w:rsidRPr="0072600F">
        <w:rPr>
          <w:sz w:val="26"/>
          <w:u w:val="single"/>
        </w:rPr>
        <w:t>Modification of the Interconnection Request</w:t>
      </w:r>
      <w:bookmarkEnd w:id="685"/>
    </w:p>
    <w:bookmarkEnd w:id="686"/>
    <w:p w:rsidR="00F3594B" w:rsidRPr="0072600F" w14:paraId="5733A960"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Any modification to machine data or equipment configuration or to the interconnection site of the Small Generating Facility not agreed to in writing by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and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may be deemed a withdrawal of the Interconnection Request and may require submission of a new Interconnection Request, unless proper notification of each Party by the other and a reasonable time</w:t>
      </w:r>
      <w:r w:rsidRPr="0072600F" w:rsidR="00C70880">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to cure the problems created by the changes are undertaken.  Any such modification of the Interconnection Request must be accompanied by any resulting updates to the models described in Attachment 2 of this SGIP.</w:t>
      </w:r>
    </w:p>
    <w:p w:rsidR="00F3594B" w:rsidRPr="0072600F" w:rsidP="00992E8B" w14:paraId="73F5ACBA" w14:textId="77777777">
      <w:pPr>
        <w:pStyle w:val="Heading3"/>
        <w:spacing w:after="240"/>
        <w:ind w:left="0" w:firstLine="0"/>
        <w:rPr>
          <w:sz w:val="26"/>
        </w:rPr>
      </w:pPr>
      <w:bookmarkStart w:id="687" w:name="_Toc371514231"/>
      <w:r w:rsidRPr="0072600F">
        <w:rPr>
          <w:sz w:val="26"/>
        </w:rPr>
        <w:t>1.5</w:t>
      </w:r>
      <w:r w:rsidRPr="0072600F">
        <w:rPr>
          <w:sz w:val="26"/>
        </w:rPr>
        <w:tab/>
      </w:r>
      <w:r w:rsidRPr="0072600F">
        <w:rPr>
          <w:sz w:val="26"/>
          <w:u w:val="single"/>
        </w:rPr>
        <w:t>Site Control</w:t>
      </w:r>
      <w:bookmarkEnd w:id="687"/>
    </w:p>
    <w:p w:rsidR="00F3594B" w:rsidRPr="0072600F" w14:paraId="32F04824"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Documentation of site control must be submitted with the Interconnection Request.  Site control may be demonstrated through:</w:t>
      </w:r>
    </w:p>
    <w:p w:rsidR="00F3594B" w:rsidRPr="0072600F" w14:paraId="470C6E8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1.5.1</w:t>
      </w:r>
      <w:r w:rsidRPr="0072600F">
        <w:rPr>
          <w:rFonts w:ascii="Times New Roman" w:eastAsia="Calibri" w:hAnsi="Times New Roman" w:cs="Times New Roman"/>
          <w:sz w:val="26"/>
          <w:szCs w:val="26"/>
        </w:rPr>
        <w:tab/>
        <w:t xml:space="preserve">Ownership </w:t>
      </w:r>
      <w:r w:rsidRPr="0072600F">
        <w:rPr>
          <w:rFonts w:ascii="Times New Roman" w:eastAsia="Calibri" w:hAnsi="Times New Roman" w:cs="Times New Roman"/>
          <w:sz w:val="26"/>
          <w:szCs w:val="26"/>
        </w:rPr>
        <w:t>of,</w:t>
      </w:r>
      <w:r w:rsidRPr="0072600F">
        <w:rPr>
          <w:rFonts w:ascii="Times New Roman" w:eastAsia="Calibri" w:hAnsi="Times New Roman" w:cs="Times New Roman"/>
          <w:sz w:val="26"/>
          <w:szCs w:val="26"/>
        </w:rPr>
        <w:t xml:space="preserve"> a leasehold interest in, or a right to develop a site for the purpose of constructing the Small Generating Facility;</w:t>
      </w:r>
    </w:p>
    <w:p w:rsidR="00F3594B" w:rsidRPr="0072600F" w14:paraId="42FA49DA"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1.5.2</w:t>
      </w:r>
      <w:r w:rsidRPr="0072600F">
        <w:rPr>
          <w:rFonts w:ascii="Times New Roman" w:eastAsia="Calibri" w:hAnsi="Times New Roman" w:cs="Times New Roman"/>
          <w:sz w:val="26"/>
          <w:szCs w:val="26"/>
        </w:rPr>
        <w:tab/>
        <w:t>An option to purchase or acquire a leasehold site for such purpose; or</w:t>
      </w:r>
    </w:p>
    <w:p w:rsidR="00F3594B" w:rsidRPr="0072600F" w14:paraId="16F00B3C"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1.5.3</w:t>
      </w:r>
      <w:r w:rsidRPr="0072600F">
        <w:rPr>
          <w:rFonts w:ascii="Times New Roman" w:eastAsia="Calibri" w:hAnsi="Times New Roman" w:cs="Times New Roman"/>
          <w:sz w:val="26"/>
          <w:szCs w:val="26"/>
        </w:rPr>
        <w:tab/>
        <w:t xml:space="preserve">An exclusivity or other business relationship between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the entity having the right to sell, lease, or grant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the right to possess or occupy a site for such purpose.</w:t>
      </w:r>
    </w:p>
    <w:p w:rsidR="00F3594B" w:rsidRPr="0072600F" w:rsidP="00992E8B" w14:paraId="11EBCAE0" w14:textId="77777777">
      <w:pPr>
        <w:pStyle w:val="Heading3"/>
        <w:spacing w:after="240"/>
        <w:ind w:left="0" w:firstLine="0"/>
        <w:rPr>
          <w:sz w:val="26"/>
        </w:rPr>
      </w:pPr>
      <w:bookmarkStart w:id="688" w:name="_Toc371514232"/>
      <w:r w:rsidRPr="0072600F">
        <w:rPr>
          <w:sz w:val="26"/>
        </w:rPr>
        <w:t>1.6</w:t>
      </w:r>
      <w:r w:rsidRPr="0072600F">
        <w:rPr>
          <w:sz w:val="26"/>
        </w:rPr>
        <w:tab/>
      </w:r>
      <w:r w:rsidRPr="0072600F">
        <w:rPr>
          <w:sz w:val="26"/>
          <w:u w:val="single"/>
        </w:rPr>
        <w:t>Queue Position</w:t>
      </w:r>
      <w:bookmarkEnd w:id="688"/>
    </w:p>
    <w:p w:rsidR="00F3594B" w:rsidRPr="0072600F" w14:paraId="1DD2B131"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assign a Queue Position based upon the date- and time-stamp of the Interconnection Request.  The Queue Position of each Interconnection Request will be used to determine the cost responsibility for the Upgrades necessary to accommodate the interconnection.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maintain a single queue per geographic region.  At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option, Interconnection Requests may be studied serially or in clusters for the purpose of the system impact study.</w:t>
      </w:r>
    </w:p>
    <w:p w:rsidR="00F3594B" w:rsidRPr="0072600F" w:rsidP="000E5C27" w14:paraId="36E47905" w14:textId="77777777">
      <w:pPr>
        <w:pStyle w:val="Heading3"/>
        <w:spacing w:after="240"/>
        <w:ind w:left="0" w:firstLine="0"/>
        <w:rPr>
          <w:sz w:val="26"/>
          <w:u w:val="single"/>
        </w:rPr>
      </w:pPr>
      <w:bookmarkStart w:id="689" w:name="_Toc371514233"/>
      <w:r w:rsidRPr="0072600F">
        <w:rPr>
          <w:sz w:val="26"/>
        </w:rPr>
        <w:t>1.7</w:t>
      </w:r>
      <w:r w:rsidRPr="0072600F">
        <w:rPr>
          <w:sz w:val="26"/>
        </w:rPr>
        <w:tab/>
      </w:r>
      <w:r w:rsidRPr="0072600F">
        <w:rPr>
          <w:sz w:val="26"/>
          <w:u w:val="single"/>
        </w:rPr>
        <w:t>Interconnection Requests Submitted Prior to the Effective Date of the SGIP</w:t>
      </w:r>
      <w:bookmarkEnd w:id="689"/>
    </w:p>
    <w:p w:rsidR="00C17D90" w:rsidRPr="0072600F" w:rsidP="00C17D90" w14:paraId="760394F2"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Nothing in this SGIP affects an Interconnection Customer</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s Queue Position assigned before the effective date of this SGIP.  The Parties agree to complete work on any interconnection study agreement executed prior the effective date of this SGIP in accordance with the terms and conditions of that interconnection study agreement.  Any new studies or other additional work will be completed pursuant to this SGIP.</w:t>
      </w:r>
    </w:p>
    <w:p w:rsidR="00C17D90" w:rsidRPr="0072600F" w14:paraId="027609D8" w14:textId="77777777">
      <w:pPr>
        <w:spacing w:after="200" w:line="276" w:lineRule="auto"/>
        <w:ind w:left="720"/>
        <w:rPr>
          <w:rFonts w:ascii="Times New Roman" w:eastAsia="Calibri" w:hAnsi="Times New Roman" w:cs="Times New Roman"/>
          <w:sz w:val="26"/>
          <w:szCs w:val="26"/>
        </w:rPr>
      </w:pPr>
    </w:p>
    <w:p w:rsidR="00F3594B" w:rsidRPr="0072600F" w:rsidP="00992E8B" w14:paraId="056455C0" w14:textId="77777777">
      <w:pPr>
        <w:pStyle w:val="Heading2"/>
        <w:spacing w:after="240"/>
        <w:rPr>
          <w:b/>
          <w:bCs/>
          <w:sz w:val="26"/>
          <w:szCs w:val="26"/>
        </w:rPr>
      </w:pPr>
      <w:bookmarkStart w:id="690" w:name="_Toc371514234"/>
      <w:r w:rsidRPr="0072600F">
        <w:rPr>
          <w:b/>
          <w:bCs/>
          <w:sz w:val="26"/>
          <w:szCs w:val="26"/>
        </w:rPr>
        <w:t>Section 2.  Fast Track Process</w:t>
      </w:r>
      <w:bookmarkEnd w:id="690"/>
      <w:r w:rsidRPr="0072600F">
        <w:rPr>
          <w:b/>
          <w:bCs/>
          <w:sz w:val="26"/>
          <w:szCs w:val="26"/>
        </w:rPr>
        <w:t xml:space="preserve"> </w:t>
      </w:r>
    </w:p>
    <w:p w:rsidR="00F3594B" w:rsidRPr="0072600F" w:rsidP="00992E8B" w14:paraId="753A55A8" w14:textId="77777777">
      <w:pPr>
        <w:pStyle w:val="Heading3"/>
        <w:spacing w:after="240"/>
        <w:ind w:left="0" w:firstLine="0"/>
        <w:rPr>
          <w:sz w:val="26"/>
        </w:rPr>
      </w:pPr>
      <w:bookmarkStart w:id="691" w:name="_Toc371514235"/>
      <w:r w:rsidRPr="0072600F">
        <w:rPr>
          <w:sz w:val="26"/>
        </w:rPr>
        <w:t>2.1</w:t>
      </w:r>
      <w:r w:rsidRPr="0072600F">
        <w:rPr>
          <w:sz w:val="26"/>
        </w:rPr>
        <w:tab/>
      </w:r>
      <w:r w:rsidRPr="0072600F">
        <w:rPr>
          <w:sz w:val="26"/>
          <w:u w:val="single"/>
        </w:rPr>
        <w:t>Applicability</w:t>
      </w:r>
      <w:bookmarkEnd w:id="691"/>
    </w:p>
    <w:p w:rsidR="00F3594B" w:rsidRPr="0072600F" w:rsidP="00252331" w14:paraId="59F4F3A0" w14:textId="77777777">
      <w:pPr>
        <w:spacing w:line="276" w:lineRule="auto"/>
        <w:ind w:left="720"/>
        <w:rPr>
          <w:rFonts w:ascii="Times New Roman" w:eastAsia="Calibri" w:hAnsi="Times New Roman" w:cs="Times New Roman"/>
          <w:strike/>
          <w:sz w:val="26"/>
          <w:szCs w:val="26"/>
        </w:rPr>
      </w:pPr>
      <w:r w:rsidRPr="0072600F">
        <w:rPr>
          <w:rFonts w:ascii="Times New Roman" w:eastAsia="Calibri" w:hAnsi="Times New Roman" w:cs="Times New Roman"/>
          <w:sz w:val="26"/>
          <w:szCs w:val="26"/>
        </w:rPr>
        <w:t xml:space="preserve">The Fast Track Process is available to an Interconnection Customer proposing to interconnect its Small Generating Facility with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Distribution System if the Small Generating Facility’s capacity does not exceed the size limits identified in the table below.  Small Generating Facilities below these limits are eligible for Fast Track review.  However, Fast Track eligibility is distinct from the Fast Track Process itself, and eligibility does not imply or indicate that a Small Generating Facility will pass the Fast Track screens in section 2.2.1 below or the Supplemental Review screens in section 2.4.4 below.</w:t>
      </w:r>
    </w:p>
    <w:p w:rsidR="00F3594B" w:rsidRPr="0072600F" w14:paraId="25331785" w14:textId="77777777">
      <w:pPr>
        <w:spacing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Fast Track eligibility is determined based upon the generator type, the size of the generator, voltage of the line and the location of and the type of line at the Point of Interconnection.  All Small Generating Facilities connecting to lines greater than 69 kilovolt (kV) are ineligible for the Fast Track Process regardless of size.  All synchronous and induction machines must be no larger than 2 MW to be eligible for the Fast Track Process, regardless of location.  For certified inverter-based systems, the size limit varies according to the voltage of the line at the proposed Point of Interconnection.  Certified inverter-based Small Generating Facilities located within 2.5 electrical circuit miles of a substation and on a mainline (as defined in the table below) are eligible for the Fast Track Process under the higher thresholds according to the table below.  In addition to the size threshold,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proposed Small Generating Facility must meet the codes, standards, and certification requirements of Attachments 3 and 4 of these procedures, or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has to have reviewed the design or tested the proposed Small Generating Facility and is satisfied that it is safe to operate.</w:t>
      </w:r>
    </w:p>
    <w:p w:rsidR="00F3594B" w:rsidRPr="0072600F" w14:paraId="341A0D5A" w14:textId="77777777">
      <w:pPr>
        <w:spacing w:line="276" w:lineRule="auto"/>
        <w:ind w:left="720"/>
        <w:rPr>
          <w:rFonts w:ascii="Times New Roman" w:eastAsia="Calibri" w:hAnsi="Times New Roman" w:cs="Times New Roman"/>
          <w:sz w:val="26"/>
          <w:szCs w:val="26"/>
        </w:rPr>
      </w:pPr>
    </w:p>
    <w:tbl>
      <w:tblPr>
        <w:tblpPr w:leftFromText="180" w:rightFromText="180" w:vertAnchor="text" w:horzAnchor="margin" w:tblpY="38"/>
        <w:tblOverlap w:val="never"/>
        <w:tblW w:w="0" w:type="auto"/>
        <w:tblLayout w:type="fixed"/>
        <w:tblLook w:val="0000"/>
      </w:tblPr>
      <w:tblGrid>
        <w:gridCol w:w="3123"/>
        <w:gridCol w:w="3123"/>
        <w:gridCol w:w="3124"/>
      </w:tblGrid>
      <w:tr w14:paraId="331C5119" w14:textId="77777777">
        <w:tblPrEx>
          <w:tblW w:w="0" w:type="auto"/>
          <w:tblLayout w:type="fixed"/>
          <w:tblLook w:val="0000"/>
        </w:tblPrEx>
        <w:trPr>
          <w:cantSplit/>
          <w:trHeight w:val="20"/>
        </w:trPr>
        <w:tc>
          <w:tcPr>
            <w:tcW w:w="9370" w:type="dxa"/>
            <w:gridSpan w:val="3"/>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F3594B" w:rsidRPr="0072600F" w14:paraId="667F0CD6" w14:textId="77777777">
            <w:pPr>
              <w:ind w:left="10"/>
              <w:jc w:val="center"/>
              <w:outlineLvl w:val="0"/>
              <w:rPr>
                <w:rFonts w:ascii="Times New Roman" w:eastAsia="Arial Unicode MS" w:hAnsi="Times New Roman" w:cs="Times New Roman"/>
                <w:b/>
                <w:color w:val="222222"/>
                <w:sz w:val="26"/>
                <w:szCs w:val="26"/>
              </w:rPr>
            </w:pPr>
            <w:r w:rsidRPr="0072600F">
              <w:rPr>
                <w:rFonts w:ascii="Times New Roman" w:eastAsia="Calibri" w:hAnsi="Times New Roman" w:cs="Times New Roman"/>
                <w:sz w:val="26"/>
                <w:szCs w:val="26"/>
              </w:rPr>
              <w:br w:type="page"/>
            </w:r>
            <w:r w:rsidRPr="0072600F">
              <w:rPr>
                <w:rFonts w:ascii="Times New Roman" w:eastAsia="Arial Unicode MS" w:hAnsi="Times New Roman" w:cs="Times New Roman"/>
                <w:color w:val="222222"/>
                <w:sz w:val="26"/>
                <w:szCs w:val="26"/>
              </w:rPr>
              <w:t>Fast Track Eligibility for Inverter-Based Systems</w:t>
            </w:r>
          </w:p>
        </w:tc>
      </w:tr>
      <w:tr w14:paraId="3A228A35" w14:textId="77777777">
        <w:tblPrEx>
          <w:tblW w:w="0" w:type="auto"/>
          <w:tblLayout w:type="fixed"/>
          <w:tblLook w:val="0000"/>
        </w:tblPrEx>
        <w:trPr>
          <w:cantSplit/>
          <w:trHeight w:val="20"/>
        </w:trPr>
        <w:tc>
          <w:tcPr>
            <w:tcW w:w="3123"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F3594B" w:rsidRPr="0072600F" w14:paraId="60600060" w14:textId="77777777">
            <w:pPr>
              <w:ind w:left="10"/>
              <w:jc w:val="center"/>
              <w:outlineLvl w:val="0"/>
              <w:rPr>
                <w:rFonts w:ascii="Times New Roman" w:eastAsia="Arial Unicode MS" w:hAnsi="Times New Roman" w:cs="Times New Roman"/>
                <w:color w:val="222222"/>
                <w:sz w:val="26"/>
                <w:szCs w:val="26"/>
              </w:rPr>
            </w:pPr>
            <w:r w:rsidRPr="0072600F">
              <w:rPr>
                <w:rFonts w:ascii="Times New Roman" w:eastAsia="Arial Unicode MS" w:hAnsi="Times New Roman" w:cs="Times New Roman"/>
                <w:color w:val="222222"/>
                <w:sz w:val="26"/>
                <w:szCs w:val="26"/>
              </w:rPr>
              <w:t>Line Voltage</w:t>
            </w:r>
          </w:p>
        </w:tc>
        <w:tc>
          <w:tcPr>
            <w:tcW w:w="3123"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F3594B" w:rsidRPr="0072600F" w14:paraId="5DFB49FA" w14:textId="77777777">
            <w:pPr>
              <w:jc w:val="center"/>
              <w:outlineLvl w:val="0"/>
              <w:rPr>
                <w:rFonts w:ascii="Times New Roman" w:eastAsia="Arial Unicode MS" w:hAnsi="Times New Roman" w:cs="Times New Roman"/>
                <w:color w:val="222222"/>
                <w:sz w:val="26"/>
                <w:szCs w:val="26"/>
              </w:rPr>
            </w:pPr>
            <w:r w:rsidRPr="0072600F">
              <w:rPr>
                <w:rFonts w:ascii="Times New Roman" w:eastAsia="Arial Unicode MS" w:hAnsi="Times New Roman" w:cs="Times New Roman"/>
                <w:color w:val="222222"/>
                <w:sz w:val="26"/>
                <w:szCs w:val="26"/>
              </w:rPr>
              <w:t>Fast Track Eligibility Regardless of Location</w:t>
            </w:r>
          </w:p>
        </w:tc>
        <w:tc>
          <w:tcPr>
            <w:tcW w:w="3124" w:type="dxa"/>
            <w:tcBorders>
              <w:top w:val="single" w:sz="8" w:space="0" w:color="000000"/>
              <w:left w:val="single" w:sz="8" w:space="0" w:color="000000"/>
              <w:bottom w:val="single" w:sz="4" w:space="0" w:color="000000"/>
              <w:right w:val="single" w:sz="8" w:space="0" w:color="000000"/>
            </w:tcBorders>
            <w:shd w:val="clear" w:color="auto" w:fill="FFFFFF"/>
            <w:tcMar>
              <w:top w:w="80" w:type="dxa"/>
              <w:left w:w="0" w:type="dxa"/>
              <w:bottom w:w="80" w:type="dxa"/>
              <w:right w:w="0" w:type="dxa"/>
            </w:tcMar>
            <w:vAlign w:val="center"/>
          </w:tcPr>
          <w:p w:rsidR="00F3594B" w:rsidRPr="0072600F" w14:paraId="0C51D344" w14:textId="77777777">
            <w:pPr>
              <w:jc w:val="center"/>
              <w:outlineLvl w:val="0"/>
              <w:rPr>
                <w:rFonts w:ascii="Times New Roman" w:eastAsia="Arial Unicode MS" w:hAnsi="Times New Roman" w:cs="Times New Roman"/>
                <w:color w:val="222222"/>
                <w:sz w:val="26"/>
                <w:szCs w:val="26"/>
              </w:rPr>
            </w:pPr>
            <w:r w:rsidRPr="0072600F">
              <w:rPr>
                <w:rFonts w:ascii="Times New Roman" w:eastAsia="Arial Unicode MS" w:hAnsi="Times New Roman" w:cs="Times New Roman"/>
                <w:color w:val="222222"/>
                <w:sz w:val="26"/>
                <w:szCs w:val="26"/>
              </w:rPr>
              <w:t>Fast Track Eligibility on a Mainline</w:t>
            </w:r>
            <w:r>
              <w:rPr>
                <w:rStyle w:val="FootnoteReference"/>
              </w:rPr>
              <w:footnoteReference w:id="1226"/>
            </w:r>
            <w:r w:rsidRPr="0072600F">
              <w:rPr>
                <w:rFonts w:ascii="Times New Roman" w:eastAsia="Arial Unicode MS" w:hAnsi="Times New Roman" w:cs="Times New Roman"/>
                <w:color w:val="222222"/>
                <w:sz w:val="26"/>
                <w:szCs w:val="26"/>
              </w:rPr>
              <w:t xml:space="preserve"> and ≤ 2.5 Electrical Circuit Miles from Substation</w:t>
            </w:r>
            <w:r>
              <w:rPr>
                <w:rStyle w:val="FootnoteReference"/>
              </w:rPr>
              <w:footnoteReference w:id="1227"/>
            </w:r>
          </w:p>
        </w:tc>
      </w:tr>
      <w:tr w14:paraId="731C8174" w14:textId="77777777">
        <w:tblPrEx>
          <w:tblW w:w="0" w:type="auto"/>
          <w:tblLayout w:type="fixed"/>
          <w:tblLook w:val="0000"/>
        </w:tblPrEx>
        <w:trPr>
          <w:cantSplit/>
          <w:trHeight w:val="20"/>
        </w:trPr>
        <w:tc>
          <w:tcPr>
            <w:tcW w:w="312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5A1CD710" w14:textId="77777777">
            <w:pPr>
              <w:ind w:left="10"/>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&lt; 5 kV</w:t>
            </w:r>
          </w:p>
        </w:tc>
        <w:tc>
          <w:tcPr>
            <w:tcW w:w="312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1F73696A"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500 kW</w:t>
            </w:r>
          </w:p>
        </w:tc>
        <w:tc>
          <w:tcPr>
            <w:tcW w:w="3124"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299FD0DD"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500 kW</w:t>
            </w:r>
          </w:p>
        </w:tc>
      </w:tr>
      <w:tr w14:paraId="49BFDADF" w14:textId="77777777">
        <w:tblPrEx>
          <w:tblW w:w="0" w:type="auto"/>
          <w:tblLayout w:type="fixed"/>
          <w:tblLook w:val="0000"/>
        </w:tblPrEx>
        <w:trPr>
          <w:cantSplit/>
          <w:trHeight w:val="20"/>
        </w:trPr>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279F30CF"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5 kV and &lt; 15 kV</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21203DCF" w14:textId="77777777">
            <w:pPr>
              <w:tabs>
                <w:tab w:val="left" w:pos="3097"/>
              </w:tabs>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2 MW</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6CEFE20C"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3 MW</w:t>
            </w:r>
          </w:p>
        </w:tc>
      </w:tr>
      <w:tr w14:paraId="1F0C8CE7" w14:textId="77777777">
        <w:tblPrEx>
          <w:tblW w:w="0" w:type="auto"/>
          <w:tblLayout w:type="fixed"/>
          <w:tblLook w:val="0000"/>
        </w:tblPrEx>
        <w:trPr>
          <w:cantSplit/>
          <w:trHeight w:val="20"/>
        </w:trPr>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603C883C" w14:textId="77777777">
            <w:pPr>
              <w:ind w:left="10"/>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15 kV and &lt; 30 kV</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0D433CDE"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3 MW</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6782C6AB"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4 MW</w:t>
            </w:r>
          </w:p>
        </w:tc>
      </w:tr>
      <w:tr w14:paraId="44C7E973" w14:textId="77777777">
        <w:tblPrEx>
          <w:tblW w:w="0" w:type="auto"/>
          <w:tblLayout w:type="fixed"/>
          <w:tblLook w:val="0000"/>
        </w:tblPrEx>
        <w:trPr>
          <w:cantSplit/>
          <w:trHeight w:val="20"/>
        </w:trPr>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3F863A48" w14:textId="77777777">
            <w:pPr>
              <w:ind w:left="10"/>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30 kV and ≤ 69 kV</w:t>
            </w:r>
          </w:p>
        </w:tc>
        <w:tc>
          <w:tcPr>
            <w:tcW w:w="312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1B76B71F"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4 MW</w:t>
            </w:r>
          </w:p>
        </w:tc>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F3594B" w:rsidRPr="0072600F" w14:paraId="345BE75F" w14:textId="77777777">
            <w:pPr>
              <w:jc w:val="center"/>
              <w:outlineLvl w:val="0"/>
              <w:rPr>
                <w:rFonts w:ascii="Times New Roman" w:eastAsia="Arial Unicode MS" w:hAnsi="Times New Roman" w:cs="Times New Roman"/>
                <w:color w:val="000000"/>
                <w:sz w:val="26"/>
                <w:szCs w:val="26"/>
              </w:rPr>
            </w:pPr>
            <w:r w:rsidRPr="0072600F">
              <w:rPr>
                <w:rFonts w:ascii="Times New Roman" w:eastAsia="Arial Unicode MS" w:hAnsi="Times New Roman" w:cs="Times New Roman"/>
                <w:color w:val="000000"/>
                <w:sz w:val="26"/>
                <w:szCs w:val="26"/>
              </w:rPr>
              <w:t>≤  5 MW</w:t>
            </w:r>
          </w:p>
        </w:tc>
      </w:tr>
      <w:tr w14:paraId="45FC4077" w14:textId="77777777">
        <w:tblPrEx>
          <w:tblW w:w="0" w:type="auto"/>
          <w:tblLayout w:type="fixed"/>
          <w:tblLook w:val="0000"/>
        </w:tblPrEx>
        <w:trPr>
          <w:cantSplit/>
          <w:trHeight w:val="20"/>
        </w:trPr>
        <w:tc>
          <w:tcPr>
            <w:tcW w:w="3123" w:type="dxa"/>
            <w:tcBorders>
              <w:top w:val="single" w:sz="8" w:space="0" w:color="000000"/>
            </w:tcBorders>
            <w:shd w:val="clear" w:color="auto" w:fill="FFFFFF"/>
            <w:tcMar>
              <w:top w:w="80" w:type="dxa"/>
              <w:left w:w="0" w:type="dxa"/>
              <w:bottom w:w="80" w:type="dxa"/>
              <w:right w:w="0" w:type="dxa"/>
            </w:tcMar>
          </w:tcPr>
          <w:p w:rsidR="00F3594B" w:rsidRPr="0072600F" w14:paraId="4453B49F" w14:textId="77777777">
            <w:pPr>
              <w:ind w:left="360" w:right="233"/>
              <w:jc w:val="center"/>
              <w:outlineLvl w:val="0"/>
              <w:rPr>
                <w:rFonts w:ascii="Times New Roman" w:eastAsia="Arial Unicode MS" w:hAnsi="Times New Roman" w:cs="Times New Roman"/>
                <w:color w:val="000000"/>
                <w:sz w:val="26"/>
                <w:szCs w:val="26"/>
                <w:u w:val="single"/>
              </w:rPr>
            </w:pPr>
          </w:p>
        </w:tc>
        <w:tc>
          <w:tcPr>
            <w:tcW w:w="3123" w:type="dxa"/>
            <w:tcBorders>
              <w:top w:val="single" w:sz="8" w:space="0" w:color="000000"/>
            </w:tcBorders>
            <w:shd w:val="clear" w:color="auto" w:fill="FFFFFF"/>
            <w:tcMar>
              <w:top w:w="80" w:type="dxa"/>
              <w:left w:w="0" w:type="dxa"/>
              <w:bottom w:w="80" w:type="dxa"/>
              <w:right w:w="0" w:type="dxa"/>
            </w:tcMar>
          </w:tcPr>
          <w:p w:rsidR="00F3594B" w:rsidRPr="0072600F" w14:paraId="5A451B6A" w14:textId="77777777">
            <w:pPr>
              <w:ind w:left="360" w:right="233"/>
              <w:jc w:val="center"/>
              <w:outlineLvl w:val="0"/>
              <w:rPr>
                <w:rFonts w:ascii="Times New Roman" w:eastAsia="Arial Unicode MS" w:hAnsi="Times New Roman" w:cs="Times New Roman"/>
                <w:color w:val="000000"/>
                <w:sz w:val="26"/>
                <w:szCs w:val="26"/>
                <w:u w:val="single"/>
              </w:rPr>
            </w:pPr>
          </w:p>
        </w:tc>
        <w:tc>
          <w:tcPr>
            <w:tcW w:w="3124" w:type="dxa"/>
            <w:tcBorders>
              <w:top w:val="single" w:sz="8" w:space="0" w:color="000000"/>
            </w:tcBorders>
            <w:shd w:val="clear" w:color="auto" w:fill="FFFFFF"/>
            <w:tcMar>
              <w:top w:w="80" w:type="dxa"/>
              <w:left w:w="0" w:type="dxa"/>
              <w:bottom w:w="80" w:type="dxa"/>
              <w:right w:w="0" w:type="dxa"/>
            </w:tcMar>
          </w:tcPr>
          <w:p w:rsidR="00F3594B" w:rsidRPr="0072600F" w14:paraId="2839A1AD" w14:textId="77777777">
            <w:pPr>
              <w:ind w:left="360" w:right="233"/>
              <w:jc w:val="center"/>
              <w:outlineLvl w:val="0"/>
              <w:rPr>
                <w:rFonts w:ascii="Times New Roman" w:eastAsia="Arial Unicode MS" w:hAnsi="Times New Roman" w:cs="Times New Roman"/>
                <w:color w:val="000000"/>
                <w:sz w:val="26"/>
                <w:szCs w:val="26"/>
                <w:u w:val="single"/>
              </w:rPr>
            </w:pPr>
          </w:p>
        </w:tc>
      </w:tr>
    </w:tbl>
    <w:p w:rsidR="00F3594B" w:rsidRPr="0072600F" w:rsidP="00992E8B" w14:paraId="7941EE2B" w14:textId="77777777">
      <w:pPr>
        <w:pStyle w:val="Heading3"/>
        <w:spacing w:before="240" w:after="240"/>
        <w:ind w:left="0" w:firstLine="0"/>
        <w:rPr>
          <w:sz w:val="26"/>
        </w:rPr>
      </w:pPr>
      <w:bookmarkStart w:id="692" w:name="_Toc371514236"/>
      <w:r w:rsidRPr="0072600F">
        <w:rPr>
          <w:sz w:val="26"/>
        </w:rPr>
        <w:t>2.2</w:t>
      </w:r>
      <w:r w:rsidRPr="0072600F">
        <w:rPr>
          <w:sz w:val="26"/>
        </w:rPr>
        <w:tab/>
      </w:r>
      <w:r w:rsidRPr="0072600F">
        <w:rPr>
          <w:sz w:val="26"/>
          <w:u w:val="single"/>
        </w:rPr>
        <w:t>Initial Review</w:t>
      </w:r>
      <w:bookmarkEnd w:id="692"/>
    </w:p>
    <w:p w:rsidR="00F3594B" w:rsidRPr="0072600F" w14:paraId="715AD8C3"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Within </w:t>
      </w:r>
      <w:r w:rsidRPr="0072600F" w:rsidR="00802435">
        <w:rPr>
          <w:rFonts w:ascii="Times New Roman" w:eastAsia="Calibri" w:hAnsi="Times New Roman" w:cs="Times New Roman"/>
          <w:i/>
          <w:iCs/>
          <w:sz w:val="26"/>
          <w:szCs w:val="26"/>
        </w:rPr>
        <w:t>fifteen</w:t>
      </w:r>
      <w:r w:rsidRPr="0072600F">
        <w:rPr>
          <w:rFonts w:ascii="Times New Roman" w:eastAsia="Calibri" w:hAnsi="Times New Roman" w:cs="Times New Roman"/>
          <w:i/>
          <w:sz w:val="26"/>
          <w:szCs w:val="26"/>
        </w:rPr>
        <w:t xml:space="preserve"> </w:t>
      </w:r>
      <w:r w:rsidRPr="0072600F" w:rsidR="0056592A">
        <w:rPr>
          <w:rFonts w:ascii="Times New Roman" w:eastAsia="Calibri" w:hAnsi="Times New Roman" w:cs="Times New Roman"/>
          <w:i/>
          <w:iCs/>
          <w:sz w:val="26"/>
          <w:szCs w:val="26"/>
        </w:rPr>
        <w:t>(</w:t>
      </w:r>
      <w:r w:rsidRPr="0072600F" w:rsidR="0056592A">
        <w:rPr>
          <w:rFonts w:ascii="Times New Roman" w:eastAsia="Calibri" w:hAnsi="Times New Roman" w:cs="Times New Roman"/>
          <w:sz w:val="26"/>
          <w:szCs w:val="26"/>
        </w:rPr>
        <w:t>15</w:t>
      </w:r>
      <w:r w:rsidRPr="0072600F" w:rsidR="0056592A">
        <w:rPr>
          <w:rFonts w:ascii="Times New Roman" w:eastAsia="Calibri" w:hAnsi="Times New Roman" w:cs="Times New Roman"/>
          <w:i/>
          <w:sz w:val="26"/>
          <w:szCs w:val="26"/>
        </w:rPr>
        <w:t>)</w:t>
      </w:r>
      <w:r w:rsidRPr="0072600F" w:rsidR="0056592A">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Business Days after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notifies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it has received a complete Interconnection Request,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perform an initial review using the screens set forth below, shall notify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of the results, and include with the notification copies of the analysis and data underlying </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7088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determinations under the screens.</w:t>
      </w:r>
    </w:p>
    <w:p w:rsidR="00F3594B" w:rsidRPr="0072600F" w14:paraId="453A957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b/>
        <w:t>2.2.1</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Screens</w:t>
      </w:r>
    </w:p>
    <w:p w:rsidR="00F3594B" w:rsidRPr="0072600F" w14:paraId="7384F455"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2.2.1.1</w:t>
      </w:r>
      <w:r w:rsidRPr="0072600F">
        <w:rPr>
          <w:rFonts w:ascii="Times New Roman" w:eastAsia="Calibri" w:hAnsi="Times New Roman" w:cs="Times New Roman"/>
          <w:sz w:val="26"/>
          <w:szCs w:val="26"/>
        </w:rPr>
        <w:tab/>
        <w:t xml:space="preserve">The proposed Small Generating Facility’s Point of Interconnection must be on a portion of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Distribution System that is subject to the Tariff.</w:t>
      </w:r>
    </w:p>
    <w:p w:rsidR="00F3594B" w:rsidRPr="0072600F" w14:paraId="4E9E559E"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2.2.1.2</w:t>
      </w:r>
      <w:r w:rsidRPr="0072600F">
        <w:rPr>
          <w:rFonts w:ascii="Times New Roman" w:eastAsia="Calibri" w:hAnsi="Times New Roman" w:cs="Times New Roman"/>
          <w:sz w:val="26"/>
          <w:szCs w:val="26"/>
        </w:rPr>
        <w:tab/>
        <w:t>For interconnection of a proposed Small Generating Facility to a radial distribution circuit, the aggregated generation, including the proposed Small Generating Facility, on the circuit shall not exceed 15 % of the line section annual peak load as most recently measured at the substation.  A line section is that portion of a Transmission Provider’s electric system connected to a customer bounded by automatic sectionalizing devices or the end of the distribution line.</w:t>
      </w:r>
    </w:p>
    <w:p w:rsidR="00F3594B" w:rsidRPr="0072600F" w14:paraId="2B47683D"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2.2.1.3</w:t>
      </w:r>
      <w:r w:rsidRPr="0072600F">
        <w:rPr>
          <w:rFonts w:ascii="Times New Roman" w:eastAsia="Calibri" w:hAnsi="Times New Roman" w:cs="Times New Roman"/>
          <w:sz w:val="26"/>
          <w:szCs w:val="26"/>
        </w:rPr>
        <w:tab/>
        <w:t>For interconnection of a proposed Small Generating Facility to the load side of spot network protectors, the proposed Small Generating Facility must utilize an inverter-based equipment package and, together with the aggregated other inverter-based generation, shall not exceed the smaller of 5 % of a spot network</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s maximum load or 50 kW.</w:t>
      </w:r>
      <w:r>
        <w:rPr>
          <w:rStyle w:val="FootnoteReference"/>
        </w:rPr>
        <w:footnoteReference w:id="1228"/>
      </w:r>
    </w:p>
    <w:p w:rsidR="00F3594B" w:rsidRPr="0072600F" w14:paraId="6D76BDD4"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2.2.1.4</w:t>
      </w:r>
      <w:r w:rsidRPr="0072600F">
        <w:rPr>
          <w:rFonts w:ascii="Times New Roman" w:eastAsia="Calibri" w:hAnsi="Times New Roman" w:cs="Times New Roman"/>
          <w:sz w:val="26"/>
          <w:szCs w:val="26"/>
        </w:rPr>
        <w:tab/>
        <w:t>The proposed Small Generating Facility, in aggregation with other generation on the distribution circuit, shall not contribute more than 10 % to the distribution circuit</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s maximum fault current at the point on the high voltage (primary) level nearest the proposed point of change of ownership.</w:t>
      </w:r>
    </w:p>
    <w:p w:rsidR="00F3594B" w:rsidRPr="0072600F" w14:paraId="7F5D6DC4" w14:textId="77777777">
      <w:pPr>
        <w:spacing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2.2.1.5</w:t>
      </w:r>
      <w:r w:rsidRPr="0072600F">
        <w:rPr>
          <w:rFonts w:ascii="Times New Roman" w:eastAsia="Calibri" w:hAnsi="Times New Roman" w:cs="Times New Roman"/>
          <w:sz w:val="26"/>
          <w:szCs w:val="26"/>
        </w:rPr>
        <w:tab/>
        <w:t>The proposed Small Generating Facility, in aggregate with other generation on the distribution circuit, shall not cause any distribution protective devices and equipment (including, but not limited to, substation breakers, fuse cutouts, and line reclosers), or Interconnection Customer equipment on the system to exceed 87.5 % of the short circuit interrupting capability; nor shall the interconnection be proposed for a circuit that already exceeds 87.5 % of the short circuit interrupting capability.</w:t>
      </w:r>
      <w:r w:rsidRPr="0072600F">
        <w:rPr>
          <w:rFonts w:ascii="Times New Roman" w:eastAsia="Calibri" w:hAnsi="Times New Roman" w:cs="Times New Roman"/>
          <w:sz w:val="26"/>
          <w:szCs w:val="26"/>
        </w:rPr>
        <w:cr/>
      </w:r>
    </w:p>
    <w:p w:rsidR="00F3594B" w:rsidRPr="0072600F" w14:paraId="3E48ECDE"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2.2.1.6</w:t>
      </w:r>
      <w:r w:rsidRPr="0072600F">
        <w:rPr>
          <w:rFonts w:ascii="Times New Roman" w:eastAsia="Calibri" w:hAnsi="Times New Roman" w:cs="Times New Roman"/>
          <w:sz w:val="26"/>
          <w:szCs w:val="26"/>
        </w:rPr>
        <w:tab/>
        <w:t xml:space="preserve">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electric power system due to a loss of ground during the operating time of any anti-islanding function.</w:t>
      </w:r>
    </w:p>
    <w:tbl>
      <w:tblPr>
        <w:tblW w:w="0" w:type="auto"/>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2"/>
        <w:gridCol w:w="2952"/>
        <w:gridCol w:w="2952"/>
      </w:tblGrid>
      <w:tr w14:paraId="5D63B4FB" w14:textId="77777777">
        <w:tblPrEx>
          <w:tblW w:w="0" w:type="auto"/>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c>
          <w:tcPr>
            <w:tcW w:w="2952" w:type="dxa"/>
          </w:tcPr>
          <w:p w:rsidR="00F3594B" w:rsidRPr="0072600F" w14:paraId="0EB3D373" w14:textId="77777777">
            <w:pPr>
              <w:rPr>
                <w:rFonts w:ascii="Times New Roman" w:hAnsi="Times New Roman" w:cs="Times New Roman"/>
                <w:b/>
                <w:sz w:val="26"/>
                <w:szCs w:val="26"/>
              </w:rPr>
            </w:pPr>
            <w:r w:rsidRPr="0072600F">
              <w:rPr>
                <w:rFonts w:ascii="Times New Roman" w:hAnsi="Times New Roman" w:cs="Times New Roman"/>
                <w:b/>
                <w:sz w:val="26"/>
                <w:szCs w:val="26"/>
              </w:rPr>
              <w:t>Primary Distribution Line Type</w:t>
            </w:r>
          </w:p>
        </w:tc>
        <w:tc>
          <w:tcPr>
            <w:tcW w:w="2952" w:type="dxa"/>
          </w:tcPr>
          <w:p w:rsidR="00F3594B" w:rsidRPr="0072600F" w14:paraId="23C38B3E" w14:textId="77777777">
            <w:pPr>
              <w:rPr>
                <w:rFonts w:ascii="Times New Roman" w:hAnsi="Times New Roman" w:cs="Times New Roman"/>
                <w:b/>
                <w:sz w:val="26"/>
                <w:szCs w:val="26"/>
              </w:rPr>
            </w:pPr>
            <w:r w:rsidRPr="0072600F">
              <w:rPr>
                <w:rFonts w:ascii="Times New Roman" w:hAnsi="Times New Roman" w:cs="Times New Roman"/>
                <w:b/>
                <w:sz w:val="26"/>
                <w:szCs w:val="26"/>
              </w:rPr>
              <w:t>Type of Interconnection to Primary Distribution Line</w:t>
            </w:r>
          </w:p>
        </w:tc>
        <w:tc>
          <w:tcPr>
            <w:tcW w:w="2952" w:type="dxa"/>
          </w:tcPr>
          <w:p w:rsidR="00F3594B" w:rsidRPr="0072600F" w14:paraId="1FC1804C" w14:textId="77777777">
            <w:pPr>
              <w:rPr>
                <w:rFonts w:ascii="Times New Roman" w:hAnsi="Times New Roman" w:cs="Times New Roman"/>
                <w:b/>
                <w:sz w:val="26"/>
                <w:szCs w:val="26"/>
              </w:rPr>
            </w:pPr>
            <w:r w:rsidRPr="0072600F">
              <w:rPr>
                <w:rFonts w:ascii="Times New Roman" w:hAnsi="Times New Roman" w:cs="Times New Roman"/>
                <w:b/>
                <w:sz w:val="26"/>
                <w:szCs w:val="26"/>
              </w:rPr>
              <w:t>Result/Criteria</w:t>
            </w:r>
          </w:p>
        </w:tc>
      </w:tr>
      <w:tr w14:paraId="42DC2DE3" w14:textId="77777777">
        <w:tblPrEx>
          <w:tblW w:w="0" w:type="auto"/>
          <w:tblInd w:w="524" w:type="dxa"/>
          <w:tblLayout w:type="fixed"/>
          <w:tblLook w:val="0000"/>
        </w:tblPrEx>
        <w:tc>
          <w:tcPr>
            <w:tcW w:w="2952" w:type="dxa"/>
          </w:tcPr>
          <w:p w:rsidR="00F3594B" w:rsidRPr="0072600F" w14:paraId="5522E510" w14:textId="77777777">
            <w:pPr>
              <w:rPr>
                <w:rFonts w:ascii="Times New Roman" w:hAnsi="Times New Roman" w:cs="Times New Roman"/>
                <w:sz w:val="26"/>
                <w:szCs w:val="26"/>
              </w:rPr>
            </w:pPr>
            <w:r w:rsidRPr="0072600F">
              <w:rPr>
                <w:rFonts w:ascii="Times New Roman" w:hAnsi="Times New Roman" w:cs="Times New Roman"/>
                <w:sz w:val="26"/>
                <w:szCs w:val="26"/>
              </w:rPr>
              <w:t>Three-phase, three wire</w:t>
            </w:r>
          </w:p>
        </w:tc>
        <w:tc>
          <w:tcPr>
            <w:tcW w:w="2952" w:type="dxa"/>
          </w:tcPr>
          <w:p w:rsidR="00F3594B" w:rsidRPr="0072600F" w14:paraId="36BA7586" w14:textId="77777777">
            <w:pPr>
              <w:rPr>
                <w:rFonts w:ascii="Times New Roman" w:hAnsi="Times New Roman" w:cs="Times New Roman"/>
                <w:sz w:val="26"/>
                <w:szCs w:val="26"/>
              </w:rPr>
            </w:pPr>
            <w:r w:rsidRPr="0072600F">
              <w:rPr>
                <w:rFonts w:ascii="Times New Roman" w:hAnsi="Times New Roman" w:cs="Times New Roman"/>
                <w:sz w:val="26"/>
                <w:szCs w:val="26"/>
              </w:rPr>
              <w:t>3-phase or single phase, phase-to-phase</w:t>
            </w:r>
          </w:p>
        </w:tc>
        <w:tc>
          <w:tcPr>
            <w:tcW w:w="2952" w:type="dxa"/>
          </w:tcPr>
          <w:p w:rsidR="00F3594B" w:rsidRPr="0072600F" w14:paraId="2A3B5FEF" w14:textId="77777777">
            <w:pPr>
              <w:rPr>
                <w:rFonts w:ascii="Times New Roman" w:hAnsi="Times New Roman" w:cs="Times New Roman"/>
                <w:sz w:val="26"/>
                <w:szCs w:val="26"/>
              </w:rPr>
            </w:pPr>
            <w:r w:rsidRPr="0072600F">
              <w:rPr>
                <w:rFonts w:ascii="Times New Roman" w:hAnsi="Times New Roman" w:cs="Times New Roman"/>
                <w:sz w:val="26"/>
                <w:szCs w:val="26"/>
              </w:rPr>
              <w:t>Pass screen</w:t>
            </w:r>
          </w:p>
        </w:tc>
      </w:tr>
      <w:tr w14:paraId="5A978298" w14:textId="77777777">
        <w:tblPrEx>
          <w:tblW w:w="0" w:type="auto"/>
          <w:tblInd w:w="524" w:type="dxa"/>
          <w:tblLayout w:type="fixed"/>
          <w:tblLook w:val="0000"/>
        </w:tblPrEx>
        <w:tc>
          <w:tcPr>
            <w:tcW w:w="2952" w:type="dxa"/>
          </w:tcPr>
          <w:p w:rsidR="00F3594B" w:rsidRPr="0072600F" w14:paraId="13D9440B" w14:textId="77777777">
            <w:pPr>
              <w:rPr>
                <w:rFonts w:ascii="Times New Roman" w:hAnsi="Times New Roman" w:cs="Times New Roman"/>
                <w:sz w:val="26"/>
                <w:szCs w:val="26"/>
              </w:rPr>
            </w:pPr>
            <w:r w:rsidRPr="0072600F">
              <w:rPr>
                <w:rFonts w:ascii="Times New Roman" w:hAnsi="Times New Roman" w:cs="Times New Roman"/>
                <w:sz w:val="26"/>
                <w:szCs w:val="26"/>
              </w:rPr>
              <w:t>Three-phase, four wire</w:t>
            </w:r>
          </w:p>
        </w:tc>
        <w:tc>
          <w:tcPr>
            <w:tcW w:w="2952" w:type="dxa"/>
          </w:tcPr>
          <w:p w:rsidR="00F3594B" w:rsidRPr="0072600F" w14:paraId="11142707" w14:textId="77777777">
            <w:pPr>
              <w:rPr>
                <w:rFonts w:ascii="Times New Roman" w:hAnsi="Times New Roman" w:cs="Times New Roman"/>
                <w:sz w:val="26"/>
                <w:szCs w:val="26"/>
              </w:rPr>
            </w:pPr>
            <w:r w:rsidRPr="0072600F">
              <w:rPr>
                <w:rFonts w:ascii="Times New Roman" w:hAnsi="Times New Roman" w:cs="Times New Roman"/>
                <w:sz w:val="26"/>
                <w:szCs w:val="26"/>
              </w:rPr>
              <w:t>Effectively-grounded 3 phase or Single-phase, line-to-neutral</w:t>
            </w:r>
          </w:p>
        </w:tc>
        <w:tc>
          <w:tcPr>
            <w:tcW w:w="2952" w:type="dxa"/>
          </w:tcPr>
          <w:p w:rsidR="00F3594B" w:rsidRPr="0072600F" w14:paraId="4D29E087" w14:textId="77777777">
            <w:pPr>
              <w:rPr>
                <w:rFonts w:ascii="Times New Roman" w:hAnsi="Times New Roman" w:cs="Times New Roman"/>
                <w:sz w:val="26"/>
                <w:szCs w:val="26"/>
              </w:rPr>
            </w:pPr>
            <w:r w:rsidRPr="0072600F">
              <w:rPr>
                <w:rFonts w:ascii="Times New Roman" w:hAnsi="Times New Roman" w:cs="Times New Roman"/>
                <w:sz w:val="26"/>
                <w:szCs w:val="26"/>
              </w:rPr>
              <w:t>Pass screen</w:t>
            </w:r>
          </w:p>
        </w:tc>
      </w:tr>
    </w:tbl>
    <w:p w:rsidR="00F3594B" w:rsidRPr="0072600F" w14:paraId="0179DC1C" w14:textId="77777777">
      <w:pPr>
        <w:spacing w:after="200" w:line="276" w:lineRule="auto"/>
        <w:ind w:left="2880" w:hanging="1440"/>
        <w:rPr>
          <w:rFonts w:ascii="Times New Roman" w:eastAsia="Calibri" w:hAnsi="Times New Roman" w:cs="Times New Roman"/>
          <w:sz w:val="26"/>
          <w:szCs w:val="26"/>
        </w:rPr>
      </w:pPr>
    </w:p>
    <w:p w:rsidR="00F3594B" w:rsidRPr="0072600F" w14:paraId="3AFDDE50"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2.2.1.7</w:t>
      </w:r>
      <w:r w:rsidRPr="0072600F">
        <w:rPr>
          <w:rFonts w:ascii="Times New Roman" w:eastAsia="Calibri" w:hAnsi="Times New Roman" w:cs="Times New Roman"/>
          <w:sz w:val="26"/>
          <w:szCs w:val="26"/>
        </w:rPr>
        <w:tab/>
        <w:t>If the proposed Small Generating Facility is to be interconnected on single-phase shared secondary, the aggregate generation capacity on the shared secondary, including the proposed Small Generating Facility, shall not exceed 20 kW.</w:t>
      </w:r>
    </w:p>
    <w:p w:rsidR="00F3594B" w:rsidRPr="0072600F" w14:paraId="3846691F"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2.2.1.8</w:t>
      </w:r>
      <w:r w:rsidRPr="0072600F">
        <w:rPr>
          <w:rFonts w:ascii="Times New Roman" w:eastAsia="Calibri" w:hAnsi="Times New Roman" w:cs="Times New Roman"/>
          <w:sz w:val="26"/>
          <w:szCs w:val="26"/>
        </w:rPr>
        <w:tab/>
        <w:t>If the proposed Small Generating Facility is single-phase and is to be interconnected on a center tap neutral of a 240 volt service, its addition shall not create an imbalance between the two sides of the 240 volt service of more than 20 % of the nameplate rating of the service transformer.</w:t>
      </w:r>
    </w:p>
    <w:p w:rsidR="00F3594B" w:rsidRPr="0072600F" w14:paraId="003BA933"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2.2.1.9</w:t>
      </w:r>
      <w:r w:rsidRPr="0072600F">
        <w:rPr>
          <w:rFonts w:ascii="Times New Roman" w:eastAsia="Calibri" w:hAnsi="Times New Roman" w:cs="Times New Roman"/>
          <w:sz w:val="26"/>
          <w:szCs w:val="26"/>
        </w:rPr>
        <w:tab/>
        <w:t>The Small Generating Facility, in aggregate with other generation interconnected to the transmission side of a substation transformer feeding the circuit where the Small Generating Facility proposes to interconnect shall not exceed 10 MW in an area where there are known, or posted, transient stability limitations to generating units located in the general electrical vicinity (e.g., three or four transmission busses from the point of interconnection).</w:t>
      </w:r>
    </w:p>
    <w:p w:rsidR="00F3594B" w:rsidRPr="0072600F" w14:paraId="0BD6C254"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2.2.1.10</w:t>
      </w:r>
      <w:r w:rsidRPr="0072600F">
        <w:rPr>
          <w:rFonts w:ascii="Times New Roman" w:eastAsia="Calibri" w:hAnsi="Times New Roman" w:cs="Times New Roman"/>
          <w:sz w:val="26"/>
          <w:szCs w:val="26"/>
        </w:rPr>
        <w:tab/>
        <w:t xml:space="preserve">No construction of facilities by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on its own system shall be required to accommodate the Small</w:t>
      </w:r>
      <w:r w:rsidRPr="0072600F" w:rsidR="00B53E37">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Generating Facility.</w:t>
      </w:r>
    </w:p>
    <w:p w:rsidR="00F3594B" w:rsidRPr="0072600F" w14:paraId="48E9B7DB" w14:textId="77777777">
      <w:pPr>
        <w:spacing w:after="200" w:line="276" w:lineRule="auto"/>
        <w:ind w:left="216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2.2.2</w:t>
      </w:r>
      <w:r w:rsidRPr="0072600F">
        <w:rPr>
          <w:rFonts w:ascii="Times New Roman" w:eastAsia="Calibri" w:hAnsi="Times New Roman" w:cs="Times New Roman"/>
          <w:sz w:val="26"/>
          <w:szCs w:val="26"/>
        </w:rPr>
        <w:tab/>
        <w:t xml:space="preserve">If the proposed interconnection passes the screens, the Interconnection Request shall be approved and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provide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 executable interconnection agreement within five </w:t>
      </w:r>
      <w:r w:rsidRPr="0072600F" w:rsidR="0056592A">
        <w:rPr>
          <w:rFonts w:ascii="Times New Roman" w:eastAsia="Calibri" w:hAnsi="Times New Roman" w:cs="Times New Roman"/>
          <w:i/>
          <w:iCs/>
          <w:sz w:val="26"/>
          <w:szCs w:val="26"/>
        </w:rPr>
        <w:t xml:space="preserve">(5) </w:t>
      </w:r>
      <w:r w:rsidRPr="0072600F">
        <w:rPr>
          <w:rFonts w:ascii="Times New Roman" w:eastAsia="Calibri" w:hAnsi="Times New Roman" w:cs="Times New Roman"/>
          <w:sz w:val="26"/>
          <w:szCs w:val="26"/>
        </w:rPr>
        <w:t>Business Days after the determination.</w:t>
      </w:r>
    </w:p>
    <w:p w:rsidR="00F3594B" w:rsidRPr="0072600F" w14:paraId="493F1C46" w14:textId="77777777">
      <w:pPr>
        <w:spacing w:after="200" w:line="276" w:lineRule="auto"/>
        <w:ind w:left="216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2.2.3</w:t>
      </w:r>
      <w:r w:rsidRPr="0072600F">
        <w:rPr>
          <w:rFonts w:ascii="Times New Roman" w:eastAsia="Calibri" w:hAnsi="Times New Roman" w:cs="Times New Roman"/>
          <w:sz w:val="26"/>
          <w:szCs w:val="26"/>
        </w:rPr>
        <w:tab/>
        <w:t xml:space="preserve">If the proposed interconnection fails the screens, but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determines that the Small Generating Facility may nevertheless be interconnected consistent with safety, reliability, and power quality standards,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 executable interconnection agreement within five</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sz w:val="26"/>
          <w:szCs w:val="26"/>
        </w:rPr>
        <w:t>(5)</w:t>
      </w:r>
      <w:r w:rsidRPr="0072600F">
        <w:rPr>
          <w:rFonts w:ascii="Times New Roman" w:eastAsia="Calibri" w:hAnsi="Times New Roman" w:cs="Times New Roman"/>
          <w:sz w:val="26"/>
          <w:szCs w:val="26"/>
        </w:rPr>
        <w:t xml:space="preserve"> Business Days after the determination.</w:t>
      </w:r>
    </w:p>
    <w:p w:rsidR="00F3594B" w:rsidRPr="0072600F" w14:paraId="152C7E2D" w14:textId="77777777">
      <w:pPr>
        <w:spacing w:after="200" w:line="276" w:lineRule="auto"/>
        <w:ind w:left="216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2.2.4</w:t>
      </w:r>
      <w:r w:rsidRPr="0072600F">
        <w:rPr>
          <w:rFonts w:ascii="Times New Roman" w:eastAsia="Calibri" w:hAnsi="Times New Roman" w:cs="Times New Roman"/>
          <w:sz w:val="26"/>
          <w:szCs w:val="26"/>
        </w:rPr>
        <w:tab/>
        <w:t xml:space="preserve">If the proposed interconnection fails the screens, and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does not or cannot determine from the initial review that the Small Generating Facility may nevertheless be interconnected consistent with safety, reliability, and power quality standards unless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is willing to consider minor modifications or further study,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 the opportunity to attend a customer options meeting.</w:t>
      </w:r>
    </w:p>
    <w:p w:rsidR="00F3594B" w:rsidRPr="0072600F" w:rsidP="00992E8B" w14:paraId="66F14888" w14:textId="77777777">
      <w:pPr>
        <w:pStyle w:val="Heading3"/>
        <w:spacing w:after="240"/>
        <w:ind w:left="0" w:firstLine="0"/>
        <w:rPr>
          <w:sz w:val="26"/>
        </w:rPr>
      </w:pPr>
      <w:bookmarkStart w:id="693" w:name="_Toc371514237"/>
      <w:r w:rsidRPr="0072600F">
        <w:rPr>
          <w:sz w:val="26"/>
        </w:rPr>
        <w:t>2.3</w:t>
      </w:r>
      <w:r w:rsidRPr="0072600F">
        <w:rPr>
          <w:sz w:val="26"/>
        </w:rPr>
        <w:tab/>
      </w:r>
      <w:r w:rsidRPr="0072600F">
        <w:rPr>
          <w:sz w:val="26"/>
          <w:u w:val="single"/>
        </w:rPr>
        <w:t>Customer Options Meeting</w:t>
      </w:r>
      <w:bookmarkEnd w:id="693"/>
    </w:p>
    <w:p w:rsidR="00F3594B" w:rsidRPr="0072600F" w14:paraId="51786E7C"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determines the Interconnection Request cannot be approved without (1) minor modifications at minimal cost, (2) a supplemental study or other additional studies or actions, or (3) incurring significant cost to address safety, reliability, or power quality problems,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notify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of that determination within five</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sz w:val="26"/>
          <w:szCs w:val="26"/>
        </w:rPr>
        <w:t>(5)</w:t>
      </w:r>
      <w:r w:rsidRPr="0072600F">
        <w:rPr>
          <w:rFonts w:ascii="Times New Roman" w:eastAsia="Calibri" w:hAnsi="Times New Roman" w:cs="Times New Roman"/>
          <w:sz w:val="26"/>
          <w:szCs w:val="26"/>
        </w:rPr>
        <w:t xml:space="preserve"> Business Days after the determination and provide copies of all data and analyses underlying its conclusion.  Within ten</w:t>
      </w:r>
      <w:r w:rsidRPr="0072600F">
        <w:rPr>
          <w:rFonts w:ascii="Times New Roman" w:eastAsia="Calibri" w:hAnsi="Times New Roman" w:cs="Times New Roman"/>
          <w:i/>
          <w:sz w:val="26"/>
          <w:szCs w:val="26"/>
        </w:rPr>
        <w:t xml:space="preserve"> </w:t>
      </w:r>
      <w:r w:rsidRPr="0072600F" w:rsidR="0056592A">
        <w:rPr>
          <w:rFonts w:ascii="Times New Roman" w:eastAsia="Calibri" w:hAnsi="Times New Roman" w:cs="Times New Roman"/>
          <w:i/>
          <w:sz w:val="26"/>
          <w:szCs w:val="26"/>
        </w:rPr>
        <w:t xml:space="preserve">(10) </w:t>
      </w:r>
      <w:r w:rsidRPr="0072600F">
        <w:rPr>
          <w:rFonts w:ascii="Times New Roman" w:eastAsia="Calibri" w:hAnsi="Times New Roman" w:cs="Times New Roman"/>
          <w:sz w:val="26"/>
          <w:szCs w:val="26"/>
        </w:rPr>
        <w:t xml:space="preserve">Business Days of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determination,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offer to convene a customer options meeting with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to review possible Interconnection Customer facility modifications or the screen analysis and related results, to determine what further steps are needed to permit the Small Generating Facility to be connected safely and reliably.  At the time of notification of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determination, or at the customer options meeting,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w:t>
      </w:r>
    </w:p>
    <w:p w:rsidR="00F3594B" w:rsidRPr="0072600F" w14:paraId="1433662A" w14:textId="77777777">
      <w:pPr>
        <w:spacing w:line="276" w:lineRule="auto"/>
        <w:ind w:left="1440" w:hanging="720"/>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rPr>
        <w:t>2.3.1</w:t>
      </w:r>
      <w:r w:rsidRPr="0072600F">
        <w:rPr>
          <w:rFonts w:ascii="Times New Roman" w:eastAsia="Calibri" w:hAnsi="Times New Roman" w:cs="Times New Roman"/>
          <w:sz w:val="26"/>
          <w:szCs w:val="26"/>
        </w:rPr>
        <w:tab/>
        <w:t xml:space="preserve">Offer to perform facility modifications or minor modifications to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electric system (e.g., changing meters, fuses, relay settings) and provide a non-binding good faith estimate of the limited cost to make such modifications to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electric system.  If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agrees to pay for the modifications to the</w:t>
      </w:r>
    </w:p>
    <w:p w:rsidR="00F3594B" w:rsidRPr="0072600F" w14:paraId="12E307F1" w14:textId="77777777">
      <w:pPr>
        <w:spacing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Transmission Provider’s electric system,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provide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 an executable interconnection agreement within ten </w:t>
      </w:r>
      <w:r w:rsidRPr="0072600F" w:rsidR="0056592A">
        <w:rPr>
          <w:rFonts w:ascii="Times New Roman" w:eastAsia="Calibri" w:hAnsi="Times New Roman" w:cs="Times New Roman"/>
          <w:i/>
          <w:sz w:val="26"/>
          <w:szCs w:val="26"/>
        </w:rPr>
        <w:t xml:space="preserve">(10) </w:t>
      </w:r>
      <w:r w:rsidRPr="0072600F">
        <w:rPr>
          <w:rFonts w:ascii="Times New Roman" w:eastAsia="Calibri" w:hAnsi="Times New Roman" w:cs="Times New Roman"/>
          <w:sz w:val="26"/>
          <w:szCs w:val="26"/>
        </w:rPr>
        <w:t>Business Days of the customer options meeting; or</w:t>
      </w:r>
    </w:p>
    <w:p w:rsidR="00F3594B" w:rsidRPr="0072600F" w14:paraId="2AB4623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2.3.2</w:t>
      </w:r>
      <w:r w:rsidRPr="0072600F">
        <w:rPr>
          <w:rFonts w:ascii="Times New Roman" w:eastAsia="Calibri" w:hAnsi="Times New Roman" w:cs="Times New Roman"/>
          <w:sz w:val="26"/>
          <w:szCs w:val="26"/>
        </w:rPr>
        <w:tab/>
        <w:t>Offer to perform a supplemental review in accordance with section 2.4 and provide a non-binding good faith estimate of the costs of such review; or</w:t>
      </w:r>
    </w:p>
    <w:p w:rsidR="00F3594B" w:rsidRPr="0072600F" w14:paraId="6529DF7B"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2.3.3</w:t>
      </w:r>
      <w:r w:rsidRPr="0072600F">
        <w:rPr>
          <w:rFonts w:ascii="Times New Roman" w:eastAsia="Calibri" w:hAnsi="Times New Roman" w:cs="Times New Roman"/>
          <w:sz w:val="26"/>
          <w:szCs w:val="26"/>
        </w:rPr>
        <w:tab/>
        <w:t xml:space="preserve">Obtain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s agreement to continue evaluating the Interconnection Request under the section 3 Study Process.</w:t>
      </w:r>
    </w:p>
    <w:p w:rsidR="00F3594B" w:rsidRPr="0072600F" w:rsidP="00992E8B" w14:paraId="126F4E4C" w14:textId="77777777">
      <w:pPr>
        <w:pStyle w:val="Heading3"/>
        <w:spacing w:after="240"/>
        <w:ind w:left="0" w:firstLine="0"/>
        <w:rPr>
          <w:sz w:val="26"/>
        </w:rPr>
      </w:pPr>
      <w:bookmarkStart w:id="694" w:name="_Toc371514238"/>
      <w:r w:rsidRPr="0072600F">
        <w:rPr>
          <w:sz w:val="26"/>
        </w:rPr>
        <w:t>2.4</w:t>
      </w:r>
      <w:r w:rsidRPr="0072600F">
        <w:rPr>
          <w:sz w:val="26"/>
        </w:rPr>
        <w:tab/>
      </w:r>
      <w:r w:rsidRPr="0072600F">
        <w:rPr>
          <w:sz w:val="26"/>
          <w:u w:val="single"/>
        </w:rPr>
        <w:t>Supplemental Review</w:t>
      </w:r>
      <w:bookmarkEnd w:id="694"/>
    </w:p>
    <w:p w:rsidR="00F3594B" w:rsidRPr="0072600F" w14:paraId="531B8091" w14:textId="77777777">
      <w:pPr>
        <w:spacing w:after="200" w:line="276" w:lineRule="auto"/>
        <w:ind w:left="2160" w:hanging="720"/>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rPr>
        <w:t>2.4.1</w:t>
      </w:r>
      <w:r w:rsidRPr="0072600F">
        <w:rPr>
          <w:rFonts w:ascii="Times New Roman" w:eastAsia="Calibri" w:hAnsi="Times New Roman" w:cs="Times New Roman"/>
          <w:sz w:val="26"/>
          <w:szCs w:val="26"/>
        </w:rPr>
        <w:tab/>
        <w:t xml:space="preserve">To accept the offer of a supplemental review, </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E56D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agree in writing and submit a deposit for the estimated costs of the supplemental review in the amount of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good faith estimate of the costs of such review, both within </w:t>
      </w:r>
      <w:r w:rsidRPr="0072600F" w:rsidR="0056592A">
        <w:rPr>
          <w:rFonts w:ascii="Times New Roman" w:eastAsia="Calibri" w:hAnsi="Times New Roman" w:cs="Times New Roman"/>
          <w:i/>
          <w:iCs/>
          <w:sz w:val="26"/>
          <w:szCs w:val="26"/>
        </w:rPr>
        <w:t>fifteen (</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the offer.  If the written agreement and deposit have not been received by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within that timeframe, the Interconnection Request shall continue to be evaluated under the section 3 Study Process unless it is withdrawn by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Pr>
          <w:rFonts w:ascii="Times New Roman" w:eastAsia="Calibri" w:hAnsi="Times New Roman" w:cs="Times New Roman"/>
          <w:sz w:val="26"/>
          <w:szCs w:val="26"/>
          <w:u w:val="single"/>
        </w:rPr>
        <w:t xml:space="preserve">  </w:t>
      </w:r>
    </w:p>
    <w:p w:rsidR="00F3594B" w:rsidRPr="0072600F" w14:paraId="6120150A" w14:textId="77777777">
      <w:pPr>
        <w:spacing w:after="200" w:line="276" w:lineRule="auto"/>
        <w:ind w:left="216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2.4.2</w:t>
      </w:r>
      <w:r w:rsidRPr="0072600F">
        <w:rPr>
          <w:rFonts w:ascii="Times New Roman" w:eastAsia="Calibri" w:hAnsi="Times New Roman" w:cs="Times New Roman"/>
          <w:sz w:val="26"/>
          <w:szCs w:val="26"/>
        </w:rPr>
        <w:tab/>
      </w:r>
      <w:r w:rsidRPr="0072600F" w:rsidR="0026196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6196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may specify the order in which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complete the screens in section 2.4.4.</w:t>
      </w:r>
    </w:p>
    <w:p w:rsidR="00F3594B" w:rsidRPr="0072600F" w14:paraId="26D3FCB9" w14:textId="77777777">
      <w:pPr>
        <w:spacing w:after="200" w:line="276" w:lineRule="auto"/>
        <w:ind w:left="216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2.4.3</w:t>
      </w:r>
      <w:r w:rsidRPr="0072600F">
        <w:rPr>
          <w:rFonts w:ascii="Times New Roman" w:eastAsia="Calibri" w:hAnsi="Times New Roman" w:cs="Times New Roman"/>
          <w:sz w:val="26"/>
          <w:szCs w:val="26"/>
        </w:rPr>
        <w:tab/>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be responsible for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actual costs for conducting the supplemental review.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pay any review costs that exceed the deposit within </w:t>
      </w:r>
      <w:r w:rsidRPr="0072600F" w:rsidR="0056592A">
        <w:rPr>
          <w:rFonts w:ascii="Times New Roman" w:eastAsia="Calibri" w:hAnsi="Times New Roman" w:cs="Times New Roman"/>
          <w:i/>
          <w:iCs/>
          <w:sz w:val="26"/>
          <w:szCs w:val="26"/>
        </w:rPr>
        <w:t>twenty (</w:t>
      </w:r>
      <w:r w:rsidRPr="0072600F">
        <w:rPr>
          <w:rFonts w:ascii="Times New Roman" w:eastAsia="Calibri" w:hAnsi="Times New Roman" w:cs="Times New Roman"/>
          <w:sz w:val="26"/>
          <w:szCs w:val="26"/>
        </w:rPr>
        <w:t>20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receipt of the invoice or resolution of any dispute.  If the deposit exceeds the invoiced costs,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return such excess within </w:t>
      </w:r>
      <w:r w:rsidRPr="0072600F" w:rsidR="0056592A">
        <w:rPr>
          <w:rFonts w:ascii="Times New Roman" w:eastAsia="Calibri" w:hAnsi="Times New Roman" w:cs="Times New Roman"/>
          <w:i/>
          <w:iCs/>
          <w:sz w:val="26"/>
          <w:szCs w:val="26"/>
        </w:rPr>
        <w:t>twenty (</w:t>
      </w:r>
      <w:r w:rsidRPr="0072600F">
        <w:rPr>
          <w:rFonts w:ascii="Times New Roman" w:eastAsia="Calibri" w:hAnsi="Times New Roman" w:cs="Times New Roman"/>
          <w:sz w:val="26"/>
          <w:szCs w:val="26"/>
        </w:rPr>
        <w:t>20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the invoice without interest.</w:t>
      </w:r>
    </w:p>
    <w:p w:rsidR="00F3594B" w:rsidRPr="0072600F" w14:paraId="2D9301C0" w14:textId="77777777">
      <w:pPr>
        <w:spacing w:line="276" w:lineRule="auto"/>
        <w:ind w:left="216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2.4.4</w:t>
      </w:r>
      <w:r w:rsidRPr="0072600F">
        <w:rPr>
          <w:rFonts w:ascii="Times New Roman" w:eastAsia="Calibri" w:hAnsi="Times New Roman" w:cs="Times New Roman"/>
          <w:sz w:val="26"/>
          <w:szCs w:val="26"/>
        </w:rPr>
        <w:tab/>
        <w:t>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following receipt of the deposit for a supplemental review,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(1) perform a supplemental review using the screens set forth below; (2) notify in writing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of the results; and (3) include with the notification copies of the analysis and data underlying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determinations under the screens.  Unless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provided instructions for how to</w:t>
      </w:r>
      <w:r w:rsidRPr="0072600F">
        <w:rPr>
          <w:rFonts w:ascii="Times New Roman" w:eastAsia="Calibri" w:hAnsi="Times New Roman" w:cs="Times New Roman"/>
          <w:sz w:val="26"/>
          <w:szCs w:val="26"/>
          <w:u w:val="single"/>
        </w:rPr>
        <w:t xml:space="preserve"> </w:t>
      </w:r>
      <w:r w:rsidRPr="0072600F">
        <w:rPr>
          <w:rFonts w:ascii="Times New Roman" w:eastAsia="Calibri" w:hAnsi="Times New Roman" w:cs="Times New Roman"/>
          <w:sz w:val="26"/>
          <w:szCs w:val="26"/>
        </w:rPr>
        <w:t xml:space="preserve">respond to the failure of any of the supplemental review screens below at the time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accepted the offer of supplemental review,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notify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following the failure of any of the screens, or if it is unable to perform the screen in section 2.4.4.1, within two</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(2)</w:t>
      </w:r>
      <w:r w:rsidRPr="0072600F">
        <w:rPr>
          <w:rFonts w:ascii="Times New Roman" w:eastAsia="Calibri" w:hAnsi="Times New Roman" w:cs="Times New Roman"/>
          <w:sz w:val="26"/>
          <w:szCs w:val="26"/>
        </w:rPr>
        <w:t xml:space="preserve"> Business Days of making such determination to obtain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Customer’s permission to: </w:t>
      </w:r>
      <w:r w:rsidRPr="0072600F" w:rsidR="00737CB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(1) continue evaluating the proposed interconnection under this section 2.4.4; (2) terminate the supplemental review and continue evaluating the Small Generating Facility under section 3; or (3) terminate the supplemental review upon withdrawal of the Interconnection Request by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t>
      </w:r>
    </w:p>
    <w:p w:rsidR="00F3594B" w:rsidRPr="0072600F" w14:paraId="7BB6F398" w14:textId="77777777">
      <w:pPr>
        <w:spacing w:line="276" w:lineRule="auto"/>
        <w:ind w:left="1440" w:hanging="720"/>
        <w:rPr>
          <w:rFonts w:ascii="Times New Roman" w:eastAsia="Calibri" w:hAnsi="Times New Roman" w:cs="Times New Roman"/>
          <w:sz w:val="26"/>
          <w:szCs w:val="26"/>
        </w:rPr>
      </w:pPr>
    </w:p>
    <w:p w:rsidR="00F3594B" w:rsidRPr="0072600F" w14:paraId="34AC0E0C" w14:textId="77777777">
      <w:pPr>
        <w:spacing w:after="200" w:line="276" w:lineRule="auto"/>
        <w:ind w:left="360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2.4.4.1</w:t>
      </w:r>
      <w:r w:rsidRPr="0072600F">
        <w:rPr>
          <w:rFonts w:ascii="Times New Roman" w:eastAsia="Calibri" w:hAnsi="Times New Roman" w:cs="Times New Roman"/>
          <w:sz w:val="26"/>
          <w:szCs w:val="26"/>
        </w:rPr>
        <w:tab/>
        <w:t xml:space="preserve">Minimum Load Screen:  Where 12 months of line section minimum load data (including onsite load but not station service load served by the proposed Small Generating Facility) are available, can be calculated, can be estimated from existing data, or determined from a power flow model, the aggregate Generating Facility capacity on the line section is less than 100% of the minimum load for all line sections bounded by automatic sectionalizing devices upstream of the proposed Small Generating Facility. If minimum load data is not available, or cannot be calculated, estimated or determined,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include the reason(s) that it is unable to calculate, estimate or determine minimum load in its supplemental review results notification under section 2.4.4.</w:t>
      </w:r>
    </w:p>
    <w:p w:rsidR="00F3594B" w:rsidRPr="0072600F" w:rsidP="001B156E" w14:paraId="47A3B7B4"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2.4.4.1.1 </w:t>
      </w:r>
      <w:r w:rsidRPr="0072600F">
        <w:rPr>
          <w:rFonts w:ascii="Times New Roman" w:eastAsia="Calibri" w:hAnsi="Times New Roman" w:cs="Times New Roman"/>
          <w:sz w:val="26"/>
          <w:szCs w:val="26"/>
        </w:rPr>
        <w:tab/>
        <w:t>The type of generation used by the proposed</w:t>
      </w:r>
      <w:r w:rsidRPr="0072600F" w:rsidR="00252331">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Small Generating Facility will be taken into account when calculating, estimating, or determining circuit or line section minimum load relevant for the application of screen 2.4.4.1.  Solar photovoltaic (PV) generation systems with no battery storage use daytime minimum load (i.e. 10 a.m. to 4 p.m. for fixed panel systems and 8 a.m. to 6 p.m. for PV</w:t>
      </w:r>
      <w:r w:rsidRPr="0072600F">
        <w:rPr>
          <w:rFonts w:ascii="Times New Roman" w:eastAsia="Calibri" w:hAnsi="Times New Roman" w:cs="Times New Roman"/>
          <w:sz w:val="26"/>
          <w:szCs w:val="26"/>
          <w:u w:val="single"/>
        </w:rPr>
        <w:t xml:space="preserve"> </w:t>
      </w:r>
      <w:r w:rsidRPr="0072600F">
        <w:rPr>
          <w:rFonts w:ascii="Times New Roman" w:eastAsia="Calibri" w:hAnsi="Times New Roman" w:cs="Times New Roman"/>
          <w:sz w:val="26"/>
          <w:szCs w:val="26"/>
        </w:rPr>
        <w:t xml:space="preserve">systems utilizing tracking systems), while all other generation uses absolute minimum load. </w:t>
      </w:r>
    </w:p>
    <w:p w:rsidR="00F3594B" w:rsidRPr="0072600F" w14:paraId="6ECB49F5"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2.4. 4.1.2 </w:t>
      </w:r>
      <w:r w:rsidRPr="0072600F">
        <w:rPr>
          <w:rFonts w:ascii="Times New Roman" w:eastAsia="Calibri" w:hAnsi="Times New Roman" w:cs="Times New Roman"/>
          <w:sz w:val="26"/>
          <w:szCs w:val="26"/>
        </w:rPr>
        <w:tab/>
        <w:t xml:space="preserve">When this screen is being applied to a Small Generating Facility that serves some station service load, only the net injection into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electric system will be considered as part of the aggregate generation.</w:t>
      </w:r>
    </w:p>
    <w:p w:rsidR="00F3594B" w:rsidRPr="0072600F" w14:paraId="07E1267B"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2.4. 4.1.3 </w:t>
      </w:r>
      <w:r w:rsidRPr="0072600F">
        <w:rPr>
          <w:rFonts w:ascii="Times New Roman" w:eastAsia="Calibri" w:hAnsi="Times New Roman" w:cs="Times New Roman"/>
          <w:sz w:val="26"/>
          <w:szCs w:val="26"/>
        </w:rPr>
        <w:tab/>
        <w:t>Transmission Provider will not consider as part of the aggregate generation for purposes of this screen generating facility capacity known to be already reflected in the minimum load data.</w:t>
      </w:r>
    </w:p>
    <w:p w:rsidR="00F3594B" w:rsidRPr="0072600F" w14:paraId="638DF481" w14:textId="77777777">
      <w:pPr>
        <w:spacing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2.4.4.2 </w:t>
      </w:r>
      <w:r w:rsidRPr="0072600F">
        <w:rPr>
          <w:rFonts w:ascii="Times New Roman" w:eastAsia="Calibri" w:hAnsi="Times New Roman" w:cs="Times New Roman"/>
          <w:sz w:val="26"/>
          <w:szCs w:val="26"/>
        </w:rPr>
        <w:tab/>
        <w:t xml:space="preserve">Voltage and Power Quality Screen:  In aggregate with existing generation on the line section: </w:t>
      </w:r>
      <w:r w:rsidRPr="0072600F" w:rsidR="0009042A">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(1) the voltage regulation on the line section can be maintained in compliance with relevant requirements under all system conditions; (2) the voltage fluctuation is within acceptable limits as defined by Institute of Electrical and Electronics Engineers (IEEE) Standard 1453, or utility practice similar to IEEE Standard 1453; and (3) the harmonic levels meet IEEE Standard 519 limits.</w:t>
      </w:r>
    </w:p>
    <w:p w:rsidR="00F3594B" w:rsidRPr="0072600F" w14:paraId="57E9DF10" w14:textId="77777777">
      <w:pPr>
        <w:spacing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2.4.4.3 </w:t>
      </w:r>
      <w:r w:rsidRPr="0072600F">
        <w:rPr>
          <w:rFonts w:ascii="Times New Roman" w:eastAsia="Calibri" w:hAnsi="Times New Roman" w:cs="Times New Roman"/>
          <w:sz w:val="26"/>
          <w:szCs w:val="26"/>
        </w:rPr>
        <w:tab/>
        <w:t xml:space="preserve">Safety and Reliability Screen:  The location of the proposed Small Generating Facility and the aggregate generation capacity on the line section do not create impacts to safety or reliability that cannot be adequately addressed without application of the Study Process.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give due consideration to the following and other factors in determining potential impacts to safety and reliability in applying this screen.</w:t>
      </w:r>
    </w:p>
    <w:p w:rsidR="00F3594B" w:rsidRPr="0072600F" w14:paraId="421F5FB9"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2.4.4.3.1 </w:t>
      </w:r>
      <w:r w:rsidRPr="0072600F">
        <w:rPr>
          <w:rFonts w:ascii="Times New Roman" w:eastAsia="Calibri" w:hAnsi="Times New Roman" w:cs="Times New Roman"/>
          <w:sz w:val="26"/>
          <w:szCs w:val="26"/>
        </w:rPr>
        <w:tab/>
        <w:t>Whether the line section has significant minimum loading levels dominated by a small number of customers (e.g., several large commercial customers).</w:t>
      </w:r>
    </w:p>
    <w:p w:rsidR="00F3594B" w:rsidRPr="0072600F" w14:paraId="48A82029"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2.4.4.3.2</w:t>
      </w:r>
      <w:r w:rsidRPr="0072600F">
        <w:rPr>
          <w:rFonts w:ascii="Times New Roman" w:eastAsia="Calibri" w:hAnsi="Times New Roman" w:cs="Times New Roman"/>
          <w:sz w:val="26"/>
          <w:szCs w:val="26"/>
        </w:rPr>
        <w:tab/>
        <w:t>Whether the loading along the line section is uniform or even.</w:t>
      </w:r>
    </w:p>
    <w:p w:rsidR="00F3594B" w:rsidRPr="0072600F" w14:paraId="74E6AA92"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2.4.4.3.3</w:t>
      </w:r>
      <w:r w:rsidRPr="0072600F">
        <w:rPr>
          <w:rFonts w:ascii="Times New Roman" w:eastAsia="Calibri" w:hAnsi="Times New Roman" w:cs="Times New Roman"/>
          <w:sz w:val="26"/>
          <w:szCs w:val="26"/>
        </w:rPr>
        <w:tab/>
        <w:t>Whether the proposed Small Generating Facility is located in close proximity to the substation (i.e., less than 2.5 electrical circuit miles), and whether the line section from the substation to the Point of Interconnection is a Mainline rated for normal and emergency ampacity.</w:t>
      </w:r>
    </w:p>
    <w:p w:rsidR="00F3594B" w:rsidRPr="0072600F" w14:paraId="502A8F89"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2.4.4.3.4</w:t>
      </w:r>
      <w:r w:rsidRPr="0072600F">
        <w:rPr>
          <w:rFonts w:ascii="Times New Roman" w:eastAsia="Calibri" w:hAnsi="Times New Roman" w:cs="Times New Roman"/>
          <w:sz w:val="26"/>
          <w:szCs w:val="26"/>
        </w:rPr>
        <w:tab/>
        <w:t>Whether the proposed Small Generating Facility incorporates a time delay function to prevent reconnection of the generator to the system until system voltage and frequency are within normal limits for a prescribed time.</w:t>
      </w:r>
    </w:p>
    <w:p w:rsidR="00F3594B" w:rsidRPr="0072600F" w14:paraId="0BD15536"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2.4.4.3.5 </w:t>
      </w:r>
      <w:r w:rsidRPr="0072600F">
        <w:rPr>
          <w:rFonts w:ascii="Times New Roman" w:eastAsia="Calibri" w:hAnsi="Times New Roman" w:cs="Times New Roman"/>
          <w:sz w:val="26"/>
          <w:szCs w:val="26"/>
        </w:rPr>
        <w:tab/>
        <w:t>Whether operational flexibility is reduced by the proposed Small Generating Facility, such that transfer of the line section(s) of the Small Generating Facility to a neighboring distribution circuit/substation may trigger overloads or voltage issues.</w:t>
      </w:r>
    </w:p>
    <w:p w:rsidR="00F3594B" w:rsidRPr="0072600F" w14:paraId="78BEB54E" w14:textId="77777777">
      <w:pPr>
        <w:spacing w:line="276" w:lineRule="auto"/>
        <w:ind w:left="432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2.4.4.3.6 </w:t>
      </w:r>
      <w:r w:rsidRPr="0072600F">
        <w:rPr>
          <w:rFonts w:ascii="Times New Roman" w:eastAsia="Calibri" w:hAnsi="Times New Roman" w:cs="Times New Roman"/>
          <w:sz w:val="26"/>
          <w:szCs w:val="26"/>
        </w:rPr>
        <w:tab/>
        <w:t>Whether the proposed Small Generating Facility employs equipment or systems certified by a recognized standards organization to address technical issues such as, but not limited to, islanding, reverse power flow, or voltage quality.</w:t>
      </w:r>
    </w:p>
    <w:p w:rsidR="00F3594B" w:rsidRPr="0072600F" w14:paraId="473E767C"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2.4.5 </w:t>
      </w:r>
      <w:r w:rsidRPr="0072600F">
        <w:rPr>
          <w:rFonts w:ascii="Times New Roman" w:eastAsia="Calibri" w:hAnsi="Times New Roman" w:cs="Times New Roman"/>
          <w:sz w:val="26"/>
          <w:szCs w:val="26"/>
        </w:rPr>
        <w:tab/>
        <w:t xml:space="preserve">If the proposed interconnection passes the supplemental screens in sections 2.4.4.1, 2.4.4.2, and 2.4.4.3 above, the Interconnection Request shall be approved and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provide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 an executable interconnection agreement within the timeframes established in sections 2.4.5.1 and 2.4.5.2 below.  If the proposed interconnection fails any of the supplemental review screens and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does not withdraw its Interconnection Request, it shall continue to be evaluated under the section 3 Study Process consistent with section 2.4.5.3 below.</w:t>
      </w:r>
    </w:p>
    <w:p w:rsidR="00F3594B" w:rsidRPr="0072600F" w14:paraId="42544458" w14:textId="77777777">
      <w:pPr>
        <w:spacing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2.4.5.1</w:t>
      </w:r>
      <w:r w:rsidRPr="0072600F">
        <w:rPr>
          <w:rFonts w:ascii="Times New Roman" w:eastAsia="Calibri" w:hAnsi="Times New Roman" w:cs="Times New Roman"/>
          <w:sz w:val="26"/>
          <w:szCs w:val="26"/>
        </w:rPr>
        <w:tab/>
        <w:t xml:space="preserve">If the proposed interconnection passes the supplemental screens in sections 2.4.4.1, 2.4.4.2, and 2.4.4.3 above and does not require construction of facilities by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on its own system, the interconnection agreement shall be provided within ten </w:t>
      </w:r>
      <w:r w:rsidRPr="0072600F" w:rsidR="0056592A">
        <w:rPr>
          <w:rFonts w:ascii="Times New Roman" w:eastAsia="Calibri" w:hAnsi="Times New Roman" w:cs="Times New Roman"/>
          <w:i/>
          <w:iCs/>
          <w:sz w:val="26"/>
          <w:szCs w:val="26"/>
        </w:rPr>
        <w:t xml:space="preserve">(10) </w:t>
      </w:r>
      <w:r w:rsidRPr="0072600F">
        <w:rPr>
          <w:rFonts w:ascii="Times New Roman" w:eastAsia="Calibri" w:hAnsi="Times New Roman" w:cs="Times New Roman"/>
          <w:sz w:val="26"/>
          <w:szCs w:val="26"/>
        </w:rPr>
        <w:t xml:space="preserve">Business Days after the notification of the supplemental review results. </w:t>
      </w:r>
    </w:p>
    <w:p w:rsidR="00F3594B" w:rsidRPr="0072600F" w14:paraId="35CEC0E1" w14:textId="77777777">
      <w:pPr>
        <w:spacing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2.4.5.2  </w:t>
      </w:r>
      <w:r w:rsidRPr="0072600F">
        <w:rPr>
          <w:rFonts w:ascii="Times New Roman" w:eastAsia="Calibri" w:hAnsi="Times New Roman" w:cs="Times New Roman"/>
          <w:sz w:val="26"/>
          <w:szCs w:val="26"/>
        </w:rPr>
        <w:tab/>
        <w:t xml:space="preserve">If interconnection facilities or minor modifications to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system are required for the proposed interconnection to pass the supplemental screens in sections 2.4.4.1, 2.4.4.2, and 2.4.4.3 above, and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agrees to pay for the modifications to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electric system, the interconnection agreement, along with a non-binding good faith estimate for the interconnection facilities and/or minor modifications, shall be provided to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within </w:t>
      </w:r>
      <w:r w:rsidRPr="0072600F" w:rsidR="0056592A">
        <w:rPr>
          <w:rFonts w:ascii="Times New Roman" w:eastAsia="Calibri" w:hAnsi="Times New Roman" w:cs="Times New Roman"/>
          <w:i/>
          <w:iCs/>
          <w:sz w:val="26"/>
          <w:szCs w:val="26"/>
        </w:rPr>
        <w:t>fifteen (</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after receiving written notification of the supplemental review results. </w:t>
      </w:r>
    </w:p>
    <w:p w:rsidR="00F3594B" w:rsidRPr="0072600F" w:rsidP="00162350" w14:paraId="57CA5A91" w14:textId="77777777">
      <w:pPr>
        <w:spacing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2.4.5.3</w:t>
      </w:r>
      <w:r w:rsidRPr="0072600F">
        <w:rPr>
          <w:rFonts w:ascii="Times New Roman" w:eastAsia="Calibri" w:hAnsi="Times New Roman" w:cs="Times New Roman"/>
          <w:sz w:val="26"/>
          <w:szCs w:val="26"/>
        </w:rPr>
        <w:tab/>
        <w:t xml:space="preserve">If the proposed interconnection would require more than interconnection facilities or minor modifications to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system to pass the supplemental screens in sections 2.4.4.1, 2.4.4.2, and 2.4.4.3 above,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notify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at the same time it notifies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 the supplemental review results, that the Interconnection Request shall be evaluated under the section 3 Study Process unless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withdraws its Small Generating Facility.</w:t>
      </w:r>
    </w:p>
    <w:p w:rsidR="00C17D90" w:rsidRPr="0072600F" w:rsidP="00162350" w14:paraId="09015CEC" w14:textId="77777777">
      <w:pPr>
        <w:spacing w:line="276" w:lineRule="auto"/>
        <w:ind w:left="2880" w:hanging="1440"/>
        <w:rPr>
          <w:rFonts w:ascii="Times New Roman" w:eastAsia="Calibri" w:hAnsi="Times New Roman" w:cs="Times New Roman"/>
          <w:sz w:val="26"/>
          <w:szCs w:val="26"/>
        </w:rPr>
      </w:pPr>
    </w:p>
    <w:p w:rsidR="00F3594B" w:rsidRPr="0072600F" w:rsidP="00992E8B" w14:paraId="145680F6" w14:textId="77777777">
      <w:pPr>
        <w:pStyle w:val="Heading2"/>
        <w:spacing w:after="240"/>
        <w:rPr>
          <w:b/>
          <w:bCs/>
          <w:sz w:val="26"/>
          <w:szCs w:val="26"/>
        </w:rPr>
      </w:pPr>
      <w:bookmarkStart w:id="695" w:name="_Toc371514239"/>
      <w:r w:rsidRPr="0072600F">
        <w:rPr>
          <w:b/>
          <w:bCs/>
          <w:sz w:val="26"/>
          <w:szCs w:val="26"/>
        </w:rPr>
        <w:t>Section 3.  Study Process</w:t>
      </w:r>
      <w:bookmarkEnd w:id="695"/>
    </w:p>
    <w:p w:rsidR="00F3594B" w:rsidRPr="0072600F" w:rsidP="00992E8B" w14:paraId="559E0BD2" w14:textId="77777777">
      <w:pPr>
        <w:pStyle w:val="Heading3"/>
        <w:spacing w:after="240"/>
        <w:ind w:left="0" w:firstLine="0"/>
        <w:rPr>
          <w:sz w:val="26"/>
        </w:rPr>
      </w:pPr>
      <w:bookmarkStart w:id="696" w:name="_Toc371514240"/>
      <w:r w:rsidRPr="0072600F">
        <w:rPr>
          <w:sz w:val="26"/>
        </w:rPr>
        <w:t>3.1</w:t>
      </w:r>
      <w:r w:rsidRPr="0072600F">
        <w:rPr>
          <w:sz w:val="26"/>
        </w:rPr>
        <w:tab/>
      </w:r>
      <w:r w:rsidRPr="0072600F">
        <w:rPr>
          <w:sz w:val="26"/>
          <w:u w:val="single"/>
        </w:rPr>
        <w:t>Applicability</w:t>
      </w:r>
      <w:bookmarkEnd w:id="696"/>
    </w:p>
    <w:p w:rsidR="00F3594B" w:rsidRPr="0072600F" w14:paraId="2B3868CF"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The Study Process shall be used by an Interconnection Customer proposing to interconnect its Small Generating Facility with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or Distribution System if the Small Generating Facility (1) is larger than 2 MW but no larger than 20 MW, (2) is not certified, or (3) is certified but did not pass the Fast Track Process or the 10 kW Inverter Process.</w:t>
      </w:r>
    </w:p>
    <w:p w:rsidR="00F3594B" w:rsidRPr="0072600F" w:rsidP="00992E8B" w14:paraId="2E1987CB" w14:textId="77777777">
      <w:pPr>
        <w:pStyle w:val="Heading3"/>
        <w:spacing w:after="240"/>
        <w:ind w:left="0" w:firstLine="0"/>
        <w:rPr>
          <w:sz w:val="26"/>
        </w:rPr>
      </w:pPr>
      <w:bookmarkStart w:id="697" w:name="_Toc371514241"/>
      <w:r w:rsidRPr="0072600F">
        <w:rPr>
          <w:sz w:val="26"/>
        </w:rPr>
        <w:t>3.2</w:t>
      </w:r>
      <w:r w:rsidRPr="0072600F">
        <w:rPr>
          <w:sz w:val="26"/>
        </w:rPr>
        <w:tab/>
      </w:r>
      <w:r w:rsidRPr="0072600F">
        <w:rPr>
          <w:sz w:val="26"/>
          <w:u w:val="single"/>
        </w:rPr>
        <w:t>Scoping Meeting</w:t>
      </w:r>
      <w:bookmarkEnd w:id="697"/>
    </w:p>
    <w:p w:rsidR="00F3594B" w:rsidRPr="0072600F" w14:paraId="247B523C"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3.2.1</w:t>
      </w:r>
      <w:r w:rsidRPr="0072600F">
        <w:rPr>
          <w:rFonts w:ascii="Times New Roman" w:eastAsia="Calibri" w:hAnsi="Times New Roman" w:cs="Times New Roman"/>
          <w:sz w:val="26"/>
          <w:szCs w:val="26"/>
        </w:rPr>
        <w:tab/>
        <w:t>A scoping meeting will be held within ten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sz w:val="26"/>
          <w:szCs w:val="26"/>
        </w:rPr>
        <w:t>(10)</w:t>
      </w:r>
      <w:r w:rsidRPr="0072600F">
        <w:rPr>
          <w:rFonts w:ascii="Times New Roman" w:eastAsia="Calibri" w:hAnsi="Times New Roman" w:cs="Times New Roman"/>
          <w:sz w:val="26"/>
          <w:szCs w:val="26"/>
        </w:rPr>
        <w:t xml:space="preserve"> Business Days after the Interconnection Request is deemed complete, or as otherwise mutually agreed to by the Parties.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and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will bring to the meeting personnel, including system engineers and other resources as may be reasonably required to accomplish the purpose of the meeting.</w:t>
      </w:r>
    </w:p>
    <w:p w:rsidR="00F3594B" w:rsidRPr="0072600F" w14:paraId="2A0E9952"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3.2.2</w:t>
      </w:r>
      <w:r w:rsidRPr="0072600F">
        <w:rPr>
          <w:rFonts w:ascii="Times New Roman" w:eastAsia="Calibri" w:hAnsi="Times New Roman" w:cs="Times New Roman"/>
          <w:sz w:val="26"/>
          <w:szCs w:val="26"/>
        </w:rPr>
        <w:tab/>
        <w:t xml:space="preserve">The purpose of the scoping meeting is to discuss the Interconnection Request and review existing studies relevant to the Interconnection Request.  The Parties shall further discuss whether </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7101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should perform a feasibility study or proceed directly to a system impact study, or a facilities study, or an interconnection agreement.  If the Parties agree that a feasibility study should be performed,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as soon as possible, but not later than five</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sz w:val="26"/>
          <w:szCs w:val="26"/>
        </w:rPr>
        <w:t>(5)</w:t>
      </w:r>
      <w:r w:rsidRPr="0072600F">
        <w:rPr>
          <w:rFonts w:ascii="Times New Roman" w:eastAsia="Calibri" w:hAnsi="Times New Roman" w:cs="Times New Roman"/>
          <w:sz w:val="26"/>
          <w:szCs w:val="26"/>
        </w:rPr>
        <w:t xml:space="preserve"> Business Days after the scoping meeting, a feasibility study agreement (Attachment 6) including an outline of the scope of the study and a non-binding good faith estimate of the cost to perform the study.</w:t>
      </w:r>
    </w:p>
    <w:p w:rsidR="00F3594B" w:rsidRPr="0072600F" w14:paraId="0D1CAA3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3.2.3</w:t>
      </w:r>
      <w:r w:rsidRPr="0072600F">
        <w:rPr>
          <w:rFonts w:ascii="Times New Roman" w:eastAsia="Calibri" w:hAnsi="Times New Roman" w:cs="Times New Roman"/>
          <w:sz w:val="26"/>
          <w:szCs w:val="26"/>
        </w:rPr>
        <w:tab/>
        <w:t>The scoping meeting may be omitted by mutual agreement.  In order to remain in consideration for interconnection, an Interconnection Customer who has requested a feasibility study must return the executed feasibility study agreement 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fifteen</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If the Parties agree not to perform a feasibility study,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no later than five </w:t>
      </w:r>
      <w:r w:rsidRPr="0072600F" w:rsidR="0056592A">
        <w:rPr>
          <w:rFonts w:ascii="Times New Roman" w:eastAsia="Calibri" w:hAnsi="Times New Roman" w:cs="Times New Roman"/>
          <w:i/>
          <w:iCs/>
          <w:sz w:val="26"/>
          <w:szCs w:val="26"/>
        </w:rPr>
        <w:t>(5)</w:t>
      </w:r>
      <w:r w:rsidRPr="0072600F" w:rsidR="0056592A">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Business Days after the scoping meeting, a system impact study agreement (Attachment 7) including an outline of the scope of the study and a non-binding good faith estimate of the cost to perform the study.</w:t>
      </w:r>
    </w:p>
    <w:p w:rsidR="00F3594B" w:rsidRPr="0072600F" w:rsidP="00992E8B" w14:paraId="1FBBE2FE" w14:textId="77777777">
      <w:pPr>
        <w:pStyle w:val="Heading3"/>
        <w:spacing w:after="240"/>
        <w:ind w:left="0" w:firstLine="0"/>
        <w:rPr>
          <w:sz w:val="26"/>
        </w:rPr>
      </w:pPr>
      <w:bookmarkStart w:id="698" w:name="_Toc371514242"/>
      <w:bookmarkStart w:id="699" w:name="_Hlk149636973"/>
      <w:r w:rsidRPr="0072600F">
        <w:rPr>
          <w:sz w:val="26"/>
        </w:rPr>
        <w:t>3.3</w:t>
      </w:r>
      <w:r w:rsidRPr="0072600F">
        <w:rPr>
          <w:sz w:val="26"/>
        </w:rPr>
        <w:tab/>
      </w:r>
      <w:r w:rsidRPr="0072600F">
        <w:rPr>
          <w:sz w:val="26"/>
          <w:u w:val="single"/>
        </w:rPr>
        <w:t>Feasibility Study</w:t>
      </w:r>
      <w:bookmarkEnd w:id="698"/>
    </w:p>
    <w:bookmarkEnd w:id="699"/>
    <w:p w:rsidR="00F3594B" w:rsidRPr="0072600F" w14:paraId="05FFF548"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3.3.1</w:t>
      </w:r>
      <w:r w:rsidRPr="0072600F">
        <w:rPr>
          <w:rFonts w:ascii="Times New Roman" w:eastAsia="Calibri" w:hAnsi="Times New Roman" w:cs="Times New Roman"/>
          <w:sz w:val="26"/>
          <w:szCs w:val="26"/>
        </w:rPr>
        <w:tab/>
        <w:t>The feasibility study shall identify any potential adverse system impacts that would result from the interconnection of the Small Generating Facility.</w:t>
      </w:r>
    </w:p>
    <w:p w:rsidR="00F3594B" w:rsidRPr="0072600F" w14:paraId="477177D0"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3.3.2</w:t>
      </w:r>
      <w:r w:rsidRPr="0072600F">
        <w:rPr>
          <w:rFonts w:ascii="Times New Roman" w:eastAsia="Calibri" w:hAnsi="Times New Roman" w:cs="Times New Roman"/>
          <w:sz w:val="26"/>
          <w:szCs w:val="26"/>
        </w:rPr>
        <w:tab/>
        <w:t xml:space="preserve">A deposit of the lesser of 50 percent of the good faith estimated feasibility study costs or earnest money of $1,000 may be required from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p>
    <w:p w:rsidR="00F3594B" w:rsidRPr="0072600F" w14:paraId="670E4A4A"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3.3.3 </w:t>
      </w:r>
      <w:r w:rsidRPr="0072600F">
        <w:rPr>
          <w:rFonts w:ascii="Times New Roman" w:eastAsia="Calibri" w:hAnsi="Times New Roman" w:cs="Times New Roman"/>
          <w:sz w:val="26"/>
          <w:szCs w:val="26"/>
        </w:rPr>
        <w:tab/>
        <w:t>The scope of and cost responsibilities for the feasibility study are described in the attached feasibility study agreement (Attachment 6).</w:t>
      </w:r>
    </w:p>
    <w:p w:rsidR="00F3594B" w:rsidRPr="0072600F" w14:paraId="2A44F005"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3.3.4</w:t>
      </w:r>
      <w:r w:rsidRPr="0072600F">
        <w:rPr>
          <w:rFonts w:ascii="Times New Roman" w:eastAsia="Calibri" w:hAnsi="Times New Roman" w:cs="Times New Roman"/>
          <w:sz w:val="26"/>
          <w:szCs w:val="26"/>
        </w:rPr>
        <w:tab/>
        <w:t xml:space="preserve">If the feasibility study shows no potential for adverse system impacts,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send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 facilities study agreement, including an outline of the scope of the study and a non-binding good faith estimate of the cost to perform the study.  If no additional facilities are required,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send </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F794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 executable interconnection agreement within five </w:t>
      </w:r>
      <w:r w:rsidRPr="0072600F" w:rsidR="0056592A">
        <w:rPr>
          <w:rFonts w:ascii="Times New Roman" w:eastAsia="Calibri" w:hAnsi="Times New Roman" w:cs="Times New Roman"/>
          <w:i/>
          <w:iCs/>
          <w:sz w:val="26"/>
          <w:szCs w:val="26"/>
        </w:rPr>
        <w:t xml:space="preserve">(5) </w:t>
      </w:r>
      <w:r w:rsidRPr="0072600F">
        <w:rPr>
          <w:rFonts w:ascii="Times New Roman" w:eastAsia="Calibri" w:hAnsi="Times New Roman" w:cs="Times New Roman"/>
          <w:sz w:val="26"/>
          <w:szCs w:val="26"/>
        </w:rPr>
        <w:t>Business Days.</w:t>
      </w:r>
    </w:p>
    <w:p w:rsidR="00F3594B" w:rsidRPr="0072600F" w14:paraId="31B8C250"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3.3.5</w:t>
      </w:r>
      <w:r w:rsidRPr="0072600F">
        <w:rPr>
          <w:rFonts w:ascii="Times New Roman" w:eastAsia="Calibri" w:hAnsi="Times New Roman" w:cs="Times New Roman"/>
          <w:sz w:val="26"/>
          <w:szCs w:val="26"/>
        </w:rPr>
        <w:tab/>
        <w:t>If the feasibility study shows the potential for adverse system impacts, the review process shall proceed to the appropriate system impact study(s).</w:t>
      </w:r>
    </w:p>
    <w:p w:rsidR="00F3594B" w:rsidRPr="0072600F" w14:paraId="18035061" w14:textId="77777777">
      <w:pPr>
        <w:spacing w:after="200" w:line="276" w:lineRule="auto"/>
        <w:ind w:left="1440" w:hanging="720"/>
        <w:rPr>
          <w:rFonts w:ascii="Times New Roman" w:eastAsia="Calibri" w:hAnsi="Times New Roman" w:cs="Times New Roman"/>
          <w:iCs/>
          <w:sz w:val="26"/>
          <w:szCs w:val="26"/>
        </w:rPr>
      </w:pPr>
      <w:r w:rsidRPr="0072600F">
        <w:rPr>
          <w:rFonts w:ascii="Times New Roman" w:eastAsia="Calibri" w:hAnsi="Times New Roman" w:cs="Times New Roman"/>
          <w:sz w:val="26"/>
          <w:szCs w:val="26"/>
        </w:rPr>
        <w:t>3.3.6</w:t>
      </w:r>
      <w:r w:rsidRPr="0072600F">
        <w:rPr>
          <w:rFonts w:ascii="Times New Roman" w:eastAsia="Calibri" w:hAnsi="Times New Roman" w:cs="Times New Roman"/>
          <w:sz w:val="26"/>
          <w:szCs w:val="26"/>
        </w:rPr>
        <w:tab/>
      </w:r>
      <w:r w:rsidRPr="0072600F">
        <w:rPr>
          <w:rFonts w:ascii="Times New Roman" w:eastAsia="Calibri" w:hAnsi="Times New Roman" w:cs="Times New Roman"/>
          <w:iCs/>
          <w:sz w:val="26"/>
          <w:szCs w:val="26"/>
        </w:rPr>
        <w:t>The feasibility study shall evaluate static synchronous compensators, static VAR compensators, advanced power flow control devices, transmission switching, synchronous condensers, voltage source converters, advanced conductors, and tower lifting.  Transmission Provider shall evaluate each identified alternative transmission technology and determine whether it should be used, consistent with Good Utility Practice</w:t>
      </w:r>
      <w:r w:rsidRPr="0072600F" w:rsidR="00D06D26">
        <w:rPr>
          <w:rFonts w:ascii="Times New Roman" w:eastAsia="Calibri" w:hAnsi="Times New Roman" w:cs="Times New Roman"/>
          <w:i/>
          <w:sz w:val="26"/>
          <w:szCs w:val="26"/>
        </w:rPr>
        <w:t>, Applicable Reliability Standards,</w:t>
      </w:r>
      <w:r w:rsidRPr="0072600F">
        <w:rPr>
          <w:rFonts w:ascii="Times New Roman" w:eastAsia="Calibri" w:hAnsi="Times New Roman" w:cs="Times New Roman"/>
          <w:iCs/>
          <w:sz w:val="26"/>
          <w:szCs w:val="26"/>
        </w:rPr>
        <w:t xml:space="preserve"> and</w:t>
      </w:r>
      <w:r w:rsidRPr="0072600F" w:rsidR="00D06D26">
        <w:rPr>
          <w:rFonts w:ascii="Times New Roman" w:eastAsia="Calibri" w:hAnsi="Times New Roman" w:cs="Times New Roman"/>
          <w:iCs/>
          <w:sz w:val="26"/>
          <w:szCs w:val="26"/>
        </w:rPr>
        <w:t xml:space="preserve"> </w:t>
      </w:r>
      <w:r w:rsidRPr="0072600F" w:rsidR="00D06D26">
        <w:rPr>
          <w:rFonts w:ascii="Times New Roman" w:eastAsia="Calibri" w:hAnsi="Times New Roman" w:cs="Times New Roman"/>
          <w:i/>
          <w:sz w:val="26"/>
          <w:szCs w:val="26"/>
        </w:rPr>
        <w:t>Applicable Laws and Regulations</w:t>
      </w:r>
      <w:r w:rsidRPr="0072600F">
        <w:rPr>
          <w:rFonts w:ascii="Times New Roman" w:eastAsia="Calibri" w:hAnsi="Times New Roman" w:cs="Times New Roman"/>
          <w:iCs/>
          <w:sz w:val="26"/>
          <w:szCs w:val="26"/>
        </w:rPr>
        <w:t xml:space="preserve"> </w:t>
      </w:r>
      <w:r w:rsidRPr="0072600F" w:rsidR="00D06D26">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 xml:space="preserve">other applicable regulatory </w:t>
      </w:r>
      <w:r w:rsidRPr="0072600F">
        <w:rPr>
          <w:rFonts w:ascii="Times New Roman" w:eastAsia="Calibri" w:hAnsi="Times New Roman" w:cs="Times New Roman"/>
          <w:iCs/>
          <w:sz w:val="26"/>
          <w:szCs w:val="26"/>
        </w:rPr>
        <w:t>requirements</w:t>
      </w:r>
      <w:r w:rsidRPr="0072600F" w:rsidR="00D06D26">
        <w:rPr>
          <w:rFonts w:ascii="Times New Roman" w:eastAsia="Calibri" w:hAnsi="Times New Roman" w:cs="Times New Roman"/>
          <w:iCs/>
          <w:sz w:val="26"/>
          <w:szCs w:val="26"/>
        </w:rPr>
        <w:t>]</w:t>
      </w:r>
      <w:r w:rsidRPr="0072600F">
        <w:rPr>
          <w:rFonts w:ascii="Times New Roman" w:eastAsia="Calibri" w:hAnsi="Times New Roman" w:cs="Times New Roman"/>
          <w:iCs/>
          <w:sz w:val="26"/>
          <w:szCs w:val="26"/>
        </w:rPr>
        <w:t>.  Transmission Provider shall include an explanation of the results of Transmission Provider’s</w:t>
      </w:r>
      <w:r w:rsidRPr="0072600F">
        <w:rPr>
          <w:rFonts w:ascii="Times New Roman" w:eastAsia="Calibri" w:hAnsi="Times New Roman" w:cs="Times New Roman"/>
          <w:iCs/>
          <w:sz w:val="26"/>
          <w:szCs w:val="26"/>
        </w:rPr>
        <w:t xml:space="preserve"> </w:t>
      </w:r>
      <w:r w:rsidRPr="0072600F">
        <w:rPr>
          <w:rFonts w:ascii="Times New Roman" w:eastAsia="Calibri" w:hAnsi="Times New Roman" w:cs="Times New Roman"/>
          <w:iCs/>
          <w:sz w:val="26"/>
          <w:szCs w:val="26"/>
        </w:rPr>
        <w:t>evaluation for each technology in the feasibility study report.</w:t>
      </w:r>
    </w:p>
    <w:p w:rsidR="00F3594B" w:rsidRPr="0072600F" w:rsidP="00992E8B" w14:paraId="522F607F" w14:textId="77777777">
      <w:pPr>
        <w:pStyle w:val="Heading3"/>
        <w:spacing w:after="240"/>
        <w:ind w:left="0" w:firstLine="0"/>
        <w:rPr>
          <w:sz w:val="26"/>
          <w:u w:val="single"/>
        </w:rPr>
      </w:pPr>
      <w:bookmarkStart w:id="700" w:name="_Toc371514243"/>
      <w:r w:rsidRPr="0072600F">
        <w:rPr>
          <w:sz w:val="26"/>
        </w:rPr>
        <w:t>3.4</w:t>
      </w:r>
      <w:r w:rsidRPr="0072600F">
        <w:rPr>
          <w:sz w:val="26"/>
        </w:rPr>
        <w:tab/>
      </w:r>
      <w:r w:rsidRPr="0072600F">
        <w:rPr>
          <w:sz w:val="26"/>
          <w:u w:val="single"/>
        </w:rPr>
        <w:t>System Impact Study</w:t>
      </w:r>
      <w:bookmarkEnd w:id="700"/>
    </w:p>
    <w:p w:rsidR="00F3594B" w:rsidRPr="0072600F" w14:paraId="7E95B802"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3.4.1</w:t>
      </w:r>
      <w:r w:rsidRPr="0072600F">
        <w:rPr>
          <w:rFonts w:ascii="Times New Roman" w:eastAsia="Calibri" w:hAnsi="Times New Roman" w:cs="Times New Roman"/>
          <w:sz w:val="26"/>
          <w:szCs w:val="26"/>
        </w:rPr>
        <w:tab/>
        <w:t>A system impact study shall identify and detail the electric system impacts that would result if the proposed Small Generating Facility were interconnected without project modifications or electric system modifications, focusing on the adverse system impacts identified in the feasibility study, or to study potential impacts, including but not limited to those identified in the scoping meeting.  A system impact study shall evaluate the impact of the proposed interconnection on the reliability of the electric system.</w:t>
      </w:r>
    </w:p>
    <w:p w:rsidR="00F3594B" w:rsidRPr="0072600F" w14:paraId="50C116B1"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3.4.2</w:t>
      </w:r>
      <w:r w:rsidRPr="0072600F">
        <w:rPr>
          <w:rFonts w:ascii="Times New Roman" w:eastAsia="Calibri" w:hAnsi="Times New Roman" w:cs="Times New Roman"/>
          <w:sz w:val="26"/>
          <w:szCs w:val="26"/>
        </w:rPr>
        <w:tab/>
        <w:t xml:space="preserve">If no transmission system impact study is required, but potential electric power Distribution System adverse system impacts are identified in the scoping meeting or shown in the feasibility study, a distribution system impact study must be performed.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send </w:t>
      </w:r>
      <w:r w:rsidRPr="0072600F" w:rsidR="00A0716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0716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 distribution system impact study agreement within </w:t>
      </w:r>
      <w:r w:rsidRPr="0072600F" w:rsidR="0056592A">
        <w:rPr>
          <w:rFonts w:ascii="Times New Roman" w:eastAsia="Calibri" w:hAnsi="Times New Roman" w:cs="Times New Roman"/>
          <w:i/>
          <w:iCs/>
          <w:sz w:val="26"/>
          <w:szCs w:val="26"/>
        </w:rPr>
        <w:t>fifteen (</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transmittal of the feasibility study report, including an outline of the scope of the study and a non-binding good faith estimate of the cost to perform the study, or following the scoping meeting if no feasibility study is to be performed.</w:t>
      </w:r>
    </w:p>
    <w:p w:rsidR="00F3594B" w:rsidRPr="0072600F" w14:paraId="1A9068C8"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3.4.3</w:t>
      </w:r>
      <w:r w:rsidRPr="0072600F">
        <w:rPr>
          <w:rFonts w:ascii="Times New Roman" w:eastAsia="Calibri" w:hAnsi="Times New Roman" w:cs="Times New Roman"/>
          <w:sz w:val="26"/>
          <w:szCs w:val="26"/>
        </w:rPr>
        <w:tab/>
        <w:t xml:space="preserve">In instances where the feasibility study or the distribution system impact study shows potential for transmission system adverse system impacts, within five </w:t>
      </w:r>
      <w:r w:rsidRPr="0072600F" w:rsidR="0056592A">
        <w:rPr>
          <w:rFonts w:ascii="Times New Roman" w:eastAsia="Calibri" w:hAnsi="Times New Roman" w:cs="Times New Roman"/>
          <w:i/>
          <w:iCs/>
          <w:sz w:val="26"/>
          <w:szCs w:val="26"/>
        </w:rPr>
        <w:t xml:space="preserve">(5) </w:t>
      </w:r>
      <w:r w:rsidRPr="0072600F">
        <w:rPr>
          <w:rFonts w:ascii="Times New Roman" w:eastAsia="Calibri" w:hAnsi="Times New Roman" w:cs="Times New Roman"/>
          <w:sz w:val="26"/>
          <w:szCs w:val="26"/>
        </w:rPr>
        <w:t xml:space="preserve">Business Days following transmittal of the feasibility study report,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send </w:t>
      </w:r>
      <w:r w:rsidRPr="0072600F" w:rsidR="00A0716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0716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 transmission system impact study agreement, including an outline of the scope of the study and a non-binding good faith estimate of the cost to perform the study, if such a study is required.</w:t>
      </w:r>
    </w:p>
    <w:p w:rsidR="00F3594B" w:rsidRPr="0072600F" w14:paraId="31108A63"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3.4.4</w:t>
      </w:r>
      <w:r w:rsidRPr="0072600F">
        <w:rPr>
          <w:rFonts w:ascii="Times New Roman" w:eastAsia="Calibri" w:hAnsi="Times New Roman" w:cs="Times New Roman"/>
          <w:sz w:val="26"/>
          <w:szCs w:val="26"/>
        </w:rPr>
        <w:tab/>
        <w:t>If a transmission system impact study is not required, but electric power Distribution System adverse system impacts are shown by the feasibility study to be possible and no distribution system impact study has been conducted, Transmission Provider shall send Interconnection Customer a distribution system impact study agreement.</w:t>
      </w:r>
    </w:p>
    <w:p w:rsidR="00F3594B" w:rsidRPr="0072600F" w14:paraId="6299C79D"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3.4.5</w:t>
      </w:r>
      <w:r w:rsidRPr="0072600F">
        <w:rPr>
          <w:rFonts w:ascii="Times New Roman" w:eastAsia="Calibri" w:hAnsi="Times New Roman" w:cs="Times New Roman"/>
          <w:sz w:val="26"/>
          <w:szCs w:val="26"/>
        </w:rPr>
        <w:tab/>
        <w:t xml:space="preserve">If the feasibility study shows no potential for transmission system or Distribution System adverse system impacts,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send </w:t>
      </w:r>
      <w:r w:rsidRPr="0072600F" w:rsidR="00A0716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A0716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either a facilities study agreement (Attachment 8), including an outline of the scope of the study and a non-binding good faith estimate of the cost to perform the study, or an executable interconnection agreement, as applicable.</w:t>
      </w:r>
    </w:p>
    <w:p w:rsidR="00F3594B" w:rsidRPr="0072600F" w14:paraId="408BAF19"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3.4.6</w:t>
      </w:r>
      <w:r w:rsidRPr="0072600F">
        <w:rPr>
          <w:rFonts w:ascii="Times New Roman" w:eastAsia="Calibri" w:hAnsi="Times New Roman" w:cs="Times New Roman"/>
          <w:sz w:val="26"/>
          <w:szCs w:val="26"/>
        </w:rPr>
        <w:tab/>
        <w:t xml:space="preserve">In order to remain under consideration for interconnection, </w:t>
      </w:r>
      <w:r w:rsidRPr="0072600F" w:rsidR="004010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4010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return executed system impact study agreements, if applicable,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w:t>
      </w:r>
    </w:p>
    <w:p w:rsidR="00F3594B" w:rsidRPr="0072600F" w14:paraId="49C91C7C"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3.4.7</w:t>
      </w:r>
      <w:r w:rsidRPr="0072600F">
        <w:rPr>
          <w:rFonts w:ascii="Times New Roman" w:eastAsia="Calibri" w:hAnsi="Times New Roman" w:cs="Times New Roman"/>
          <w:sz w:val="26"/>
          <w:szCs w:val="26"/>
        </w:rPr>
        <w:tab/>
        <w:t xml:space="preserve">A deposit of the good faith estimated costs for each system impact study may be required from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p>
    <w:p w:rsidR="00F3594B" w:rsidRPr="0072600F" w14:paraId="4356A90C"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3.4.8 </w:t>
      </w:r>
      <w:r w:rsidRPr="0072600F">
        <w:rPr>
          <w:rFonts w:ascii="Times New Roman" w:eastAsia="Calibri" w:hAnsi="Times New Roman" w:cs="Times New Roman"/>
          <w:sz w:val="26"/>
          <w:szCs w:val="26"/>
        </w:rPr>
        <w:tab/>
        <w:t>The scope of and cost responsibilities for a system impact study are described in the attached system impact study agreement.</w:t>
      </w:r>
    </w:p>
    <w:p w:rsidR="00F3594B" w:rsidRPr="0072600F" w14:paraId="6EA00FB1"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3.4.9</w:t>
      </w:r>
      <w:r w:rsidRPr="0072600F">
        <w:rPr>
          <w:rFonts w:ascii="Times New Roman" w:eastAsia="Calibri" w:hAnsi="Times New Roman" w:cs="Times New Roman"/>
          <w:sz w:val="26"/>
          <w:szCs w:val="26"/>
        </w:rPr>
        <w:tab/>
        <w:t>Where transmission systems and Distribution Systems have separate owners, such as is the case with transmission-dependent utilities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TDUs</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 whether investor-owned or not – </w:t>
      </w:r>
      <w:r w:rsidRPr="0072600F" w:rsidR="004010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4010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may apply to the nearest Transmission Provider (Transmission Owner, Regional Transmission Operator, or Independent Transmission Provider) providing transmission service to the TDU to request project coordination.  Affected Systems shall participate in the study and provide all information necessary to prepare the study.</w:t>
      </w:r>
    </w:p>
    <w:p w:rsidR="00F3594B" w:rsidRPr="0072600F" w14:paraId="0D86ED71"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3.4.10</w:t>
      </w:r>
      <w:r w:rsidRPr="0072600F">
        <w:rPr>
          <w:rFonts w:ascii="Times New Roman" w:eastAsia="Calibri" w:hAnsi="Times New Roman" w:cs="Times New Roman"/>
          <w:sz w:val="26"/>
          <w:szCs w:val="26"/>
        </w:rPr>
        <w:tab/>
        <w:t>The system impact study shall evaluate static synchronous compensators, static VAR compensators, advanced power flow control devices, transmission switching, synchronous condensers, voltage source converters, advanced conductors, and tower lifting.  Transmission Provider shall evaluate each identified alternative transmission technology and determine whether it should be used, consistent with Good Utility Practice</w:t>
      </w:r>
      <w:r w:rsidRPr="0072600F" w:rsidR="00D26430">
        <w:rPr>
          <w:rFonts w:ascii="Times New Roman" w:eastAsia="Calibri" w:hAnsi="Times New Roman" w:cs="Times New Roman"/>
          <w:i/>
          <w:iCs/>
          <w:sz w:val="26"/>
          <w:szCs w:val="26"/>
        </w:rPr>
        <w:t>, Applicable Reliability Standards,</w:t>
      </w:r>
      <w:r w:rsidRPr="0072600F">
        <w:rPr>
          <w:rFonts w:ascii="Times New Roman" w:eastAsia="Calibri" w:hAnsi="Times New Roman" w:cs="Times New Roman"/>
          <w:sz w:val="26"/>
          <w:szCs w:val="26"/>
        </w:rPr>
        <w:t xml:space="preserve"> and </w:t>
      </w:r>
      <w:r w:rsidRPr="0072600F" w:rsidR="00D26430">
        <w:rPr>
          <w:rFonts w:ascii="Times New Roman" w:eastAsia="Calibri" w:hAnsi="Times New Roman" w:cs="Times New Roman"/>
          <w:i/>
          <w:iCs/>
          <w:sz w:val="26"/>
          <w:szCs w:val="26"/>
        </w:rPr>
        <w:t xml:space="preserve">Applicable Laws and Regulations </w:t>
      </w:r>
      <w:r w:rsidRPr="0072600F" w:rsidR="00D26430">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other applicable regulatory </w:t>
      </w:r>
      <w:r w:rsidRPr="0072600F">
        <w:rPr>
          <w:rFonts w:ascii="Times New Roman" w:eastAsia="Calibri" w:hAnsi="Times New Roman" w:cs="Times New Roman"/>
          <w:sz w:val="26"/>
          <w:szCs w:val="26"/>
        </w:rPr>
        <w:t>requirements</w:t>
      </w:r>
      <w:r w:rsidRPr="0072600F" w:rsidR="00D26430">
        <w:rPr>
          <w:rFonts w:ascii="Times New Roman" w:eastAsia="Calibri" w:hAnsi="Times New Roman" w:cs="Times New Roman"/>
          <w:sz w:val="26"/>
          <w:szCs w:val="26"/>
        </w:rPr>
        <w:t>]</w:t>
      </w:r>
      <w:r w:rsidRPr="0072600F">
        <w:rPr>
          <w:rFonts w:ascii="Times New Roman" w:eastAsia="Calibri" w:hAnsi="Times New Roman" w:cs="Times New Roman"/>
          <w:sz w:val="26"/>
          <w:szCs w:val="26"/>
        </w:rPr>
        <w:t>.  Transmission Provider shall include an explanation of the results of Transmission Provider’s evaluation for each technology in the system impact study report.</w:t>
      </w:r>
    </w:p>
    <w:p w:rsidR="00F3594B" w:rsidRPr="0072600F" w:rsidP="00992E8B" w14:paraId="0C4FD083" w14:textId="77777777">
      <w:pPr>
        <w:pStyle w:val="Heading3"/>
        <w:spacing w:after="240"/>
        <w:ind w:left="0" w:firstLine="0"/>
        <w:rPr>
          <w:sz w:val="26"/>
        </w:rPr>
      </w:pPr>
      <w:bookmarkStart w:id="701" w:name="_Toc371514244"/>
      <w:r w:rsidRPr="0072600F">
        <w:rPr>
          <w:sz w:val="26"/>
        </w:rPr>
        <w:t>3.5</w:t>
      </w:r>
      <w:r w:rsidRPr="0072600F">
        <w:rPr>
          <w:sz w:val="26"/>
        </w:rPr>
        <w:tab/>
      </w:r>
      <w:r w:rsidRPr="0072600F">
        <w:rPr>
          <w:sz w:val="26"/>
          <w:u w:val="single"/>
        </w:rPr>
        <w:t>Facilities Study</w:t>
      </w:r>
      <w:bookmarkEnd w:id="701"/>
    </w:p>
    <w:p w:rsidR="00F3594B" w:rsidRPr="0072600F" w14:paraId="6CFED780"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3.5.1</w:t>
      </w:r>
      <w:r w:rsidRPr="0072600F">
        <w:rPr>
          <w:rFonts w:ascii="Times New Roman" w:eastAsia="Calibri" w:hAnsi="Times New Roman" w:cs="Times New Roman"/>
          <w:sz w:val="26"/>
          <w:szCs w:val="26"/>
        </w:rPr>
        <w:tab/>
        <w:t xml:space="preserve">Once the required system impact study(s) is completed, a system impact study report shall be prepared and transmitted to </w:t>
      </w:r>
      <w:r w:rsidRPr="0072600F" w:rsidR="00C6028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028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along with a facilities study agreement within five </w:t>
      </w:r>
      <w:r w:rsidRPr="0072600F" w:rsidR="0056592A">
        <w:rPr>
          <w:rFonts w:ascii="Times New Roman" w:eastAsia="Calibri" w:hAnsi="Times New Roman" w:cs="Times New Roman"/>
          <w:i/>
          <w:iCs/>
          <w:sz w:val="26"/>
          <w:szCs w:val="26"/>
        </w:rPr>
        <w:t xml:space="preserve">(5) </w:t>
      </w:r>
      <w:r w:rsidRPr="0072600F">
        <w:rPr>
          <w:rFonts w:ascii="Times New Roman" w:eastAsia="Calibri" w:hAnsi="Times New Roman" w:cs="Times New Roman"/>
          <w:sz w:val="26"/>
          <w:szCs w:val="26"/>
        </w:rPr>
        <w:t xml:space="preserve">Business Days, including an outline of the scope of the study and a non-binding good faith estimate of the cost to perform the facilities study.  In the case where one or both impact studies are determined to be unnecessary, a notice of the fact shall be transmitted to </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within the same timeframe.</w:t>
      </w:r>
    </w:p>
    <w:p w:rsidR="00F3594B" w:rsidRPr="0072600F" w14:paraId="079E4642"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3.5.2</w:t>
      </w:r>
      <w:r w:rsidRPr="0072600F">
        <w:rPr>
          <w:rFonts w:ascii="Times New Roman" w:eastAsia="Calibri" w:hAnsi="Times New Roman" w:cs="Times New Roman"/>
          <w:sz w:val="26"/>
          <w:szCs w:val="26"/>
        </w:rPr>
        <w:tab/>
        <w:t xml:space="preserve">In order to remain under consideration for interconnection, or, as appropriate, in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interconnection queue, </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return the executed facilities study agreement or a request for an extension of time 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w:t>
      </w:r>
    </w:p>
    <w:p w:rsidR="00F3594B" w:rsidRPr="0072600F" w14:paraId="5DFA1616"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3.5.3</w:t>
      </w:r>
      <w:r w:rsidRPr="0072600F">
        <w:rPr>
          <w:rFonts w:ascii="Times New Roman" w:eastAsia="Calibri" w:hAnsi="Times New Roman" w:cs="Times New Roman"/>
          <w:sz w:val="26"/>
          <w:szCs w:val="26"/>
        </w:rPr>
        <w:tab/>
        <w:t>The facilities study shall specify and estimate the cost of the equipment, engineering, procurement and construction work (including overheads) needed to implement the conclusions of the system impact study(s).</w:t>
      </w:r>
    </w:p>
    <w:p w:rsidR="00F3594B" w:rsidRPr="0072600F" w14:paraId="5E2E281A"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3.5.4</w:t>
      </w:r>
      <w:r w:rsidRPr="0072600F">
        <w:rPr>
          <w:rFonts w:ascii="Times New Roman" w:eastAsia="Calibri" w:hAnsi="Times New Roman" w:cs="Times New Roman"/>
          <w:sz w:val="26"/>
          <w:szCs w:val="26"/>
        </w:rPr>
        <w:tab/>
        <w:t xml:space="preserve">Design for any required Interconnection Facilities and/or Upgrades shall be performed under the facilities study agreement.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may contract with consultants to perform activities required under the facilities study agreement.  </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may agree to allow </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334AE8">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to separately arrange for the design of some of the Interconnection Facilities.  In such cases, facilities design will be reviewed and/or modified prior to acceptance by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under the provisions of the facilities study agreement.  If the Parties agree to separately arrange for design and construction, and provided security and confidentiality requirements can be met,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make sufficient information available to </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in accordance with confidentiality and critical infrastructure requirements to permit </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to obtain an independent design and cost estimate for any necessary facilities.</w:t>
      </w:r>
    </w:p>
    <w:p w:rsidR="00F3594B" w:rsidRPr="0072600F" w14:paraId="2BC54CAE"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3.5.5</w:t>
      </w:r>
      <w:r w:rsidRPr="0072600F">
        <w:rPr>
          <w:rFonts w:ascii="Times New Roman" w:eastAsia="Calibri" w:hAnsi="Times New Roman" w:cs="Times New Roman"/>
          <w:sz w:val="26"/>
          <w:szCs w:val="26"/>
        </w:rPr>
        <w:tab/>
        <w:t xml:space="preserve">A deposit of the good faith estimated costs for the facilities study may be required from </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721B3">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p>
    <w:p w:rsidR="00F3594B" w:rsidRPr="0072600F" w14:paraId="4B1B83E1"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3.5.6 </w:t>
      </w:r>
      <w:r w:rsidRPr="0072600F">
        <w:rPr>
          <w:rFonts w:ascii="Times New Roman" w:eastAsia="Calibri" w:hAnsi="Times New Roman" w:cs="Times New Roman"/>
          <w:sz w:val="26"/>
          <w:szCs w:val="26"/>
        </w:rPr>
        <w:tab/>
        <w:t>The scope of and cost responsibilities for the facilities study are described in the attached facilities study agreement.</w:t>
      </w:r>
    </w:p>
    <w:p w:rsidR="00F3594B" w:rsidRPr="0072600F" w14:paraId="799F3251"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3.5.7</w:t>
      </w:r>
      <w:r w:rsidRPr="0072600F">
        <w:rPr>
          <w:rFonts w:ascii="Times New Roman" w:eastAsia="Calibri" w:hAnsi="Times New Roman" w:cs="Times New Roman"/>
          <w:sz w:val="26"/>
          <w:szCs w:val="26"/>
        </w:rPr>
        <w:tab/>
        <w:t xml:space="preserve">Upon completion of the facilities study, and with the agreement of </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to pay for Interconnection Facilities and Upgrades identified in the facilities study,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provide </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 executable interconnection agreement within five </w:t>
      </w:r>
      <w:r w:rsidRPr="0072600F" w:rsidR="0056592A">
        <w:rPr>
          <w:rFonts w:ascii="Times New Roman" w:eastAsia="Calibri" w:hAnsi="Times New Roman" w:cs="Times New Roman"/>
          <w:i/>
          <w:iCs/>
          <w:sz w:val="26"/>
          <w:szCs w:val="26"/>
        </w:rPr>
        <w:t xml:space="preserve">(5) </w:t>
      </w:r>
      <w:r w:rsidRPr="0072600F">
        <w:rPr>
          <w:rFonts w:ascii="Times New Roman" w:eastAsia="Calibri" w:hAnsi="Times New Roman" w:cs="Times New Roman"/>
          <w:sz w:val="26"/>
          <w:szCs w:val="26"/>
        </w:rPr>
        <w:t>Business Days.</w:t>
      </w:r>
    </w:p>
    <w:p w:rsidR="00C17D90" w:rsidRPr="0072600F" w14:paraId="6B5A369F" w14:textId="77777777">
      <w:pPr>
        <w:spacing w:after="200" w:line="276" w:lineRule="auto"/>
        <w:ind w:left="1440" w:hanging="720"/>
        <w:rPr>
          <w:rFonts w:ascii="Times New Roman" w:eastAsia="Calibri" w:hAnsi="Times New Roman" w:cs="Times New Roman"/>
          <w:sz w:val="26"/>
          <w:szCs w:val="26"/>
        </w:rPr>
      </w:pPr>
    </w:p>
    <w:p w:rsidR="00F3594B" w:rsidRPr="0072600F" w:rsidP="00992E8B" w14:paraId="7EEE72DC" w14:textId="77777777">
      <w:pPr>
        <w:pStyle w:val="Heading2"/>
        <w:spacing w:after="240"/>
        <w:rPr>
          <w:b/>
          <w:bCs/>
          <w:sz w:val="26"/>
          <w:szCs w:val="26"/>
        </w:rPr>
      </w:pPr>
      <w:bookmarkStart w:id="702" w:name="_Toc371514245"/>
      <w:r w:rsidRPr="0072600F">
        <w:rPr>
          <w:b/>
          <w:bCs/>
          <w:sz w:val="26"/>
          <w:szCs w:val="26"/>
        </w:rPr>
        <w:t>Section 4.  Provisions that Apply to All Interconnection Requests</w:t>
      </w:r>
      <w:bookmarkEnd w:id="702"/>
    </w:p>
    <w:p w:rsidR="00F3594B" w:rsidRPr="0072600F" w14:paraId="1CB960EE" w14:textId="77777777">
      <w:pPr>
        <w:pStyle w:val="Heading3"/>
        <w:numPr>
          <w:ilvl w:val="1"/>
          <w:numId w:val="11"/>
        </w:numPr>
        <w:spacing w:after="240"/>
        <w:rPr>
          <w:sz w:val="26"/>
        </w:rPr>
      </w:pPr>
      <w:bookmarkStart w:id="703" w:name="_Toc371514246"/>
      <w:r w:rsidRPr="0072600F">
        <w:rPr>
          <w:sz w:val="26"/>
          <w:u w:val="single"/>
        </w:rPr>
        <w:t>Reasonable Efforts</w:t>
      </w:r>
      <w:bookmarkEnd w:id="703"/>
    </w:p>
    <w:p w:rsidR="00F3594B" w:rsidRPr="0072600F" w14:paraId="0EC83972" w14:textId="77777777">
      <w:pPr>
        <w:spacing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make reasonable efforts to meet all time frames provided in these procedures unless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and </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agree to a different schedule.  If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cannot meet a deadline provided herein, it shall notify </w:t>
      </w:r>
      <w:r w:rsidRPr="0072600F" w:rsidR="008821C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821C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explain the reason for the failure to meet the deadline, and provide an estimated time by which it will complete the applicable interconnection procedure in the process.</w:t>
      </w:r>
    </w:p>
    <w:p w:rsidR="00F3594B" w:rsidRPr="0072600F" w:rsidP="00992E8B" w14:paraId="3250799F" w14:textId="77777777">
      <w:pPr>
        <w:pStyle w:val="Heading3"/>
        <w:spacing w:after="240"/>
        <w:ind w:left="0" w:firstLine="0"/>
        <w:rPr>
          <w:sz w:val="26"/>
        </w:rPr>
      </w:pPr>
      <w:bookmarkStart w:id="704" w:name="_Toc371514247"/>
      <w:r w:rsidRPr="0072600F">
        <w:rPr>
          <w:sz w:val="26"/>
        </w:rPr>
        <w:t>4.2</w:t>
      </w:r>
      <w:r w:rsidRPr="0072600F">
        <w:rPr>
          <w:sz w:val="26"/>
        </w:rPr>
        <w:tab/>
      </w:r>
      <w:r w:rsidRPr="0072600F">
        <w:rPr>
          <w:sz w:val="26"/>
          <w:u w:val="single"/>
        </w:rPr>
        <w:t>Disputes</w:t>
      </w:r>
      <w:bookmarkEnd w:id="704"/>
    </w:p>
    <w:p w:rsidR="00F3594B" w:rsidRPr="0072600F" w14:paraId="54568CD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4.2.1</w:t>
      </w:r>
      <w:r w:rsidRPr="0072600F">
        <w:rPr>
          <w:rFonts w:ascii="Times New Roman" w:eastAsia="Calibri" w:hAnsi="Times New Roman" w:cs="Times New Roman"/>
          <w:sz w:val="26"/>
          <w:szCs w:val="26"/>
        </w:rPr>
        <w:tab/>
        <w:t>The Parties agree to attempt to resolve all disputes arising out of the interconnection process according to the provisions of this article.</w:t>
      </w:r>
    </w:p>
    <w:p w:rsidR="00F3594B" w:rsidRPr="0072600F" w14:paraId="17672520"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4.2.2</w:t>
      </w:r>
      <w:r w:rsidRPr="0072600F">
        <w:rPr>
          <w:rFonts w:ascii="Times New Roman" w:eastAsia="Calibri" w:hAnsi="Times New Roman" w:cs="Times New Roman"/>
          <w:sz w:val="26"/>
          <w:szCs w:val="26"/>
        </w:rPr>
        <w:tab/>
        <w:t>In the event of a dispute, either Party shall provide the other Party with a written Notice of Dispute.  Such Notice shall describe in detail the nature of the dispute.</w:t>
      </w:r>
    </w:p>
    <w:p w:rsidR="00F3594B" w:rsidRPr="0072600F" w14:paraId="6B07F57E"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4.2.3</w:t>
      </w:r>
      <w:r w:rsidRPr="0072600F">
        <w:rPr>
          <w:rFonts w:ascii="Times New Roman" w:eastAsia="Calibri" w:hAnsi="Times New Roman" w:cs="Times New Roman"/>
          <w:sz w:val="26"/>
          <w:szCs w:val="26"/>
        </w:rPr>
        <w:tab/>
        <w:t>If the dispute has not been resolved within two</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(2)</w:t>
      </w:r>
      <w:r w:rsidRPr="0072600F">
        <w:rPr>
          <w:rFonts w:ascii="Times New Roman" w:eastAsia="Calibri" w:hAnsi="Times New Roman" w:cs="Times New Roman"/>
          <w:sz w:val="26"/>
          <w:szCs w:val="26"/>
        </w:rPr>
        <w:t xml:space="preserve"> Business Days after receipt of the Notice, either Party may contact FERC</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Dispute Resolution Service (DRS) for assistance in resolving the dispute.</w:t>
      </w:r>
    </w:p>
    <w:p w:rsidR="00F3594B" w:rsidRPr="0072600F" w14:paraId="2B61DDC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4.2.4</w:t>
      </w:r>
      <w:r w:rsidRPr="0072600F">
        <w:rPr>
          <w:rFonts w:ascii="Times New Roman" w:eastAsia="Calibri" w:hAnsi="Times New Roman" w:cs="Times New Roman"/>
          <w:sz w:val="26"/>
          <w:szCs w:val="26"/>
        </w:rPr>
        <w:tab/>
        <w:t xml:space="preserve">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w:t>
      </w:r>
      <w:hyperlink r:id="rId54" w:history="1">
        <w:r w:rsidRPr="0072600F" w:rsidR="00DF7112">
          <w:rPr>
            <w:rStyle w:val="Hyperlink"/>
            <w:rFonts w:ascii="Times New Roman" w:eastAsia="Calibri" w:hAnsi="Times New Roman" w:cs="Times New Roman"/>
            <w:sz w:val="26"/>
            <w:szCs w:val="26"/>
          </w:rPr>
          <w:t>http://www.ferc.gov/legal/adr.asp</w:t>
        </w:r>
      </w:hyperlink>
      <w:r w:rsidRPr="0072600F">
        <w:rPr>
          <w:rFonts w:ascii="Times New Roman" w:eastAsia="Calibri" w:hAnsi="Times New Roman" w:cs="Times New Roman"/>
          <w:sz w:val="26"/>
          <w:szCs w:val="26"/>
        </w:rPr>
        <w:t>.</w:t>
      </w:r>
    </w:p>
    <w:p w:rsidR="00F3594B" w:rsidRPr="0072600F" w14:paraId="64870B90"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4.2.5</w:t>
      </w:r>
      <w:r w:rsidRPr="0072600F">
        <w:rPr>
          <w:rFonts w:ascii="Times New Roman" w:eastAsia="Calibri" w:hAnsi="Times New Roman" w:cs="Times New Roman"/>
          <w:sz w:val="26"/>
          <w:szCs w:val="26"/>
        </w:rPr>
        <w:tab/>
        <w:t>Each Party agrees to conduct all negotiations in good faith and will be responsible for one-half of any costs paid to neutral third-parties.</w:t>
      </w:r>
    </w:p>
    <w:p w:rsidR="00F3594B" w:rsidRPr="0072600F" w14:paraId="2BD38A73"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4.2.6</w:t>
      </w:r>
      <w:r w:rsidRPr="0072600F">
        <w:rPr>
          <w:rFonts w:ascii="Times New Roman" w:eastAsia="Calibri" w:hAnsi="Times New Roman" w:cs="Times New Roman"/>
          <w:sz w:val="26"/>
          <w:szCs w:val="26"/>
        </w:rPr>
        <w:tab/>
        <w:t>If neither Party elects to seek assistance from the DRS, or if the attempted dispute resolution fails, then either Party may exercise whatever rights and remedies it may have in equity or law consistent with the terms of these procedures.</w:t>
      </w:r>
    </w:p>
    <w:p w:rsidR="00F3594B" w:rsidRPr="0072600F" w:rsidP="00992E8B" w14:paraId="6D733045" w14:textId="77777777">
      <w:pPr>
        <w:pStyle w:val="Heading3"/>
        <w:spacing w:after="240"/>
        <w:ind w:left="0" w:firstLine="0"/>
        <w:rPr>
          <w:sz w:val="26"/>
        </w:rPr>
      </w:pPr>
      <w:bookmarkStart w:id="705" w:name="_Toc371514248"/>
      <w:r w:rsidRPr="0072600F">
        <w:rPr>
          <w:sz w:val="26"/>
        </w:rPr>
        <w:t>4.3</w:t>
      </w:r>
      <w:r w:rsidRPr="0072600F">
        <w:rPr>
          <w:sz w:val="26"/>
        </w:rPr>
        <w:tab/>
      </w:r>
      <w:r w:rsidRPr="0072600F">
        <w:rPr>
          <w:sz w:val="26"/>
          <w:u w:val="single"/>
        </w:rPr>
        <w:t>Interconnection Metering</w:t>
      </w:r>
      <w:bookmarkEnd w:id="705"/>
    </w:p>
    <w:p w:rsidR="00F3594B" w:rsidRPr="0072600F" w14:paraId="770FC6BE"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Any metering necessitated by the use of the Small Generating Facility shall be installed at </w:t>
      </w:r>
      <w:r w:rsidRPr="0072600F" w:rsidR="008821C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821C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expense in accordance with Federal Energy Regulatory Commission, state, or local regulatory requirements or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specifications.</w:t>
      </w:r>
    </w:p>
    <w:p w:rsidR="00F3594B" w:rsidRPr="0072600F" w:rsidP="00992E8B" w14:paraId="334854A5" w14:textId="77777777">
      <w:pPr>
        <w:pStyle w:val="Heading3"/>
        <w:spacing w:after="240"/>
        <w:ind w:left="0" w:firstLine="0"/>
        <w:rPr>
          <w:sz w:val="26"/>
        </w:rPr>
      </w:pPr>
      <w:bookmarkStart w:id="706" w:name="_Toc371514249"/>
      <w:r w:rsidRPr="0072600F">
        <w:rPr>
          <w:sz w:val="26"/>
        </w:rPr>
        <w:t>4.4</w:t>
      </w:r>
      <w:r w:rsidRPr="0072600F">
        <w:rPr>
          <w:sz w:val="26"/>
        </w:rPr>
        <w:tab/>
      </w:r>
      <w:r w:rsidRPr="0072600F">
        <w:rPr>
          <w:sz w:val="26"/>
          <w:u w:val="single"/>
        </w:rPr>
        <w:t>Commissioning</w:t>
      </w:r>
      <w:bookmarkEnd w:id="706"/>
    </w:p>
    <w:p w:rsidR="00F3594B" w:rsidRPr="0072600F" w14:paraId="78E40DE3"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Commissioning tests of </w:t>
      </w:r>
      <w:r w:rsidRPr="0072600F" w:rsidR="008821CB">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821CB">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installed equipment shall be performed pursuant to applicable codes and standards.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must be given at least five </w:t>
      </w:r>
      <w:r w:rsidRPr="0072600F" w:rsidR="0056592A">
        <w:rPr>
          <w:rFonts w:ascii="Times New Roman" w:eastAsia="Calibri" w:hAnsi="Times New Roman" w:cs="Times New Roman"/>
          <w:i/>
          <w:iCs/>
          <w:sz w:val="26"/>
          <w:szCs w:val="26"/>
        </w:rPr>
        <w:t xml:space="preserve">(5) </w:t>
      </w:r>
      <w:r w:rsidRPr="0072600F">
        <w:rPr>
          <w:rFonts w:ascii="Times New Roman" w:eastAsia="Calibri" w:hAnsi="Times New Roman" w:cs="Times New Roman"/>
          <w:sz w:val="26"/>
          <w:szCs w:val="26"/>
        </w:rPr>
        <w:t>Business Days written notice, or as otherwise mutually agreed to by the Parties, of the tests and may be present to witness the commissioning tests.</w:t>
      </w:r>
    </w:p>
    <w:p w:rsidR="00F3594B" w:rsidRPr="0072600F" w:rsidP="00992E8B" w14:paraId="5FF5B666" w14:textId="77777777">
      <w:pPr>
        <w:pStyle w:val="Heading3"/>
        <w:spacing w:after="240"/>
        <w:ind w:left="0" w:firstLine="0"/>
        <w:rPr>
          <w:sz w:val="26"/>
        </w:rPr>
      </w:pPr>
      <w:bookmarkStart w:id="707" w:name="_Toc371514250"/>
      <w:r w:rsidRPr="0072600F">
        <w:rPr>
          <w:sz w:val="26"/>
        </w:rPr>
        <w:t>4.5.</w:t>
      </w:r>
      <w:r w:rsidRPr="0072600F">
        <w:rPr>
          <w:sz w:val="26"/>
        </w:rPr>
        <w:tab/>
      </w:r>
      <w:r w:rsidRPr="0072600F">
        <w:rPr>
          <w:sz w:val="26"/>
          <w:u w:val="single"/>
        </w:rPr>
        <w:t>Confidentiality</w:t>
      </w:r>
      <w:bookmarkEnd w:id="707"/>
    </w:p>
    <w:p w:rsidR="00F3594B" w:rsidRPr="0072600F" w14:paraId="7063477C"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4.5.1</w:t>
      </w:r>
      <w:r w:rsidRPr="0072600F">
        <w:rPr>
          <w:rFonts w:ascii="Times New Roman" w:eastAsia="Calibri" w:hAnsi="Times New Roman" w:cs="Times New Roman"/>
          <w:sz w:val="26"/>
          <w:szCs w:val="26"/>
        </w:rPr>
        <w:tab/>
        <w:t xml:space="preserve">Confidential information shall mean any confidential and/or proprietary information provided by one Party to the other Party that is clearly marked or otherwise designated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Confidential.</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For purposes of these procedures all design, operating specifications, and metering data provided by </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62E3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be deemed confidential information regardless of whether it is clearly marked or otherwise designated as such.</w:t>
      </w:r>
    </w:p>
    <w:p w:rsidR="00F3594B" w:rsidRPr="0072600F" w14:paraId="2BBA577C"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4.5.2</w:t>
      </w:r>
      <w:r w:rsidRPr="0072600F">
        <w:rPr>
          <w:rFonts w:ascii="Times New Roman" w:eastAsia="Calibri" w:hAnsi="Times New Roman" w:cs="Times New Roman"/>
          <w:sz w:val="26"/>
          <w:szCs w:val="26"/>
        </w:rP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these procedures.  Each Party receiving Confidential Information shall hold such information in confidence and shall not disclose it to any third party nor to the public without the prior written authorization from the Party providing that information, except to fulfill obligations under these procedures, or to fulfill legal or regulatory requirements.</w:t>
      </w:r>
    </w:p>
    <w:p w:rsidR="00F3594B" w:rsidRPr="0072600F" w14:paraId="26BAF834"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4.5.2.1</w:t>
      </w:r>
      <w:r w:rsidRPr="0072600F">
        <w:rPr>
          <w:rFonts w:ascii="Times New Roman" w:eastAsia="Calibri" w:hAnsi="Times New Roman" w:cs="Times New Roman"/>
          <w:sz w:val="26"/>
          <w:szCs w:val="26"/>
        </w:rPr>
        <w:tab/>
        <w:t>Each Party shall employ at least the same standard of care to protect Confidential Information obtained from the other Party as it employs to protect its own Confidential Information.</w:t>
      </w:r>
    </w:p>
    <w:p w:rsidR="00F3594B" w:rsidRPr="0072600F" w14:paraId="6DD0B9A8" w14:textId="77777777">
      <w:pPr>
        <w:spacing w:after="200" w:line="276" w:lineRule="auto"/>
        <w:ind w:left="288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4.5.2.2</w:t>
      </w:r>
      <w:r w:rsidRPr="0072600F">
        <w:rPr>
          <w:rFonts w:ascii="Times New Roman" w:eastAsia="Calibri" w:hAnsi="Times New Roman" w:cs="Times New Roman"/>
          <w:sz w:val="26"/>
          <w:szCs w:val="26"/>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rsidR="00F3594B" w:rsidRPr="0072600F" w14:paraId="7B6F48E8"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4.5.3</w:t>
      </w:r>
      <w:r w:rsidRPr="0072600F">
        <w:rPr>
          <w:rFonts w:ascii="Times New Roman" w:eastAsia="Calibri" w:hAnsi="Times New Roman" w:cs="Times New Roman"/>
          <w:sz w:val="26"/>
          <w:szCs w:val="26"/>
        </w:rPr>
        <w:tab/>
        <w:t>Notwithstanding anything in this article to the contrary, and pursuant to 18 CFR § 1b.20, if FERC, during the course of an investigation or otherwise, requests information from one of the Parties that is otherwise required to be maintained in confidence pursuant to these procedures,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prior to the release of the Confidential Information to FERC.  The Party shall notify the other Party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F3594B" w:rsidRPr="0072600F" w:rsidP="00992E8B" w14:paraId="774CD541" w14:textId="77777777">
      <w:pPr>
        <w:pStyle w:val="Heading3"/>
        <w:spacing w:after="240"/>
        <w:ind w:left="0" w:firstLine="0"/>
        <w:rPr>
          <w:sz w:val="26"/>
        </w:rPr>
      </w:pPr>
      <w:bookmarkStart w:id="708" w:name="_Toc371514251"/>
      <w:r w:rsidRPr="0072600F">
        <w:rPr>
          <w:sz w:val="26"/>
        </w:rPr>
        <w:t>4.6</w:t>
      </w:r>
      <w:r w:rsidRPr="0072600F">
        <w:rPr>
          <w:sz w:val="26"/>
        </w:rPr>
        <w:tab/>
      </w:r>
      <w:r w:rsidRPr="0072600F">
        <w:rPr>
          <w:sz w:val="26"/>
          <w:u w:val="single"/>
        </w:rPr>
        <w:t>Comparability</w:t>
      </w:r>
      <w:bookmarkEnd w:id="708"/>
    </w:p>
    <w:p w:rsidR="00F3594B" w:rsidRPr="0072600F" w14:paraId="599E0AE2"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receive, process and analyze all Interconnection Requests in a timely manner as set forth in this document.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use the same reasonable efforts in processing and analyzing Interconnection Requests from all Interconnection Customers, whether the Small Generating Facility is owned or operated by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its subsidiaries or affiliates, or others.</w:t>
      </w:r>
    </w:p>
    <w:p w:rsidR="00F3594B" w:rsidRPr="0072600F" w:rsidP="00992E8B" w14:paraId="1F146C13" w14:textId="77777777">
      <w:pPr>
        <w:pStyle w:val="Heading3"/>
        <w:spacing w:after="240"/>
        <w:ind w:left="0" w:firstLine="0"/>
        <w:rPr>
          <w:sz w:val="26"/>
        </w:rPr>
      </w:pPr>
      <w:bookmarkStart w:id="709" w:name="_Toc371514252"/>
      <w:r w:rsidRPr="0072600F">
        <w:rPr>
          <w:sz w:val="26"/>
        </w:rPr>
        <w:t>4.7</w:t>
      </w:r>
      <w:r w:rsidRPr="0072600F">
        <w:rPr>
          <w:sz w:val="26"/>
        </w:rPr>
        <w:tab/>
      </w:r>
      <w:r w:rsidRPr="0072600F">
        <w:rPr>
          <w:sz w:val="26"/>
          <w:u w:val="single"/>
        </w:rPr>
        <w:t>Record Retention</w:t>
      </w:r>
      <w:bookmarkEnd w:id="709"/>
    </w:p>
    <w:p w:rsidR="00F3594B" w:rsidRPr="0072600F" w14:paraId="6D82E4EC"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maintain for three years records, subject to audit, of all Interconnection Requests received under these procedures, the times required to complete Interconnection Request approvals and disapprovals, and justification for the actions taken on the Interconnection Requests.</w:t>
      </w:r>
    </w:p>
    <w:p w:rsidR="00F3594B" w:rsidRPr="0072600F" w:rsidP="00992E8B" w14:paraId="519531A3" w14:textId="77777777">
      <w:pPr>
        <w:pStyle w:val="Heading3"/>
        <w:spacing w:after="240"/>
        <w:ind w:left="0" w:firstLine="0"/>
        <w:rPr>
          <w:sz w:val="26"/>
        </w:rPr>
      </w:pPr>
      <w:bookmarkStart w:id="710" w:name="_Toc371514253"/>
      <w:r w:rsidRPr="0072600F">
        <w:rPr>
          <w:sz w:val="26"/>
        </w:rPr>
        <w:t>4.8</w:t>
      </w:r>
      <w:r w:rsidRPr="0072600F">
        <w:rPr>
          <w:sz w:val="26"/>
        </w:rPr>
        <w:tab/>
      </w:r>
      <w:r w:rsidRPr="0072600F">
        <w:rPr>
          <w:sz w:val="26"/>
          <w:u w:val="single"/>
        </w:rPr>
        <w:t>Interconnection Agreement</w:t>
      </w:r>
      <w:bookmarkEnd w:id="710"/>
    </w:p>
    <w:p w:rsidR="00F3594B" w:rsidRPr="0072600F" w14:paraId="639E1673"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After receiving an interconnection agreement from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have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or another mutually agreeable timeframe to sign and return the interconnection agreement or request that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file an unexecuted interconnection agreement with the Federal Energy Regulatory Commission.  If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does not sign the interconnection agreement, or ask that it be filed unexecuted by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the Interconnection Request shall be deemed withdrawn.  After the interconnection agreement is signed by the Parties, the interconnection of the Small Generating Facility shall proceed under the provisions of the interconnection agreement.</w:t>
      </w:r>
    </w:p>
    <w:p w:rsidR="00F3594B" w:rsidRPr="0072600F" w:rsidP="00992E8B" w14:paraId="42D02A9F" w14:textId="77777777">
      <w:pPr>
        <w:pStyle w:val="Heading3"/>
        <w:spacing w:after="240"/>
        <w:ind w:left="0" w:firstLine="0"/>
        <w:rPr>
          <w:sz w:val="26"/>
        </w:rPr>
      </w:pPr>
      <w:bookmarkStart w:id="711" w:name="_Toc371514254"/>
      <w:r w:rsidRPr="0072600F">
        <w:rPr>
          <w:sz w:val="26"/>
        </w:rPr>
        <w:t>4.9</w:t>
      </w:r>
      <w:r w:rsidRPr="0072600F">
        <w:rPr>
          <w:sz w:val="26"/>
        </w:rPr>
        <w:tab/>
      </w:r>
      <w:r w:rsidRPr="0072600F">
        <w:rPr>
          <w:sz w:val="26"/>
          <w:u w:val="single"/>
        </w:rPr>
        <w:t>Coordination with Affected Systems</w:t>
      </w:r>
      <w:bookmarkEnd w:id="711"/>
    </w:p>
    <w:p w:rsidR="00F3594B" w:rsidRPr="0072600F" w:rsidP="00992E8B" w14:paraId="46FFDE5E" w14:textId="77777777">
      <w:pPr>
        <w:spacing w:after="200" w:line="276" w:lineRule="auto"/>
        <w:ind w:left="720"/>
        <w:rPr>
          <w:rFonts w:ascii="Times New Roman" w:hAnsi="Times New Roman" w:cs="Times New Roman"/>
          <w:bCs/>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coordinate the conduct of any studies required to determine the impact of the Interconnection Request on Affected Systems with Affected System operators and, if possible, include those results (if available) in its applicable interconnection study within the time frame specified in these procedures.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will include such Affected System operators in all meetings held with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as required by these procedures.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will cooperate with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in all matters related to the conduct of studies and the determination of modifications to Affected Systems.  A Transmission Provider which may be an Affected System shall cooperate with </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with whom interconnection has been requested in all matters related to the conduct of studies and the determination of modifications to Affected Systems.</w:t>
      </w:r>
      <w:bookmarkStart w:id="712" w:name="_Toc371514255"/>
    </w:p>
    <w:p w:rsidR="00F3594B" w:rsidRPr="0072600F" w:rsidP="005F7950" w14:paraId="6102965C" w14:textId="77777777">
      <w:pPr>
        <w:pStyle w:val="Heading3"/>
        <w:ind w:left="0" w:firstLine="0"/>
        <w:rPr>
          <w:sz w:val="26"/>
          <w:u w:val="single"/>
        </w:rPr>
      </w:pPr>
      <w:r w:rsidRPr="0072600F">
        <w:rPr>
          <w:sz w:val="26"/>
        </w:rPr>
        <w:t>4.10</w:t>
      </w:r>
      <w:r w:rsidRPr="0072600F">
        <w:rPr>
          <w:sz w:val="26"/>
        </w:rPr>
        <w:tab/>
      </w:r>
      <w:r w:rsidRPr="0072600F">
        <w:rPr>
          <w:sz w:val="26"/>
          <w:u w:val="single"/>
        </w:rPr>
        <w:t>Capacity of the Small Generating Facility</w:t>
      </w:r>
      <w:bookmarkEnd w:id="712"/>
    </w:p>
    <w:p w:rsidR="00F3594B" w:rsidRPr="0072600F" w14:paraId="3B4F3BF0" w14:textId="77777777">
      <w:pPr>
        <w:spacing w:after="200" w:line="276" w:lineRule="auto"/>
        <w:ind w:left="1440" w:hanging="720"/>
        <w:rPr>
          <w:rFonts w:ascii="Times New Roman" w:eastAsia="Calibri" w:hAnsi="Times New Roman" w:cs="Times New Roman"/>
          <w:sz w:val="26"/>
          <w:szCs w:val="26"/>
          <w:u w:val="single"/>
        </w:rPr>
      </w:pPr>
    </w:p>
    <w:p w:rsidR="00F3594B" w:rsidRPr="0072600F" w14:paraId="69BB2AF8" w14:textId="77777777">
      <w:pPr>
        <w:spacing w:after="200" w:line="276" w:lineRule="auto"/>
        <w:ind w:left="216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4.10.1</w:t>
      </w:r>
      <w:r w:rsidRPr="0072600F">
        <w:rPr>
          <w:rFonts w:ascii="Times New Roman" w:eastAsia="Calibri" w:hAnsi="Times New Roman" w:cs="Times New Roman"/>
          <w:sz w:val="26"/>
          <w:szCs w:val="26"/>
        </w:rPr>
        <w:tab/>
        <w:t>If the Interconnection Request is for an increase in capacity for an existing Small Generating Facility, the Interconnection Request shall be evaluated on the basis of the new total capacity of the Small Generating Facility.</w:t>
      </w:r>
    </w:p>
    <w:p w:rsidR="00F3594B" w:rsidRPr="0072600F" w14:paraId="4C6C628E" w14:textId="77777777">
      <w:pPr>
        <w:spacing w:after="200" w:line="276" w:lineRule="auto"/>
        <w:ind w:left="2160" w:hanging="1440"/>
        <w:rPr>
          <w:rFonts w:ascii="Times New Roman" w:eastAsia="Calibri" w:hAnsi="Times New Roman" w:cs="Times New Roman"/>
          <w:sz w:val="26"/>
          <w:szCs w:val="26"/>
        </w:rPr>
      </w:pPr>
      <w:r w:rsidRPr="0072600F">
        <w:rPr>
          <w:rFonts w:ascii="Times New Roman" w:eastAsia="Calibri" w:hAnsi="Times New Roman" w:cs="Times New Roman"/>
          <w:sz w:val="26"/>
          <w:szCs w:val="26"/>
        </w:rPr>
        <w:t>4.10.2</w:t>
      </w:r>
      <w:r w:rsidRPr="0072600F">
        <w:rPr>
          <w:rFonts w:ascii="Times New Roman" w:eastAsia="Calibri" w:hAnsi="Times New Roman" w:cs="Times New Roman"/>
          <w:sz w:val="26"/>
          <w:szCs w:val="26"/>
        </w:rPr>
        <w:tab/>
        <w:t xml:space="preserve">If the Interconnection Request is for a Small Generating Facility that includes multiple energy production devices at a site for which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seeks a single Point of Interconnection, the Interconnection Request shall be evaluated on the basis of the aggregate capacity of the multiple devices.</w:t>
      </w:r>
    </w:p>
    <w:p w:rsidR="00F3594B" w:rsidRPr="0072600F" w14:paraId="750DC217" w14:textId="77777777">
      <w:pPr>
        <w:spacing w:after="200" w:line="276" w:lineRule="auto"/>
        <w:ind w:left="2160" w:hanging="1440"/>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rPr>
        <w:t>4.10.3</w:t>
      </w:r>
      <w:r w:rsidRPr="0072600F">
        <w:rPr>
          <w:rFonts w:ascii="Times New Roman" w:eastAsia="Calibri" w:hAnsi="Times New Roman" w:cs="Times New Roman"/>
          <w:sz w:val="26"/>
          <w:szCs w:val="26"/>
        </w:rPr>
        <w:tab/>
        <w:t xml:space="preserve">The Interconnection Request shall be evaluated using the maximum capacity that the Small Generating Facility is capable of injecting into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electric system.  However, if the maximum capacity that the Small Generating Facility is capable of injecting into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electric system is limited (e.g., through use of a control system, power relay(s), or other similar device settings or adjustments), then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obtain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agreement, with such agreement not to be unreasonably withheld, that the manner in which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proposes to implement such a limit will not adversely affect the safety and reliability of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system.  If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does not so agree, then the Interconnection Request must be withdrawn or revised to specify the maximum capacity that the Small Generating Facility is capable of injecting into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electric system without such limitations.  Furthermore, nothing in this section shall prevent a Transmission Provider from considering an output higher than the limited output, if appropriate, when evaluating system protection impacts.</w:t>
      </w:r>
    </w:p>
    <w:p w:rsidR="00F3594B" w:rsidRPr="0072600F" w14:paraId="2BDBEAC3" w14:textId="77777777">
      <w:pPr>
        <w:spacing w:line="276" w:lineRule="auto"/>
        <w:jc w:val="center"/>
        <w:rPr>
          <w:rFonts w:ascii="Times New Roman" w:eastAsia="Calibri" w:hAnsi="Times New Roman" w:cs="Times New Roman"/>
          <w:b/>
          <w:sz w:val="26"/>
          <w:szCs w:val="26"/>
        </w:rPr>
        <w:sectPr>
          <w:footerReference w:type="default" r:id="rId55"/>
          <w:footnotePr>
            <w:numRestart w:val="eachSect"/>
          </w:footnotePr>
          <w:pgSz w:w="12240" w:h="15840"/>
          <w:pgMar w:top="1440" w:right="1440" w:bottom="1440" w:left="1440" w:header="720" w:footer="720" w:gutter="0"/>
          <w:pgNumType w:start="1"/>
          <w:cols w:space="720"/>
          <w:docGrid w:linePitch="360"/>
        </w:sectPr>
      </w:pPr>
    </w:p>
    <w:p w:rsidR="00F3594B" w:rsidRPr="0072600F" w14:paraId="2EC9FECD"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1</w:t>
      </w:r>
    </w:p>
    <w:p w:rsidR="00F3594B" w:rsidRPr="0072600F" w14:paraId="1640CEA6"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Glossary of Terms</w:t>
      </w:r>
    </w:p>
    <w:p w:rsidR="00F3594B" w:rsidRPr="0072600F" w:rsidP="00DF7112" w14:paraId="4F44776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10 kW Inverter Process</w:t>
      </w:r>
      <w:r w:rsidRPr="0072600F">
        <w:rPr>
          <w:rFonts w:ascii="Times New Roman" w:eastAsia="Calibri" w:hAnsi="Times New Roman" w:cs="Times New Roman"/>
          <w:sz w:val="26"/>
          <w:szCs w:val="26"/>
        </w:rPr>
        <w:t xml:space="preserve"> – The procedure for evaluating an Interconnection Request for a certified inverter-based Small Generating Facility no larger than 10 kW that uses the section 2 screens.  The application process uses an all-in-one document that includes a simplified Interconnection Request, simplified procedures, and a brief set of terms and conditions.  See SGIP Attachment 5.</w:t>
      </w:r>
    </w:p>
    <w:p w:rsidR="00F3594B" w:rsidRPr="0072600F" w14:paraId="10A617C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Affected System</w:t>
      </w:r>
      <w:r w:rsidRPr="0072600F">
        <w:rPr>
          <w:rFonts w:ascii="Times New Roman" w:eastAsia="Calibri" w:hAnsi="Times New Roman" w:cs="Times New Roman"/>
          <w:sz w:val="26"/>
          <w:szCs w:val="26"/>
        </w:rPr>
        <w:t xml:space="preserve"> – An electric system other than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that may be affected by the proposed interconnection.</w:t>
      </w:r>
    </w:p>
    <w:p w:rsidR="009031C7" w:rsidRPr="0072600F" w:rsidP="009031C7" w14:paraId="4EEB8B01" w14:textId="77777777">
      <w:pPr>
        <w:spacing w:after="200" w:line="276" w:lineRule="auto"/>
        <w:rPr>
          <w:rFonts w:ascii="Times New Roman" w:eastAsia="Calibri" w:hAnsi="Times New Roman" w:cs="Times New Roman"/>
          <w:i/>
          <w:iCs/>
          <w:sz w:val="26"/>
          <w:szCs w:val="26"/>
        </w:rPr>
      </w:pPr>
      <w:r w:rsidRPr="0072600F">
        <w:rPr>
          <w:rFonts w:ascii="Times New Roman" w:eastAsia="Calibri" w:hAnsi="Times New Roman" w:cs="Times New Roman"/>
          <w:b/>
          <w:bCs/>
          <w:i/>
          <w:iCs/>
          <w:sz w:val="26"/>
          <w:szCs w:val="26"/>
        </w:rPr>
        <w:t>Applicable Reliability Standards</w:t>
      </w:r>
      <w:r w:rsidRPr="0072600F">
        <w:rPr>
          <w:rFonts w:ascii="Times New Roman" w:eastAsia="Calibri" w:hAnsi="Times New Roman" w:cs="Times New Roman"/>
          <w:i/>
          <w:iCs/>
          <w:sz w:val="26"/>
          <w:szCs w:val="26"/>
        </w:rPr>
        <w:t xml:space="preserve"> – The requirements and guidelines of the Electric Reliability Organization and the Balancing Authority Area of the Transmission System to which the Generating Facility is directly interconnected.</w:t>
      </w:r>
    </w:p>
    <w:p w:rsidR="009031C7" w:rsidRPr="0072600F" w14:paraId="3D409169" w14:textId="77777777">
      <w:pPr>
        <w:spacing w:after="200" w:line="276" w:lineRule="auto"/>
        <w:rPr>
          <w:rFonts w:ascii="Times New Roman" w:eastAsia="Calibri" w:hAnsi="Times New Roman" w:cs="Times New Roman"/>
          <w:i/>
          <w:sz w:val="26"/>
          <w:szCs w:val="26"/>
        </w:rPr>
      </w:pPr>
      <w:r w:rsidRPr="0072600F">
        <w:rPr>
          <w:rFonts w:ascii="Times New Roman" w:eastAsia="Calibri" w:hAnsi="Times New Roman" w:cs="Times New Roman"/>
          <w:b/>
          <w:bCs/>
          <w:i/>
          <w:iCs/>
          <w:sz w:val="26"/>
          <w:szCs w:val="26"/>
        </w:rPr>
        <w:t>Applicable Laws and Regulations</w:t>
      </w:r>
      <w:r w:rsidRPr="0072600F">
        <w:rPr>
          <w:rFonts w:ascii="Times New Roman" w:eastAsia="Calibri" w:hAnsi="Times New Roman" w:cs="Times New Roman"/>
          <w:i/>
          <w:iCs/>
          <w:sz w:val="26"/>
          <w:szCs w:val="26"/>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F3594B" w:rsidRPr="0072600F" w14:paraId="7117402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Business Day</w:t>
      </w:r>
      <w:r w:rsidRPr="0072600F">
        <w:rPr>
          <w:rFonts w:ascii="Times New Roman" w:eastAsia="Calibri" w:hAnsi="Times New Roman" w:cs="Times New Roman"/>
          <w:sz w:val="26"/>
          <w:szCs w:val="26"/>
        </w:rPr>
        <w:t xml:space="preserve"> – Monday through Friday, excluding Federal Holidays.</w:t>
      </w:r>
    </w:p>
    <w:p w:rsidR="00F3594B" w:rsidRPr="0072600F" w14:paraId="2404542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Distribution System</w:t>
      </w:r>
      <w:r w:rsidRPr="0072600F">
        <w:rPr>
          <w:rFonts w:ascii="Times New Roman" w:eastAsia="Calibri" w:hAnsi="Times New Roman" w:cs="Times New Roman"/>
          <w:sz w:val="26"/>
          <w:szCs w:val="26"/>
        </w:rPr>
        <w:t xml:space="preserve"> –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F3594B" w:rsidRPr="0072600F" w14:paraId="551C78E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Distribution Upgrades</w:t>
      </w:r>
      <w:r w:rsidRPr="0072600F">
        <w:rPr>
          <w:rFonts w:ascii="Times New Roman" w:eastAsia="Calibri" w:hAnsi="Times New Roman" w:cs="Times New Roman"/>
          <w:sz w:val="26"/>
          <w:szCs w:val="26"/>
        </w:rPr>
        <w:t xml:space="preserve"> – The additions, modifications, and upgrades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Distribution System at or beyond the Point of Interconnection to facilitate interconnection of the Small Generating Facility and render the transmission service necessary to effect </w:t>
      </w:r>
      <w:r w:rsidRPr="0072600F" w:rsidR="006E0C6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E0C6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wholesale sale of electricity in interstate commerce.  Distribution Upgrades do not include Interconnection Facilities.</w:t>
      </w:r>
    </w:p>
    <w:p w:rsidR="00F3594B" w:rsidRPr="0072600F" w14:paraId="405682D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Fast Track Process</w:t>
      </w:r>
      <w:r w:rsidRPr="0072600F">
        <w:rPr>
          <w:rFonts w:ascii="Times New Roman" w:eastAsia="Calibri" w:hAnsi="Times New Roman" w:cs="Times New Roman"/>
          <w:sz w:val="26"/>
          <w:szCs w:val="26"/>
        </w:rPr>
        <w:t xml:space="preserve"> – The procedure for evaluating an Interconnection Request for a certified Small Generating Facility that meets the eligibility requirements of section 2.1</w:t>
      </w:r>
      <w:r w:rsidRPr="0072600F">
        <w:rPr>
          <w:rFonts w:ascii="Times New Roman" w:eastAsia="Calibri" w:hAnsi="Times New Roman" w:cs="Times New Roman"/>
          <w:sz w:val="26"/>
          <w:szCs w:val="26"/>
          <w:u w:val="single"/>
        </w:rPr>
        <w:t xml:space="preserve"> </w:t>
      </w:r>
      <w:r w:rsidRPr="0072600F">
        <w:rPr>
          <w:rFonts w:ascii="Times New Roman" w:eastAsia="Calibri" w:hAnsi="Times New Roman" w:cs="Times New Roman"/>
          <w:sz w:val="26"/>
          <w:szCs w:val="26"/>
        </w:rPr>
        <w:t>and includes the section 2 screens, customer options meeting, and optional supplemental review.</w:t>
      </w:r>
    </w:p>
    <w:p w:rsidR="00F3594B" w:rsidRPr="0072600F" w14:paraId="51E56A6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Good Utility Practice</w:t>
      </w:r>
      <w:r w:rsidRPr="0072600F">
        <w:rPr>
          <w:rFonts w:ascii="Times New Roman" w:eastAsia="Calibri" w:hAnsi="Times New Roman" w:cs="Times New Roman"/>
          <w:sz w:val="26"/>
          <w:szCs w:val="26"/>
        </w:rPr>
        <w:t xml:space="preserve"> – Any of the practices, methods and acts engaged in or approved by a significant portion of the electric industry during the relevant time period, or any of the practices, methods and act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F3594B" w:rsidRPr="0072600F" w14:paraId="693019D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Interconnection Customer</w:t>
      </w:r>
      <w:r w:rsidRPr="0072600F">
        <w:rPr>
          <w:rFonts w:ascii="Times New Roman" w:eastAsia="Calibri" w:hAnsi="Times New Roman" w:cs="Times New Roman"/>
          <w:sz w:val="26"/>
          <w:szCs w:val="26"/>
        </w:rPr>
        <w:t xml:space="preserve"> – Any entity, including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the Transmission Owner or any of the affiliates or subsidiaries of either, that proposes to interconnect its Small Generating Facility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w:t>
      </w:r>
    </w:p>
    <w:p w:rsidR="00F3594B" w:rsidRPr="0072600F" w14:paraId="755CCCF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Interconnection Facilities</w:t>
      </w:r>
      <w:r w:rsidRPr="0072600F">
        <w:rPr>
          <w:rFonts w:ascii="Times New Roman" w:eastAsia="Calibri" w:hAnsi="Times New Roman" w:cs="Times New Roman"/>
          <w:sz w:val="26"/>
          <w:szCs w:val="26"/>
        </w:rPr>
        <w:t xml:space="preserve"> –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Interconnection Facilities and </w:t>
      </w:r>
      <w:r w:rsidRPr="0072600F" w:rsidR="006E0C6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6E0C6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Interconnection Facilities are sole use facilities and shall not include Distribution Upgrades or Network Upgrades.</w:t>
      </w:r>
    </w:p>
    <w:p w:rsidR="00F3594B" w:rsidRPr="0072600F" w14:paraId="0430C50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Interconnection Request</w:t>
      </w:r>
      <w:r w:rsidRPr="0072600F">
        <w:rPr>
          <w:rFonts w:ascii="Times New Roman" w:eastAsia="Calibri" w:hAnsi="Times New Roman" w:cs="Times New Roman"/>
          <w:sz w:val="26"/>
          <w:szCs w:val="26"/>
        </w:rPr>
        <w:t xml:space="preserve"> – </w:t>
      </w:r>
      <w:r w:rsidRPr="0072600F" w:rsidR="006E0C6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83FB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request, in accordance with the Tariff, to interconnect a new Small Generating Facility, or to increase the capacity of, or make a Material Modification to the operating characteristics of, an existing Small Generating Facility that is interconnected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w:t>
      </w:r>
    </w:p>
    <w:p w:rsidR="00F3594B" w:rsidRPr="0072600F" w14:paraId="5E0268B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Material Modification</w:t>
      </w:r>
      <w:r w:rsidRPr="0072600F">
        <w:rPr>
          <w:rFonts w:ascii="Times New Roman" w:eastAsia="Calibri" w:hAnsi="Times New Roman" w:cs="Times New Roman"/>
          <w:sz w:val="26"/>
          <w:szCs w:val="26"/>
        </w:rPr>
        <w:t xml:space="preserve"> – A modification that has a material impact on the cost or timing of any Interconnection Request with a later queue priority date.</w:t>
      </w:r>
    </w:p>
    <w:p w:rsidR="00F3594B" w:rsidRPr="0072600F" w14:paraId="1D790F67" w14:textId="77777777">
      <w:pPr>
        <w:rPr>
          <w:rFonts w:ascii="Times New Roman" w:eastAsia="Calibri" w:hAnsi="Times New Roman" w:cs="Times New Roman"/>
          <w:sz w:val="26"/>
          <w:szCs w:val="26"/>
          <w:u w:val="single"/>
        </w:rPr>
      </w:pPr>
      <w:r w:rsidRPr="0072600F">
        <w:rPr>
          <w:rFonts w:ascii="Times New Roman" w:eastAsia="Calibri" w:hAnsi="Times New Roman" w:cs="Times New Roman"/>
          <w:b/>
          <w:sz w:val="26"/>
          <w:szCs w:val="26"/>
        </w:rPr>
        <w:t xml:space="preserve">Network Resource </w:t>
      </w:r>
      <w:r w:rsidRPr="0072600F">
        <w:rPr>
          <w:rFonts w:ascii="Times New Roman" w:eastAsia="Calibri" w:hAnsi="Times New Roman" w:cs="Times New Roman"/>
          <w:sz w:val="26"/>
          <w:szCs w:val="26"/>
        </w:rPr>
        <w:t>– Any designated generating resource owned, purchased, or leased by a Network Customer under the Network Integration Transmission Service Tariff. Network Resources do not include any resource, or any portion thereof, that is committed for sale to third parties or otherwise cannot be called upon to meet the Network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Network Load on a non-interruptible basis.</w:t>
      </w:r>
    </w:p>
    <w:p w:rsidR="00F3594B" w:rsidRPr="0072600F" w14:paraId="485095B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 xml:space="preserve">Network Resource Interconnection Service </w:t>
      </w:r>
      <w:r w:rsidRPr="0072600F">
        <w:rPr>
          <w:rFonts w:ascii="Times New Roman" w:eastAsia="Calibri" w:hAnsi="Times New Roman" w:cs="Times New Roman"/>
          <w:sz w:val="26"/>
          <w:szCs w:val="26"/>
        </w:rPr>
        <w:t xml:space="preserve">– An Interconnection Service that allows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to integrate its Generating Facility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System (1) in a manner comparable to that in which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integrates its generating facilities to serve native load customers; or (2) in an RTO or ISO with market based congestion management, in the same manner as Network Resources.  Network Resource Interconnection Service in and of itself does not convey transmission service.</w:t>
      </w:r>
    </w:p>
    <w:p w:rsidR="00F3594B" w:rsidRPr="0072600F" w14:paraId="568D841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Network Upgrades</w:t>
      </w:r>
      <w:r w:rsidRPr="0072600F">
        <w:rPr>
          <w:rFonts w:ascii="Times New Roman" w:eastAsia="Calibri" w:hAnsi="Times New Roman" w:cs="Times New Roman"/>
          <w:sz w:val="26"/>
          <w:szCs w:val="26"/>
        </w:rPr>
        <w:t xml:space="preserve"> – Additions, modifications, and upgrades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required at or beyond the point at which the Small Generating Facility interconnects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Transmission System to accommodate the interconnection with the Small Generating Facility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Provider’s Transmission System.  Network Upgrades do not include Distribution Upgrades.</w:t>
      </w:r>
    </w:p>
    <w:p w:rsidR="00F3594B" w:rsidRPr="0072600F" w14:paraId="0E127AE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Party or Parties</w:t>
      </w:r>
      <w:r w:rsidRPr="0072600F">
        <w:rPr>
          <w:rFonts w:ascii="Times New Roman" w:eastAsia="Calibri" w:hAnsi="Times New Roman" w:cs="Times New Roman"/>
          <w:sz w:val="26"/>
          <w:szCs w:val="26"/>
        </w:rPr>
        <w:t xml:space="preserve"> –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Transmission Owner, Interconnection Customer or any combination of the above.</w:t>
      </w:r>
    </w:p>
    <w:p w:rsidR="00F3594B" w:rsidRPr="0072600F" w14:paraId="760170A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Point of Interconnection</w:t>
      </w:r>
      <w:r w:rsidRPr="0072600F">
        <w:rPr>
          <w:rFonts w:ascii="Times New Roman" w:eastAsia="Calibri" w:hAnsi="Times New Roman" w:cs="Times New Roman"/>
          <w:sz w:val="26"/>
          <w:szCs w:val="26"/>
        </w:rPr>
        <w:t xml:space="preserve"> – The point where the Interconnection Facilities connect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w:t>
      </w:r>
    </w:p>
    <w:p w:rsidR="00F3594B" w:rsidRPr="0072600F" w14:paraId="304C22E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Queue Position</w:t>
      </w:r>
      <w:r w:rsidRPr="0072600F">
        <w:rPr>
          <w:rFonts w:ascii="Times New Roman" w:eastAsia="Calibri" w:hAnsi="Times New Roman" w:cs="Times New Roman"/>
          <w:sz w:val="26"/>
          <w:szCs w:val="26"/>
        </w:rPr>
        <w:t xml:space="preserve"> – The order of a valid Interconnection Request, relative to all other pending valid Interconnection Requests, that is established based upon the date and time of receipt of the valid Interconnection Request by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w:t>
      </w:r>
    </w:p>
    <w:p w:rsidR="00F3594B" w:rsidRPr="0072600F" w14:paraId="73E4604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Small Generating Facility</w:t>
      </w:r>
      <w:r w:rsidRPr="0072600F">
        <w:rPr>
          <w:rFonts w:ascii="Times New Roman" w:eastAsia="Calibri" w:hAnsi="Times New Roman" w:cs="Times New Roman"/>
          <w:sz w:val="26"/>
          <w:szCs w:val="26"/>
        </w:rPr>
        <w:t xml:space="preserve"> – </w:t>
      </w:r>
      <w:r w:rsidRPr="0072600F" w:rsidR="008C104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C104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device for the production and/or storage for later injection of electricity identified in the Interconnection Request, but shall not include </w:t>
      </w:r>
      <w:r w:rsidRPr="0072600F" w:rsidR="008C104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C104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s Interconnection Facilities.</w:t>
      </w:r>
    </w:p>
    <w:p w:rsidR="00F3594B" w:rsidRPr="0072600F" w14:paraId="1B4E1B2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Study Process</w:t>
      </w:r>
      <w:r w:rsidRPr="0072600F">
        <w:rPr>
          <w:rFonts w:ascii="Times New Roman" w:eastAsia="Calibri" w:hAnsi="Times New Roman" w:cs="Times New Roman"/>
          <w:sz w:val="26"/>
          <w:szCs w:val="26"/>
        </w:rPr>
        <w:t xml:space="preserve"> – The procedure for evaluating an Interconnection Request that includes the section 3 scoping meeting, feasibility study, system impact study, and facilities study.</w:t>
      </w:r>
    </w:p>
    <w:p w:rsidR="00F3594B" w:rsidRPr="0072600F" w14:paraId="1E75343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Transmission Owner</w:t>
      </w:r>
      <w:r w:rsidRPr="0072600F">
        <w:rPr>
          <w:rFonts w:ascii="Times New Roman" w:eastAsia="Calibri" w:hAnsi="Times New Roman" w:cs="Times New Roman"/>
          <w:sz w:val="26"/>
          <w:szCs w:val="26"/>
        </w:rPr>
        <w:t xml:space="preserve"> – The entity that owns, leases or otherwise possesses an interest in the portion of the Transmission System at the Point of Interconnection and may be a Party to the Small Generator Interconnection Agreement to the extent necessary.</w:t>
      </w:r>
    </w:p>
    <w:p w:rsidR="00F3594B" w:rsidRPr="0072600F" w14:paraId="1161C60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Transmission Provider</w:t>
      </w:r>
      <w:r w:rsidRPr="0072600F">
        <w:rPr>
          <w:rFonts w:ascii="Times New Roman" w:eastAsia="Calibri" w:hAnsi="Times New Roman" w:cs="Times New Roman"/>
          <w:sz w:val="26"/>
          <w:szCs w:val="26"/>
        </w:rPr>
        <w:t xml:space="preserve"> –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w:t>
      </w:r>
    </w:p>
    <w:p w:rsidR="00F3594B" w:rsidRPr="0072600F" w14:paraId="6EF7BBE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Transmission System</w:t>
      </w:r>
      <w:r w:rsidRPr="0072600F">
        <w:rPr>
          <w:rFonts w:ascii="Times New Roman" w:eastAsia="Calibri" w:hAnsi="Times New Roman" w:cs="Times New Roman"/>
          <w:sz w:val="26"/>
          <w:szCs w:val="26"/>
        </w:rPr>
        <w:t xml:space="preserve"> – The facilities owned, controlled or operated by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or the Transmission Owner that are used to provide transmission service under the Tariff.</w:t>
      </w:r>
    </w:p>
    <w:p w:rsidR="00F3594B" w:rsidRPr="0072600F" w14:paraId="30F0B5A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Upgrades</w:t>
      </w:r>
      <w:r w:rsidRPr="0072600F">
        <w:rPr>
          <w:rFonts w:ascii="Times New Roman" w:eastAsia="Calibri" w:hAnsi="Times New Roman" w:cs="Times New Roman"/>
          <w:sz w:val="26"/>
          <w:szCs w:val="26"/>
        </w:rPr>
        <w:t xml:space="preserve"> – The required additions and modifications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at or beyond the Point of Interconnection.  Upgrades may be Network Upgrades or Distribution Upgrades.  Upgrades do not include Interconnection Facilities.</w:t>
      </w:r>
    </w:p>
    <w:p w:rsidR="00F3594B" w:rsidRPr="0072600F" w14:paraId="1D75C9F8" w14:textId="77777777">
      <w:pPr>
        <w:spacing w:after="200" w:line="276" w:lineRule="auto"/>
        <w:rPr>
          <w:rFonts w:ascii="Times New Roman" w:eastAsia="Calibri" w:hAnsi="Times New Roman" w:cs="Times New Roman"/>
          <w:sz w:val="26"/>
          <w:szCs w:val="26"/>
        </w:rPr>
        <w:sectPr>
          <w:footerReference w:type="default" r:id="rId56"/>
          <w:pgSz w:w="12240" w:h="15840"/>
          <w:pgMar w:top="1440" w:right="1440" w:bottom="1440" w:left="1440" w:header="720" w:footer="720" w:gutter="0"/>
          <w:pgNumType w:start="1"/>
          <w:cols w:space="720"/>
          <w:docGrid w:linePitch="360"/>
        </w:sectPr>
      </w:pPr>
    </w:p>
    <w:p w:rsidR="00F3594B" w:rsidRPr="0072600F" w14:paraId="4AD20410"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2</w:t>
      </w:r>
    </w:p>
    <w:p w:rsidR="00F3594B" w:rsidRPr="0072600F" w14:paraId="75F2B2E6" w14:textId="77777777">
      <w:pPr>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SMALL GENERATOR INTERCONNECTION REQUEST</w:t>
      </w:r>
    </w:p>
    <w:p w:rsidR="00F3594B" w:rsidRPr="0072600F" w14:paraId="7AC620A1" w14:textId="77777777">
      <w:pPr>
        <w:jc w:val="center"/>
        <w:rPr>
          <w:rFonts w:ascii="Times New Roman" w:eastAsia="Calibri" w:hAnsi="Times New Roman" w:cs="Times New Roman"/>
          <w:sz w:val="26"/>
          <w:szCs w:val="26"/>
        </w:rPr>
      </w:pPr>
      <w:r w:rsidRPr="0072600F">
        <w:rPr>
          <w:rFonts w:ascii="Times New Roman" w:eastAsia="Calibri" w:hAnsi="Times New Roman" w:cs="Times New Roman"/>
          <w:sz w:val="26"/>
          <w:szCs w:val="26"/>
        </w:rPr>
        <w:t>(Application Form)</w:t>
      </w:r>
    </w:p>
    <w:p w:rsidR="00F3594B" w:rsidRPr="0072600F" w14:paraId="1DDEC317" w14:textId="77777777">
      <w:pPr>
        <w:spacing w:after="200" w:line="276" w:lineRule="auto"/>
        <w:rPr>
          <w:rFonts w:ascii="Times New Roman" w:eastAsia="Calibri" w:hAnsi="Times New Roman" w:cs="Times New Roman"/>
          <w:sz w:val="26"/>
          <w:szCs w:val="26"/>
        </w:rPr>
      </w:pPr>
    </w:p>
    <w:p w:rsidR="00F3594B" w:rsidRPr="0072600F" w14:paraId="05EF13E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Transmission Provider:  ___________________________________________________</w:t>
      </w:r>
    </w:p>
    <w:p w:rsidR="00F3594B" w:rsidRPr="0072600F" w14:paraId="3FDBA13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Designated Contact Person:  ________________________________________________</w:t>
      </w:r>
    </w:p>
    <w:p w:rsidR="00F3594B" w:rsidRPr="0072600F" w14:paraId="67C4B76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  _______________________________________________________________</w:t>
      </w:r>
    </w:p>
    <w:p w:rsidR="00F3594B" w:rsidRPr="0072600F" w14:paraId="00BE123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Number:  ______________________________________________________</w:t>
      </w:r>
    </w:p>
    <w:p w:rsidR="00F3594B" w:rsidRPr="0072600F" w14:paraId="16CD893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Fax:  __________________________________________________________________</w:t>
      </w:r>
    </w:p>
    <w:p w:rsidR="00F3594B" w:rsidRPr="0072600F" w14:paraId="6616F16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E-Mail Address: _________________________________________________________</w:t>
      </w:r>
    </w:p>
    <w:p w:rsidR="00F3594B" w:rsidRPr="0072600F" w14:paraId="19370420"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An Interconnection Request is considered complete when it provides all applicable and correct information required below.  Per SGIP section 1.5, documentation of site control must be submitted with the Interconnection Request.</w:t>
      </w:r>
    </w:p>
    <w:p w:rsidR="00F3594B" w:rsidRPr="0072600F" w14:paraId="6EA5EE61" w14:textId="77777777">
      <w:pPr>
        <w:spacing w:after="200"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Preamble and Instructions</w:t>
      </w:r>
    </w:p>
    <w:p w:rsidR="00F3594B" w:rsidRPr="0072600F" w14:paraId="6EB6E64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An Interconnection Customer who requests a Federal Energy Regulatory Commission jurisdictional interconnection must submit this Interconnection Request by hand delivery, mail, e-mail, or fax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w:t>
      </w:r>
    </w:p>
    <w:p w:rsidR="00F3594B" w:rsidRPr="0072600F" w14:paraId="79AC8F3F" w14:textId="77777777">
      <w:pPr>
        <w:spacing w:after="200"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Processing Fee or Deposit:</w:t>
      </w:r>
    </w:p>
    <w:p w:rsidR="00F3594B" w:rsidRPr="0072600F" w14:paraId="6C006E4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If the Interconnection Request is submitted under the Fast Track Process, the non-refundable processing fee is $500.</w:t>
      </w:r>
    </w:p>
    <w:p w:rsidR="00F3594B" w:rsidRPr="0072600F" w14:paraId="6793868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If the Interconnection Request is submitted under the Study Process, whether a new submission or an Interconnection Request that did not pass the Fast Track Process,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submit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 deposit not to exceed $1,000 towards the cost of the feasibility study.</w:t>
      </w:r>
    </w:p>
    <w:p w:rsidR="00F3594B" w:rsidRPr="0072600F" w14:paraId="219C3F03" w14:textId="77777777">
      <w:pPr>
        <w:spacing w:after="200"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Interconnection Customer Information</w:t>
      </w:r>
    </w:p>
    <w:p w:rsidR="00F3594B" w:rsidRPr="0072600F" w14:paraId="022A0D6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Legal Name of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(or, if an individual, individual</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name)</w:t>
      </w:r>
    </w:p>
    <w:p w:rsidR="00F3594B" w:rsidRPr="0072600F" w14:paraId="22506AC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__________________________________________________________________</w:t>
      </w:r>
      <w:r w:rsidRPr="0072600F">
        <w:rPr>
          <w:rFonts w:ascii="Times New Roman" w:eastAsia="Calibri" w:hAnsi="Times New Roman" w:cs="Times New Roman"/>
          <w:sz w:val="26"/>
          <w:szCs w:val="26"/>
        </w:rPr>
        <w:tab/>
      </w:r>
    </w:p>
    <w:p w:rsidR="00F3594B" w:rsidRPr="0072600F" w14:paraId="021C352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Contact Person:  __________________________________________________________ </w:t>
      </w:r>
      <w:r w:rsidRPr="0072600F">
        <w:rPr>
          <w:rFonts w:ascii="Times New Roman" w:eastAsia="Calibri" w:hAnsi="Times New Roman" w:cs="Times New Roman"/>
          <w:sz w:val="26"/>
          <w:szCs w:val="26"/>
        </w:rPr>
        <w:tab/>
      </w:r>
    </w:p>
    <w:p w:rsidR="00F3594B" w:rsidRPr="0072600F" w14:paraId="0F2FC4C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Mailing Address: __________________________________________________________ </w:t>
      </w:r>
    </w:p>
    <w:p w:rsidR="00F3594B" w:rsidRPr="0072600F" w14:paraId="369CD53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City: ____________________________ State:_______________     Zip:____________ </w:t>
      </w:r>
      <w:r w:rsidRPr="0072600F">
        <w:rPr>
          <w:rFonts w:ascii="Times New Roman" w:eastAsia="Calibri" w:hAnsi="Times New Roman" w:cs="Times New Roman"/>
          <w:sz w:val="26"/>
          <w:szCs w:val="26"/>
        </w:rPr>
        <w:tab/>
      </w:r>
    </w:p>
    <w:p w:rsidR="00F3594B" w:rsidRPr="0072600F" w14:paraId="39ABB3E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Facility Location (if different from above):</w:t>
      </w:r>
    </w:p>
    <w:p w:rsidR="00F3594B" w:rsidRPr="0072600F" w14:paraId="0B21B5D5" w14:textId="77777777">
      <w:pPr>
        <w:pBdr>
          <w:top w:val="single" w:sz="12" w:space="1" w:color="auto"/>
          <w:bottom w:val="single" w:sz="12" w:space="1" w:color="auto"/>
        </w:pBdr>
        <w:spacing w:after="200" w:line="276" w:lineRule="auto"/>
        <w:rPr>
          <w:rFonts w:ascii="Times New Roman" w:eastAsia="Calibri" w:hAnsi="Times New Roman" w:cs="Times New Roman"/>
          <w:sz w:val="26"/>
          <w:szCs w:val="26"/>
        </w:rPr>
      </w:pPr>
    </w:p>
    <w:p w:rsidR="00F3594B" w:rsidRPr="0072600F" w14:paraId="27496B1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____________________ Telephone (Evening): __________________</w:t>
      </w:r>
    </w:p>
    <w:p w:rsidR="00F3594B" w:rsidRPr="0072600F" w14:paraId="469E52D5"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Fax:___________________  E-Mail Address: ____________________________</w:t>
      </w:r>
    </w:p>
    <w:p w:rsidR="00F3594B" w:rsidRPr="0072600F" w14:paraId="42DC8A6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Alternative Contact Information (if different from </w:t>
      </w:r>
      <w:r w:rsidRPr="0072600F" w:rsidR="008C104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C104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p>
    <w:p w:rsidR="00F3594B" w:rsidRPr="0072600F" w14:paraId="21B7314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Contact Name:   _________________________________________________________</w:t>
      </w:r>
    </w:p>
    <w:p w:rsidR="00F3594B" w:rsidRPr="0072600F" w14:paraId="0BEADED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Title: __________________________________________________________________</w:t>
      </w:r>
      <w:r w:rsidRPr="0072600F" w:rsidR="000E5C27">
        <w:rPr>
          <w:rFonts w:ascii="Times New Roman" w:eastAsia="Calibri" w:hAnsi="Times New Roman" w:cs="Times New Roman"/>
          <w:sz w:val="26"/>
          <w:szCs w:val="26"/>
        </w:rPr>
        <w:t xml:space="preserve"> </w:t>
      </w:r>
    </w:p>
    <w:p w:rsidR="00F3594B" w:rsidRPr="0072600F" w14:paraId="4C73BAB7" w14:textId="77777777">
      <w:pPr>
        <w:spacing w:after="200" w:line="312"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Address:________________________________________________________________ _______________________________________________________________________</w:t>
      </w:r>
    </w:p>
    <w:p w:rsidR="00F3594B" w:rsidRPr="0072600F" w14:paraId="0ECEEBC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__________________    Telephone (Evening):___________________</w:t>
      </w:r>
    </w:p>
    <w:p w:rsidR="00F3594B" w:rsidRPr="0072600F" w14:paraId="3338F1D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Fax: ______________________    E-Mail Address: _________________________</w:t>
      </w:r>
    </w:p>
    <w:p w:rsidR="00F3594B" w:rsidRPr="0072600F" w14:paraId="2AA27AD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Application is for:</w:t>
      </w:r>
      <w:r w:rsidRPr="0072600F">
        <w:rPr>
          <w:rFonts w:ascii="Times New Roman" w:eastAsia="Calibri" w:hAnsi="Times New Roman" w:cs="Times New Roman"/>
          <w:sz w:val="26"/>
          <w:szCs w:val="26"/>
        </w:rPr>
        <w:tab/>
        <w:t>______New Small Generating Facility</w:t>
      </w:r>
    </w:p>
    <w:p w:rsidR="00F3594B" w:rsidRPr="0072600F" w14:paraId="364EF9E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______Capacity addition to Existing Small Generating Facility</w:t>
      </w:r>
    </w:p>
    <w:p w:rsidR="00F3594B" w:rsidRPr="0072600F" w14:paraId="0ED6A396" w14:textId="77777777">
      <w:pPr>
        <w:spacing w:after="120" w:line="312"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If capacity addition to existing facility, please describe: ___________________________ ________________________________________________________________________</w:t>
      </w:r>
    </w:p>
    <w:p w:rsidR="00F3594B" w:rsidRPr="0072600F" w14:paraId="5B4E649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Will the Small Generating Facility be used for any of the following?</w:t>
      </w:r>
    </w:p>
    <w:p w:rsidR="00F3594B" w:rsidRPr="0072600F" w14:paraId="6975F069"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Net Metering? Yes ___ No ___</w:t>
      </w:r>
    </w:p>
    <w:p w:rsidR="00F3594B" w:rsidRPr="0072600F" w14:paraId="6C94DA23"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To Supply Power to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Yes ___No ___</w:t>
      </w:r>
    </w:p>
    <w:p w:rsidR="00F3594B" w:rsidRPr="0072600F" w14:paraId="2581636F"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To Supply Power to Others? Yes ____ No ____</w:t>
      </w:r>
    </w:p>
    <w:p w:rsidR="00F3594B" w:rsidRPr="0072600F" w14:paraId="6FD0506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For installations at locations with existing electric service to which the proposed Small Generating Facility will interconnect, provide:</w:t>
      </w:r>
    </w:p>
    <w:p w:rsidR="00F3594B" w:rsidRPr="0072600F" w14:paraId="25A91FF0"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_______________________________</w:t>
      </w:r>
    </w:p>
    <w:p w:rsidR="00F3594B" w:rsidRPr="0072600F" w14:paraId="643B0DB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(Local Electric Service Provider*)                                       (Existing Account Number*)</w:t>
      </w:r>
    </w:p>
    <w:p w:rsidR="00F3594B" w:rsidRPr="0072600F" w14:paraId="488AAD14" w14:textId="77777777">
      <w:pPr>
        <w:spacing w:after="200" w:line="276" w:lineRule="auto"/>
        <w:rPr>
          <w:rFonts w:ascii="Times New Roman" w:eastAsia="Calibri" w:hAnsi="Times New Roman" w:cs="Times New Roman"/>
          <w:sz w:val="26"/>
          <w:szCs w:val="26"/>
        </w:rPr>
      </w:pPr>
    </w:p>
    <w:p w:rsidR="00F3594B" w:rsidRPr="0072600F" w14:paraId="0B1EB28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*To be provided by </w:t>
      </w:r>
      <w:r w:rsidRPr="0072600F" w:rsidR="00C46EE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if the local electric service provider is different from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w:t>
      </w:r>
      <w:r w:rsidRPr="0072600F">
        <w:rPr>
          <w:rFonts w:ascii="Times New Roman" w:eastAsia="Calibri" w:hAnsi="Times New Roman" w:cs="Times New Roman"/>
          <w:sz w:val="26"/>
          <w:szCs w:val="26"/>
        </w:rPr>
        <w:t>}</w:t>
      </w:r>
    </w:p>
    <w:p w:rsidR="00F3594B" w:rsidRPr="0072600F" w14:paraId="33B4C6B5" w14:textId="77777777">
      <w:pPr>
        <w:spacing w:after="120" w:line="276" w:lineRule="auto"/>
        <w:rPr>
          <w:rFonts w:ascii="Times New Roman" w:eastAsia="Calibri" w:hAnsi="Times New Roman" w:cs="Times New Roman"/>
          <w:sz w:val="26"/>
          <w:szCs w:val="26"/>
        </w:rPr>
      </w:pPr>
    </w:p>
    <w:p w:rsidR="00F3594B" w:rsidRPr="0072600F" w14:paraId="3937CE6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Contact Name: ________________________________________________________________</w:t>
      </w:r>
    </w:p>
    <w:p w:rsidR="00F3594B" w:rsidRPr="0072600F" w14:paraId="2CF6AF5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Title: ________________________________________________________________________</w:t>
      </w:r>
    </w:p>
    <w:p w:rsidR="00F3594B" w:rsidRPr="0072600F" w14:paraId="0EB19FF5"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 _____________________________________________________________________</w:t>
      </w:r>
    </w:p>
    <w:p w:rsidR="00F3594B" w:rsidRPr="0072600F" w14:paraId="4F523D7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_____________________________________________________________________</w:t>
      </w:r>
    </w:p>
    <w:p w:rsidR="00F3594B" w:rsidRPr="0072600F" w14:paraId="210BDDD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_______________________  Telephone (Evening): ____________________</w:t>
      </w:r>
    </w:p>
    <w:p w:rsidR="00F3594B" w:rsidRPr="0072600F" w14:paraId="5F492C2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Fax: _________________________  E-Mail Address: ________________________________</w:t>
      </w:r>
    </w:p>
    <w:p w:rsidR="00F3594B" w:rsidRPr="0072600F" w14:paraId="152FF23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Requested Point of Interconnection: </w:t>
      </w:r>
      <w:r w:rsidRPr="0072600F">
        <w:rPr>
          <w:rFonts w:ascii="Times New Roman" w:eastAsia="Calibri" w:hAnsi="Times New Roman" w:cs="Times New Roman"/>
          <w:sz w:val="26"/>
          <w:szCs w:val="26"/>
        </w:rPr>
        <w:tab/>
      </w:r>
    </w:p>
    <w:p w:rsidR="00F3594B" w:rsidRPr="0072600F" w14:paraId="6B6B1EB6" w14:textId="77777777">
      <w:pPr>
        <w:pBdr>
          <w:top w:val="single" w:sz="12" w:space="1" w:color="auto"/>
          <w:bottom w:val="single" w:sz="12" w:space="1" w:color="auto"/>
        </w:pBdr>
        <w:spacing w:after="120" w:line="276" w:lineRule="auto"/>
        <w:rPr>
          <w:rFonts w:ascii="Times New Roman" w:eastAsia="Calibri" w:hAnsi="Times New Roman" w:cs="Times New Roman"/>
          <w:sz w:val="26"/>
          <w:szCs w:val="26"/>
        </w:rPr>
      </w:pPr>
    </w:p>
    <w:p w:rsidR="00F3594B" w:rsidRPr="0072600F" w14:paraId="07860EF4"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Requested In-Service Date: ________________________________</w:t>
      </w:r>
    </w:p>
    <w:p w:rsidR="00F3594B" w:rsidRPr="0072600F" w14:paraId="3CF84A3B" w14:textId="77777777">
      <w:pPr>
        <w:spacing w:line="276" w:lineRule="auto"/>
        <w:rPr>
          <w:rFonts w:ascii="Times New Roman" w:eastAsia="Calibri" w:hAnsi="Times New Roman" w:cs="Times New Roman"/>
          <w:b/>
          <w:sz w:val="26"/>
          <w:szCs w:val="26"/>
          <w:u w:val="single"/>
        </w:rPr>
      </w:pPr>
      <w:r w:rsidRPr="0072600F">
        <w:rPr>
          <w:rFonts w:ascii="Times New Roman" w:eastAsia="Calibri" w:hAnsi="Times New Roman" w:cs="Times New Roman"/>
          <w:b/>
          <w:sz w:val="26"/>
          <w:szCs w:val="26"/>
          <w:u w:val="single"/>
        </w:rPr>
        <w:t>Small Generating Facility Information</w:t>
      </w:r>
    </w:p>
    <w:p w:rsidR="00F3594B" w:rsidRPr="0072600F" w14:paraId="1C449DF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Data apply only to the Small Generating Facility, not the Interconnection Facilities.</w:t>
      </w:r>
    </w:p>
    <w:p w:rsidR="00F3594B" w:rsidRPr="0072600F" w14:paraId="0F6DC39C"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Energy Source: ___Solar ___Wind  ___Hydro  ___ </w:t>
      </w:r>
      <w:r w:rsidRPr="0072600F">
        <w:rPr>
          <w:rFonts w:ascii="Times New Roman" w:eastAsia="Calibri" w:hAnsi="Times New Roman" w:cs="Times New Roman"/>
          <w:sz w:val="26"/>
          <w:szCs w:val="26"/>
        </w:rPr>
        <w:t>Hydro</w:t>
      </w:r>
      <w:r w:rsidRPr="0072600F">
        <w:rPr>
          <w:rFonts w:ascii="Times New Roman" w:eastAsia="Calibri" w:hAnsi="Times New Roman" w:cs="Times New Roman"/>
          <w:sz w:val="26"/>
          <w:szCs w:val="26"/>
        </w:rPr>
        <w:t xml:space="preserve"> Type (e.g. Run-of-River):_________ __Diesel __ Natural Gas   __ Fuel Oil   Other (state type) ___________________________</w:t>
      </w:r>
    </w:p>
    <w:p w:rsidR="00F3594B" w:rsidRPr="0072600F" w14:paraId="00F60334" w14:textId="77777777">
      <w:pPr>
        <w:spacing w:after="200" w:line="276" w:lineRule="auto"/>
        <w:rPr>
          <w:rFonts w:ascii="Times New Roman" w:eastAsia="Calibri" w:hAnsi="Times New Roman" w:cs="Times New Roman"/>
          <w:sz w:val="26"/>
          <w:szCs w:val="26"/>
        </w:rPr>
      </w:pPr>
    </w:p>
    <w:p w:rsidR="00F3594B" w:rsidRPr="0072600F" w14:paraId="78E598F6"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Prime Mover:  __Fuel Cell __</w:t>
      </w:r>
      <w:r w:rsidRPr="0072600F">
        <w:rPr>
          <w:rFonts w:ascii="Times New Roman" w:eastAsia="Calibri" w:hAnsi="Times New Roman" w:cs="Times New Roman"/>
          <w:sz w:val="26"/>
          <w:szCs w:val="26"/>
        </w:rPr>
        <w:t>Recip</w:t>
      </w:r>
      <w:r w:rsidRPr="0072600F">
        <w:rPr>
          <w:rFonts w:ascii="Times New Roman" w:eastAsia="Calibri" w:hAnsi="Times New Roman" w:cs="Times New Roman"/>
          <w:sz w:val="26"/>
          <w:szCs w:val="26"/>
        </w:rPr>
        <w:t xml:space="preserve"> Engine</w:t>
      </w:r>
      <w:r w:rsidRPr="0072600F">
        <w:rPr>
          <w:rFonts w:ascii="Times New Roman" w:eastAsia="Calibri" w:hAnsi="Times New Roman" w:cs="Times New Roman"/>
          <w:sz w:val="26"/>
          <w:szCs w:val="26"/>
        </w:rPr>
        <w:tab/>
        <w:t>__Gas Turb __Steam Turb</w:t>
      </w:r>
    </w:p>
    <w:p w:rsidR="00F3594B" w:rsidRPr="0072600F" w14:paraId="1B2A029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 xml:space="preserve">           __Microturbine                       __PV            __Other</w:t>
      </w:r>
    </w:p>
    <w:p w:rsidR="00F3594B" w:rsidRPr="0072600F" w14:paraId="35B31FF8" w14:textId="77777777">
      <w:pPr>
        <w:spacing w:after="200" w:line="276" w:lineRule="auto"/>
        <w:rPr>
          <w:rFonts w:ascii="Times New Roman" w:eastAsia="Calibri" w:hAnsi="Times New Roman" w:cs="Times New Roman"/>
          <w:sz w:val="26"/>
          <w:szCs w:val="26"/>
        </w:rPr>
      </w:pPr>
    </w:p>
    <w:p w:rsidR="00F3594B" w:rsidRPr="0072600F" w14:paraId="33DE4C41"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Type of Generator: ____Synchronous      ____Induction     ____ Inverter</w:t>
      </w:r>
    </w:p>
    <w:p w:rsidR="00F3594B" w:rsidRPr="0072600F" w14:paraId="7220275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Generator Nameplate Rating: ________kW (Typical)     Generator Nameplate </w:t>
      </w:r>
      <w:r w:rsidRPr="0072600F">
        <w:rPr>
          <w:rFonts w:ascii="Times New Roman" w:eastAsia="Calibri" w:hAnsi="Times New Roman" w:cs="Times New Roman"/>
          <w:sz w:val="26"/>
          <w:szCs w:val="26"/>
        </w:rPr>
        <w:t>kVAR</w:t>
      </w:r>
      <w:r w:rsidRPr="0072600F">
        <w:rPr>
          <w:rFonts w:ascii="Times New Roman" w:eastAsia="Calibri" w:hAnsi="Times New Roman" w:cs="Times New Roman"/>
          <w:sz w:val="26"/>
          <w:szCs w:val="26"/>
        </w:rPr>
        <w:t>: _______</w:t>
      </w:r>
    </w:p>
    <w:p w:rsidR="00F3594B" w:rsidRPr="0072600F" w14:paraId="56910FC3"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Customer or Customer-Site Load: _________________kW (if none, so state)</w:t>
      </w:r>
    </w:p>
    <w:p w:rsidR="00F3594B" w:rsidRPr="0072600F" w14:paraId="161694A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Typical Reactive Load (if known): _________________</w:t>
      </w:r>
    </w:p>
    <w:p w:rsidR="00F3594B" w:rsidRPr="0072600F" w14:paraId="7B521C04"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Maximum Physical Export Capability Requested: ______________ kW</w:t>
      </w:r>
    </w:p>
    <w:p w:rsidR="00F3594B" w:rsidRPr="0072600F" w14:paraId="1809B2A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List components of the Small Generating Facility equipment package that are currently certified:</w:t>
      </w:r>
    </w:p>
    <w:tbl>
      <w:tblPr>
        <w:tblW w:w="0" w:type="auto"/>
        <w:tblLook w:val="04A0"/>
      </w:tblPr>
      <w:tblGrid>
        <w:gridCol w:w="4768"/>
        <w:gridCol w:w="4592"/>
      </w:tblGrid>
      <w:tr w14:paraId="62D02E45" w14:textId="77777777">
        <w:tblPrEx>
          <w:tblW w:w="0" w:type="auto"/>
          <w:tblLook w:val="04A0"/>
        </w:tblPrEx>
        <w:tc>
          <w:tcPr>
            <w:tcW w:w="4788" w:type="dxa"/>
            <w:shd w:val="clear" w:color="auto" w:fill="auto"/>
          </w:tcPr>
          <w:p w:rsidR="00F3594B" w:rsidRPr="0072600F" w:rsidP="00802435" w14:paraId="471670A0"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Equipment Type</w:t>
            </w:r>
          </w:p>
        </w:tc>
        <w:tc>
          <w:tcPr>
            <w:tcW w:w="4788" w:type="dxa"/>
            <w:shd w:val="clear" w:color="auto" w:fill="auto"/>
          </w:tcPr>
          <w:p w:rsidR="00F3594B" w:rsidRPr="0072600F" w:rsidP="00802435" w14:paraId="42EB956C"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Certifying Entity</w:t>
            </w:r>
          </w:p>
        </w:tc>
      </w:tr>
      <w:tr w14:paraId="2F777154" w14:textId="77777777">
        <w:tblPrEx>
          <w:tblW w:w="0" w:type="auto"/>
          <w:tblLook w:val="04A0"/>
        </w:tblPrEx>
        <w:tc>
          <w:tcPr>
            <w:tcW w:w="4788" w:type="dxa"/>
            <w:shd w:val="clear" w:color="auto" w:fill="auto"/>
          </w:tcPr>
          <w:p w:rsidR="00F3594B" w:rsidRPr="0072600F" w14:paraId="678BE554" w14:textId="77777777">
            <w:pPr>
              <w:numPr>
                <w:ilvl w:val="0"/>
                <w:numId w:val="13"/>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c>
          <w:tcPr>
            <w:tcW w:w="4788" w:type="dxa"/>
            <w:shd w:val="clear" w:color="auto" w:fill="auto"/>
          </w:tcPr>
          <w:p w:rsidR="00F3594B" w:rsidRPr="0072600F" w:rsidP="00802435" w14:paraId="7CE9C6AA"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r>
      <w:tr w14:paraId="60BF9CC0" w14:textId="77777777">
        <w:tblPrEx>
          <w:tblW w:w="0" w:type="auto"/>
          <w:tblLook w:val="04A0"/>
        </w:tblPrEx>
        <w:tc>
          <w:tcPr>
            <w:tcW w:w="4788" w:type="dxa"/>
            <w:shd w:val="clear" w:color="auto" w:fill="auto"/>
          </w:tcPr>
          <w:p w:rsidR="00F3594B" w:rsidRPr="0072600F" w14:paraId="144369E0" w14:textId="77777777">
            <w:pPr>
              <w:numPr>
                <w:ilvl w:val="0"/>
                <w:numId w:val="13"/>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c>
          <w:tcPr>
            <w:tcW w:w="4788" w:type="dxa"/>
            <w:shd w:val="clear" w:color="auto" w:fill="auto"/>
          </w:tcPr>
          <w:p w:rsidR="00F3594B" w:rsidRPr="0072600F" w:rsidP="00802435" w14:paraId="79417F5A"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r>
      <w:tr w14:paraId="652A4C77" w14:textId="77777777">
        <w:tblPrEx>
          <w:tblW w:w="0" w:type="auto"/>
          <w:tblLook w:val="04A0"/>
        </w:tblPrEx>
        <w:tc>
          <w:tcPr>
            <w:tcW w:w="4788" w:type="dxa"/>
            <w:shd w:val="clear" w:color="auto" w:fill="auto"/>
          </w:tcPr>
          <w:p w:rsidR="00F3594B" w:rsidRPr="0072600F" w14:paraId="31ED51BC" w14:textId="77777777">
            <w:pPr>
              <w:numPr>
                <w:ilvl w:val="0"/>
                <w:numId w:val="13"/>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c>
          <w:tcPr>
            <w:tcW w:w="4788" w:type="dxa"/>
            <w:shd w:val="clear" w:color="auto" w:fill="auto"/>
          </w:tcPr>
          <w:p w:rsidR="00F3594B" w:rsidRPr="0072600F" w:rsidP="00802435" w14:paraId="786566EB"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r>
      <w:tr w14:paraId="3037AC05" w14:textId="77777777">
        <w:tblPrEx>
          <w:tblW w:w="0" w:type="auto"/>
          <w:tblLook w:val="04A0"/>
        </w:tblPrEx>
        <w:tc>
          <w:tcPr>
            <w:tcW w:w="4788" w:type="dxa"/>
            <w:shd w:val="clear" w:color="auto" w:fill="auto"/>
          </w:tcPr>
          <w:p w:rsidR="00F3594B" w:rsidRPr="0072600F" w14:paraId="22C45E41" w14:textId="77777777">
            <w:pPr>
              <w:numPr>
                <w:ilvl w:val="0"/>
                <w:numId w:val="13"/>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c>
          <w:tcPr>
            <w:tcW w:w="4788" w:type="dxa"/>
            <w:shd w:val="clear" w:color="auto" w:fill="auto"/>
          </w:tcPr>
          <w:p w:rsidR="00F3594B" w:rsidRPr="0072600F" w:rsidP="00802435" w14:paraId="6260A21A"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r>
      <w:tr w14:paraId="32B594B8" w14:textId="77777777">
        <w:tblPrEx>
          <w:tblW w:w="0" w:type="auto"/>
          <w:tblLook w:val="04A0"/>
        </w:tblPrEx>
        <w:tc>
          <w:tcPr>
            <w:tcW w:w="4788" w:type="dxa"/>
            <w:shd w:val="clear" w:color="auto" w:fill="auto"/>
          </w:tcPr>
          <w:p w:rsidR="00F3594B" w:rsidRPr="0072600F" w14:paraId="62CEF6DC" w14:textId="77777777">
            <w:pPr>
              <w:numPr>
                <w:ilvl w:val="0"/>
                <w:numId w:val="13"/>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c>
          <w:tcPr>
            <w:tcW w:w="4788" w:type="dxa"/>
            <w:shd w:val="clear" w:color="auto" w:fill="auto"/>
          </w:tcPr>
          <w:p w:rsidR="00F3594B" w:rsidRPr="0072600F" w:rsidP="00802435" w14:paraId="38E134DB"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_____________________________</w:t>
            </w:r>
          </w:p>
        </w:tc>
      </w:tr>
    </w:tbl>
    <w:p w:rsidR="00F3594B" w:rsidRPr="0072600F" w14:paraId="7B17248B" w14:textId="77777777">
      <w:pPr>
        <w:spacing w:after="200" w:line="276" w:lineRule="auto"/>
        <w:rPr>
          <w:rFonts w:ascii="Times New Roman" w:eastAsia="Calibri" w:hAnsi="Times New Roman" w:cs="Times New Roman"/>
          <w:sz w:val="26"/>
          <w:szCs w:val="26"/>
        </w:rPr>
      </w:pPr>
    </w:p>
    <w:p w:rsidR="00F3594B" w:rsidRPr="0072600F" w14:paraId="41E1D03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Is the prime mover compatible with the certified protective relay package?  ____Yes ____No</w:t>
      </w:r>
    </w:p>
    <w:p w:rsidR="00F3594B" w:rsidRPr="0072600F" w14:paraId="0EFCF6FE" w14:textId="77777777">
      <w:pPr>
        <w:spacing w:after="200" w:line="276" w:lineRule="auto"/>
        <w:rPr>
          <w:rFonts w:ascii="Times New Roman" w:eastAsia="Calibri" w:hAnsi="Times New Roman" w:cs="Times New Roman"/>
          <w:sz w:val="26"/>
          <w:szCs w:val="26"/>
        </w:rPr>
      </w:pPr>
    </w:p>
    <w:p w:rsidR="00F3594B" w:rsidRPr="0072600F" w14:paraId="199C262C"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Generator (or solar collector) Manufacturer, Model Name &amp; Number: __________________</w:t>
      </w:r>
      <w:r w:rsidRPr="0072600F">
        <w:rPr>
          <w:rFonts w:ascii="Times New Roman" w:eastAsia="Calibri" w:hAnsi="Times New Roman" w:cs="Times New Roman"/>
          <w:sz w:val="26"/>
          <w:szCs w:val="26"/>
        </w:rPr>
        <w:tab/>
      </w:r>
    </w:p>
    <w:p w:rsidR="00F3594B" w:rsidRPr="0072600F" w14:paraId="16712CC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Version Number: __________________</w:t>
      </w:r>
      <w:r w:rsidRPr="0072600F">
        <w:rPr>
          <w:rFonts w:ascii="Times New Roman" w:eastAsia="Calibri" w:hAnsi="Times New Roman" w:cs="Times New Roman"/>
          <w:sz w:val="26"/>
          <w:szCs w:val="26"/>
        </w:rPr>
        <w:tab/>
      </w:r>
    </w:p>
    <w:p w:rsidR="00F3594B" w:rsidRPr="0072600F" w14:paraId="0ED0342D" w14:textId="77777777">
      <w:pPr>
        <w:spacing w:after="120" w:line="276" w:lineRule="auto"/>
        <w:rPr>
          <w:rFonts w:ascii="Times New Roman" w:eastAsia="Calibri" w:hAnsi="Times New Roman" w:cs="Times New Roman"/>
          <w:sz w:val="26"/>
          <w:szCs w:val="26"/>
        </w:rPr>
      </w:pPr>
    </w:p>
    <w:p w:rsidR="00F3594B" w:rsidRPr="0072600F" w14:paraId="646E605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Nameplate Output Power Rating in kW: (Summer) _____________   (Winter) ______________</w:t>
      </w:r>
    </w:p>
    <w:p w:rsidR="00F3594B" w:rsidRPr="0072600F" w14:paraId="7971BF37"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Nameplate Output Power Rating in kVA: (Summer) _____________ (Winter) ______________</w:t>
      </w:r>
    </w:p>
    <w:p w:rsidR="00F3594B" w:rsidRPr="0072600F" w14:paraId="1BC19F3D" w14:textId="77777777">
      <w:pPr>
        <w:spacing w:after="120" w:line="276" w:lineRule="auto"/>
        <w:rPr>
          <w:rFonts w:ascii="Times New Roman" w:eastAsia="Calibri" w:hAnsi="Times New Roman" w:cs="Times New Roman"/>
          <w:sz w:val="26"/>
          <w:szCs w:val="26"/>
        </w:rPr>
      </w:pPr>
    </w:p>
    <w:p w:rsidR="00F3594B" w:rsidRPr="0072600F" w14:paraId="6E069D2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Individual Generator Power Factor</w:t>
      </w:r>
    </w:p>
    <w:p w:rsidR="00F3594B" w:rsidRPr="0072600F" w14:paraId="0EC8EC7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Rated Power Factor: Leading: _____________Lagging: _______________</w:t>
      </w:r>
    </w:p>
    <w:p w:rsidR="00F3594B" w:rsidRPr="0072600F" w14:paraId="4D255E23" w14:textId="77777777">
      <w:pPr>
        <w:spacing w:after="120" w:line="276" w:lineRule="auto"/>
        <w:rPr>
          <w:rFonts w:ascii="Times New Roman" w:eastAsia="Calibri" w:hAnsi="Times New Roman" w:cs="Times New Roman"/>
          <w:sz w:val="26"/>
          <w:szCs w:val="26"/>
        </w:rPr>
      </w:pPr>
    </w:p>
    <w:p w:rsidR="00F3594B" w:rsidRPr="0072600F" w14:paraId="2D993FA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Total Number of Generators in wind farm to be interconnected pursuant to this</w:t>
      </w:r>
    </w:p>
    <w:p w:rsidR="00F3594B" w:rsidRPr="0072600F" w14:paraId="6B2CBD51"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Request: __________  Elevation:_____    ___Single phase      ___Three phase</w:t>
      </w:r>
    </w:p>
    <w:p w:rsidR="00F3594B" w:rsidRPr="0072600F" w14:paraId="2E67B4BA" w14:textId="77777777">
      <w:pPr>
        <w:spacing w:after="120" w:line="276" w:lineRule="auto"/>
        <w:rPr>
          <w:rFonts w:ascii="Times New Roman" w:eastAsia="Calibri" w:hAnsi="Times New Roman" w:cs="Times New Roman"/>
          <w:sz w:val="26"/>
          <w:szCs w:val="26"/>
        </w:rPr>
      </w:pPr>
    </w:p>
    <w:p w:rsidR="00F3594B" w:rsidRPr="0072600F" w14:paraId="5B8D176A"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Inverter Manufacturer, Model Name &amp; Number (if used):_______________________________</w:t>
      </w:r>
    </w:p>
    <w:p w:rsidR="00F3594B" w:rsidRPr="0072600F" w14:paraId="4EC8212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List of adjustable set points for the protective equipment or software: _____________________</w:t>
      </w:r>
    </w:p>
    <w:p w:rsidR="00F3594B" w:rsidRPr="0072600F" w14:paraId="6EAD120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Note: A completed Power Systems Load Flow data sheet must be supplied with the Interconnection Request.</w:t>
      </w:r>
    </w:p>
    <w:p w:rsidR="00F3594B" w:rsidRPr="0072600F" w14:paraId="009AC66F" w14:textId="77777777">
      <w:pPr>
        <w:spacing w:after="120" w:line="276" w:lineRule="auto"/>
        <w:rPr>
          <w:rFonts w:ascii="Times New Roman" w:eastAsia="Calibri" w:hAnsi="Times New Roman" w:cs="Times New Roman"/>
          <w:sz w:val="26"/>
          <w:szCs w:val="26"/>
        </w:rPr>
      </w:pPr>
    </w:p>
    <w:p w:rsidR="00F3594B" w:rsidRPr="0072600F" w14:paraId="4CBB42E6" w14:textId="77777777">
      <w:pPr>
        <w:spacing w:after="120" w:line="276" w:lineRule="auto"/>
        <w:jc w:val="center"/>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Small Generating Facility Characteristic Data (for inverter-based machines)</w:t>
      </w:r>
    </w:p>
    <w:p w:rsidR="00F3594B" w:rsidRPr="0072600F" w14:paraId="470262B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Max design fault contribution current: _______    Instantaneous or RMS_______? </w:t>
      </w:r>
      <w:r w:rsidRPr="0072600F">
        <w:rPr>
          <w:rFonts w:ascii="Times New Roman" w:eastAsia="Calibri" w:hAnsi="Times New Roman" w:cs="Times New Roman"/>
          <w:sz w:val="26"/>
          <w:szCs w:val="26"/>
        </w:rPr>
        <w:tab/>
      </w:r>
    </w:p>
    <w:p w:rsidR="00F3594B" w:rsidRPr="0072600F" w14:paraId="4191369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Harmonics Characteristics: _______________________________________________________</w:t>
      </w:r>
    </w:p>
    <w:p w:rsidR="00F3594B" w:rsidRPr="0072600F" w14:paraId="7AE8C06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Start-up requirements: ___________________________________________________________</w:t>
      </w:r>
      <w:r w:rsidRPr="0072600F">
        <w:rPr>
          <w:rFonts w:ascii="Times New Roman" w:eastAsia="Calibri" w:hAnsi="Times New Roman" w:cs="Times New Roman"/>
          <w:sz w:val="26"/>
          <w:szCs w:val="26"/>
        </w:rPr>
        <w:tab/>
      </w:r>
    </w:p>
    <w:p w:rsidR="00F3594B" w:rsidRPr="0072600F" w14:paraId="4E2954E7" w14:textId="77777777">
      <w:pPr>
        <w:spacing w:after="120" w:line="276" w:lineRule="auto"/>
        <w:rPr>
          <w:rFonts w:ascii="Times New Roman" w:eastAsia="Calibri" w:hAnsi="Times New Roman" w:cs="Times New Roman"/>
          <w:sz w:val="26"/>
          <w:szCs w:val="26"/>
        </w:rPr>
      </w:pPr>
    </w:p>
    <w:p w:rsidR="00F3594B" w:rsidRPr="0072600F" w14:paraId="22AB11F0" w14:textId="77777777">
      <w:pPr>
        <w:spacing w:after="120" w:line="276" w:lineRule="auto"/>
        <w:jc w:val="center"/>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Small Generating Facility Characteristic Data (for rotating machines)</w:t>
      </w:r>
    </w:p>
    <w:p w:rsidR="00F3594B" w:rsidRPr="0072600F" w14:paraId="17DBECD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RPM Frequency: _____________</w:t>
      </w:r>
    </w:p>
    <w:p w:rsidR="00F3594B" w:rsidRPr="0072600F" w14:paraId="6B1AE1D4"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Neutral Grounding Resistor (If Applicable): ____________</w:t>
      </w:r>
    </w:p>
    <w:p w:rsidR="00F3594B" w:rsidRPr="0072600F" w14:paraId="0156726A" w14:textId="77777777">
      <w:pPr>
        <w:spacing w:line="276" w:lineRule="auto"/>
        <w:rPr>
          <w:rFonts w:ascii="Times New Roman" w:eastAsia="Calibri" w:hAnsi="Times New Roman" w:cs="Times New Roman"/>
          <w:sz w:val="26"/>
          <w:szCs w:val="26"/>
          <w:u w:val="single"/>
        </w:rPr>
      </w:pPr>
    </w:p>
    <w:p w:rsidR="00A71AF5" w:rsidRPr="0072600F" w14:paraId="6C6FEB4D" w14:textId="77777777">
      <w:pPr>
        <w:spacing w:line="276" w:lineRule="auto"/>
        <w:rPr>
          <w:rFonts w:ascii="Times New Roman" w:eastAsia="Calibri" w:hAnsi="Times New Roman" w:cs="Times New Roman"/>
          <w:sz w:val="26"/>
          <w:szCs w:val="26"/>
          <w:u w:val="single"/>
        </w:rPr>
      </w:pPr>
    </w:p>
    <w:p w:rsidR="00F3594B" w:rsidRPr="0072600F" w14:paraId="1CA2DBEB" w14:textId="77777777">
      <w:pPr>
        <w:spacing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Synchronous Generators:</w:t>
      </w:r>
    </w:p>
    <w:p w:rsidR="00F3594B" w:rsidRPr="0072600F" w14:paraId="2EDB777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Direct Axis Synchronous Reactance, </w:t>
      </w:r>
      <w:r w:rsidRPr="0072600F">
        <w:rPr>
          <w:rFonts w:ascii="Times New Roman" w:eastAsia="Calibri" w:hAnsi="Times New Roman" w:cs="Times New Roman"/>
          <w:sz w:val="26"/>
          <w:szCs w:val="26"/>
        </w:rPr>
        <w:t>X</w:t>
      </w:r>
      <w:r w:rsidRPr="0072600F">
        <w:rPr>
          <w:rFonts w:ascii="Times New Roman" w:eastAsia="Calibri" w:hAnsi="Times New Roman" w:cs="Times New Roman"/>
          <w:sz w:val="26"/>
          <w:szCs w:val="26"/>
          <w:vertAlign w:val="subscript"/>
        </w:rPr>
        <w:t>d</w:t>
      </w:r>
      <w:r w:rsidRPr="0072600F">
        <w:rPr>
          <w:rFonts w:ascii="Times New Roman" w:eastAsia="Calibri" w:hAnsi="Times New Roman" w:cs="Times New Roman"/>
          <w:sz w:val="26"/>
          <w:szCs w:val="26"/>
        </w:rPr>
        <w:t>: _______ P.U.</w:t>
      </w:r>
    </w:p>
    <w:p w:rsidR="00F3594B" w:rsidRPr="0072600F" w14:paraId="34824FA5"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Direct Axis Transient Reactance, X</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vertAlign w:val="subscript"/>
        </w:rPr>
        <w:t>d</w:t>
      </w:r>
      <w:r w:rsidRPr="0072600F">
        <w:rPr>
          <w:rFonts w:ascii="Times New Roman" w:eastAsia="Calibri" w:hAnsi="Times New Roman" w:cs="Times New Roman"/>
          <w:sz w:val="26"/>
          <w:szCs w:val="26"/>
        </w:rPr>
        <w:t>: ___________P.U.</w:t>
      </w:r>
    </w:p>
    <w:p w:rsidR="00F3594B" w:rsidRPr="0072600F" w14:paraId="063630C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Direct Axis </w:t>
      </w:r>
      <w:r w:rsidRPr="0072600F">
        <w:rPr>
          <w:rFonts w:ascii="Times New Roman" w:eastAsia="Calibri" w:hAnsi="Times New Roman" w:cs="Times New Roman"/>
          <w:sz w:val="26"/>
          <w:szCs w:val="26"/>
        </w:rPr>
        <w:t>Subtransient</w:t>
      </w:r>
      <w:r w:rsidRPr="0072600F">
        <w:rPr>
          <w:rFonts w:ascii="Times New Roman" w:eastAsia="Calibri" w:hAnsi="Times New Roman" w:cs="Times New Roman"/>
          <w:sz w:val="26"/>
          <w:szCs w:val="26"/>
        </w:rPr>
        <w:t xml:space="preserve"> Reactance, </w:t>
      </w:r>
      <w:r w:rsidRPr="0072600F">
        <w:rPr>
          <w:rFonts w:ascii="Times New Roman" w:eastAsia="Calibri" w:hAnsi="Times New Roman" w:cs="Times New Roman"/>
          <w:sz w:val="26"/>
          <w:szCs w:val="26"/>
        </w:rPr>
        <w:t>X</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vertAlign w:val="subscript"/>
        </w:rPr>
        <w:t>d</w:t>
      </w:r>
      <w:r w:rsidRPr="0072600F">
        <w:rPr>
          <w:rFonts w:ascii="Times New Roman" w:eastAsia="Calibri" w:hAnsi="Times New Roman" w:cs="Times New Roman"/>
          <w:sz w:val="26"/>
          <w:szCs w:val="26"/>
        </w:rPr>
        <w:t>: ______________P.U.</w:t>
      </w:r>
    </w:p>
    <w:p w:rsidR="00F3594B" w:rsidRPr="0072600F" w14:paraId="67F91E59"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Negative Sequence Reactance, X</w:t>
      </w:r>
      <w:r w:rsidRPr="0072600F">
        <w:rPr>
          <w:rFonts w:ascii="Times New Roman" w:eastAsia="Calibri" w:hAnsi="Times New Roman" w:cs="Times New Roman"/>
          <w:sz w:val="26"/>
          <w:szCs w:val="26"/>
          <w:vertAlign w:val="subscript"/>
        </w:rPr>
        <w:t>2</w:t>
      </w:r>
      <w:r w:rsidRPr="0072600F">
        <w:rPr>
          <w:rFonts w:ascii="Times New Roman" w:eastAsia="Calibri" w:hAnsi="Times New Roman" w:cs="Times New Roman"/>
          <w:sz w:val="26"/>
          <w:szCs w:val="26"/>
        </w:rPr>
        <w:t>: _________ P.U.</w:t>
      </w:r>
    </w:p>
    <w:p w:rsidR="00F3594B" w:rsidRPr="0072600F" w14:paraId="5B0E2C0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Zero Sequence Reactance, X</w:t>
      </w:r>
      <w:r w:rsidRPr="0072600F">
        <w:rPr>
          <w:rFonts w:ascii="Times New Roman" w:eastAsia="Calibri" w:hAnsi="Times New Roman" w:cs="Times New Roman"/>
          <w:sz w:val="26"/>
          <w:szCs w:val="26"/>
          <w:vertAlign w:val="subscript"/>
        </w:rPr>
        <w:t>0</w:t>
      </w:r>
      <w:r w:rsidRPr="0072600F">
        <w:rPr>
          <w:rFonts w:ascii="Times New Roman" w:eastAsia="Calibri" w:hAnsi="Times New Roman" w:cs="Times New Roman"/>
          <w:sz w:val="26"/>
          <w:szCs w:val="26"/>
        </w:rPr>
        <w:t>: ____________ P.U.</w:t>
      </w:r>
    </w:p>
    <w:p w:rsidR="00F3594B" w:rsidRPr="0072600F" w14:paraId="49BCC1E5"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KVA Base: _______________</w:t>
      </w:r>
    </w:p>
    <w:p w:rsidR="00F3594B" w:rsidRPr="0072600F" w14:paraId="6967397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Field Volts: _______________</w:t>
      </w:r>
    </w:p>
    <w:p w:rsidR="00F3594B" w:rsidRPr="0072600F" w14:paraId="381585AB" w14:textId="77777777">
      <w:pPr>
        <w:spacing w:after="8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Field Amperes: ____________</w:t>
      </w:r>
    </w:p>
    <w:p w:rsidR="00F3594B" w:rsidRPr="0072600F" w14:paraId="2CB5C45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Induction Generators</w:t>
      </w:r>
      <w:r w:rsidRPr="0072600F">
        <w:rPr>
          <w:rFonts w:ascii="Times New Roman" w:eastAsia="Calibri" w:hAnsi="Times New Roman" w:cs="Times New Roman"/>
          <w:sz w:val="26"/>
          <w:szCs w:val="26"/>
        </w:rPr>
        <w:t>:</w:t>
      </w:r>
    </w:p>
    <w:p w:rsidR="00F3594B" w:rsidRPr="0072600F" w14:paraId="543B1C6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Motoring Power (kW): ______________</w:t>
      </w:r>
    </w:p>
    <w:p w:rsidR="00F3594B" w:rsidRPr="0072600F" w14:paraId="7ABE1FA4"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I22t or K (Heating Time Constant): ______________</w:t>
      </w:r>
    </w:p>
    <w:p w:rsidR="00F3594B" w:rsidRPr="0072600F" w14:paraId="6AD0D08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Rotor Resistance, Rr: ______________</w:t>
      </w:r>
    </w:p>
    <w:p w:rsidR="00F3594B" w:rsidRPr="0072600F" w14:paraId="67DDF30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Stator Resistance, Rs:  ______________ </w:t>
      </w:r>
    </w:p>
    <w:p w:rsidR="00F3594B" w:rsidRPr="0072600F" w14:paraId="48C2830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Stator Reactance, </w:t>
      </w:r>
      <w:r w:rsidRPr="0072600F">
        <w:rPr>
          <w:rFonts w:ascii="Times New Roman" w:eastAsia="Calibri" w:hAnsi="Times New Roman" w:cs="Times New Roman"/>
          <w:sz w:val="26"/>
          <w:szCs w:val="26"/>
        </w:rPr>
        <w:t>Xs</w:t>
      </w:r>
      <w:r w:rsidRPr="0072600F">
        <w:rPr>
          <w:rFonts w:ascii="Times New Roman" w:eastAsia="Calibri" w:hAnsi="Times New Roman" w:cs="Times New Roman"/>
          <w:sz w:val="26"/>
          <w:szCs w:val="26"/>
        </w:rPr>
        <w:t>: ______________</w:t>
      </w:r>
    </w:p>
    <w:p w:rsidR="00F3594B" w:rsidRPr="0072600F" w14:paraId="692A8C8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Rotor Reactance, </w:t>
      </w:r>
      <w:r w:rsidRPr="0072600F">
        <w:rPr>
          <w:rFonts w:ascii="Times New Roman" w:eastAsia="Calibri" w:hAnsi="Times New Roman" w:cs="Times New Roman"/>
          <w:sz w:val="26"/>
          <w:szCs w:val="26"/>
        </w:rPr>
        <w:t>Xr</w:t>
      </w:r>
      <w:r w:rsidRPr="0072600F">
        <w:rPr>
          <w:rFonts w:ascii="Times New Roman" w:eastAsia="Calibri" w:hAnsi="Times New Roman" w:cs="Times New Roman"/>
          <w:sz w:val="26"/>
          <w:szCs w:val="26"/>
        </w:rPr>
        <w:t xml:space="preserve">:  ______________  </w:t>
      </w:r>
    </w:p>
    <w:p w:rsidR="00F3594B" w:rsidRPr="0072600F" w14:paraId="205EB63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Magnetizing Reactance, </w:t>
      </w:r>
      <w:r w:rsidRPr="0072600F">
        <w:rPr>
          <w:rFonts w:ascii="Times New Roman" w:eastAsia="Calibri" w:hAnsi="Times New Roman" w:cs="Times New Roman"/>
          <w:sz w:val="26"/>
          <w:szCs w:val="26"/>
        </w:rPr>
        <w:t>Xm</w:t>
      </w:r>
      <w:r w:rsidRPr="0072600F">
        <w:rPr>
          <w:rFonts w:ascii="Times New Roman" w:eastAsia="Calibri" w:hAnsi="Times New Roman" w:cs="Times New Roman"/>
          <w:sz w:val="26"/>
          <w:szCs w:val="26"/>
        </w:rPr>
        <w:t>: ______________</w:t>
      </w:r>
    </w:p>
    <w:p w:rsidR="00F3594B" w:rsidRPr="0072600F" w14:paraId="6C824B20"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Short Circuit Reactance, </w:t>
      </w:r>
      <w:r w:rsidRPr="0072600F">
        <w:rPr>
          <w:rFonts w:ascii="Times New Roman" w:eastAsia="Calibri" w:hAnsi="Times New Roman" w:cs="Times New Roman"/>
          <w:sz w:val="26"/>
          <w:szCs w:val="26"/>
        </w:rPr>
        <w:t>Xd</w:t>
      </w:r>
      <w:r w:rsidRPr="0072600F">
        <w:rPr>
          <w:rFonts w:ascii="Times New Roman" w:eastAsia="Calibri" w:hAnsi="Times New Roman" w:cs="Times New Roman"/>
          <w:sz w:val="26"/>
          <w:szCs w:val="26"/>
        </w:rPr>
        <w:t>'': ______________</w:t>
      </w:r>
    </w:p>
    <w:p w:rsidR="00F3594B" w:rsidRPr="0072600F" w14:paraId="5D890C5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Exciting Current: ______________</w:t>
      </w:r>
    </w:p>
    <w:p w:rsidR="00F3594B" w:rsidRPr="0072600F" w14:paraId="6DAAB62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Temperature Rise: ______________</w:t>
      </w:r>
    </w:p>
    <w:p w:rsidR="00F3594B" w:rsidRPr="0072600F" w14:paraId="491BB70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Frame Size:  ______________ </w:t>
      </w:r>
    </w:p>
    <w:p w:rsidR="00F3594B" w:rsidRPr="0072600F" w14:paraId="4748BFD6"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Design Letter: ______________</w:t>
      </w:r>
    </w:p>
    <w:p w:rsidR="00F3594B" w:rsidRPr="0072600F" w14:paraId="4CF45519"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Reactive Power Required In Vars (No Load): ______________</w:t>
      </w:r>
    </w:p>
    <w:p w:rsidR="00F3594B" w:rsidRPr="0072600F" w14:paraId="5471908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Reactive Power Required In Vars (Full Load): ______________</w:t>
      </w:r>
    </w:p>
    <w:p w:rsidR="00F3594B" w:rsidRPr="0072600F" w14:paraId="23C33D5A"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Total Rotating Inertia, H: _____________   Per Unit on kVA Base</w:t>
      </w:r>
    </w:p>
    <w:p w:rsidR="00F3594B" w:rsidRPr="0072600F" w14:paraId="14156E2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Note: Please contact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prior to submitting the Interconnection Request to determine if the specified information above is required.</w:t>
      </w:r>
    </w:p>
    <w:p w:rsidR="00A71AF5" w:rsidRPr="0072600F" w14:paraId="152F9A73" w14:textId="77777777">
      <w:pPr>
        <w:spacing w:line="276" w:lineRule="auto"/>
        <w:rPr>
          <w:rFonts w:ascii="Times New Roman" w:eastAsia="Calibri" w:hAnsi="Times New Roman" w:cs="Times New Roman"/>
          <w:sz w:val="26"/>
          <w:szCs w:val="26"/>
          <w:u w:val="single"/>
        </w:rPr>
      </w:pPr>
    </w:p>
    <w:p w:rsidR="00F3594B" w:rsidRPr="0072600F" w14:paraId="5E44DDCE" w14:textId="77777777">
      <w:pPr>
        <w:spacing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Excitation and Governor System Data for Synchronous Generators Only</w:t>
      </w:r>
    </w:p>
    <w:p w:rsidR="00F3594B" w:rsidRPr="0072600F" w14:paraId="12FE123D"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Provide appropriate IEEE model block diagram of excitation system, governor system and power system stabilizer (PSS) in accordance with the regional reliability council criteria.  A PSS may be determined to be required by applicable studies. A copy of the manufacturer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block diagram may not be substituted.</w:t>
      </w:r>
    </w:p>
    <w:p w:rsidR="00F3594B" w:rsidRPr="0072600F" w14:paraId="380E5EF0" w14:textId="77777777">
      <w:pPr>
        <w:spacing w:line="276" w:lineRule="auto"/>
        <w:rPr>
          <w:rFonts w:ascii="Times New Roman" w:eastAsia="Calibri" w:hAnsi="Times New Roman" w:cs="Times New Roman"/>
          <w:b/>
          <w:bCs/>
          <w:sz w:val="26"/>
          <w:szCs w:val="26"/>
          <w:u w:val="single"/>
        </w:rPr>
      </w:pPr>
      <w:r w:rsidRPr="0072600F">
        <w:rPr>
          <w:rFonts w:ascii="Times New Roman" w:eastAsia="Calibri" w:hAnsi="Times New Roman" w:cs="Times New Roman"/>
          <w:b/>
          <w:bCs/>
          <w:sz w:val="26"/>
          <w:szCs w:val="26"/>
          <w:u w:val="single"/>
        </w:rPr>
        <w:t>Models for Non-synchronous Small Generating Facilities</w:t>
      </w:r>
    </w:p>
    <w:p w:rsidR="00F3594B" w:rsidRPr="0072600F" w14:paraId="1A5D008C" w14:textId="77777777">
      <w:pPr>
        <w:spacing w:after="120" w:line="276" w:lineRule="auto"/>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For a non-synchronous Small Generating Facility, Interconnection Customer shall provide (1) a validated user-defined root mean squared (RMS) positive sequence dynamics model; (2) an appropriately parameterized generic library RMS positive sequence dynamics model, including model block diagram of the inverter control and plant control systems, as defined by the selection in Table 1 or a model otherwise approved by the Western Electricity Coordinating Council, that corresponds to Interconnection Customer’s Small Generating Facility; and (3) if applicable, a validated electromagnetic transient model if Transmission Provider performs an electromagnetic transient study as part of the interconnection study process.  A user-defined model is a set of programming code created by equipment manufacturers or developers that captures the latest features of controllers that are mainly software based and represents the entities’ control strategies but does not necessarily correspond to any generic library model.  Interconnection Customer must also demonstrate that the model is validated by providing evidence that the equipment behavior is consistent with the model behavior (e.g., an attestation from Interconnection Customer that the model accurately represents the entire Small Generating Facility; attestations from each equipment manufacturer that the user defined model accurately represents the component of the Small Generating Facility; or test data).</w:t>
      </w:r>
    </w:p>
    <w:p w:rsidR="00F3594B" w:rsidRPr="0072600F" w14:paraId="7CEAA8C9" w14:textId="77777777">
      <w:pPr>
        <w:spacing w:after="120" w:line="276" w:lineRule="auto"/>
        <w:jc w:val="center"/>
        <w:rPr>
          <w:rFonts w:ascii="Times New Roman" w:eastAsia="Calibri" w:hAnsi="Times New Roman" w:cs="Times New Roman"/>
          <w:b/>
          <w:bCs/>
          <w:iCs/>
          <w:sz w:val="26"/>
          <w:szCs w:val="26"/>
        </w:rPr>
      </w:pPr>
      <w:r w:rsidRPr="0072600F">
        <w:rPr>
          <w:rFonts w:ascii="Times New Roman" w:eastAsia="Calibri" w:hAnsi="Times New Roman" w:cs="Times New Roman"/>
          <w:b/>
          <w:bCs/>
          <w:iCs/>
          <w:sz w:val="26"/>
          <w:szCs w:val="26"/>
        </w:rPr>
        <w:t>Table 1:  Acceptable Generic Library RMS Positive Sequence Dynamics Models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845"/>
        <w:gridCol w:w="1635"/>
        <w:gridCol w:w="5115"/>
      </w:tblGrid>
      <w:tr w14:paraId="418B2B8C" w14:textId="77777777">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1300" w:type="dxa"/>
            <w:shd w:val="clear" w:color="auto" w:fill="auto"/>
            <w:vAlign w:val="center"/>
          </w:tcPr>
          <w:p w:rsidR="00F3594B" w:rsidRPr="0072600F" w:rsidP="00802435" w14:paraId="515A347C" w14:textId="77777777">
            <w:pPr>
              <w:spacing w:line="276" w:lineRule="auto"/>
              <w:contextualSpacing/>
              <w:jc w:val="center"/>
              <w:rPr>
                <w:rFonts w:ascii="Times New Roman" w:eastAsia="Calibri" w:hAnsi="Times New Roman" w:cs="Times New Roman"/>
                <w:b/>
                <w:iCs/>
                <w:sz w:val="26"/>
                <w:szCs w:val="26"/>
              </w:rPr>
            </w:pPr>
            <w:r w:rsidRPr="0072600F">
              <w:rPr>
                <w:rFonts w:ascii="Times New Roman" w:eastAsia="Calibri" w:hAnsi="Times New Roman" w:cs="Times New Roman"/>
                <w:b/>
                <w:iCs/>
                <w:sz w:val="26"/>
                <w:szCs w:val="26"/>
              </w:rPr>
              <w:t>GE PSLF</w:t>
            </w:r>
          </w:p>
        </w:tc>
        <w:tc>
          <w:tcPr>
            <w:tcW w:w="1845" w:type="dxa"/>
            <w:shd w:val="clear" w:color="auto" w:fill="auto"/>
            <w:vAlign w:val="center"/>
          </w:tcPr>
          <w:p w:rsidR="00F3594B" w:rsidRPr="0072600F" w:rsidP="00802435" w14:paraId="0C9C507E" w14:textId="77777777">
            <w:pPr>
              <w:spacing w:line="276" w:lineRule="auto"/>
              <w:contextualSpacing/>
              <w:jc w:val="center"/>
              <w:rPr>
                <w:rFonts w:ascii="Times New Roman" w:eastAsia="Calibri" w:hAnsi="Times New Roman" w:cs="Times New Roman"/>
                <w:b/>
                <w:iCs/>
                <w:sz w:val="26"/>
                <w:szCs w:val="26"/>
              </w:rPr>
            </w:pPr>
            <w:r w:rsidRPr="0072600F">
              <w:rPr>
                <w:rFonts w:ascii="Times New Roman" w:eastAsia="Calibri" w:hAnsi="Times New Roman" w:cs="Times New Roman"/>
                <w:b/>
                <w:iCs/>
                <w:sz w:val="26"/>
                <w:szCs w:val="26"/>
              </w:rPr>
              <w:t>Siemens PSS/E*</w:t>
            </w:r>
          </w:p>
        </w:tc>
        <w:tc>
          <w:tcPr>
            <w:tcW w:w="1635" w:type="dxa"/>
            <w:shd w:val="clear" w:color="auto" w:fill="auto"/>
            <w:vAlign w:val="center"/>
          </w:tcPr>
          <w:p w:rsidR="00F3594B" w:rsidRPr="0072600F" w:rsidP="00802435" w14:paraId="63C8A446" w14:textId="77777777">
            <w:pPr>
              <w:spacing w:line="276" w:lineRule="auto"/>
              <w:contextualSpacing/>
              <w:jc w:val="center"/>
              <w:rPr>
                <w:rFonts w:ascii="Times New Roman" w:eastAsia="Calibri" w:hAnsi="Times New Roman" w:cs="Times New Roman"/>
                <w:b/>
                <w:iCs/>
                <w:sz w:val="26"/>
                <w:szCs w:val="26"/>
              </w:rPr>
            </w:pPr>
            <w:r w:rsidRPr="0072600F">
              <w:rPr>
                <w:rFonts w:ascii="Times New Roman" w:eastAsia="Calibri" w:hAnsi="Times New Roman" w:cs="Times New Roman"/>
                <w:b/>
                <w:iCs/>
                <w:sz w:val="26"/>
                <w:szCs w:val="26"/>
              </w:rPr>
              <w:t>PowerWorld</w:t>
            </w:r>
            <w:r w:rsidRPr="0072600F">
              <w:rPr>
                <w:rFonts w:ascii="Times New Roman" w:eastAsia="Calibri" w:hAnsi="Times New Roman" w:cs="Times New Roman"/>
                <w:b/>
                <w:iCs/>
                <w:sz w:val="26"/>
                <w:szCs w:val="26"/>
              </w:rPr>
              <w:t xml:space="preserve"> Simulator</w:t>
            </w:r>
          </w:p>
        </w:tc>
        <w:tc>
          <w:tcPr>
            <w:tcW w:w="5115" w:type="dxa"/>
            <w:shd w:val="clear" w:color="auto" w:fill="auto"/>
            <w:vAlign w:val="center"/>
          </w:tcPr>
          <w:p w:rsidR="00F3594B" w:rsidRPr="0072600F" w:rsidP="00802435" w14:paraId="2352FB9B" w14:textId="77777777">
            <w:pPr>
              <w:spacing w:line="276" w:lineRule="auto"/>
              <w:contextualSpacing/>
              <w:jc w:val="center"/>
              <w:rPr>
                <w:rFonts w:ascii="Times New Roman" w:eastAsia="Calibri" w:hAnsi="Times New Roman" w:cs="Times New Roman"/>
                <w:b/>
                <w:iCs/>
                <w:sz w:val="26"/>
                <w:szCs w:val="26"/>
              </w:rPr>
            </w:pPr>
            <w:r w:rsidRPr="0072600F">
              <w:rPr>
                <w:rFonts w:ascii="Times New Roman" w:eastAsia="Calibri" w:hAnsi="Times New Roman" w:cs="Times New Roman"/>
                <w:b/>
                <w:iCs/>
                <w:sz w:val="26"/>
                <w:szCs w:val="26"/>
              </w:rPr>
              <w:t>Description</w:t>
            </w:r>
          </w:p>
        </w:tc>
      </w:tr>
      <w:tr w14:paraId="0498B3A9" w14:textId="77777777">
        <w:tblPrEx>
          <w:tblW w:w="9895" w:type="dxa"/>
          <w:tblLayout w:type="fixed"/>
          <w:tblLook w:val="04A0"/>
        </w:tblPrEx>
        <w:trPr>
          <w:cantSplit/>
        </w:trPr>
        <w:tc>
          <w:tcPr>
            <w:tcW w:w="1300" w:type="dxa"/>
            <w:shd w:val="clear" w:color="auto" w:fill="auto"/>
            <w:vAlign w:val="center"/>
          </w:tcPr>
          <w:p w:rsidR="00F3594B" w:rsidRPr="0072600F" w:rsidP="00802435" w14:paraId="1312633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pvd1</w:t>
            </w:r>
          </w:p>
        </w:tc>
        <w:tc>
          <w:tcPr>
            <w:tcW w:w="1845" w:type="dxa"/>
            <w:shd w:val="clear" w:color="auto" w:fill="auto"/>
            <w:vAlign w:val="center"/>
          </w:tcPr>
          <w:p w:rsidR="00F3594B" w:rsidRPr="0072600F" w:rsidP="00802435" w14:paraId="43750827" w14:textId="77777777">
            <w:pPr>
              <w:spacing w:line="276" w:lineRule="auto"/>
              <w:contextualSpacing/>
              <w:jc w:val="center"/>
              <w:rPr>
                <w:rFonts w:ascii="Times New Roman" w:eastAsia="Calibri" w:hAnsi="Times New Roman" w:cs="Times New Roman"/>
                <w:iCs/>
                <w:sz w:val="26"/>
                <w:szCs w:val="26"/>
              </w:rPr>
            </w:pPr>
          </w:p>
        </w:tc>
        <w:tc>
          <w:tcPr>
            <w:tcW w:w="1635" w:type="dxa"/>
            <w:shd w:val="clear" w:color="auto" w:fill="auto"/>
            <w:vAlign w:val="center"/>
          </w:tcPr>
          <w:p w:rsidR="00F3594B" w:rsidRPr="0072600F" w:rsidP="00802435" w14:paraId="7BC68B7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PVD1</w:t>
            </w:r>
          </w:p>
        </w:tc>
        <w:tc>
          <w:tcPr>
            <w:tcW w:w="5115" w:type="dxa"/>
            <w:shd w:val="clear" w:color="auto" w:fill="auto"/>
            <w:vAlign w:val="center"/>
          </w:tcPr>
          <w:p w:rsidR="00F3594B" w:rsidRPr="0072600F" w:rsidP="00802435" w14:paraId="0AE1697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Distributed PV system model</w:t>
            </w:r>
          </w:p>
        </w:tc>
      </w:tr>
      <w:tr w14:paraId="2A26D7E2" w14:textId="77777777">
        <w:tblPrEx>
          <w:tblW w:w="9895" w:type="dxa"/>
          <w:tblLayout w:type="fixed"/>
          <w:tblLook w:val="04A0"/>
        </w:tblPrEx>
        <w:trPr>
          <w:cantSplit/>
        </w:trPr>
        <w:tc>
          <w:tcPr>
            <w:tcW w:w="1300" w:type="dxa"/>
            <w:shd w:val="clear" w:color="auto" w:fill="auto"/>
            <w:vAlign w:val="center"/>
          </w:tcPr>
          <w:p w:rsidR="00F3594B" w:rsidRPr="0072600F" w:rsidP="00802435" w14:paraId="7131064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der_a</w:t>
            </w:r>
          </w:p>
        </w:tc>
        <w:tc>
          <w:tcPr>
            <w:tcW w:w="1845" w:type="dxa"/>
            <w:shd w:val="clear" w:color="auto" w:fill="auto"/>
            <w:vAlign w:val="center"/>
          </w:tcPr>
          <w:p w:rsidR="00F3594B" w:rsidRPr="0072600F" w:rsidP="00802435" w14:paraId="00CBA2C0"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DERAU1</w:t>
            </w:r>
          </w:p>
        </w:tc>
        <w:tc>
          <w:tcPr>
            <w:tcW w:w="1635" w:type="dxa"/>
            <w:shd w:val="clear" w:color="auto" w:fill="auto"/>
            <w:vAlign w:val="center"/>
          </w:tcPr>
          <w:p w:rsidR="00F3594B" w:rsidRPr="0072600F" w:rsidP="00802435" w14:paraId="1F2F4D1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DER_A</w:t>
            </w:r>
          </w:p>
        </w:tc>
        <w:tc>
          <w:tcPr>
            <w:tcW w:w="5115" w:type="dxa"/>
            <w:shd w:val="clear" w:color="auto" w:fill="auto"/>
            <w:vAlign w:val="center"/>
          </w:tcPr>
          <w:p w:rsidR="00F3594B" w:rsidRPr="0072600F" w:rsidP="00802435" w14:paraId="74ACF45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Distributed energy resource model</w:t>
            </w:r>
          </w:p>
        </w:tc>
      </w:tr>
      <w:tr w14:paraId="52BDE4A9" w14:textId="77777777">
        <w:tblPrEx>
          <w:tblW w:w="9895" w:type="dxa"/>
          <w:tblLayout w:type="fixed"/>
          <w:tblLook w:val="04A0"/>
        </w:tblPrEx>
        <w:trPr>
          <w:cantSplit/>
        </w:trPr>
        <w:tc>
          <w:tcPr>
            <w:tcW w:w="1300" w:type="dxa"/>
            <w:shd w:val="clear" w:color="auto" w:fill="auto"/>
            <w:vAlign w:val="center"/>
          </w:tcPr>
          <w:p w:rsidR="00F3594B" w:rsidRPr="0072600F" w:rsidP="00802435" w14:paraId="2F34B75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regc_a</w:t>
            </w:r>
          </w:p>
        </w:tc>
        <w:tc>
          <w:tcPr>
            <w:tcW w:w="1845" w:type="dxa"/>
            <w:shd w:val="clear" w:color="auto" w:fill="auto"/>
            <w:vAlign w:val="center"/>
          </w:tcPr>
          <w:p w:rsidR="00F3594B" w:rsidRPr="0072600F" w:rsidP="00802435" w14:paraId="146B68D1"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REGCAU1, REGCA1</w:t>
            </w:r>
          </w:p>
        </w:tc>
        <w:tc>
          <w:tcPr>
            <w:tcW w:w="1635" w:type="dxa"/>
            <w:shd w:val="clear" w:color="auto" w:fill="auto"/>
            <w:vAlign w:val="center"/>
          </w:tcPr>
          <w:p w:rsidR="00F3594B" w:rsidRPr="0072600F" w:rsidP="00802435" w14:paraId="77A0E15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REGC_A</w:t>
            </w:r>
          </w:p>
        </w:tc>
        <w:tc>
          <w:tcPr>
            <w:tcW w:w="5115" w:type="dxa"/>
            <w:shd w:val="clear" w:color="auto" w:fill="auto"/>
            <w:vAlign w:val="center"/>
          </w:tcPr>
          <w:p w:rsidR="00F3594B" w:rsidRPr="0072600F" w:rsidP="00802435" w14:paraId="71F157B0"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Generator/converter model</w:t>
            </w:r>
          </w:p>
        </w:tc>
      </w:tr>
      <w:tr w14:paraId="00EE54C6" w14:textId="77777777">
        <w:tblPrEx>
          <w:tblW w:w="9895" w:type="dxa"/>
          <w:tblLayout w:type="fixed"/>
          <w:tblLook w:val="04A0"/>
        </w:tblPrEx>
        <w:trPr>
          <w:cantSplit/>
        </w:trPr>
        <w:tc>
          <w:tcPr>
            <w:tcW w:w="1300" w:type="dxa"/>
            <w:shd w:val="clear" w:color="auto" w:fill="auto"/>
            <w:vAlign w:val="center"/>
          </w:tcPr>
          <w:p w:rsidR="00F3594B" w:rsidRPr="0072600F" w:rsidP="00802435" w14:paraId="59FA0C9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regc_b</w:t>
            </w:r>
          </w:p>
        </w:tc>
        <w:tc>
          <w:tcPr>
            <w:tcW w:w="1845" w:type="dxa"/>
            <w:shd w:val="clear" w:color="auto" w:fill="auto"/>
            <w:vAlign w:val="center"/>
          </w:tcPr>
          <w:p w:rsidR="00F3594B" w:rsidRPr="0072600F" w:rsidP="00802435" w14:paraId="68C318C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REGCBU1</w:t>
            </w:r>
          </w:p>
        </w:tc>
        <w:tc>
          <w:tcPr>
            <w:tcW w:w="1635" w:type="dxa"/>
            <w:shd w:val="clear" w:color="auto" w:fill="auto"/>
            <w:vAlign w:val="center"/>
          </w:tcPr>
          <w:p w:rsidR="00F3594B" w:rsidRPr="0072600F" w:rsidP="00802435" w14:paraId="1F9BB05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REGC_B</w:t>
            </w:r>
          </w:p>
        </w:tc>
        <w:tc>
          <w:tcPr>
            <w:tcW w:w="5115" w:type="dxa"/>
            <w:shd w:val="clear" w:color="auto" w:fill="auto"/>
            <w:vAlign w:val="center"/>
          </w:tcPr>
          <w:p w:rsidR="00F3594B" w:rsidRPr="0072600F" w:rsidP="00802435" w14:paraId="32C9C09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Generator/converter model</w:t>
            </w:r>
          </w:p>
        </w:tc>
      </w:tr>
      <w:tr w14:paraId="17174082" w14:textId="77777777">
        <w:tblPrEx>
          <w:tblW w:w="9895" w:type="dxa"/>
          <w:tblLayout w:type="fixed"/>
          <w:tblLook w:val="04A0"/>
        </w:tblPrEx>
        <w:trPr>
          <w:cantSplit/>
        </w:trPr>
        <w:tc>
          <w:tcPr>
            <w:tcW w:w="1300" w:type="dxa"/>
            <w:shd w:val="clear" w:color="auto" w:fill="auto"/>
            <w:vAlign w:val="center"/>
          </w:tcPr>
          <w:p w:rsidR="00F3594B" w:rsidRPr="0072600F" w:rsidP="00802435" w14:paraId="5236E35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wt1g</w:t>
            </w:r>
          </w:p>
        </w:tc>
        <w:tc>
          <w:tcPr>
            <w:tcW w:w="1845" w:type="dxa"/>
            <w:shd w:val="clear" w:color="auto" w:fill="auto"/>
            <w:vAlign w:val="center"/>
          </w:tcPr>
          <w:p w:rsidR="00F3594B" w:rsidRPr="0072600F" w:rsidP="00802435" w14:paraId="1EBBFE9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WT1G1</w:t>
            </w:r>
          </w:p>
        </w:tc>
        <w:tc>
          <w:tcPr>
            <w:tcW w:w="1635" w:type="dxa"/>
            <w:shd w:val="clear" w:color="auto" w:fill="auto"/>
            <w:vAlign w:val="center"/>
          </w:tcPr>
          <w:p w:rsidR="00F3594B" w:rsidRPr="0072600F" w:rsidP="00802435" w14:paraId="2D22831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WT1G and WT1G1</w:t>
            </w:r>
          </w:p>
        </w:tc>
        <w:tc>
          <w:tcPr>
            <w:tcW w:w="5115" w:type="dxa"/>
            <w:shd w:val="clear" w:color="auto" w:fill="auto"/>
            <w:vAlign w:val="center"/>
          </w:tcPr>
          <w:p w:rsidR="00F3594B" w:rsidRPr="0072600F" w:rsidP="00802435" w14:paraId="200C68A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model for Type-1 wind turbines (conventional directly connected induction generator)</w:t>
            </w:r>
          </w:p>
        </w:tc>
      </w:tr>
      <w:tr w14:paraId="0C32151C" w14:textId="77777777">
        <w:tblPrEx>
          <w:tblW w:w="9895" w:type="dxa"/>
          <w:tblLayout w:type="fixed"/>
          <w:tblLook w:val="04A0"/>
        </w:tblPrEx>
        <w:trPr>
          <w:cantSplit/>
        </w:trPr>
        <w:tc>
          <w:tcPr>
            <w:tcW w:w="1300" w:type="dxa"/>
            <w:shd w:val="clear" w:color="auto" w:fill="auto"/>
            <w:vAlign w:val="center"/>
          </w:tcPr>
          <w:p w:rsidR="00F3594B" w:rsidRPr="0072600F" w:rsidP="00802435" w14:paraId="7212886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wt2g</w:t>
            </w:r>
          </w:p>
        </w:tc>
        <w:tc>
          <w:tcPr>
            <w:tcW w:w="1845" w:type="dxa"/>
            <w:shd w:val="clear" w:color="auto" w:fill="auto"/>
            <w:vAlign w:val="center"/>
          </w:tcPr>
          <w:p w:rsidR="00F3594B" w:rsidRPr="0072600F" w:rsidP="00802435" w14:paraId="4C07B4B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WT2G1</w:t>
            </w:r>
          </w:p>
        </w:tc>
        <w:tc>
          <w:tcPr>
            <w:tcW w:w="1635" w:type="dxa"/>
            <w:shd w:val="clear" w:color="auto" w:fill="auto"/>
            <w:vAlign w:val="center"/>
          </w:tcPr>
          <w:p w:rsidR="00F3594B" w:rsidRPr="0072600F" w:rsidP="00802435" w14:paraId="5EAC3CC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WT2G and WT2G1</w:t>
            </w:r>
          </w:p>
        </w:tc>
        <w:tc>
          <w:tcPr>
            <w:tcW w:w="5115" w:type="dxa"/>
            <w:shd w:val="clear" w:color="auto" w:fill="auto"/>
            <w:vAlign w:val="center"/>
          </w:tcPr>
          <w:p w:rsidR="00F3594B" w:rsidRPr="0072600F" w:rsidP="00802435" w14:paraId="10A45A8A"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Generator model for generic Type-2 wind turbines</w:t>
            </w:r>
          </w:p>
        </w:tc>
      </w:tr>
      <w:tr w14:paraId="746A5071" w14:textId="77777777">
        <w:tblPrEx>
          <w:tblW w:w="9895" w:type="dxa"/>
          <w:tblLayout w:type="fixed"/>
          <w:tblLook w:val="04A0"/>
        </w:tblPrEx>
        <w:trPr>
          <w:cantSplit/>
        </w:trPr>
        <w:tc>
          <w:tcPr>
            <w:tcW w:w="1300" w:type="dxa"/>
            <w:shd w:val="clear" w:color="auto" w:fill="auto"/>
            <w:vAlign w:val="center"/>
          </w:tcPr>
          <w:p w:rsidR="00F3594B" w:rsidRPr="0072600F" w:rsidP="00802435" w14:paraId="786096C1"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wt2e</w:t>
            </w:r>
          </w:p>
        </w:tc>
        <w:tc>
          <w:tcPr>
            <w:tcW w:w="1845" w:type="dxa"/>
            <w:shd w:val="clear" w:color="auto" w:fill="auto"/>
            <w:vAlign w:val="center"/>
          </w:tcPr>
          <w:p w:rsidR="00F3594B" w:rsidRPr="0072600F" w:rsidP="00802435" w14:paraId="2C84642C"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WT2E1</w:t>
            </w:r>
          </w:p>
        </w:tc>
        <w:tc>
          <w:tcPr>
            <w:tcW w:w="1635" w:type="dxa"/>
            <w:shd w:val="clear" w:color="auto" w:fill="auto"/>
            <w:vAlign w:val="center"/>
          </w:tcPr>
          <w:p w:rsidR="00F3594B" w:rsidRPr="0072600F" w:rsidP="00802435" w14:paraId="6E03C1C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WT2E and WT2E1</w:t>
            </w:r>
          </w:p>
        </w:tc>
        <w:tc>
          <w:tcPr>
            <w:tcW w:w="5115" w:type="dxa"/>
            <w:shd w:val="clear" w:color="auto" w:fill="auto"/>
            <w:vAlign w:val="center"/>
          </w:tcPr>
          <w:p w:rsidR="00F3594B" w:rsidRPr="0072600F" w:rsidP="00802435" w14:paraId="212DC84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Rotor resistance control model for wound-rotor induction wind-turbine generator wt2g</w:t>
            </w:r>
          </w:p>
        </w:tc>
      </w:tr>
      <w:tr w14:paraId="701B6B03" w14:textId="77777777">
        <w:tblPrEx>
          <w:tblW w:w="9895" w:type="dxa"/>
          <w:tblLayout w:type="fixed"/>
          <w:tblLook w:val="04A0"/>
        </w:tblPrEx>
        <w:trPr>
          <w:cantSplit/>
        </w:trPr>
        <w:tc>
          <w:tcPr>
            <w:tcW w:w="1300" w:type="dxa"/>
            <w:shd w:val="clear" w:color="auto" w:fill="auto"/>
            <w:vAlign w:val="center"/>
          </w:tcPr>
          <w:p w:rsidR="00F3594B" w:rsidRPr="0072600F" w:rsidP="00802435" w14:paraId="2D9D05C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reec_a</w:t>
            </w:r>
          </w:p>
        </w:tc>
        <w:tc>
          <w:tcPr>
            <w:tcW w:w="1845" w:type="dxa"/>
            <w:shd w:val="clear" w:color="auto" w:fill="auto"/>
            <w:vAlign w:val="center"/>
          </w:tcPr>
          <w:p w:rsidR="00F3594B" w:rsidRPr="0072600F" w:rsidP="00802435" w14:paraId="7BF3472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REECAU1, REECA1</w:t>
            </w:r>
          </w:p>
        </w:tc>
        <w:tc>
          <w:tcPr>
            <w:tcW w:w="1635" w:type="dxa"/>
            <w:shd w:val="clear" w:color="auto" w:fill="auto"/>
            <w:vAlign w:val="center"/>
          </w:tcPr>
          <w:p w:rsidR="00F3594B" w:rsidRPr="0072600F" w:rsidP="00802435" w14:paraId="3EFEB023"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REEC_A</w:t>
            </w:r>
          </w:p>
        </w:tc>
        <w:tc>
          <w:tcPr>
            <w:tcW w:w="5115" w:type="dxa"/>
            <w:shd w:val="clear" w:color="auto" w:fill="auto"/>
            <w:vAlign w:val="center"/>
          </w:tcPr>
          <w:p w:rsidR="00F3594B" w:rsidRPr="0072600F" w:rsidP="00802435" w14:paraId="4BB81571"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Renewable energy electrical control model</w:t>
            </w:r>
          </w:p>
        </w:tc>
      </w:tr>
      <w:tr w14:paraId="66C2A8E1" w14:textId="77777777">
        <w:tblPrEx>
          <w:tblW w:w="9895" w:type="dxa"/>
          <w:tblLayout w:type="fixed"/>
          <w:tblLook w:val="04A0"/>
        </w:tblPrEx>
        <w:trPr>
          <w:cantSplit/>
        </w:trPr>
        <w:tc>
          <w:tcPr>
            <w:tcW w:w="1300" w:type="dxa"/>
            <w:shd w:val="clear" w:color="auto" w:fill="auto"/>
            <w:vAlign w:val="center"/>
          </w:tcPr>
          <w:p w:rsidR="00F3594B" w:rsidRPr="0072600F" w:rsidP="00802435" w14:paraId="66E53F8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reec_c</w:t>
            </w:r>
          </w:p>
        </w:tc>
        <w:tc>
          <w:tcPr>
            <w:tcW w:w="1845" w:type="dxa"/>
            <w:shd w:val="clear" w:color="auto" w:fill="auto"/>
            <w:vAlign w:val="center"/>
          </w:tcPr>
          <w:p w:rsidR="00F3594B" w:rsidRPr="0072600F" w:rsidP="00802435" w14:paraId="03C4395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REECCU1</w:t>
            </w:r>
          </w:p>
        </w:tc>
        <w:tc>
          <w:tcPr>
            <w:tcW w:w="1635" w:type="dxa"/>
            <w:shd w:val="clear" w:color="auto" w:fill="auto"/>
            <w:vAlign w:val="center"/>
          </w:tcPr>
          <w:p w:rsidR="00F3594B" w:rsidRPr="0072600F" w:rsidP="00802435" w14:paraId="19D7FFF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REEC_C</w:t>
            </w:r>
          </w:p>
        </w:tc>
        <w:tc>
          <w:tcPr>
            <w:tcW w:w="5115" w:type="dxa"/>
            <w:shd w:val="clear" w:color="auto" w:fill="auto"/>
            <w:vAlign w:val="center"/>
          </w:tcPr>
          <w:p w:rsidR="00F3594B" w:rsidRPr="0072600F" w:rsidP="00802435" w14:paraId="0E83864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Electrical control model for battery energy storage system</w:t>
            </w:r>
          </w:p>
        </w:tc>
      </w:tr>
      <w:tr w14:paraId="1D24423F" w14:textId="77777777">
        <w:tblPrEx>
          <w:tblW w:w="9895" w:type="dxa"/>
          <w:tblLayout w:type="fixed"/>
          <w:tblLook w:val="04A0"/>
        </w:tblPrEx>
        <w:trPr>
          <w:cantSplit/>
        </w:trPr>
        <w:tc>
          <w:tcPr>
            <w:tcW w:w="1300" w:type="dxa"/>
            <w:shd w:val="clear" w:color="auto" w:fill="auto"/>
            <w:vAlign w:val="center"/>
          </w:tcPr>
          <w:p w:rsidR="00F3594B" w:rsidRPr="0072600F" w:rsidP="00802435" w14:paraId="54D5B93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reec_d</w:t>
            </w:r>
          </w:p>
        </w:tc>
        <w:tc>
          <w:tcPr>
            <w:tcW w:w="1845" w:type="dxa"/>
            <w:shd w:val="clear" w:color="auto" w:fill="auto"/>
            <w:vAlign w:val="center"/>
          </w:tcPr>
          <w:p w:rsidR="00F3594B" w:rsidRPr="0072600F" w:rsidP="00802435" w14:paraId="262E9DD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REECDU1</w:t>
            </w:r>
          </w:p>
        </w:tc>
        <w:tc>
          <w:tcPr>
            <w:tcW w:w="1635" w:type="dxa"/>
            <w:shd w:val="clear" w:color="auto" w:fill="auto"/>
            <w:vAlign w:val="center"/>
          </w:tcPr>
          <w:p w:rsidR="00F3594B" w:rsidRPr="0072600F" w:rsidP="00802435" w14:paraId="656AF3E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REEC_D</w:t>
            </w:r>
          </w:p>
        </w:tc>
        <w:tc>
          <w:tcPr>
            <w:tcW w:w="5115" w:type="dxa"/>
            <w:shd w:val="clear" w:color="auto" w:fill="auto"/>
            <w:vAlign w:val="center"/>
          </w:tcPr>
          <w:p w:rsidR="00F3594B" w:rsidRPr="0072600F" w:rsidP="00802435" w14:paraId="531D110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Renewable energy electrical control model</w:t>
            </w:r>
          </w:p>
        </w:tc>
      </w:tr>
      <w:tr w14:paraId="464942A4" w14:textId="77777777">
        <w:tblPrEx>
          <w:tblW w:w="9895" w:type="dxa"/>
          <w:tblLayout w:type="fixed"/>
          <w:tblLook w:val="04A0"/>
        </w:tblPrEx>
        <w:trPr>
          <w:cantSplit/>
        </w:trPr>
        <w:tc>
          <w:tcPr>
            <w:tcW w:w="1300" w:type="dxa"/>
            <w:shd w:val="clear" w:color="auto" w:fill="auto"/>
            <w:vAlign w:val="center"/>
          </w:tcPr>
          <w:p w:rsidR="00F3594B" w:rsidRPr="0072600F" w:rsidP="00802435" w14:paraId="130E1D8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wt1t</w:t>
            </w:r>
          </w:p>
        </w:tc>
        <w:tc>
          <w:tcPr>
            <w:tcW w:w="1845" w:type="dxa"/>
            <w:shd w:val="clear" w:color="auto" w:fill="auto"/>
            <w:vAlign w:val="center"/>
          </w:tcPr>
          <w:p w:rsidR="00F3594B" w:rsidRPr="0072600F" w:rsidP="00802435" w14:paraId="1F9008E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WT12T1</w:t>
            </w:r>
          </w:p>
        </w:tc>
        <w:tc>
          <w:tcPr>
            <w:tcW w:w="1635" w:type="dxa"/>
            <w:shd w:val="clear" w:color="auto" w:fill="auto"/>
            <w:vAlign w:val="center"/>
          </w:tcPr>
          <w:p w:rsidR="00F3594B" w:rsidRPr="0072600F" w:rsidP="00802435" w14:paraId="73B1801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WT1T and WT12T1</w:t>
            </w:r>
          </w:p>
        </w:tc>
        <w:tc>
          <w:tcPr>
            <w:tcW w:w="5115" w:type="dxa"/>
            <w:shd w:val="clear" w:color="auto" w:fill="auto"/>
            <w:vAlign w:val="center"/>
          </w:tcPr>
          <w:p w:rsidR="00F3594B" w:rsidRPr="0072600F" w:rsidP="00802435" w14:paraId="7B8C092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model for Type-1 wind turbines (conventional directly connected induction generator)</w:t>
            </w:r>
          </w:p>
        </w:tc>
      </w:tr>
      <w:tr w14:paraId="6B5EB121" w14:textId="77777777">
        <w:tblPrEx>
          <w:tblW w:w="9895" w:type="dxa"/>
          <w:tblLayout w:type="fixed"/>
          <w:tblLook w:val="04A0"/>
        </w:tblPrEx>
        <w:trPr>
          <w:cantSplit/>
        </w:trPr>
        <w:tc>
          <w:tcPr>
            <w:tcW w:w="1300" w:type="dxa"/>
            <w:shd w:val="clear" w:color="auto" w:fill="auto"/>
            <w:vAlign w:val="center"/>
          </w:tcPr>
          <w:p w:rsidR="00F3594B" w:rsidRPr="0072600F" w:rsidP="00802435" w14:paraId="038E5D1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wt1p_b</w:t>
            </w:r>
          </w:p>
        </w:tc>
        <w:tc>
          <w:tcPr>
            <w:tcW w:w="1845" w:type="dxa"/>
            <w:shd w:val="clear" w:color="auto" w:fill="auto"/>
            <w:vAlign w:val="center"/>
          </w:tcPr>
          <w:p w:rsidR="00F3594B" w:rsidRPr="0072600F" w:rsidP="00802435" w14:paraId="0795976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wt1p_b</w:t>
            </w:r>
          </w:p>
        </w:tc>
        <w:tc>
          <w:tcPr>
            <w:tcW w:w="1635" w:type="dxa"/>
            <w:shd w:val="clear" w:color="auto" w:fill="auto"/>
            <w:vAlign w:val="center"/>
          </w:tcPr>
          <w:p w:rsidR="00F3594B" w:rsidRPr="0072600F" w:rsidP="00802435" w14:paraId="10DDA9FA"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WT12A1U_B</w:t>
            </w:r>
          </w:p>
        </w:tc>
        <w:tc>
          <w:tcPr>
            <w:tcW w:w="5115" w:type="dxa"/>
            <w:shd w:val="clear" w:color="auto" w:fill="auto"/>
            <w:vAlign w:val="center"/>
          </w:tcPr>
          <w:p w:rsidR="00F3594B" w:rsidRPr="0072600F" w:rsidP="00802435" w14:paraId="22CE9CB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Generic wind turbine pitch controller for WTGs of Types 1 and 2</w:t>
            </w:r>
          </w:p>
        </w:tc>
      </w:tr>
      <w:tr w14:paraId="786B2263" w14:textId="77777777">
        <w:tblPrEx>
          <w:tblW w:w="9895" w:type="dxa"/>
          <w:tblLayout w:type="fixed"/>
          <w:tblLook w:val="04A0"/>
        </w:tblPrEx>
        <w:trPr>
          <w:cantSplit/>
        </w:trPr>
        <w:tc>
          <w:tcPr>
            <w:tcW w:w="1300" w:type="dxa"/>
            <w:shd w:val="clear" w:color="auto" w:fill="auto"/>
            <w:vAlign w:val="center"/>
          </w:tcPr>
          <w:p w:rsidR="00F3594B" w:rsidRPr="0072600F" w:rsidP="00802435" w14:paraId="2ABE35FA"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wt2t</w:t>
            </w:r>
          </w:p>
        </w:tc>
        <w:tc>
          <w:tcPr>
            <w:tcW w:w="1845" w:type="dxa"/>
            <w:shd w:val="clear" w:color="auto" w:fill="auto"/>
            <w:vAlign w:val="center"/>
          </w:tcPr>
          <w:p w:rsidR="00F3594B" w:rsidRPr="0072600F" w:rsidP="00802435" w14:paraId="5E297C61"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WT12T1</w:t>
            </w:r>
          </w:p>
        </w:tc>
        <w:tc>
          <w:tcPr>
            <w:tcW w:w="1635" w:type="dxa"/>
            <w:shd w:val="clear" w:color="auto" w:fill="auto"/>
            <w:vAlign w:val="center"/>
          </w:tcPr>
          <w:p w:rsidR="00F3594B" w:rsidRPr="0072600F" w:rsidP="00802435" w14:paraId="789576C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WT2T</w:t>
            </w:r>
          </w:p>
        </w:tc>
        <w:tc>
          <w:tcPr>
            <w:tcW w:w="5115" w:type="dxa"/>
            <w:shd w:val="clear" w:color="auto" w:fill="auto"/>
            <w:vAlign w:val="center"/>
          </w:tcPr>
          <w:p w:rsidR="00F3594B" w:rsidRPr="0072600F" w:rsidP="00802435" w14:paraId="18FB369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model for Type-2 wind turbines (directly connected induction generator wind turbines with an external rotor resistance)</w:t>
            </w:r>
          </w:p>
        </w:tc>
      </w:tr>
      <w:tr w14:paraId="152E4C1C" w14:textId="77777777">
        <w:tblPrEx>
          <w:tblW w:w="9895" w:type="dxa"/>
          <w:tblLayout w:type="fixed"/>
          <w:tblLook w:val="04A0"/>
        </w:tblPrEx>
        <w:trPr>
          <w:cantSplit/>
        </w:trPr>
        <w:tc>
          <w:tcPr>
            <w:tcW w:w="1300" w:type="dxa"/>
            <w:shd w:val="clear" w:color="auto" w:fill="auto"/>
            <w:vAlign w:val="center"/>
          </w:tcPr>
          <w:p w:rsidR="00F3594B" w:rsidRPr="0072600F" w:rsidP="00802435" w14:paraId="41132BB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wtgt_a</w:t>
            </w:r>
          </w:p>
        </w:tc>
        <w:tc>
          <w:tcPr>
            <w:tcW w:w="1845" w:type="dxa"/>
            <w:shd w:val="clear" w:color="auto" w:fill="auto"/>
            <w:vAlign w:val="center"/>
          </w:tcPr>
          <w:p w:rsidR="00F3594B" w:rsidRPr="0072600F" w:rsidP="00802435" w14:paraId="17821AE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WTDTAU1, WTDTA1</w:t>
            </w:r>
          </w:p>
        </w:tc>
        <w:tc>
          <w:tcPr>
            <w:tcW w:w="1635" w:type="dxa"/>
            <w:shd w:val="clear" w:color="auto" w:fill="auto"/>
            <w:vAlign w:val="center"/>
          </w:tcPr>
          <w:p w:rsidR="00F3594B" w:rsidRPr="0072600F" w:rsidP="00802435" w14:paraId="754FB61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WTGT_A</w:t>
            </w:r>
          </w:p>
        </w:tc>
        <w:tc>
          <w:tcPr>
            <w:tcW w:w="5115" w:type="dxa"/>
            <w:shd w:val="clear" w:color="auto" w:fill="auto"/>
            <w:vAlign w:val="center"/>
          </w:tcPr>
          <w:p w:rsidR="00F3594B" w:rsidRPr="0072600F" w:rsidP="00802435" w14:paraId="0E09487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drive train model</w:t>
            </w:r>
          </w:p>
        </w:tc>
      </w:tr>
      <w:tr w14:paraId="22F34446" w14:textId="77777777">
        <w:tblPrEx>
          <w:tblW w:w="9895" w:type="dxa"/>
          <w:tblLayout w:type="fixed"/>
          <w:tblLook w:val="04A0"/>
        </w:tblPrEx>
        <w:trPr>
          <w:cantSplit/>
        </w:trPr>
        <w:tc>
          <w:tcPr>
            <w:tcW w:w="1300" w:type="dxa"/>
            <w:shd w:val="clear" w:color="auto" w:fill="auto"/>
            <w:vAlign w:val="center"/>
          </w:tcPr>
          <w:p w:rsidR="00F3594B" w:rsidRPr="0072600F" w:rsidP="00802435" w14:paraId="2C2A953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wtga_a</w:t>
            </w:r>
          </w:p>
        </w:tc>
        <w:tc>
          <w:tcPr>
            <w:tcW w:w="1845" w:type="dxa"/>
            <w:shd w:val="clear" w:color="auto" w:fill="auto"/>
            <w:vAlign w:val="center"/>
          </w:tcPr>
          <w:p w:rsidR="00F3594B" w:rsidRPr="0072600F" w:rsidP="00802435" w14:paraId="78AACD3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WTARAU1, WTARA1</w:t>
            </w:r>
          </w:p>
        </w:tc>
        <w:tc>
          <w:tcPr>
            <w:tcW w:w="1635" w:type="dxa"/>
            <w:shd w:val="clear" w:color="auto" w:fill="auto"/>
            <w:vAlign w:val="center"/>
          </w:tcPr>
          <w:p w:rsidR="00F3594B" w:rsidRPr="0072600F" w:rsidP="00802435" w14:paraId="4B8FDBAC"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WTGA_A</w:t>
            </w:r>
          </w:p>
        </w:tc>
        <w:tc>
          <w:tcPr>
            <w:tcW w:w="5115" w:type="dxa"/>
            <w:shd w:val="clear" w:color="auto" w:fill="auto"/>
            <w:vAlign w:val="center"/>
          </w:tcPr>
          <w:p w:rsidR="00F3594B" w:rsidRPr="0072600F" w:rsidP="00802435" w14:paraId="68EB38E9"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Simple aerodynamic model</w:t>
            </w:r>
          </w:p>
        </w:tc>
      </w:tr>
      <w:tr w14:paraId="45BD2B1F" w14:textId="77777777">
        <w:tblPrEx>
          <w:tblW w:w="9895" w:type="dxa"/>
          <w:tblLayout w:type="fixed"/>
          <w:tblLook w:val="04A0"/>
        </w:tblPrEx>
        <w:trPr>
          <w:cantSplit/>
        </w:trPr>
        <w:tc>
          <w:tcPr>
            <w:tcW w:w="1300" w:type="dxa"/>
            <w:shd w:val="clear" w:color="auto" w:fill="auto"/>
            <w:vAlign w:val="center"/>
          </w:tcPr>
          <w:p w:rsidR="00F3594B" w:rsidRPr="0072600F" w:rsidP="00802435" w14:paraId="698EEE0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wtgp_a</w:t>
            </w:r>
          </w:p>
        </w:tc>
        <w:tc>
          <w:tcPr>
            <w:tcW w:w="1845" w:type="dxa"/>
            <w:shd w:val="clear" w:color="auto" w:fill="auto"/>
            <w:vAlign w:val="center"/>
          </w:tcPr>
          <w:p w:rsidR="00F3594B" w:rsidRPr="0072600F" w:rsidP="00802435" w14:paraId="2B4F1A2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WTPTAU1, WTPTA1</w:t>
            </w:r>
          </w:p>
        </w:tc>
        <w:tc>
          <w:tcPr>
            <w:tcW w:w="1635" w:type="dxa"/>
            <w:shd w:val="clear" w:color="auto" w:fill="auto"/>
            <w:vAlign w:val="center"/>
          </w:tcPr>
          <w:p w:rsidR="00F3594B" w:rsidRPr="0072600F" w:rsidP="00802435" w14:paraId="14AC05B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WTGPT_A</w:t>
            </w:r>
          </w:p>
        </w:tc>
        <w:tc>
          <w:tcPr>
            <w:tcW w:w="5115" w:type="dxa"/>
            <w:shd w:val="clear" w:color="auto" w:fill="auto"/>
            <w:vAlign w:val="center"/>
          </w:tcPr>
          <w:p w:rsidR="00F3594B" w:rsidRPr="0072600F" w:rsidP="00802435" w14:paraId="26632CD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Generator Pitch controller</w:t>
            </w:r>
          </w:p>
        </w:tc>
      </w:tr>
      <w:tr w14:paraId="53854C08" w14:textId="77777777">
        <w:tblPrEx>
          <w:tblW w:w="9895" w:type="dxa"/>
          <w:tblLayout w:type="fixed"/>
          <w:tblLook w:val="04A0"/>
        </w:tblPrEx>
        <w:trPr>
          <w:cantSplit/>
        </w:trPr>
        <w:tc>
          <w:tcPr>
            <w:tcW w:w="1300" w:type="dxa"/>
            <w:shd w:val="clear" w:color="auto" w:fill="auto"/>
            <w:vAlign w:val="center"/>
          </w:tcPr>
          <w:p w:rsidR="00F3594B" w:rsidRPr="0072600F" w:rsidP="00802435" w14:paraId="052C2260"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wtgq_a</w:t>
            </w:r>
          </w:p>
        </w:tc>
        <w:tc>
          <w:tcPr>
            <w:tcW w:w="1845" w:type="dxa"/>
            <w:shd w:val="clear" w:color="auto" w:fill="auto"/>
            <w:vAlign w:val="center"/>
          </w:tcPr>
          <w:p w:rsidR="00F3594B" w:rsidRPr="0072600F" w:rsidP="00802435" w14:paraId="092F75C0"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WTTQAU1, WTTQA1</w:t>
            </w:r>
          </w:p>
        </w:tc>
        <w:tc>
          <w:tcPr>
            <w:tcW w:w="1635" w:type="dxa"/>
            <w:shd w:val="clear" w:color="auto" w:fill="auto"/>
            <w:vAlign w:val="center"/>
          </w:tcPr>
          <w:p w:rsidR="00F3594B" w:rsidRPr="0072600F" w:rsidP="00802435" w14:paraId="7CC4F50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WTGTRQ_A</w:t>
            </w:r>
          </w:p>
        </w:tc>
        <w:tc>
          <w:tcPr>
            <w:tcW w:w="5115" w:type="dxa"/>
            <w:shd w:val="clear" w:color="auto" w:fill="auto"/>
            <w:vAlign w:val="center"/>
          </w:tcPr>
          <w:p w:rsidR="00F3594B" w:rsidRPr="0072600F" w:rsidP="00802435" w14:paraId="2AF9FDA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Generator Torque controller</w:t>
            </w:r>
          </w:p>
        </w:tc>
      </w:tr>
      <w:tr w14:paraId="537D4160" w14:textId="77777777">
        <w:tblPrEx>
          <w:tblW w:w="9895" w:type="dxa"/>
          <w:tblLayout w:type="fixed"/>
          <w:tblLook w:val="04A0"/>
        </w:tblPrEx>
        <w:trPr>
          <w:cantSplit/>
        </w:trPr>
        <w:tc>
          <w:tcPr>
            <w:tcW w:w="1300" w:type="dxa"/>
            <w:shd w:val="clear" w:color="auto" w:fill="auto"/>
            <w:vAlign w:val="center"/>
          </w:tcPr>
          <w:p w:rsidR="00F3594B" w:rsidRPr="0072600F" w:rsidP="00802435" w14:paraId="3BC2B09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wtgwgo_a</w:t>
            </w:r>
          </w:p>
        </w:tc>
        <w:tc>
          <w:tcPr>
            <w:tcW w:w="1845" w:type="dxa"/>
            <w:shd w:val="clear" w:color="auto" w:fill="auto"/>
            <w:vAlign w:val="center"/>
          </w:tcPr>
          <w:p w:rsidR="00F3594B" w:rsidRPr="0072600F" w:rsidP="00802435" w14:paraId="36FE4B7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WTGWGOAU</w:t>
            </w:r>
          </w:p>
        </w:tc>
        <w:tc>
          <w:tcPr>
            <w:tcW w:w="1635" w:type="dxa"/>
            <w:shd w:val="clear" w:color="auto" w:fill="auto"/>
            <w:vAlign w:val="center"/>
          </w:tcPr>
          <w:p w:rsidR="00F3594B" w:rsidRPr="0072600F" w:rsidP="00802435" w14:paraId="54A27C5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WTGWGO_A</w:t>
            </w:r>
          </w:p>
        </w:tc>
        <w:tc>
          <w:tcPr>
            <w:tcW w:w="5115" w:type="dxa"/>
            <w:shd w:val="clear" w:color="auto" w:fill="auto"/>
            <w:vAlign w:val="center"/>
          </w:tcPr>
          <w:p w:rsidR="00F3594B" w:rsidRPr="0072600F" w:rsidP="00802435" w14:paraId="7889A49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Supplementary control model for Weak Grids</w:t>
            </w:r>
          </w:p>
        </w:tc>
      </w:tr>
      <w:tr w14:paraId="7BF7FFDA" w14:textId="77777777">
        <w:tblPrEx>
          <w:tblW w:w="9895" w:type="dxa"/>
          <w:tblLayout w:type="fixed"/>
          <w:tblLook w:val="04A0"/>
        </w:tblPrEx>
        <w:trPr>
          <w:cantSplit/>
        </w:trPr>
        <w:tc>
          <w:tcPr>
            <w:tcW w:w="1300" w:type="dxa"/>
            <w:shd w:val="clear" w:color="auto" w:fill="auto"/>
            <w:vAlign w:val="center"/>
          </w:tcPr>
          <w:p w:rsidR="00F3594B" w:rsidRPr="0072600F" w:rsidP="00802435" w14:paraId="0741E30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wtgibffr_a</w:t>
            </w:r>
          </w:p>
        </w:tc>
        <w:tc>
          <w:tcPr>
            <w:tcW w:w="1845" w:type="dxa"/>
            <w:shd w:val="clear" w:color="auto" w:fill="auto"/>
            <w:vAlign w:val="center"/>
          </w:tcPr>
          <w:p w:rsidR="00F3594B" w:rsidRPr="0072600F" w:rsidP="00802435" w14:paraId="05AE831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WTGIBFFRA</w:t>
            </w:r>
          </w:p>
        </w:tc>
        <w:tc>
          <w:tcPr>
            <w:tcW w:w="1635" w:type="dxa"/>
            <w:shd w:val="clear" w:color="auto" w:fill="auto"/>
            <w:vAlign w:val="center"/>
          </w:tcPr>
          <w:p w:rsidR="00F3594B" w:rsidRPr="0072600F" w:rsidP="00802435" w14:paraId="12E8E301"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WTGIBFFR_A</w:t>
            </w:r>
          </w:p>
        </w:tc>
        <w:tc>
          <w:tcPr>
            <w:tcW w:w="5115" w:type="dxa"/>
            <w:shd w:val="clear" w:color="auto" w:fill="auto"/>
            <w:vAlign w:val="center"/>
          </w:tcPr>
          <w:p w:rsidR="00F3594B" w:rsidRPr="0072600F" w:rsidP="00802435" w14:paraId="0B594D5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Inertial-base fast frequency response control</w:t>
            </w:r>
          </w:p>
        </w:tc>
      </w:tr>
      <w:tr w14:paraId="09004027" w14:textId="77777777">
        <w:tblPrEx>
          <w:tblW w:w="9895" w:type="dxa"/>
          <w:tblLayout w:type="fixed"/>
          <w:tblLook w:val="04A0"/>
        </w:tblPrEx>
        <w:trPr>
          <w:cantSplit/>
        </w:trPr>
        <w:tc>
          <w:tcPr>
            <w:tcW w:w="1300" w:type="dxa"/>
            <w:shd w:val="clear" w:color="auto" w:fill="auto"/>
            <w:vAlign w:val="center"/>
          </w:tcPr>
          <w:p w:rsidR="00F3594B" w:rsidRPr="0072600F" w:rsidP="00802435" w14:paraId="741F4FD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wtgp_b</w:t>
            </w:r>
          </w:p>
        </w:tc>
        <w:tc>
          <w:tcPr>
            <w:tcW w:w="1845" w:type="dxa"/>
            <w:shd w:val="clear" w:color="auto" w:fill="auto"/>
            <w:vAlign w:val="center"/>
          </w:tcPr>
          <w:p w:rsidR="00F3594B" w:rsidRPr="0072600F" w:rsidP="00802435" w14:paraId="70460E6B"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WTPTBU1</w:t>
            </w:r>
          </w:p>
        </w:tc>
        <w:tc>
          <w:tcPr>
            <w:tcW w:w="1635" w:type="dxa"/>
            <w:shd w:val="clear" w:color="auto" w:fill="auto"/>
            <w:vAlign w:val="center"/>
          </w:tcPr>
          <w:p w:rsidR="00F3594B" w:rsidRPr="0072600F" w:rsidP="00802435" w14:paraId="4AA404B3"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WTGPT_B</w:t>
            </w:r>
          </w:p>
        </w:tc>
        <w:tc>
          <w:tcPr>
            <w:tcW w:w="5115" w:type="dxa"/>
            <w:shd w:val="clear" w:color="auto" w:fill="auto"/>
            <w:vAlign w:val="center"/>
          </w:tcPr>
          <w:p w:rsidR="00F3594B" w:rsidRPr="0072600F" w:rsidP="00802435" w14:paraId="11551B2D"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Wind Turbine Generator Pitch controller</w:t>
            </w:r>
          </w:p>
        </w:tc>
      </w:tr>
      <w:tr w14:paraId="7904922F" w14:textId="77777777">
        <w:tblPrEx>
          <w:tblW w:w="9895" w:type="dxa"/>
          <w:tblLayout w:type="fixed"/>
          <w:tblLook w:val="04A0"/>
        </w:tblPrEx>
        <w:trPr>
          <w:cantSplit/>
        </w:trPr>
        <w:tc>
          <w:tcPr>
            <w:tcW w:w="1300" w:type="dxa"/>
            <w:shd w:val="clear" w:color="auto" w:fill="auto"/>
            <w:vAlign w:val="center"/>
          </w:tcPr>
          <w:p w:rsidR="00F3594B" w:rsidRPr="0072600F" w:rsidP="00802435" w14:paraId="69A9D17C"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wtgt_b</w:t>
            </w:r>
          </w:p>
        </w:tc>
        <w:tc>
          <w:tcPr>
            <w:tcW w:w="1845" w:type="dxa"/>
            <w:shd w:val="clear" w:color="auto" w:fill="auto"/>
            <w:vAlign w:val="center"/>
          </w:tcPr>
          <w:p w:rsidR="00F3594B" w:rsidRPr="0072600F" w:rsidP="00802435" w14:paraId="32D68087"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WTDTBU1</w:t>
            </w:r>
          </w:p>
        </w:tc>
        <w:tc>
          <w:tcPr>
            <w:tcW w:w="1635" w:type="dxa"/>
            <w:shd w:val="clear" w:color="auto" w:fill="auto"/>
            <w:vAlign w:val="center"/>
          </w:tcPr>
          <w:p w:rsidR="00F3594B" w:rsidRPr="0072600F" w:rsidP="00802435" w14:paraId="6A0D85E5"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WTGT_B</w:t>
            </w:r>
          </w:p>
        </w:tc>
        <w:tc>
          <w:tcPr>
            <w:tcW w:w="5115" w:type="dxa"/>
            <w:shd w:val="clear" w:color="auto" w:fill="auto"/>
            <w:vAlign w:val="center"/>
          </w:tcPr>
          <w:p w:rsidR="00F3594B" w:rsidRPr="0072600F" w:rsidP="00802435" w14:paraId="23D68DA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Drive train model</w:t>
            </w:r>
          </w:p>
        </w:tc>
      </w:tr>
      <w:tr w14:paraId="2E328EFE" w14:textId="77777777">
        <w:tblPrEx>
          <w:tblW w:w="9895" w:type="dxa"/>
          <w:tblLayout w:type="fixed"/>
          <w:tblLook w:val="04A0"/>
        </w:tblPrEx>
        <w:trPr>
          <w:cantSplit/>
        </w:trPr>
        <w:tc>
          <w:tcPr>
            <w:tcW w:w="1300" w:type="dxa"/>
            <w:shd w:val="clear" w:color="auto" w:fill="auto"/>
            <w:vAlign w:val="center"/>
          </w:tcPr>
          <w:p w:rsidR="00F3594B" w:rsidRPr="0072600F" w:rsidP="00802435" w14:paraId="3F690B76"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repc_a</w:t>
            </w:r>
          </w:p>
        </w:tc>
        <w:tc>
          <w:tcPr>
            <w:tcW w:w="1845" w:type="dxa"/>
            <w:shd w:val="clear" w:color="auto" w:fill="auto"/>
            <w:vAlign w:val="center"/>
          </w:tcPr>
          <w:p w:rsidR="00F3594B" w:rsidRPr="0072600F" w:rsidP="00802435" w14:paraId="3BE9876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Type 4: REPCAU1 (v33), REPCA1 (v34)</w:t>
            </w:r>
          </w:p>
          <w:p w:rsidR="00F3594B" w:rsidRPr="0072600F" w:rsidP="00802435" w14:paraId="08FC7CF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Type 3: REPCTAU1 (v33), REPCTA1 (v34)</w:t>
            </w:r>
          </w:p>
        </w:tc>
        <w:tc>
          <w:tcPr>
            <w:tcW w:w="1635" w:type="dxa"/>
            <w:shd w:val="clear" w:color="auto" w:fill="auto"/>
            <w:vAlign w:val="center"/>
          </w:tcPr>
          <w:p w:rsidR="00F3594B" w:rsidRPr="0072600F" w:rsidP="00802435" w14:paraId="5952136C"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REPC_A</w:t>
            </w:r>
          </w:p>
        </w:tc>
        <w:tc>
          <w:tcPr>
            <w:tcW w:w="5115" w:type="dxa"/>
            <w:shd w:val="clear" w:color="auto" w:fill="auto"/>
            <w:vAlign w:val="center"/>
          </w:tcPr>
          <w:p w:rsidR="00F3594B" w:rsidRPr="0072600F" w:rsidP="00802435" w14:paraId="3CC00953"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Power Plant Controller</w:t>
            </w:r>
          </w:p>
        </w:tc>
      </w:tr>
      <w:tr w14:paraId="29F83790" w14:textId="77777777">
        <w:tblPrEx>
          <w:tblW w:w="9895" w:type="dxa"/>
          <w:tblLayout w:type="fixed"/>
          <w:tblLook w:val="04A0"/>
        </w:tblPrEx>
        <w:trPr>
          <w:cantSplit/>
        </w:trPr>
        <w:tc>
          <w:tcPr>
            <w:tcW w:w="1300" w:type="dxa"/>
            <w:shd w:val="clear" w:color="auto" w:fill="auto"/>
            <w:vAlign w:val="center"/>
          </w:tcPr>
          <w:p w:rsidR="00F3594B" w:rsidRPr="0072600F" w:rsidP="00802435" w14:paraId="64A477F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repc_b</w:t>
            </w:r>
          </w:p>
        </w:tc>
        <w:tc>
          <w:tcPr>
            <w:tcW w:w="1845" w:type="dxa"/>
            <w:shd w:val="clear" w:color="auto" w:fill="auto"/>
            <w:vAlign w:val="center"/>
          </w:tcPr>
          <w:p w:rsidR="00F3594B" w:rsidRPr="0072600F" w:rsidP="00802435" w14:paraId="149A584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PLNTBU1</w:t>
            </w:r>
          </w:p>
          <w:p w:rsidR="00F3594B" w:rsidRPr="0072600F" w:rsidP="00802435" w14:paraId="003A7691" w14:textId="77777777">
            <w:pPr>
              <w:spacing w:line="276" w:lineRule="auto"/>
              <w:contextualSpacing/>
              <w:jc w:val="center"/>
              <w:rPr>
                <w:rFonts w:ascii="Times New Roman" w:eastAsia="Calibri" w:hAnsi="Times New Roman" w:cs="Times New Roman"/>
                <w:iCs/>
                <w:sz w:val="26"/>
                <w:szCs w:val="26"/>
              </w:rPr>
            </w:pPr>
          </w:p>
        </w:tc>
        <w:tc>
          <w:tcPr>
            <w:tcW w:w="1635" w:type="dxa"/>
            <w:shd w:val="clear" w:color="auto" w:fill="auto"/>
            <w:vAlign w:val="center"/>
          </w:tcPr>
          <w:p w:rsidR="00F3594B" w:rsidRPr="0072600F" w:rsidP="00802435" w14:paraId="5DE33E10"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REPC_B</w:t>
            </w:r>
          </w:p>
        </w:tc>
        <w:tc>
          <w:tcPr>
            <w:tcW w:w="5115" w:type="dxa"/>
            <w:shd w:val="clear" w:color="auto" w:fill="auto"/>
            <w:vAlign w:val="center"/>
          </w:tcPr>
          <w:p w:rsidR="00F3594B" w:rsidRPr="0072600F" w:rsidP="00802435" w14:paraId="71D0DE27"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Power Plant Level Controller for controlling several plants/devices</w:t>
            </w:r>
          </w:p>
          <w:p w:rsidR="00F3594B" w:rsidRPr="0072600F" w:rsidP="00802435" w14:paraId="74E76D6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In regard to Siemens PSS/E*:</w:t>
            </w:r>
          </w:p>
          <w:p w:rsidR="00F3594B" w:rsidRPr="0072600F" w:rsidP="00802435" w14:paraId="6D5E317C"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Names of other models for interface with other devices: REA3XBU1, REAX4BU1- for interface with Type 3 and 4 renewable machines</w:t>
            </w:r>
          </w:p>
          <w:p w:rsidR="00F3594B" w:rsidRPr="0072600F" w:rsidP="00802435" w14:paraId="519D4D1E"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 xml:space="preserve">SWSAXBU1- for interface with SVC (modeled as switched shunt in </w:t>
            </w:r>
            <w:r w:rsidRPr="0072600F">
              <w:rPr>
                <w:rFonts w:ascii="Times New Roman" w:eastAsia="Calibri" w:hAnsi="Times New Roman" w:cs="Times New Roman"/>
                <w:iCs/>
                <w:sz w:val="26"/>
                <w:szCs w:val="26"/>
              </w:rPr>
              <w:t>powerflow</w:t>
            </w:r>
            <w:r w:rsidRPr="0072600F">
              <w:rPr>
                <w:rFonts w:ascii="Times New Roman" w:eastAsia="Calibri" w:hAnsi="Times New Roman" w:cs="Times New Roman"/>
                <w:iCs/>
                <w:sz w:val="26"/>
                <w:szCs w:val="26"/>
              </w:rPr>
              <w:t>)</w:t>
            </w:r>
          </w:p>
          <w:p w:rsidR="00F3594B" w:rsidRPr="0072600F" w:rsidP="00802435" w14:paraId="1AA4677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SYNAXBU1- for interface with synchronous condenser</w:t>
            </w:r>
          </w:p>
          <w:p w:rsidR="00F3594B" w:rsidRPr="0072600F" w:rsidP="00802435" w14:paraId="30222BD4"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FCTAXBU1- for interface with FACTS device</w:t>
            </w:r>
          </w:p>
        </w:tc>
      </w:tr>
      <w:tr w14:paraId="69E6189C" w14:textId="77777777">
        <w:tblPrEx>
          <w:tblW w:w="9895" w:type="dxa"/>
          <w:tblLayout w:type="fixed"/>
          <w:tblLook w:val="04A0"/>
        </w:tblPrEx>
        <w:trPr>
          <w:cantSplit/>
        </w:trPr>
        <w:tc>
          <w:tcPr>
            <w:tcW w:w="1300" w:type="dxa"/>
            <w:shd w:val="clear" w:color="auto" w:fill="auto"/>
            <w:vAlign w:val="center"/>
          </w:tcPr>
          <w:p w:rsidR="00F3594B" w:rsidRPr="0072600F" w:rsidP="00802435" w14:paraId="3278571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repc_c</w:t>
            </w:r>
          </w:p>
        </w:tc>
        <w:tc>
          <w:tcPr>
            <w:tcW w:w="1845" w:type="dxa"/>
            <w:shd w:val="clear" w:color="auto" w:fill="auto"/>
            <w:vAlign w:val="center"/>
          </w:tcPr>
          <w:p w:rsidR="00F3594B" w:rsidRPr="0072600F" w:rsidP="00802435" w14:paraId="4DB20E02"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REPCCU</w:t>
            </w:r>
          </w:p>
        </w:tc>
        <w:tc>
          <w:tcPr>
            <w:tcW w:w="1635" w:type="dxa"/>
            <w:shd w:val="clear" w:color="auto" w:fill="auto"/>
            <w:vAlign w:val="center"/>
          </w:tcPr>
          <w:p w:rsidR="00F3594B" w:rsidRPr="0072600F" w:rsidP="00802435" w14:paraId="42D037D8"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REPC_C</w:t>
            </w:r>
          </w:p>
        </w:tc>
        <w:tc>
          <w:tcPr>
            <w:tcW w:w="5115" w:type="dxa"/>
            <w:shd w:val="clear" w:color="auto" w:fill="auto"/>
            <w:vAlign w:val="center"/>
          </w:tcPr>
          <w:p w:rsidR="00F3594B" w:rsidRPr="0072600F" w:rsidP="00802435" w14:paraId="48FB407F" w14:textId="77777777">
            <w:pPr>
              <w:spacing w:line="276" w:lineRule="auto"/>
              <w:contextualSpacing/>
              <w:jc w:val="center"/>
              <w:rPr>
                <w:rFonts w:ascii="Times New Roman" w:eastAsia="Calibri" w:hAnsi="Times New Roman" w:cs="Times New Roman"/>
                <w:iCs/>
                <w:sz w:val="26"/>
                <w:szCs w:val="26"/>
              </w:rPr>
            </w:pPr>
            <w:r w:rsidRPr="0072600F">
              <w:rPr>
                <w:rFonts w:ascii="Times New Roman" w:eastAsia="Calibri" w:hAnsi="Times New Roman" w:cs="Times New Roman"/>
                <w:iCs/>
                <w:sz w:val="26"/>
                <w:szCs w:val="26"/>
              </w:rPr>
              <w:t>Power plant controller</w:t>
            </w:r>
          </w:p>
        </w:tc>
      </w:tr>
    </w:tbl>
    <w:p w:rsidR="00F3594B" w:rsidRPr="0072600F" w14:paraId="3B4AF5A9" w14:textId="77777777">
      <w:pPr>
        <w:spacing w:after="200" w:line="276" w:lineRule="auto"/>
        <w:rPr>
          <w:rFonts w:ascii="Times New Roman" w:eastAsia="Calibri" w:hAnsi="Times New Roman" w:cs="Times New Roman"/>
          <w:sz w:val="26"/>
          <w:szCs w:val="26"/>
        </w:rPr>
      </w:pPr>
    </w:p>
    <w:p w:rsidR="00F3594B" w:rsidRPr="0072600F" w14:paraId="45BF17D4" w14:textId="77777777">
      <w:pPr>
        <w:spacing w:after="200" w:line="276" w:lineRule="auto"/>
        <w:rPr>
          <w:rFonts w:ascii="Times New Roman" w:eastAsia="Calibri" w:hAnsi="Times New Roman" w:cs="Times New Roman"/>
          <w:b/>
          <w:sz w:val="26"/>
          <w:szCs w:val="26"/>
          <w:u w:val="single"/>
        </w:rPr>
      </w:pPr>
      <w:r w:rsidRPr="0072600F">
        <w:rPr>
          <w:rFonts w:ascii="Times New Roman" w:eastAsia="Calibri" w:hAnsi="Times New Roman" w:cs="Times New Roman"/>
          <w:b/>
          <w:sz w:val="26"/>
          <w:szCs w:val="26"/>
          <w:u w:val="single"/>
        </w:rPr>
        <w:t>Interconnection Facilities Information</w:t>
      </w:r>
    </w:p>
    <w:p w:rsidR="00F3594B" w:rsidRPr="0072600F" w14:paraId="4F020C2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Will a transformer be used between the generator and the point of common coupling?</w:t>
      </w:r>
    </w:p>
    <w:p w:rsidR="00F3594B" w:rsidRPr="0072600F" w14:paraId="1C9878A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__Yes __No</w:t>
      </w:r>
    </w:p>
    <w:p w:rsidR="00F3594B" w:rsidRPr="0072600F" w14:paraId="205A5626"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Will the transformer be provided by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____Yes ____No</w:t>
      </w:r>
    </w:p>
    <w:p w:rsidR="00F3594B" w:rsidRPr="0072600F" w14:paraId="44A7A65A" w14:textId="77777777">
      <w:pPr>
        <w:spacing w:line="276" w:lineRule="auto"/>
        <w:rPr>
          <w:rFonts w:ascii="Times New Roman" w:eastAsia="Calibri" w:hAnsi="Times New Roman" w:cs="Times New Roman"/>
          <w:sz w:val="26"/>
          <w:szCs w:val="26"/>
        </w:rPr>
      </w:pPr>
    </w:p>
    <w:p w:rsidR="00F3594B" w:rsidRPr="0072600F" w14:paraId="6EA5AD86"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Transformer Data (If Applicable, for Interconnection Customer-Owned Transformer)</w:t>
      </w:r>
      <w:r w:rsidRPr="0072600F">
        <w:rPr>
          <w:rFonts w:ascii="Times New Roman" w:eastAsia="Calibri" w:hAnsi="Times New Roman" w:cs="Times New Roman"/>
          <w:sz w:val="26"/>
          <w:szCs w:val="26"/>
        </w:rPr>
        <w:t>:</w:t>
      </w:r>
    </w:p>
    <w:p w:rsidR="00F3594B" w:rsidRPr="0072600F" w14:paraId="64FEDDE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Is the transformer:  ____single phase  _____three phase?                 Size: ___________kVA </w:t>
      </w:r>
    </w:p>
    <w:p w:rsidR="00F3594B" w:rsidRPr="0072600F" w14:paraId="20948479"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Transformer Impedance: _______% on __________kVA Base</w:t>
      </w:r>
    </w:p>
    <w:p w:rsidR="00F3594B" w:rsidRPr="0072600F" w14:paraId="7CAAD259" w14:textId="77777777">
      <w:pPr>
        <w:spacing w:line="276" w:lineRule="auto"/>
        <w:rPr>
          <w:rFonts w:ascii="Times New Roman" w:eastAsia="Calibri" w:hAnsi="Times New Roman" w:cs="Times New Roman"/>
          <w:sz w:val="26"/>
          <w:szCs w:val="26"/>
        </w:rPr>
      </w:pPr>
    </w:p>
    <w:p w:rsidR="00F3594B" w:rsidRPr="0072600F" w14:paraId="4054899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If Three Phase:</w:t>
      </w:r>
    </w:p>
    <w:p w:rsidR="00F3594B" w:rsidRPr="0072600F" w14:paraId="062FE118"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Transformer Primary:     _____ Volts _____ Delta _____Wye _____ </w:t>
      </w:r>
      <w:r w:rsidRPr="0072600F">
        <w:rPr>
          <w:rFonts w:ascii="Times New Roman" w:eastAsia="Calibri" w:hAnsi="Times New Roman" w:cs="Times New Roman"/>
          <w:sz w:val="26"/>
          <w:szCs w:val="26"/>
        </w:rPr>
        <w:t>Wye</w:t>
      </w:r>
      <w:r w:rsidRPr="0072600F">
        <w:rPr>
          <w:rFonts w:ascii="Times New Roman" w:eastAsia="Calibri" w:hAnsi="Times New Roman" w:cs="Times New Roman"/>
          <w:sz w:val="26"/>
          <w:szCs w:val="26"/>
        </w:rPr>
        <w:t xml:space="preserve"> Grounded</w:t>
      </w:r>
    </w:p>
    <w:p w:rsidR="00F3594B" w:rsidRPr="0072600F" w14:paraId="75DB0AC4"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Transformer Secondary: _____ Volts _____ Delta _____Wye _____ </w:t>
      </w:r>
      <w:r w:rsidRPr="0072600F">
        <w:rPr>
          <w:rFonts w:ascii="Times New Roman" w:eastAsia="Calibri" w:hAnsi="Times New Roman" w:cs="Times New Roman"/>
          <w:sz w:val="26"/>
          <w:szCs w:val="26"/>
        </w:rPr>
        <w:t>Wye</w:t>
      </w:r>
      <w:r w:rsidRPr="0072600F">
        <w:rPr>
          <w:rFonts w:ascii="Times New Roman" w:eastAsia="Calibri" w:hAnsi="Times New Roman" w:cs="Times New Roman"/>
          <w:sz w:val="26"/>
          <w:szCs w:val="26"/>
        </w:rPr>
        <w:t xml:space="preserve"> Grounded</w:t>
      </w:r>
    </w:p>
    <w:p w:rsidR="00F3594B" w:rsidRPr="0072600F" w14:paraId="6F38F21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Transformer Tertiary:     _____ Volts _____ Delta _____Wye _____ </w:t>
      </w:r>
      <w:r w:rsidRPr="0072600F">
        <w:rPr>
          <w:rFonts w:ascii="Times New Roman" w:eastAsia="Calibri" w:hAnsi="Times New Roman" w:cs="Times New Roman"/>
          <w:sz w:val="26"/>
          <w:szCs w:val="26"/>
        </w:rPr>
        <w:t>Wye</w:t>
      </w:r>
      <w:r w:rsidRPr="0072600F">
        <w:rPr>
          <w:rFonts w:ascii="Times New Roman" w:eastAsia="Calibri" w:hAnsi="Times New Roman" w:cs="Times New Roman"/>
          <w:sz w:val="26"/>
          <w:szCs w:val="26"/>
        </w:rPr>
        <w:t xml:space="preserve"> Grounded</w:t>
      </w:r>
    </w:p>
    <w:p w:rsidR="00F3594B" w:rsidRPr="0072600F" w14:paraId="76AD5EE8" w14:textId="77777777">
      <w:pPr>
        <w:spacing w:after="120" w:line="276" w:lineRule="auto"/>
        <w:rPr>
          <w:rFonts w:ascii="Times New Roman" w:eastAsia="Calibri" w:hAnsi="Times New Roman" w:cs="Times New Roman"/>
          <w:sz w:val="26"/>
          <w:szCs w:val="26"/>
          <w:u w:val="single"/>
        </w:rPr>
      </w:pPr>
    </w:p>
    <w:p w:rsidR="00F3594B" w:rsidRPr="0072600F" w14:paraId="741EEDC7"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Transformer Fuse Data (If Applicable, for Interconnection Customer-Owned Fuse)</w:t>
      </w:r>
      <w:r w:rsidRPr="0072600F">
        <w:rPr>
          <w:rFonts w:ascii="Times New Roman" w:eastAsia="Calibri" w:hAnsi="Times New Roman" w:cs="Times New Roman"/>
          <w:sz w:val="26"/>
          <w:szCs w:val="26"/>
        </w:rPr>
        <w:t>:</w:t>
      </w:r>
    </w:p>
    <w:p w:rsidR="00F3594B" w:rsidRPr="0072600F" w14:paraId="6194E31A"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(Attach copy of fuse manufacturer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Minimum Melt and Total Clearing Time-Current Curves)</w:t>
      </w:r>
    </w:p>
    <w:p w:rsidR="00F3594B" w:rsidRPr="0072600F" w14:paraId="27D9475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Manufacturer: __________________ Type: _______________ Size: ______ Speed: _________</w:t>
      </w:r>
    </w:p>
    <w:p w:rsidR="00F3594B" w:rsidRPr="0072600F" w14:paraId="5593C2B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Interconnecting Circuit Breaker (if applicable)</w:t>
      </w:r>
      <w:r w:rsidRPr="0072600F">
        <w:rPr>
          <w:rFonts w:ascii="Times New Roman" w:eastAsia="Calibri" w:hAnsi="Times New Roman" w:cs="Times New Roman"/>
          <w:sz w:val="26"/>
          <w:szCs w:val="26"/>
        </w:rPr>
        <w:t>:</w:t>
      </w:r>
    </w:p>
    <w:p w:rsidR="00F3594B" w:rsidRPr="0072600F" w14:paraId="20A1604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Manufacturer: ____________________________ Type: __________</w:t>
      </w:r>
    </w:p>
    <w:p w:rsidR="00F3594B" w:rsidRPr="0072600F" w14:paraId="69F6C14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Load Rating (Amps): ______ Interrupting Rating (Amps): _______ Trip Speed (Cycles): ______</w:t>
      </w:r>
    </w:p>
    <w:p w:rsidR="00F3594B" w:rsidRPr="0072600F" w14:paraId="3A60CF6D"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Interconnection Protective Relays (If Applicable)</w:t>
      </w:r>
      <w:r w:rsidRPr="0072600F">
        <w:rPr>
          <w:rFonts w:ascii="Times New Roman" w:eastAsia="Calibri" w:hAnsi="Times New Roman" w:cs="Times New Roman"/>
          <w:sz w:val="26"/>
          <w:szCs w:val="26"/>
        </w:rPr>
        <w:t>:</w:t>
      </w:r>
    </w:p>
    <w:p w:rsidR="00F3594B" w:rsidRPr="0072600F" w14:paraId="2F02694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If Microprocessor-Controlled</w:t>
      </w:r>
      <w:r w:rsidRPr="0072600F">
        <w:rPr>
          <w:rFonts w:ascii="Times New Roman" w:eastAsia="Calibri" w:hAnsi="Times New Roman" w:cs="Times New Roman"/>
          <w:sz w:val="26"/>
          <w:szCs w:val="26"/>
        </w:rPr>
        <w:t>:</w:t>
      </w:r>
    </w:p>
    <w:p w:rsidR="00F3594B" w:rsidRPr="0072600F" w14:paraId="0A8CC89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List of Functions and Adjustable Setpoints for the protective equipment or software:</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p>
    <w:tbl>
      <w:tblPr>
        <w:tblW w:w="0" w:type="auto"/>
        <w:jc w:val="center"/>
        <w:tblLook w:val="04A0"/>
      </w:tblPr>
      <w:tblGrid>
        <w:gridCol w:w="3796"/>
        <w:gridCol w:w="1710"/>
        <w:gridCol w:w="1710"/>
      </w:tblGrid>
      <w:tr w14:paraId="37551F2E" w14:textId="77777777">
        <w:tblPrEx>
          <w:tblW w:w="0" w:type="auto"/>
          <w:jc w:val="center"/>
          <w:tblLook w:val="04A0"/>
        </w:tblPrEx>
        <w:trPr>
          <w:trHeight w:val="161"/>
          <w:jc w:val="center"/>
        </w:trPr>
        <w:tc>
          <w:tcPr>
            <w:tcW w:w="3708" w:type="dxa"/>
            <w:shd w:val="clear" w:color="auto" w:fill="auto"/>
          </w:tcPr>
          <w:p w:rsidR="00F3594B" w:rsidRPr="0072600F" w:rsidP="00802435" w14:paraId="55F82ADC"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Setpoint Function</w:t>
            </w:r>
          </w:p>
        </w:tc>
        <w:tc>
          <w:tcPr>
            <w:tcW w:w="1710" w:type="dxa"/>
            <w:shd w:val="clear" w:color="auto" w:fill="auto"/>
          </w:tcPr>
          <w:p w:rsidR="00F3594B" w:rsidRPr="0072600F" w:rsidP="00802435" w14:paraId="2C912A3E"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Minimum</w:t>
            </w:r>
          </w:p>
        </w:tc>
        <w:tc>
          <w:tcPr>
            <w:tcW w:w="1710" w:type="dxa"/>
            <w:shd w:val="clear" w:color="auto" w:fill="auto"/>
          </w:tcPr>
          <w:p w:rsidR="00F3594B" w:rsidRPr="0072600F" w:rsidP="00802435" w14:paraId="580E4AB6"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Maximum</w:t>
            </w:r>
          </w:p>
        </w:tc>
      </w:tr>
      <w:tr w14:paraId="4AAC94A0" w14:textId="77777777">
        <w:tblPrEx>
          <w:tblW w:w="0" w:type="auto"/>
          <w:jc w:val="center"/>
          <w:tblLook w:val="04A0"/>
        </w:tblPrEx>
        <w:trPr>
          <w:jc w:val="center"/>
        </w:trPr>
        <w:tc>
          <w:tcPr>
            <w:tcW w:w="3708" w:type="dxa"/>
            <w:shd w:val="clear" w:color="auto" w:fill="auto"/>
          </w:tcPr>
          <w:p w:rsidR="00F3594B" w:rsidRPr="0072600F" w14:paraId="5799F33D" w14:textId="77777777">
            <w:pPr>
              <w:numPr>
                <w:ilvl w:val="0"/>
                <w:numId w:val="14"/>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1710" w:type="dxa"/>
            <w:shd w:val="clear" w:color="auto" w:fill="auto"/>
          </w:tcPr>
          <w:p w:rsidR="00F3594B" w:rsidRPr="0072600F" w:rsidP="00802435" w14:paraId="48154898"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c>
          <w:tcPr>
            <w:tcW w:w="1710" w:type="dxa"/>
            <w:shd w:val="clear" w:color="auto" w:fill="auto"/>
          </w:tcPr>
          <w:p w:rsidR="00F3594B" w:rsidRPr="0072600F" w:rsidP="00802435" w14:paraId="738EDC76"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r>
      <w:tr w14:paraId="6E271CDC" w14:textId="77777777">
        <w:tblPrEx>
          <w:tblW w:w="0" w:type="auto"/>
          <w:jc w:val="center"/>
          <w:tblLook w:val="04A0"/>
        </w:tblPrEx>
        <w:trPr>
          <w:jc w:val="center"/>
        </w:trPr>
        <w:tc>
          <w:tcPr>
            <w:tcW w:w="3708" w:type="dxa"/>
            <w:shd w:val="clear" w:color="auto" w:fill="auto"/>
          </w:tcPr>
          <w:p w:rsidR="00F3594B" w:rsidRPr="0072600F" w14:paraId="59CE9E68" w14:textId="77777777">
            <w:pPr>
              <w:numPr>
                <w:ilvl w:val="0"/>
                <w:numId w:val="14"/>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1710" w:type="dxa"/>
            <w:shd w:val="clear" w:color="auto" w:fill="auto"/>
          </w:tcPr>
          <w:p w:rsidR="00F3594B" w:rsidRPr="0072600F" w:rsidP="00802435" w14:paraId="669FE547"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c>
          <w:tcPr>
            <w:tcW w:w="1710" w:type="dxa"/>
            <w:shd w:val="clear" w:color="auto" w:fill="auto"/>
          </w:tcPr>
          <w:p w:rsidR="00F3594B" w:rsidRPr="0072600F" w:rsidP="00802435" w14:paraId="1F2BCB68"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r>
      <w:tr w14:paraId="28D53ED1" w14:textId="77777777">
        <w:tblPrEx>
          <w:tblW w:w="0" w:type="auto"/>
          <w:jc w:val="center"/>
          <w:tblLook w:val="04A0"/>
        </w:tblPrEx>
        <w:trPr>
          <w:jc w:val="center"/>
        </w:trPr>
        <w:tc>
          <w:tcPr>
            <w:tcW w:w="3708" w:type="dxa"/>
            <w:shd w:val="clear" w:color="auto" w:fill="auto"/>
          </w:tcPr>
          <w:p w:rsidR="00F3594B" w:rsidRPr="0072600F" w14:paraId="6D8B1A15" w14:textId="77777777">
            <w:pPr>
              <w:numPr>
                <w:ilvl w:val="0"/>
                <w:numId w:val="14"/>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1710" w:type="dxa"/>
            <w:shd w:val="clear" w:color="auto" w:fill="auto"/>
          </w:tcPr>
          <w:p w:rsidR="00F3594B" w:rsidRPr="0072600F" w:rsidP="00802435" w14:paraId="0C7482B4"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c>
          <w:tcPr>
            <w:tcW w:w="1710" w:type="dxa"/>
            <w:shd w:val="clear" w:color="auto" w:fill="auto"/>
          </w:tcPr>
          <w:p w:rsidR="00F3594B" w:rsidRPr="0072600F" w:rsidP="00802435" w14:paraId="6CC6FC98"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r>
      <w:tr w14:paraId="6FC68365" w14:textId="77777777">
        <w:tblPrEx>
          <w:tblW w:w="0" w:type="auto"/>
          <w:jc w:val="center"/>
          <w:tblLook w:val="04A0"/>
        </w:tblPrEx>
        <w:trPr>
          <w:jc w:val="center"/>
        </w:trPr>
        <w:tc>
          <w:tcPr>
            <w:tcW w:w="3708" w:type="dxa"/>
            <w:shd w:val="clear" w:color="auto" w:fill="auto"/>
          </w:tcPr>
          <w:p w:rsidR="00F3594B" w:rsidRPr="0072600F" w14:paraId="17D7AB79" w14:textId="77777777">
            <w:pPr>
              <w:numPr>
                <w:ilvl w:val="0"/>
                <w:numId w:val="14"/>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1710" w:type="dxa"/>
            <w:shd w:val="clear" w:color="auto" w:fill="auto"/>
          </w:tcPr>
          <w:p w:rsidR="00F3594B" w:rsidRPr="0072600F" w:rsidP="00802435" w14:paraId="47DA08BD"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c>
          <w:tcPr>
            <w:tcW w:w="1710" w:type="dxa"/>
            <w:shd w:val="clear" w:color="auto" w:fill="auto"/>
          </w:tcPr>
          <w:p w:rsidR="00F3594B" w:rsidRPr="0072600F" w:rsidP="00802435" w14:paraId="128E14F4"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r>
      <w:tr w14:paraId="719EEAD5" w14:textId="77777777">
        <w:tblPrEx>
          <w:tblW w:w="0" w:type="auto"/>
          <w:jc w:val="center"/>
          <w:tblLook w:val="04A0"/>
        </w:tblPrEx>
        <w:trPr>
          <w:jc w:val="center"/>
        </w:trPr>
        <w:tc>
          <w:tcPr>
            <w:tcW w:w="3708" w:type="dxa"/>
            <w:shd w:val="clear" w:color="auto" w:fill="auto"/>
          </w:tcPr>
          <w:p w:rsidR="00F3594B" w:rsidRPr="0072600F" w14:paraId="2DABA0B8" w14:textId="77777777">
            <w:pPr>
              <w:numPr>
                <w:ilvl w:val="0"/>
                <w:numId w:val="14"/>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1710" w:type="dxa"/>
            <w:shd w:val="clear" w:color="auto" w:fill="auto"/>
          </w:tcPr>
          <w:p w:rsidR="00F3594B" w:rsidRPr="0072600F" w:rsidP="00802435" w14:paraId="2C418365"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c>
          <w:tcPr>
            <w:tcW w:w="1710" w:type="dxa"/>
            <w:shd w:val="clear" w:color="auto" w:fill="auto"/>
          </w:tcPr>
          <w:p w:rsidR="00F3594B" w:rsidRPr="0072600F" w:rsidP="00802435" w14:paraId="685A7748"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r>
      <w:tr w14:paraId="2D68C20E" w14:textId="77777777">
        <w:tblPrEx>
          <w:tblW w:w="0" w:type="auto"/>
          <w:jc w:val="center"/>
          <w:tblLook w:val="04A0"/>
        </w:tblPrEx>
        <w:trPr>
          <w:jc w:val="center"/>
        </w:trPr>
        <w:tc>
          <w:tcPr>
            <w:tcW w:w="3708" w:type="dxa"/>
            <w:shd w:val="clear" w:color="auto" w:fill="auto"/>
          </w:tcPr>
          <w:p w:rsidR="00F3594B" w:rsidRPr="0072600F" w14:paraId="78A3D9DF" w14:textId="77777777">
            <w:pPr>
              <w:numPr>
                <w:ilvl w:val="0"/>
                <w:numId w:val="14"/>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1710" w:type="dxa"/>
            <w:shd w:val="clear" w:color="auto" w:fill="auto"/>
          </w:tcPr>
          <w:p w:rsidR="00F3594B" w:rsidRPr="0072600F" w:rsidP="00802435" w14:paraId="40EA40D0"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c>
          <w:tcPr>
            <w:tcW w:w="1710" w:type="dxa"/>
            <w:shd w:val="clear" w:color="auto" w:fill="auto"/>
          </w:tcPr>
          <w:p w:rsidR="00F3594B" w:rsidRPr="0072600F" w:rsidP="00802435" w14:paraId="75C54EB1"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w:t>
            </w:r>
          </w:p>
        </w:tc>
      </w:tr>
    </w:tbl>
    <w:p w:rsidR="00F3594B" w:rsidRPr="0072600F" w14:paraId="26E96057" w14:textId="77777777">
      <w:pPr>
        <w:spacing w:line="276" w:lineRule="auto"/>
        <w:rPr>
          <w:rFonts w:ascii="Times New Roman" w:eastAsia="Calibri" w:hAnsi="Times New Roman" w:cs="Times New Roman"/>
          <w:sz w:val="26"/>
          <w:szCs w:val="26"/>
        </w:rPr>
      </w:pPr>
    </w:p>
    <w:p w:rsidR="00F3594B" w:rsidRPr="0072600F" w14:paraId="6221A77F" w14:textId="77777777">
      <w:pPr>
        <w:spacing w:line="276" w:lineRule="auto"/>
        <w:rPr>
          <w:rFonts w:ascii="Times New Roman" w:eastAsia="Calibri" w:hAnsi="Times New Roman" w:cs="Times New Roman"/>
          <w:sz w:val="26"/>
          <w:szCs w:val="26"/>
          <w:u w:val="single"/>
        </w:rPr>
      </w:pPr>
    </w:p>
    <w:p w:rsidR="00F3594B" w:rsidRPr="0072600F" w14:paraId="40238E53" w14:textId="77777777">
      <w:pPr>
        <w:spacing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If Discrete Components:</w:t>
      </w:r>
    </w:p>
    <w:p w:rsidR="00F3594B" w:rsidRPr="0072600F" w14:paraId="2F17E22A"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(Enclose Copy of any Proposed Time-Overcurrent Coordination Curves)</w:t>
      </w:r>
    </w:p>
    <w:p w:rsidR="00F3594B" w:rsidRPr="0072600F" w14:paraId="424C4132" w14:textId="77777777">
      <w:pPr>
        <w:spacing w:line="276" w:lineRule="auto"/>
        <w:rPr>
          <w:rFonts w:ascii="Times New Roman" w:eastAsia="Calibri" w:hAnsi="Times New Roman" w:cs="Times New Roman"/>
          <w:sz w:val="26"/>
          <w:szCs w:val="26"/>
        </w:rPr>
      </w:pPr>
    </w:p>
    <w:tbl>
      <w:tblPr>
        <w:tblW w:w="9990" w:type="dxa"/>
        <w:tblInd w:w="-72" w:type="dxa"/>
        <w:tblLook w:val="04A0"/>
      </w:tblPr>
      <w:tblGrid>
        <w:gridCol w:w="3394"/>
        <w:gridCol w:w="1343"/>
        <w:gridCol w:w="2685"/>
        <w:gridCol w:w="2568"/>
      </w:tblGrid>
      <w:tr w14:paraId="66E884D3" w14:textId="77777777">
        <w:tblPrEx>
          <w:tblW w:w="9990" w:type="dxa"/>
          <w:tblInd w:w="-72" w:type="dxa"/>
          <w:tblLook w:val="04A0"/>
        </w:tblPrEx>
        <w:tc>
          <w:tcPr>
            <w:tcW w:w="3221" w:type="dxa"/>
            <w:shd w:val="clear" w:color="auto" w:fill="auto"/>
          </w:tcPr>
          <w:p w:rsidR="00F3594B" w:rsidRPr="0072600F" w:rsidP="00802435" w14:paraId="026DF023"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Manufacturer:_____________</w:t>
            </w:r>
          </w:p>
        </w:tc>
        <w:tc>
          <w:tcPr>
            <w:tcW w:w="1260" w:type="dxa"/>
            <w:shd w:val="clear" w:color="auto" w:fill="auto"/>
          </w:tcPr>
          <w:p w:rsidR="00F3594B" w:rsidRPr="0072600F" w:rsidP="00802435" w14:paraId="4EA22171"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Type:____</w:t>
            </w:r>
          </w:p>
        </w:tc>
        <w:tc>
          <w:tcPr>
            <w:tcW w:w="2834" w:type="dxa"/>
            <w:shd w:val="clear" w:color="auto" w:fill="auto"/>
          </w:tcPr>
          <w:p w:rsidR="00F3594B" w:rsidRPr="0072600F" w:rsidP="00802435" w14:paraId="3CE9C4C5"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 xml:space="preserve">  Style/Catalog No.:_____</w:t>
            </w:r>
          </w:p>
        </w:tc>
        <w:tc>
          <w:tcPr>
            <w:tcW w:w="2675" w:type="dxa"/>
            <w:shd w:val="clear" w:color="auto" w:fill="auto"/>
          </w:tcPr>
          <w:p w:rsidR="00F3594B" w:rsidRPr="0072600F" w:rsidP="00802435" w14:paraId="6F2E8671"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Proposed Setting:______</w:t>
            </w:r>
          </w:p>
        </w:tc>
      </w:tr>
      <w:tr w14:paraId="2F80263D" w14:textId="77777777">
        <w:tblPrEx>
          <w:tblW w:w="9990" w:type="dxa"/>
          <w:tblInd w:w="-72" w:type="dxa"/>
          <w:tblLook w:val="04A0"/>
        </w:tblPrEx>
        <w:tc>
          <w:tcPr>
            <w:tcW w:w="3221" w:type="dxa"/>
            <w:shd w:val="clear" w:color="auto" w:fill="auto"/>
          </w:tcPr>
          <w:p w:rsidR="00F3594B" w:rsidRPr="0072600F" w:rsidP="00802435" w14:paraId="013C8286"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Manufacturer:_____________</w:t>
            </w:r>
          </w:p>
        </w:tc>
        <w:tc>
          <w:tcPr>
            <w:tcW w:w="1260" w:type="dxa"/>
            <w:shd w:val="clear" w:color="auto" w:fill="auto"/>
          </w:tcPr>
          <w:p w:rsidR="00F3594B" w:rsidRPr="0072600F" w:rsidP="00802435" w14:paraId="0968096D"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Type:____</w:t>
            </w:r>
          </w:p>
        </w:tc>
        <w:tc>
          <w:tcPr>
            <w:tcW w:w="2834" w:type="dxa"/>
            <w:shd w:val="clear" w:color="auto" w:fill="auto"/>
          </w:tcPr>
          <w:p w:rsidR="00F3594B" w:rsidRPr="0072600F" w:rsidP="00802435" w14:paraId="773E5DA8"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 xml:space="preserve">  Style/Catalog No.:_____</w:t>
            </w:r>
          </w:p>
        </w:tc>
        <w:tc>
          <w:tcPr>
            <w:tcW w:w="2675" w:type="dxa"/>
            <w:shd w:val="clear" w:color="auto" w:fill="auto"/>
          </w:tcPr>
          <w:p w:rsidR="00F3594B" w:rsidRPr="0072600F" w:rsidP="00802435" w14:paraId="2E9BF12D"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Proposed Setting:______</w:t>
            </w:r>
          </w:p>
        </w:tc>
      </w:tr>
      <w:tr w14:paraId="5E8B0AF2" w14:textId="77777777">
        <w:tblPrEx>
          <w:tblW w:w="9990" w:type="dxa"/>
          <w:tblInd w:w="-72" w:type="dxa"/>
          <w:tblLook w:val="04A0"/>
        </w:tblPrEx>
        <w:tc>
          <w:tcPr>
            <w:tcW w:w="3221" w:type="dxa"/>
            <w:shd w:val="clear" w:color="auto" w:fill="auto"/>
          </w:tcPr>
          <w:p w:rsidR="00F3594B" w:rsidRPr="0072600F" w:rsidP="00802435" w14:paraId="6247B24C"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Manufacturer:_____________</w:t>
            </w:r>
          </w:p>
        </w:tc>
        <w:tc>
          <w:tcPr>
            <w:tcW w:w="1260" w:type="dxa"/>
            <w:shd w:val="clear" w:color="auto" w:fill="auto"/>
          </w:tcPr>
          <w:p w:rsidR="00F3594B" w:rsidRPr="0072600F" w:rsidP="00802435" w14:paraId="738FFA07"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Type:____</w:t>
            </w:r>
          </w:p>
        </w:tc>
        <w:tc>
          <w:tcPr>
            <w:tcW w:w="2834" w:type="dxa"/>
            <w:shd w:val="clear" w:color="auto" w:fill="auto"/>
          </w:tcPr>
          <w:p w:rsidR="00F3594B" w:rsidRPr="0072600F" w:rsidP="00802435" w14:paraId="7577D860"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 xml:space="preserve">  Style/Catalog No.:_____</w:t>
            </w:r>
          </w:p>
        </w:tc>
        <w:tc>
          <w:tcPr>
            <w:tcW w:w="2675" w:type="dxa"/>
            <w:shd w:val="clear" w:color="auto" w:fill="auto"/>
          </w:tcPr>
          <w:p w:rsidR="00F3594B" w:rsidRPr="0072600F" w:rsidP="00802435" w14:paraId="11B4C234"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Proposed Setting:______</w:t>
            </w:r>
          </w:p>
        </w:tc>
      </w:tr>
      <w:tr w14:paraId="435DBCD3" w14:textId="77777777">
        <w:tblPrEx>
          <w:tblW w:w="9990" w:type="dxa"/>
          <w:tblInd w:w="-72" w:type="dxa"/>
          <w:tblLook w:val="04A0"/>
        </w:tblPrEx>
        <w:tc>
          <w:tcPr>
            <w:tcW w:w="3221" w:type="dxa"/>
            <w:shd w:val="clear" w:color="auto" w:fill="auto"/>
          </w:tcPr>
          <w:p w:rsidR="00F3594B" w:rsidRPr="0072600F" w:rsidP="00802435" w14:paraId="172FDFC0"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Manufacturer:_____________</w:t>
            </w:r>
          </w:p>
        </w:tc>
        <w:tc>
          <w:tcPr>
            <w:tcW w:w="1260" w:type="dxa"/>
            <w:shd w:val="clear" w:color="auto" w:fill="auto"/>
          </w:tcPr>
          <w:p w:rsidR="00F3594B" w:rsidRPr="0072600F" w:rsidP="00802435" w14:paraId="22A78991"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Type:____</w:t>
            </w:r>
          </w:p>
        </w:tc>
        <w:tc>
          <w:tcPr>
            <w:tcW w:w="2834" w:type="dxa"/>
            <w:shd w:val="clear" w:color="auto" w:fill="auto"/>
          </w:tcPr>
          <w:p w:rsidR="00F3594B" w:rsidRPr="0072600F" w:rsidP="00802435" w14:paraId="105537BA"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 xml:space="preserve">  Style/Catalog No.:_____</w:t>
            </w:r>
          </w:p>
        </w:tc>
        <w:tc>
          <w:tcPr>
            <w:tcW w:w="2675" w:type="dxa"/>
            <w:shd w:val="clear" w:color="auto" w:fill="auto"/>
          </w:tcPr>
          <w:p w:rsidR="00F3594B" w:rsidRPr="0072600F" w:rsidP="00802435" w14:paraId="304788F4"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Proposed Setting:______</w:t>
            </w:r>
          </w:p>
        </w:tc>
      </w:tr>
      <w:tr w14:paraId="30F57CDC" w14:textId="77777777">
        <w:tblPrEx>
          <w:tblW w:w="9990" w:type="dxa"/>
          <w:tblInd w:w="-72" w:type="dxa"/>
          <w:tblLook w:val="04A0"/>
        </w:tblPrEx>
        <w:tc>
          <w:tcPr>
            <w:tcW w:w="3221" w:type="dxa"/>
            <w:shd w:val="clear" w:color="auto" w:fill="auto"/>
          </w:tcPr>
          <w:p w:rsidR="00F3594B" w:rsidRPr="0072600F" w:rsidP="00802435" w14:paraId="7E21CFBA"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Manufacturer:_____________</w:t>
            </w:r>
          </w:p>
        </w:tc>
        <w:tc>
          <w:tcPr>
            <w:tcW w:w="1260" w:type="dxa"/>
            <w:shd w:val="clear" w:color="auto" w:fill="auto"/>
          </w:tcPr>
          <w:p w:rsidR="00F3594B" w:rsidRPr="0072600F" w:rsidP="00802435" w14:paraId="722B140B"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Type:____</w:t>
            </w:r>
          </w:p>
        </w:tc>
        <w:tc>
          <w:tcPr>
            <w:tcW w:w="2834" w:type="dxa"/>
            <w:shd w:val="clear" w:color="auto" w:fill="auto"/>
          </w:tcPr>
          <w:p w:rsidR="00F3594B" w:rsidRPr="0072600F" w:rsidP="00802435" w14:paraId="79ACE566"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 xml:space="preserve">  Style/Catalog No.:_____</w:t>
            </w:r>
          </w:p>
        </w:tc>
        <w:tc>
          <w:tcPr>
            <w:tcW w:w="2675" w:type="dxa"/>
            <w:shd w:val="clear" w:color="auto" w:fill="auto"/>
          </w:tcPr>
          <w:p w:rsidR="00F3594B" w:rsidRPr="0072600F" w:rsidP="00802435" w14:paraId="78E9808C" w14:textId="77777777">
            <w:pPr>
              <w:contextualSpacing/>
              <w:rPr>
                <w:rFonts w:ascii="Times New Roman" w:hAnsi="Times New Roman" w:cs="Times New Roman"/>
                <w:sz w:val="26"/>
                <w:szCs w:val="26"/>
              </w:rPr>
            </w:pPr>
            <w:r w:rsidRPr="0072600F">
              <w:rPr>
                <w:rFonts w:ascii="Times New Roman" w:hAnsi="Times New Roman" w:cs="Times New Roman"/>
                <w:sz w:val="26"/>
                <w:szCs w:val="26"/>
              </w:rPr>
              <w:t>Proposed Setting:______</w:t>
            </w:r>
          </w:p>
        </w:tc>
      </w:tr>
    </w:tbl>
    <w:p w:rsidR="00F3594B" w:rsidRPr="0072600F" w14:paraId="54C3E374" w14:textId="77777777">
      <w:pPr>
        <w:spacing w:after="200" w:line="276" w:lineRule="auto"/>
        <w:rPr>
          <w:rFonts w:ascii="Times New Roman" w:eastAsia="Calibri" w:hAnsi="Times New Roman" w:cs="Times New Roman"/>
          <w:sz w:val="26"/>
          <w:szCs w:val="26"/>
        </w:rPr>
      </w:pPr>
    </w:p>
    <w:p w:rsidR="00F3594B" w:rsidRPr="0072600F" w14:paraId="79F9C9AE" w14:textId="77777777">
      <w:pPr>
        <w:spacing w:line="276" w:lineRule="auto"/>
        <w:rPr>
          <w:rFonts w:ascii="Times New Roman" w:eastAsia="Calibri" w:hAnsi="Times New Roman" w:cs="Times New Roman"/>
          <w:sz w:val="26"/>
          <w:szCs w:val="26"/>
          <w:u w:val="single"/>
        </w:rPr>
      </w:pPr>
    </w:p>
    <w:p w:rsidR="00F3594B" w:rsidRPr="0072600F" w14:paraId="7EBB11AB" w14:textId="77777777">
      <w:pPr>
        <w:spacing w:line="276" w:lineRule="auto"/>
        <w:rPr>
          <w:rFonts w:ascii="Times New Roman" w:eastAsia="Calibri" w:hAnsi="Times New Roman" w:cs="Times New Roman"/>
          <w:sz w:val="26"/>
          <w:szCs w:val="26"/>
          <w:u w:val="single"/>
        </w:rPr>
      </w:pPr>
    </w:p>
    <w:p w:rsidR="00F3594B" w:rsidRPr="0072600F" w14:paraId="69A1B7E4" w14:textId="77777777">
      <w:pPr>
        <w:spacing w:line="276" w:lineRule="auto"/>
        <w:rPr>
          <w:rFonts w:ascii="Times New Roman" w:eastAsia="Calibri" w:hAnsi="Times New Roman" w:cs="Times New Roman"/>
          <w:sz w:val="26"/>
          <w:szCs w:val="26"/>
          <w:u w:val="single"/>
        </w:rPr>
      </w:pPr>
    </w:p>
    <w:p w:rsidR="00F3594B" w:rsidRPr="0072600F" w14:paraId="7C189FE2" w14:textId="77777777">
      <w:pPr>
        <w:spacing w:line="276" w:lineRule="auto"/>
        <w:rPr>
          <w:rFonts w:ascii="Times New Roman" w:eastAsia="Calibri" w:hAnsi="Times New Roman" w:cs="Times New Roman"/>
          <w:sz w:val="26"/>
          <w:szCs w:val="26"/>
          <w:u w:val="single"/>
        </w:rPr>
      </w:pPr>
    </w:p>
    <w:p w:rsidR="00F3594B" w:rsidRPr="0072600F" w14:paraId="57BA9D2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Current Transformer Data (If Applicable)</w:t>
      </w:r>
      <w:r w:rsidRPr="0072600F">
        <w:rPr>
          <w:rFonts w:ascii="Times New Roman" w:eastAsia="Calibri" w:hAnsi="Times New Roman" w:cs="Times New Roman"/>
          <w:sz w:val="26"/>
          <w:szCs w:val="26"/>
        </w:rPr>
        <w:t>:</w:t>
      </w:r>
    </w:p>
    <w:p w:rsidR="00F3594B" w:rsidRPr="0072600F" w14:paraId="2D2CE61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(Enclose Copy of Manufacturer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Excitation and Ratio Correction Curves)</w:t>
      </w:r>
    </w:p>
    <w:p w:rsidR="00F3594B" w:rsidRPr="0072600F" w14:paraId="2E85092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Manufacturer: __________________________________________________________________</w:t>
      </w:r>
    </w:p>
    <w:p w:rsidR="00F3594B" w:rsidRPr="0072600F" w14:paraId="40BC16F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Type: ____________________  Accuracy Class: _____  Proposed Ratio Connection: _________</w:t>
      </w:r>
    </w:p>
    <w:p w:rsidR="00F3594B" w:rsidRPr="0072600F" w14:paraId="0ACA1C16"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Manufacturer: __________________________________________________________________</w:t>
      </w:r>
    </w:p>
    <w:p w:rsidR="00F3594B" w:rsidRPr="0072600F" w14:paraId="06A4325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Type: ____________________  Accuracy Class: _____  Proposed Ratio Connection: _________</w:t>
      </w:r>
    </w:p>
    <w:p w:rsidR="00F3594B" w:rsidRPr="0072600F" w14:paraId="642CE05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Potential Transformer Data (If Applicable)</w:t>
      </w:r>
      <w:r w:rsidRPr="0072600F">
        <w:rPr>
          <w:rFonts w:ascii="Times New Roman" w:eastAsia="Calibri" w:hAnsi="Times New Roman" w:cs="Times New Roman"/>
          <w:sz w:val="26"/>
          <w:szCs w:val="26"/>
        </w:rPr>
        <w:t>:</w:t>
      </w:r>
    </w:p>
    <w:p w:rsidR="00F3594B" w:rsidRPr="0072600F" w14:paraId="28A8540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Manufacturer: __________________________________________________________________</w:t>
      </w:r>
    </w:p>
    <w:p w:rsidR="00F3594B" w:rsidRPr="0072600F" w14:paraId="5CACA79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Type: ____________________  Accuracy Class: _____  Proposed Ratio Connection: _________</w:t>
      </w:r>
    </w:p>
    <w:p w:rsidR="00F3594B" w:rsidRPr="0072600F" w14:paraId="66A6799D"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Manufacturer: __________________________________________________________________</w:t>
      </w:r>
    </w:p>
    <w:p w:rsidR="00F3594B" w:rsidRPr="0072600F" w14:paraId="1B945E7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Type: ____________________  Accuracy Class: _____  Proposed Ratio Connection: _________</w:t>
      </w:r>
    </w:p>
    <w:p w:rsidR="00F3594B" w:rsidRPr="0072600F" w14:paraId="25F9D52D" w14:textId="77777777">
      <w:pPr>
        <w:spacing w:after="120" w:line="276" w:lineRule="auto"/>
        <w:rPr>
          <w:rFonts w:ascii="Times New Roman" w:eastAsia="Calibri" w:hAnsi="Times New Roman" w:cs="Times New Roman"/>
          <w:b/>
          <w:sz w:val="26"/>
          <w:szCs w:val="26"/>
          <w:u w:val="single"/>
        </w:rPr>
      </w:pPr>
      <w:r w:rsidRPr="0072600F">
        <w:rPr>
          <w:rFonts w:ascii="Times New Roman" w:eastAsia="Calibri" w:hAnsi="Times New Roman" w:cs="Times New Roman"/>
          <w:b/>
          <w:sz w:val="26"/>
          <w:szCs w:val="26"/>
          <w:u w:val="single"/>
        </w:rPr>
        <w:t>General Information</w:t>
      </w:r>
    </w:p>
    <w:p w:rsidR="00F3594B" w:rsidRPr="0072600F" w14:paraId="7C73EB2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Enclose copy of site electrical one-line diagram showing the configuration of all Small Generating Facility equipment, current and potential circuits, and protection and control schemes.  This one-line diagram must be signed and stamped by a licensed Professional Engineer if the Small Generating Facility is larger than 50 kW.  Is One-Line Diagram Enclosed? ____Yes ____No</w:t>
      </w:r>
    </w:p>
    <w:p w:rsidR="00F3594B" w:rsidRPr="0072600F" w14:paraId="0611F04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Enclose copy of any site documentation that indicates the precise physical location of the proposed Small Generating Facility (e.g., USGS topographic map or other diagram or documentation).</w:t>
      </w:r>
    </w:p>
    <w:p w:rsidR="00F3594B" w:rsidRPr="0072600F" w14:paraId="793C4A1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Proposed location of protective interface equipment on property (include address if different from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address)_________________________________________</w:t>
      </w:r>
    </w:p>
    <w:p w:rsidR="00F3594B" w:rsidRPr="0072600F" w14:paraId="18F2E37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Enclose copy of any site documentation that describes and details the operation of the protection and control schemes.           Is Available Documentation Enclosed? ___Yes ____No</w:t>
      </w:r>
    </w:p>
    <w:p w:rsidR="00F3594B" w:rsidRPr="0072600F" w14:paraId="390E26E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Enclose copies of schematic drawings for all protection and control circuits, relay current circuits, relay potential circuits, and alarm/monitoring circuits (if applicable). </w:t>
      </w:r>
    </w:p>
    <w:p w:rsidR="00F3594B" w:rsidRPr="0072600F" w14:paraId="6EF816E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Are Schematic Drawings Enclosed?  ___Yes ____No</w:t>
      </w:r>
    </w:p>
    <w:p w:rsidR="00F3594B" w:rsidRPr="0072600F" w14:paraId="3E92AC33" w14:textId="77777777">
      <w:pPr>
        <w:spacing w:line="276" w:lineRule="auto"/>
        <w:rPr>
          <w:rFonts w:ascii="Times New Roman" w:eastAsia="Calibri" w:hAnsi="Times New Roman" w:cs="Times New Roman"/>
          <w:sz w:val="26"/>
          <w:szCs w:val="26"/>
        </w:rPr>
      </w:pPr>
    </w:p>
    <w:p w:rsidR="00F3594B" w:rsidRPr="0072600F" w14:paraId="1BE5011D" w14:textId="77777777">
      <w:pPr>
        <w:spacing w:after="200" w:line="276" w:lineRule="auto"/>
        <w:rPr>
          <w:rFonts w:ascii="Times New Roman" w:eastAsia="Calibri" w:hAnsi="Times New Roman" w:cs="Times New Roman"/>
          <w:b/>
          <w:sz w:val="26"/>
          <w:szCs w:val="26"/>
          <w:u w:val="single"/>
        </w:rPr>
      </w:pPr>
      <w:r w:rsidRPr="0072600F">
        <w:rPr>
          <w:rFonts w:ascii="Times New Roman" w:eastAsia="Calibri" w:hAnsi="Times New Roman" w:cs="Times New Roman"/>
          <w:b/>
          <w:sz w:val="26"/>
          <w:szCs w:val="26"/>
          <w:u w:val="single"/>
        </w:rPr>
        <w:t>Applicant Signature</w:t>
      </w:r>
    </w:p>
    <w:p w:rsidR="00F3594B" w:rsidRPr="0072600F" w14:paraId="3B686E2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 hereby certify that, to the best of my knowledge, all the information provided in this Interconnection Request is true and correct.</w:t>
      </w:r>
    </w:p>
    <w:p w:rsidR="00F3594B" w:rsidRPr="0072600F" w14:paraId="3057C0D7" w14:textId="77777777">
      <w:pPr>
        <w:spacing w:after="200" w:line="276" w:lineRule="auto"/>
        <w:rPr>
          <w:rFonts w:ascii="Times New Roman" w:eastAsia="Calibri" w:hAnsi="Times New Roman" w:cs="Times New Roman"/>
          <w:sz w:val="26"/>
          <w:szCs w:val="26"/>
        </w:rPr>
        <w:sectPr>
          <w:footerReference w:type="default" r:id="rId57"/>
          <w:pgSz w:w="12240" w:h="15840"/>
          <w:pgMar w:top="1440" w:right="1440" w:bottom="1440" w:left="1440" w:header="720" w:footer="720" w:gutter="0"/>
          <w:pgNumType w:start="1"/>
          <w:cols w:space="720"/>
          <w:docGrid w:linePitch="360"/>
        </w:sectPr>
      </w:pPr>
      <w:r w:rsidRPr="0072600F">
        <w:rPr>
          <w:rFonts w:ascii="Times New Roman" w:eastAsia="Calibri" w:hAnsi="Times New Roman" w:cs="Times New Roman"/>
          <w:sz w:val="26"/>
          <w:szCs w:val="26"/>
        </w:rPr>
        <w:t>For Interconnection Customer:  ____________________________________ Date: ___________</w:t>
      </w:r>
    </w:p>
    <w:p w:rsidR="00F3594B" w:rsidRPr="0072600F" w14:paraId="318DC1B0"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3</w:t>
      </w:r>
    </w:p>
    <w:p w:rsidR="00F3594B" w:rsidRPr="0072600F" w14:paraId="264C3EA7"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Certification Codes and Standards</w:t>
      </w:r>
    </w:p>
    <w:p w:rsidR="00F3594B" w:rsidRPr="0072600F" w14:paraId="560C4B9B" w14:textId="77777777">
      <w:pPr>
        <w:spacing w:after="200" w:line="276" w:lineRule="auto"/>
        <w:rPr>
          <w:rFonts w:ascii="Times New Roman" w:eastAsia="Calibri" w:hAnsi="Times New Roman" w:cs="Times New Roman"/>
          <w:sz w:val="26"/>
          <w:szCs w:val="26"/>
        </w:rPr>
      </w:pPr>
    </w:p>
    <w:p w:rsidR="00F3594B" w:rsidRPr="0072600F" w14:paraId="30BD695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IEEE1547 Standard for Interconnecting Distributed Resources with Electric Power Systems (including use of IEEE 1547.1 testing protocols to establish conformity) </w:t>
      </w:r>
    </w:p>
    <w:p w:rsidR="00F3594B" w:rsidRPr="0072600F" w14:paraId="6D7E843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UL 1741 Inverters, Converters, and Controllers for Use in Independent Power Systems</w:t>
      </w:r>
    </w:p>
    <w:p w:rsidR="00F3594B" w:rsidRPr="0072600F" w14:paraId="29A2535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929-2000 IEEE Recommended Practice for Utility Interface of Photovoltaic (PV) Systems</w:t>
      </w:r>
    </w:p>
    <w:p w:rsidR="00F3594B" w:rsidRPr="0072600F" w14:paraId="5364476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NFPA 70 (2002), National Electrical Code</w:t>
      </w:r>
    </w:p>
    <w:p w:rsidR="00F3594B" w:rsidRPr="0072600F" w14:paraId="49155FD0"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C37.90.1-1989 (R1994), IEEE Standard Surge Withstand Capability (SWC) Tests for Protective Relays and Relay Systems</w:t>
      </w:r>
    </w:p>
    <w:p w:rsidR="00F3594B" w:rsidRPr="0072600F" w14:paraId="54099D6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C37.90.2 (1995), IEEE Standard Withstand Capability of Relay Systems to Radiated Electromagnetic Interference from Transceivers</w:t>
      </w:r>
    </w:p>
    <w:p w:rsidR="00F3594B" w:rsidRPr="0072600F" w14:paraId="0FE784E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C37.108-1989 (R2002), IEEE Guide for the Protection of Network Transformers</w:t>
      </w:r>
    </w:p>
    <w:p w:rsidR="00F3594B" w:rsidRPr="0072600F" w14:paraId="3FE1822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C57.12.44-2000, IEEE Standard Requirements for Secondary Network Protectors</w:t>
      </w:r>
    </w:p>
    <w:p w:rsidR="00F3594B" w:rsidRPr="0072600F" w14:paraId="494A166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C62.41.2-2002, IEEE Recommended Practice on Characterization of Surges in Low Voltage (1000V and Less) AC Power Circuits</w:t>
      </w:r>
    </w:p>
    <w:p w:rsidR="00F3594B" w:rsidRPr="0072600F" w14:paraId="3A49AB1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C62.45-1992 (R2002), IEEE Recommended Practice on Surge Testing for Equipment Connected to Low-Voltage (1000V and Less) AC Power Circuits</w:t>
      </w:r>
    </w:p>
    <w:p w:rsidR="00F3594B" w:rsidRPr="0072600F" w14:paraId="37360E2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ANSI C84.1-1995 Electric Power Systems and Equipment – Voltage Ratings (60 Hertz)</w:t>
      </w:r>
    </w:p>
    <w:p w:rsidR="00F3594B" w:rsidRPr="0072600F" w14:paraId="2FCA358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100-2000, IEEE Standard Dictionary of Electrical and Electronic Terms</w:t>
      </w:r>
    </w:p>
    <w:p w:rsidR="00F3594B" w:rsidRPr="0072600F" w14:paraId="7B75495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NEMA MG 1-1998, Motors and Small Resources, Revision 3</w:t>
      </w:r>
    </w:p>
    <w:p w:rsidR="00F3594B" w:rsidRPr="0072600F" w14:paraId="5D8ACC9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IEEE Std 519-1992, IEEE Recommended Practices and Requirements for Harmonic Control in Electrical Power Systems</w:t>
      </w:r>
    </w:p>
    <w:p w:rsidR="00F3594B" w:rsidRPr="0072600F" w14:paraId="30D7BC2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NEMA MG 1-2003 (Rev 2004), Motors and Generators, Revision 1</w:t>
      </w:r>
    </w:p>
    <w:p w:rsidR="00F3594B" w:rsidRPr="0072600F" w14:paraId="5F5A3BAC" w14:textId="77777777">
      <w:pPr>
        <w:spacing w:after="200" w:line="276" w:lineRule="auto"/>
        <w:rPr>
          <w:rFonts w:ascii="Times New Roman" w:eastAsia="Calibri" w:hAnsi="Times New Roman" w:cs="Times New Roman"/>
          <w:sz w:val="26"/>
          <w:szCs w:val="26"/>
        </w:rPr>
      </w:pPr>
    </w:p>
    <w:p w:rsidR="00F3594B" w:rsidRPr="0072600F" w14:paraId="23B019F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F3594B" w:rsidRPr="0072600F" w14:paraId="35E0E276" w14:textId="77777777">
      <w:pPr>
        <w:spacing w:after="200" w:line="276" w:lineRule="auto"/>
        <w:rPr>
          <w:rFonts w:ascii="Times New Roman" w:eastAsia="Calibri" w:hAnsi="Times New Roman" w:cs="Times New Roman"/>
          <w:sz w:val="26"/>
          <w:szCs w:val="26"/>
        </w:rPr>
        <w:sectPr>
          <w:footerReference w:type="default" r:id="rId58"/>
          <w:pgSz w:w="12240" w:h="15840"/>
          <w:pgMar w:top="1440" w:right="1440" w:bottom="1440" w:left="1440" w:header="720" w:footer="720" w:gutter="0"/>
          <w:pgNumType w:start="1"/>
          <w:cols w:space="720"/>
          <w:docGrid w:linePitch="360"/>
        </w:sectPr>
      </w:pPr>
    </w:p>
    <w:p w:rsidR="00F3594B" w:rsidRPr="0072600F" w14:paraId="0F5C9885"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4</w:t>
      </w:r>
    </w:p>
    <w:p w:rsidR="00F3594B" w:rsidRPr="0072600F" w14:paraId="6E53DD03"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Certification of Small Generator Equipment Packages</w:t>
      </w:r>
    </w:p>
    <w:p w:rsidR="00F3594B" w:rsidRPr="0072600F" w14:paraId="2252ACDC" w14:textId="77777777">
      <w:pPr>
        <w:spacing w:after="200" w:line="276" w:lineRule="auto"/>
        <w:ind w:left="720" w:hanging="720"/>
        <w:rPr>
          <w:rFonts w:ascii="Times New Roman" w:eastAsia="Calibri" w:hAnsi="Times New Roman" w:cs="Times New Roman"/>
          <w:sz w:val="26"/>
          <w:szCs w:val="26"/>
        </w:rPr>
      </w:pPr>
    </w:p>
    <w:p w:rsidR="00F3594B" w:rsidRPr="0072600F" w14:paraId="58BE35A2"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w:t>
      </w:r>
      <w:r w:rsidRPr="0072600F">
        <w:rPr>
          <w:rFonts w:ascii="Times New Roman" w:eastAsia="Calibri" w:hAnsi="Times New Roman" w:cs="Times New Roman"/>
          <w:sz w:val="26"/>
          <w:szCs w:val="26"/>
        </w:rPr>
        <w:tab/>
        <w:t>Small Generating Facility equipment proposed for use separately or packaged with other equipment in an interconnection system shall be considered certified for interconnected operation if (1) it has been tested in accordance with industry standards for continuous utility interactive operation in compliance with the appropriate codes and standards referenced below by any Nationally Recognized Testing Laboratory (NRTL) recognized by the United States Occupational Safety and Health Administration to test and certify interconnection equipment pursuant to the relevant codes and standards listed in SGIP Attachment 3, (2) it has been labeled and is publicly listed  by such NRTL at the time of the interconnection application, and (3) such NRTL makes readily available for verification all test standards and procedures it utilized in performing such equipment certification, and, with consumer approval, the test data itself.  The NRTL may make such information available on its website and by encouraging such information to be included in the manufacturer’s literature accompanying the equipment.</w:t>
      </w:r>
    </w:p>
    <w:p w:rsidR="00F3594B" w:rsidRPr="0072600F" w14:paraId="141C6D28"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w:t>
      </w:r>
      <w:r w:rsidRPr="0072600F">
        <w:rPr>
          <w:rFonts w:ascii="Times New Roman" w:eastAsia="Calibri" w:hAnsi="Times New Roman" w:cs="Times New Roman"/>
          <w:sz w:val="26"/>
          <w:szCs w:val="26"/>
        </w:rPr>
        <w:tab/>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verify that the intended use of the equipment falls within the use or uses for which the equipment was tested, labeled, and listed by the NRTL.</w:t>
      </w:r>
    </w:p>
    <w:p w:rsidR="00F3594B" w:rsidRPr="0072600F" w14:paraId="21946130"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3.0</w:t>
      </w:r>
      <w:r w:rsidRPr="0072600F">
        <w:rPr>
          <w:rFonts w:ascii="Times New Roman" w:eastAsia="Calibri" w:hAnsi="Times New Roman" w:cs="Times New Roman"/>
          <w:sz w:val="26"/>
          <w:szCs w:val="26"/>
        </w:rPr>
        <w:tab/>
        <w:t>Certified equipment shall not require further type-test review, testing, or additional equipment to meet the requirements of this interconnection procedure; however, nothing herein shall preclude the need for an on-site commissioning test by the parties to the interconnection nor follow-up production testing by the NRTL.</w:t>
      </w:r>
    </w:p>
    <w:p w:rsidR="00F3594B" w:rsidRPr="0072600F" w14:paraId="5461371E"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4.0</w:t>
      </w:r>
      <w:r w:rsidRPr="0072600F">
        <w:rPr>
          <w:rFonts w:ascii="Times New Roman" w:eastAsia="Calibri" w:hAnsi="Times New Roman" w:cs="Times New Roman"/>
          <w:sz w:val="26"/>
          <w:szCs w:val="26"/>
        </w:rPr>
        <w:tab/>
        <w:t>If the certified equipment package includes only interface components (switchgear, inverters, or other interface devices), then an Interconnection Customer must show that the generator or other electric source being utilized with the equipment package is compatible with the equipment package and is consistent with the testing and listing specified for this type of interconnection equipment.</w:t>
      </w:r>
    </w:p>
    <w:p w:rsidR="00F3594B" w:rsidRPr="0072600F" w14:paraId="308C5B1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5.0</w:t>
      </w:r>
      <w:r w:rsidRPr="0072600F">
        <w:rPr>
          <w:rFonts w:ascii="Times New Roman" w:eastAsia="Calibri" w:hAnsi="Times New Roman" w:cs="Times New Roman"/>
          <w:sz w:val="26"/>
          <w:szCs w:val="26"/>
        </w:rPr>
        <w:tab/>
        <w:t>Provided the generator or electric source, when combined with the equipment package, is within the range of capabilities for which it was tested by the NRTL, and does not violate the interface components</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labeling and listing performed by the NRTL, no further design review, testing or additional equipment on the customer side of the point of common coupling shall be required to meet the requirements of this interconnection procedure.</w:t>
      </w:r>
    </w:p>
    <w:p w:rsidR="00F3594B" w:rsidRPr="0072600F" w14:paraId="138EFEA9" w14:textId="77777777">
      <w:pPr>
        <w:spacing w:after="200" w:line="276" w:lineRule="auto"/>
        <w:rPr>
          <w:rFonts w:ascii="Times New Roman" w:eastAsia="Calibri" w:hAnsi="Times New Roman" w:cs="Times New Roman"/>
          <w:sz w:val="26"/>
          <w:szCs w:val="26"/>
        </w:rPr>
      </w:pPr>
    </w:p>
    <w:p w:rsidR="00F3594B" w:rsidRPr="0072600F" w14:paraId="6FCC5E8D" w14:textId="77777777">
      <w:pPr>
        <w:spacing w:after="200" w:line="276" w:lineRule="auto"/>
        <w:rPr>
          <w:rFonts w:ascii="Times New Roman" w:eastAsia="Calibri" w:hAnsi="Times New Roman" w:cs="Times New Roman"/>
          <w:sz w:val="26"/>
          <w:szCs w:val="26"/>
        </w:rPr>
      </w:pPr>
    </w:p>
    <w:p w:rsidR="00F3594B" w:rsidRPr="0072600F" w14:paraId="0E543A2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6.0</w:t>
      </w:r>
      <w:r w:rsidRPr="0072600F">
        <w:rPr>
          <w:rFonts w:ascii="Times New Roman" w:eastAsia="Calibri" w:hAnsi="Times New Roman" w:cs="Times New Roman"/>
          <w:sz w:val="26"/>
          <w:szCs w:val="26"/>
        </w:rPr>
        <w:tab/>
        <w:t>An equipment package does not include equipment provided by the utility.</w:t>
      </w:r>
    </w:p>
    <w:p w:rsidR="00F3594B" w:rsidRPr="0072600F" w14:paraId="5048294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7.0</w:t>
      </w:r>
      <w:r w:rsidRPr="0072600F">
        <w:rPr>
          <w:rFonts w:ascii="Times New Roman" w:eastAsia="Calibri" w:hAnsi="Times New Roman" w:cs="Times New Roman"/>
          <w:sz w:val="26"/>
          <w:szCs w:val="26"/>
        </w:rPr>
        <w:tab/>
        <w:t>Any equipment package approved and listed in a state by that state’s regulatory body for interconnected operation in that state prior to the effective date of these small generator interconnection procedures shall be considered certified under these procedures for use in that state.</w:t>
      </w:r>
    </w:p>
    <w:p w:rsidR="00F3594B" w:rsidRPr="0072600F" w14:paraId="7B65A38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F3594B" w:rsidRPr="0072600F" w14:paraId="054028A0" w14:textId="77777777">
      <w:pPr>
        <w:spacing w:after="200" w:line="276" w:lineRule="auto"/>
        <w:rPr>
          <w:rFonts w:ascii="Times New Roman" w:eastAsia="Calibri" w:hAnsi="Times New Roman" w:cs="Times New Roman"/>
          <w:sz w:val="26"/>
          <w:szCs w:val="26"/>
        </w:rPr>
        <w:sectPr>
          <w:footerReference w:type="default" r:id="rId59"/>
          <w:pgSz w:w="12240" w:h="15840"/>
          <w:pgMar w:top="1440" w:right="1440" w:bottom="1440" w:left="1440" w:header="720" w:footer="720" w:gutter="0"/>
          <w:pgNumType w:start="1"/>
          <w:cols w:space="720"/>
          <w:docGrid w:linePitch="360"/>
        </w:sectPr>
      </w:pPr>
    </w:p>
    <w:p w:rsidR="00F3594B" w:rsidRPr="0072600F" w14:paraId="096331DC"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5</w:t>
      </w:r>
    </w:p>
    <w:p w:rsidR="00F3594B" w:rsidRPr="0072600F" w14:paraId="3D7C6D15"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Application, Procedures, and Terms and Conditions for Interconnecting</w:t>
      </w:r>
    </w:p>
    <w:p w:rsidR="00F3594B" w:rsidRPr="0072600F" w14:paraId="6971A641"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 Certified Inverter-Based Small Generating Facility No</w:t>
      </w:r>
    </w:p>
    <w:p w:rsidR="00F3594B" w:rsidRPr="0072600F" w14:paraId="4803ED78"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Larger than 10 kW (</w:t>
      </w:r>
      <w:r w:rsidRPr="0072600F" w:rsidR="00DF7112">
        <w:rPr>
          <w:rFonts w:ascii="Times New Roman" w:eastAsia="Calibri" w:hAnsi="Times New Roman" w:cs="Times New Roman"/>
          <w:b/>
          <w:sz w:val="26"/>
          <w:szCs w:val="26"/>
        </w:rPr>
        <w:t>“</w:t>
      </w:r>
      <w:r w:rsidRPr="0072600F">
        <w:rPr>
          <w:rFonts w:ascii="Times New Roman" w:eastAsia="Calibri" w:hAnsi="Times New Roman" w:cs="Times New Roman"/>
          <w:b/>
          <w:sz w:val="26"/>
          <w:szCs w:val="26"/>
        </w:rPr>
        <w:t>10 kW Inverter Process</w:t>
      </w:r>
      <w:r w:rsidRPr="0072600F" w:rsidR="00DF7112">
        <w:rPr>
          <w:rFonts w:ascii="Times New Roman" w:eastAsia="Calibri" w:hAnsi="Times New Roman" w:cs="Times New Roman"/>
          <w:b/>
          <w:sz w:val="26"/>
          <w:szCs w:val="26"/>
        </w:rPr>
        <w:t>”</w:t>
      </w:r>
      <w:r w:rsidRPr="0072600F">
        <w:rPr>
          <w:rFonts w:ascii="Times New Roman" w:eastAsia="Calibri" w:hAnsi="Times New Roman" w:cs="Times New Roman"/>
          <w:b/>
          <w:sz w:val="26"/>
          <w:szCs w:val="26"/>
        </w:rPr>
        <w:t>)</w:t>
      </w:r>
    </w:p>
    <w:p w:rsidR="00F3594B" w:rsidRPr="0072600F" w14:paraId="59B9F6F9" w14:textId="77777777">
      <w:pPr>
        <w:spacing w:after="200" w:line="276" w:lineRule="auto"/>
        <w:rPr>
          <w:rFonts w:ascii="Times New Roman" w:eastAsia="Calibri" w:hAnsi="Times New Roman" w:cs="Times New Roman"/>
          <w:sz w:val="26"/>
          <w:szCs w:val="26"/>
        </w:rPr>
      </w:pPr>
    </w:p>
    <w:p w:rsidR="00F3594B" w:rsidRPr="0072600F" w14:paraId="4E449B41"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w:t>
      </w:r>
      <w:r w:rsidRPr="0072600F">
        <w:rPr>
          <w:rFonts w:ascii="Times New Roman" w:eastAsia="Calibri" w:hAnsi="Times New Roman" w:cs="Times New Roman"/>
          <w:sz w:val="26"/>
          <w:szCs w:val="26"/>
        </w:rPr>
        <w:tab/>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completes the Interconnection Request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Application</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and submits it to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Company</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w:t>
      </w:r>
    </w:p>
    <w:p w:rsidR="00F3594B" w:rsidRPr="0072600F" w14:paraId="3904DC90"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w:t>
      </w:r>
      <w:r w:rsidRPr="0072600F">
        <w:rPr>
          <w:rFonts w:ascii="Times New Roman" w:eastAsia="Calibri" w:hAnsi="Times New Roman" w:cs="Times New Roman"/>
          <w:sz w:val="26"/>
          <w:szCs w:val="26"/>
        </w:rPr>
        <w:tab/>
        <w:t xml:space="preserve">The Company acknowledges to the Customer receipt of the Application within three </w:t>
      </w:r>
      <w:r w:rsidRPr="0072600F" w:rsidR="0056592A">
        <w:rPr>
          <w:rFonts w:ascii="Times New Roman" w:eastAsia="Calibri" w:hAnsi="Times New Roman" w:cs="Times New Roman"/>
          <w:i/>
          <w:iCs/>
          <w:sz w:val="26"/>
          <w:szCs w:val="26"/>
        </w:rPr>
        <w:t>(</w:t>
      </w:r>
      <w:r w:rsidRPr="0072600F" w:rsidR="0056592A">
        <w:rPr>
          <w:rFonts w:ascii="Times New Roman" w:eastAsia="Calibri" w:hAnsi="Times New Roman" w:cs="Times New Roman"/>
          <w:i/>
          <w:sz w:val="26"/>
          <w:szCs w:val="26"/>
        </w:rPr>
        <w:t>3)</w:t>
      </w:r>
      <w:r w:rsidRPr="0072600F" w:rsidR="0056592A">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Business Days of receipt.</w:t>
      </w:r>
    </w:p>
    <w:p w:rsidR="00F3594B" w:rsidRPr="0072600F" w14:paraId="0A8E52E3"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3.0</w:t>
      </w:r>
      <w:r w:rsidRPr="0072600F">
        <w:rPr>
          <w:rFonts w:ascii="Times New Roman" w:eastAsia="Calibri" w:hAnsi="Times New Roman" w:cs="Times New Roman"/>
          <w:sz w:val="26"/>
          <w:szCs w:val="26"/>
        </w:rPr>
        <w:tab/>
        <w:t>The Company evaluates the Application for completeness and notifies the Customer within ten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(10)</w:t>
      </w:r>
      <w:r w:rsidRPr="0072600F">
        <w:rPr>
          <w:rFonts w:ascii="Times New Roman" w:eastAsia="Calibri" w:hAnsi="Times New Roman" w:cs="Times New Roman"/>
          <w:sz w:val="26"/>
          <w:szCs w:val="26"/>
        </w:rPr>
        <w:t xml:space="preserve"> Business Days of receipt that the Application is or is not complete and, if not, advises what material is missing.</w:t>
      </w:r>
    </w:p>
    <w:p w:rsidR="00F3594B" w:rsidRPr="0072600F" w14:paraId="110E8863"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4.0</w:t>
      </w:r>
      <w:r w:rsidRPr="0072600F">
        <w:rPr>
          <w:rFonts w:ascii="Times New Roman" w:eastAsia="Calibri" w:hAnsi="Times New Roman" w:cs="Times New Roman"/>
          <w:sz w:val="26"/>
          <w:szCs w:val="26"/>
        </w:rPr>
        <w:tab/>
        <w:t xml:space="preserve">The Company verifies that the Small Generating Facility can be interconnected safely and reliably using the screens contained in the Fast Track Process in the Small Generator Interconnection Procedures (SGIP).  The Company has </w:t>
      </w:r>
      <w:r w:rsidRPr="0072600F" w:rsidR="0056592A">
        <w:rPr>
          <w:rFonts w:ascii="Times New Roman" w:eastAsia="Calibri" w:hAnsi="Times New Roman" w:cs="Times New Roman"/>
          <w:i/>
          <w:iCs/>
          <w:sz w:val="26"/>
          <w:szCs w:val="26"/>
        </w:rPr>
        <w:t>fifteen (</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to complete this process.  Unless the Company determines and demonstrates that the Small Generating Facility cannot be interconnected safely and reliably, the Company approves the Application and returns it to the Customer.  Note to Customer: Please check with the Company before submitting the Application if disconnection equipment is required. </w:t>
      </w:r>
    </w:p>
    <w:p w:rsidR="00F3594B" w:rsidRPr="0072600F" w14:paraId="75930119"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5.0</w:t>
      </w:r>
      <w:r w:rsidRPr="0072600F">
        <w:rPr>
          <w:rFonts w:ascii="Times New Roman" w:eastAsia="Calibri" w:hAnsi="Times New Roman" w:cs="Times New Roman"/>
          <w:sz w:val="26"/>
          <w:szCs w:val="26"/>
        </w:rPr>
        <w:tab/>
        <w:t>After installation, the Customer returns the Certificate of Completion to the Company.  Prior to parallel operation, the Company may inspect the Small Generating Facility for compliance with standards which may include a witness test, and may schedule appropriate metering replacement, if necessary.</w:t>
      </w:r>
    </w:p>
    <w:p w:rsidR="00F3594B" w:rsidRPr="0072600F" w14:paraId="239E12B2"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6.0</w:t>
      </w:r>
      <w:r w:rsidRPr="0072600F">
        <w:rPr>
          <w:rFonts w:ascii="Times New Roman" w:eastAsia="Calibri" w:hAnsi="Times New Roman" w:cs="Times New Roman"/>
          <w:sz w:val="26"/>
          <w:szCs w:val="26"/>
        </w:rPr>
        <w:tab/>
        <w:t>The Company notifies the Customer in writing that interconnection of the Small Generating Facility is authorized.  If the witness test is not satisfactory, the Company has the right to disconnect the Small Generating Facility.  The Customer has no right to operate in parallel until a witness test has been performed, or previously waived on the Application.  The Company is obligated to complete this witness test within ten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(10)</w:t>
      </w:r>
      <w:r w:rsidRPr="0072600F">
        <w:rPr>
          <w:rFonts w:ascii="Times New Roman" w:eastAsia="Calibri" w:hAnsi="Times New Roman" w:cs="Times New Roman"/>
          <w:sz w:val="26"/>
          <w:szCs w:val="26"/>
        </w:rPr>
        <w:t xml:space="preserve"> Business Days of the receipt of the Certificate of Completion.  If the Company does not inspect within ten </w:t>
      </w:r>
      <w:r w:rsidRPr="0072600F" w:rsidR="0056592A">
        <w:rPr>
          <w:rFonts w:ascii="Times New Roman" w:eastAsia="Calibri" w:hAnsi="Times New Roman" w:cs="Times New Roman"/>
          <w:i/>
          <w:iCs/>
          <w:sz w:val="26"/>
          <w:szCs w:val="26"/>
        </w:rPr>
        <w:t xml:space="preserve">(10) </w:t>
      </w:r>
      <w:r w:rsidRPr="0072600F">
        <w:rPr>
          <w:rFonts w:ascii="Times New Roman" w:eastAsia="Calibri" w:hAnsi="Times New Roman" w:cs="Times New Roman"/>
          <w:sz w:val="26"/>
          <w:szCs w:val="26"/>
        </w:rPr>
        <w:t>Business Days or by mutual agreement of the Parties, the witness test is deemed waived.</w:t>
      </w:r>
    </w:p>
    <w:p w:rsidR="00F3594B" w:rsidRPr="0072600F" w14:paraId="023FFED3"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7.0</w:t>
      </w:r>
      <w:r w:rsidRPr="0072600F">
        <w:rPr>
          <w:rFonts w:ascii="Times New Roman" w:eastAsia="Calibri" w:hAnsi="Times New Roman" w:cs="Times New Roman"/>
          <w:sz w:val="26"/>
          <w:szCs w:val="26"/>
        </w:rPr>
        <w:tab/>
        <w:t xml:space="preserve">Contact Information – The Customer must provide the contact information for the legal applicant (i.e.,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If another entity is responsible for interfacing with the Company, that contact information must be provided on the Application.</w:t>
      </w:r>
    </w:p>
    <w:p w:rsidR="00F3594B" w:rsidRPr="0072600F" w14:paraId="6C1F950E"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8.0</w:t>
      </w:r>
      <w:r w:rsidRPr="0072600F">
        <w:rPr>
          <w:rFonts w:ascii="Times New Roman" w:eastAsia="Calibri" w:hAnsi="Times New Roman" w:cs="Times New Roman"/>
          <w:sz w:val="26"/>
          <w:szCs w:val="26"/>
        </w:rPr>
        <w:tab/>
        <w:t>Ownership Information – Enter the legal names of the owner(s) of the Small Generating Facility.  Include the percentage ownership (if any) by any utility or public utility holding company, or by any entity owned by either.</w:t>
      </w:r>
    </w:p>
    <w:p w:rsidR="00F3594B" w:rsidRPr="0072600F" w14:paraId="12A620F8"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9.0</w:t>
      </w:r>
      <w:r w:rsidRPr="0072600F">
        <w:rPr>
          <w:rFonts w:ascii="Times New Roman" w:eastAsia="Calibri" w:hAnsi="Times New Roman" w:cs="Times New Roman"/>
          <w:sz w:val="26"/>
          <w:szCs w:val="26"/>
        </w:rPr>
        <w:tab/>
        <w:t>UL1741 Listed – This standard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Inverters, Converters, and Controllers for Use in Independent Power Systems</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addresses the electrical interconnection design of various forms of generating equipment.  Many manufacturers submit their equipment to a Nationally Recognized Testing Laboratory (NRTL) that verifies compliance with UL1741.  This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listing</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is then marked on the equipment and supporting documentation.</w:t>
      </w:r>
    </w:p>
    <w:p w:rsidR="00F3594B" w:rsidRPr="0072600F" w14:paraId="0A4B7D4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F3594B" w:rsidRPr="0072600F" w14:paraId="0D119C3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77A346F1"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Application for Interconnecting a Certified Inverter-Based Small Generating Facility No Larger than 10kW</w:t>
      </w:r>
    </w:p>
    <w:p w:rsidR="00F3594B" w:rsidRPr="0072600F" w14:paraId="4DE57EA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This Application is considered complete when it provides all applicable and correct information required below.  Per SGIP section 1.5, documentation of site control must be submitted with the Interconnection Request.  Additional information to evaluate the Application may be required.</w:t>
      </w:r>
    </w:p>
    <w:p w:rsidR="00F3594B" w:rsidRPr="0072600F" w14:paraId="7838336A" w14:textId="77777777">
      <w:pPr>
        <w:spacing w:after="200"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Processing Fee</w:t>
      </w:r>
    </w:p>
    <w:p w:rsidR="00F3594B" w:rsidRPr="0072600F" w14:paraId="1F19618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 non-refundable processing fee of $100 must accompany this Application.</w:t>
      </w:r>
    </w:p>
    <w:p w:rsidR="00F3594B" w:rsidRPr="0072600F" w14:paraId="2BBFEB09" w14:textId="77777777">
      <w:pPr>
        <w:spacing w:after="200"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Interconnection Customer</w:t>
      </w:r>
    </w:p>
    <w:p w:rsidR="00F3594B" w:rsidRPr="0072600F" w14:paraId="7CA8946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_______________________________________________________________________</w:t>
      </w:r>
    </w:p>
    <w:p w:rsidR="00F3594B" w:rsidRPr="0072600F" w14:paraId="6A5329D5"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Contact Person: ________________________________________________________________</w:t>
      </w:r>
    </w:p>
    <w:p w:rsidR="00F3594B" w:rsidRPr="0072600F" w14:paraId="1378C38C"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 _____________________________________________________________________</w:t>
      </w:r>
    </w:p>
    <w:p w:rsidR="00F3594B" w:rsidRPr="0072600F" w14:paraId="1AF28C4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City: ____________________________ </w:t>
      </w:r>
      <w:r w:rsidRPr="0072600F">
        <w:rPr>
          <w:rFonts w:ascii="Times New Roman" w:eastAsia="Calibri" w:hAnsi="Times New Roman" w:cs="Times New Roman"/>
          <w:sz w:val="26"/>
          <w:szCs w:val="26"/>
        </w:rPr>
        <w:tab/>
        <w:t xml:space="preserve">State: ______ </w:t>
      </w:r>
      <w:r w:rsidRPr="0072600F">
        <w:rPr>
          <w:rFonts w:ascii="Times New Roman" w:eastAsia="Calibri" w:hAnsi="Times New Roman" w:cs="Times New Roman"/>
          <w:sz w:val="26"/>
          <w:szCs w:val="26"/>
        </w:rPr>
        <w:tab/>
        <w:t>Zip: _________</w:t>
      </w:r>
      <w:r w:rsidRPr="0072600F">
        <w:rPr>
          <w:rFonts w:ascii="Times New Roman" w:eastAsia="Calibri" w:hAnsi="Times New Roman" w:cs="Times New Roman"/>
          <w:sz w:val="26"/>
          <w:szCs w:val="26"/>
        </w:rPr>
        <w:tab/>
      </w:r>
    </w:p>
    <w:p w:rsidR="00F3594B" w:rsidRPr="0072600F" w14:paraId="65FD59E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w:t>
      </w:r>
      <w:r w:rsidRPr="0072600F">
        <w:rPr>
          <w:rFonts w:ascii="Times New Roman" w:eastAsia="Calibri" w:hAnsi="Times New Roman" w:cs="Times New Roman"/>
          <w:sz w:val="26"/>
          <w:szCs w:val="26"/>
        </w:rPr>
        <w:tab/>
        <w:t xml:space="preserve">  (Evening):  _______________</w:t>
      </w:r>
      <w:r w:rsidRPr="0072600F">
        <w:rPr>
          <w:rFonts w:ascii="Times New Roman" w:eastAsia="Calibri" w:hAnsi="Times New Roman" w:cs="Times New Roman"/>
          <w:sz w:val="26"/>
          <w:szCs w:val="26"/>
        </w:rPr>
        <w:tab/>
      </w:r>
    </w:p>
    <w:p w:rsidR="00F3594B" w:rsidRPr="0072600F" w14:paraId="436E333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Fax: _______________ </w:t>
      </w:r>
      <w:r w:rsidRPr="0072600F">
        <w:rPr>
          <w:rFonts w:ascii="Times New Roman" w:eastAsia="Calibri" w:hAnsi="Times New Roman" w:cs="Times New Roman"/>
          <w:sz w:val="26"/>
          <w:szCs w:val="26"/>
        </w:rPr>
        <w:tab/>
        <w:t xml:space="preserve">  E-Mail Address: _______________ </w:t>
      </w:r>
      <w:r w:rsidRPr="0072600F">
        <w:rPr>
          <w:rFonts w:ascii="Times New Roman" w:eastAsia="Calibri" w:hAnsi="Times New Roman" w:cs="Times New Roman"/>
          <w:sz w:val="26"/>
          <w:szCs w:val="26"/>
        </w:rPr>
        <w:tab/>
      </w:r>
    </w:p>
    <w:p w:rsidR="00F3594B" w:rsidRPr="0072600F" w14:paraId="75B0292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Contact</w:t>
      </w:r>
      <w:r w:rsidRPr="0072600F">
        <w:rPr>
          <w:rFonts w:ascii="Times New Roman" w:eastAsia="Calibri" w:hAnsi="Times New Roman" w:cs="Times New Roman"/>
          <w:sz w:val="26"/>
          <w:szCs w:val="26"/>
        </w:rPr>
        <w:t xml:space="preserve"> (if different from Interconnection Customer)</w:t>
      </w:r>
    </w:p>
    <w:p w:rsidR="00F3594B" w:rsidRPr="0072600F" w14:paraId="0227013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_______________________________________________________________________</w:t>
      </w:r>
    </w:p>
    <w:p w:rsidR="00F3594B" w:rsidRPr="0072600F" w14:paraId="2D66DBEC"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Contact Person: ________________________________________________________________</w:t>
      </w:r>
    </w:p>
    <w:p w:rsidR="00F3594B" w:rsidRPr="0072600F" w14:paraId="5E0FBC0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 _____________________________________________________________________</w:t>
      </w:r>
    </w:p>
    <w:p w:rsidR="00F3594B" w:rsidRPr="0072600F" w14:paraId="1CAC9051"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City: ____________________________ </w:t>
      </w:r>
      <w:r w:rsidRPr="0072600F">
        <w:rPr>
          <w:rFonts w:ascii="Times New Roman" w:eastAsia="Calibri" w:hAnsi="Times New Roman" w:cs="Times New Roman"/>
          <w:sz w:val="26"/>
          <w:szCs w:val="26"/>
        </w:rPr>
        <w:tab/>
        <w:t xml:space="preserve">State: ______ </w:t>
      </w:r>
      <w:r w:rsidRPr="0072600F">
        <w:rPr>
          <w:rFonts w:ascii="Times New Roman" w:eastAsia="Calibri" w:hAnsi="Times New Roman" w:cs="Times New Roman"/>
          <w:sz w:val="26"/>
          <w:szCs w:val="26"/>
        </w:rPr>
        <w:tab/>
        <w:t>Zip: _________</w:t>
      </w:r>
      <w:r w:rsidRPr="0072600F">
        <w:rPr>
          <w:rFonts w:ascii="Times New Roman" w:eastAsia="Calibri" w:hAnsi="Times New Roman" w:cs="Times New Roman"/>
          <w:sz w:val="26"/>
          <w:szCs w:val="26"/>
        </w:rPr>
        <w:tab/>
      </w:r>
    </w:p>
    <w:p w:rsidR="00F3594B" w:rsidRPr="0072600F" w14:paraId="2329230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w:t>
      </w:r>
      <w:r w:rsidRPr="0072600F">
        <w:rPr>
          <w:rFonts w:ascii="Times New Roman" w:eastAsia="Calibri" w:hAnsi="Times New Roman" w:cs="Times New Roman"/>
          <w:sz w:val="26"/>
          <w:szCs w:val="26"/>
        </w:rPr>
        <w:tab/>
        <w:t xml:space="preserve">  (Evening):  _______________</w:t>
      </w:r>
      <w:r w:rsidRPr="0072600F">
        <w:rPr>
          <w:rFonts w:ascii="Times New Roman" w:eastAsia="Calibri" w:hAnsi="Times New Roman" w:cs="Times New Roman"/>
          <w:sz w:val="26"/>
          <w:szCs w:val="26"/>
        </w:rPr>
        <w:tab/>
      </w:r>
    </w:p>
    <w:p w:rsidR="00F3594B" w:rsidRPr="0072600F" w14:paraId="7C30C45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Fax: _______________ </w:t>
      </w:r>
      <w:r w:rsidRPr="0072600F">
        <w:rPr>
          <w:rFonts w:ascii="Times New Roman" w:eastAsia="Calibri" w:hAnsi="Times New Roman" w:cs="Times New Roman"/>
          <w:sz w:val="26"/>
          <w:szCs w:val="26"/>
        </w:rPr>
        <w:tab/>
        <w:t xml:space="preserve">  E-Mail Address: _______________ </w:t>
      </w:r>
      <w:r w:rsidRPr="0072600F">
        <w:rPr>
          <w:rFonts w:ascii="Times New Roman" w:eastAsia="Calibri" w:hAnsi="Times New Roman" w:cs="Times New Roman"/>
          <w:sz w:val="26"/>
          <w:szCs w:val="26"/>
        </w:rPr>
        <w:tab/>
      </w:r>
    </w:p>
    <w:p w:rsidR="00F3594B" w:rsidRPr="0072600F" w14:paraId="75E820ED" w14:textId="77777777">
      <w:pPr>
        <w:spacing w:after="200" w:line="276" w:lineRule="auto"/>
        <w:rPr>
          <w:rFonts w:ascii="Times New Roman" w:eastAsia="Calibri" w:hAnsi="Times New Roman" w:cs="Times New Roman"/>
          <w:sz w:val="26"/>
          <w:szCs w:val="26"/>
        </w:rPr>
      </w:pPr>
    </w:p>
    <w:p w:rsidR="00F3594B" w:rsidRPr="0072600F" w14:paraId="65442BA4" w14:textId="77777777">
      <w:pPr>
        <w:pBdr>
          <w:bottom w:val="single" w:sz="12" w:space="1" w:color="auto"/>
        </w:pBd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Owner of the facility (include % ownership by any electric utility):  </w:t>
      </w:r>
    </w:p>
    <w:p w:rsidR="00F3594B" w:rsidRPr="0072600F" w14:paraId="034B230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_____________________________________________________________________________Small Generating Facility Information</w:t>
      </w:r>
    </w:p>
    <w:p w:rsidR="00F3594B" w:rsidRPr="0072600F" w14:paraId="748C4F7C"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Location (if different from above): _________________________________________________ </w:t>
      </w:r>
      <w:r w:rsidRPr="0072600F" w:rsidR="000E5C27">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b/>
      </w:r>
    </w:p>
    <w:p w:rsidR="00F3594B" w:rsidRPr="0072600F" w14:paraId="45D236D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Electric Service Company: _______________________________________________________</w:t>
      </w:r>
      <w:r w:rsidRPr="0072600F">
        <w:rPr>
          <w:rFonts w:ascii="Times New Roman" w:eastAsia="Calibri" w:hAnsi="Times New Roman" w:cs="Times New Roman"/>
          <w:sz w:val="26"/>
          <w:szCs w:val="26"/>
        </w:rPr>
        <w:tab/>
      </w:r>
    </w:p>
    <w:p w:rsidR="00F3594B" w:rsidRPr="0072600F" w14:paraId="2C8FC5E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Account Number: ______________________________________________________________</w:t>
      </w:r>
    </w:p>
    <w:p w:rsidR="00F3594B" w:rsidRPr="0072600F" w14:paraId="22A908C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p>
    <w:p w:rsidR="00F3594B" w:rsidRPr="0072600F" w14:paraId="49C2F23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Inverter Manufacturer: ____________________________  Model: ____________________  Nameplate Rating:_____(kW) _____(kVA) _____(AC Volts)</w:t>
      </w:r>
    </w:p>
    <w:p w:rsidR="00F3594B" w:rsidRPr="0072600F" w14:paraId="56D40B97"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Single Phase ____  Three Phase____</w:t>
      </w:r>
      <w:r w:rsidRPr="0072600F">
        <w:rPr>
          <w:rFonts w:ascii="Times New Roman" w:eastAsia="Calibri" w:hAnsi="Times New Roman" w:cs="Times New Roman"/>
          <w:sz w:val="26"/>
          <w:szCs w:val="26"/>
        </w:rPr>
        <w:tab/>
        <w:t xml:space="preserve"> </w:t>
      </w:r>
    </w:p>
    <w:p w:rsidR="00F3594B" w:rsidRPr="0072600F" w14:paraId="1FCD7C3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System Design Capacity: _________ (kW) _______ (kVA)</w:t>
      </w:r>
    </w:p>
    <w:p w:rsidR="00F3594B" w:rsidRPr="0072600F" w14:paraId="29242EF1"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Prime Mover:</w:t>
      </w:r>
      <w:r w:rsidRPr="0072600F">
        <w:rPr>
          <w:rFonts w:ascii="Times New Roman" w:eastAsia="Calibri" w:hAnsi="Times New Roman" w:cs="Times New Roman"/>
          <w:sz w:val="26"/>
          <w:szCs w:val="26"/>
        </w:rPr>
        <w:tab/>
        <w:t xml:space="preserve">___Photovoltaic   ___Reciprocating Engine   ___Fuel Cell </w:t>
      </w:r>
      <w:r w:rsidRPr="0072600F">
        <w:rPr>
          <w:rFonts w:ascii="Times New Roman" w:eastAsia="Calibri" w:hAnsi="Times New Roman" w:cs="Times New Roman"/>
          <w:sz w:val="26"/>
          <w:szCs w:val="26"/>
        </w:rPr>
        <w:tab/>
      </w:r>
    </w:p>
    <w:p w:rsidR="00F3594B" w:rsidRPr="0072600F" w14:paraId="6C2993E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 xml:space="preserve">     </w:t>
      </w:r>
      <w:r w:rsidRPr="0072600F">
        <w:rPr>
          <w:rFonts w:ascii="Times New Roman" w:eastAsia="Calibri" w:hAnsi="Times New Roman" w:cs="Times New Roman"/>
          <w:sz w:val="26"/>
          <w:szCs w:val="26"/>
        </w:rPr>
        <w:tab/>
        <w:t xml:space="preserve">___Turbine    </w:t>
      </w:r>
      <w:r w:rsidRPr="0072600F">
        <w:rPr>
          <w:rFonts w:ascii="Times New Roman" w:eastAsia="Calibri" w:hAnsi="Times New Roman" w:cs="Times New Roman"/>
          <w:sz w:val="26"/>
          <w:szCs w:val="26"/>
        </w:rPr>
        <w:tab/>
        <w:t xml:space="preserve">    ___Other (describe)______________________</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p>
    <w:p w:rsidR="00F3594B" w:rsidRPr="0072600F" w14:paraId="121C52F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Energy Source: ___Solar   ___Wind   ___Hydro   ___Diesel   ___Natural Gas </w:t>
      </w:r>
      <w:r w:rsidRPr="0072600F">
        <w:rPr>
          <w:rFonts w:ascii="Times New Roman" w:eastAsia="Calibri" w:hAnsi="Times New Roman" w:cs="Times New Roman"/>
          <w:sz w:val="26"/>
          <w:szCs w:val="26"/>
        </w:rPr>
        <w:tab/>
      </w:r>
    </w:p>
    <w:p w:rsidR="00F3594B" w:rsidRPr="0072600F" w14:paraId="63A7E1B6"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 xml:space="preserve"> ___Fuel Oil   ___Other (describe) ________________________</w:t>
      </w:r>
    </w:p>
    <w:p w:rsidR="00F3594B" w:rsidRPr="0072600F" w14:paraId="3A8AF95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Is the equipment UL1741 Listed?       ___Yes</w:t>
      </w:r>
      <w:r w:rsidRPr="0072600F">
        <w:rPr>
          <w:rFonts w:ascii="Times New Roman" w:eastAsia="Calibri" w:hAnsi="Times New Roman" w:cs="Times New Roman"/>
          <w:sz w:val="26"/>
          <w:szCs w:val="26"/>
        </w:rPr>
        <w:tab/>
        <w:t xml:space="preserve">___No </w:t>
      </w:r>
      <w:r w:rsidRPr="0072600F">
        <w:rPr>
          <w:rFonts w:ascii="Times New Roman" w:eastAsia="Calibri" w:hAnsi="Times New Roman" w:cs="Times New Roman"/>
          <w:sz w:val="26"/>
          <w:szCs w:val="26"/>
        </w:rPr>
        <w:tab/>
        <w:t xml:space="preserve"> </w:t>
      </w:r>
    </w:p>
    <w:p w:rsidR="00F3594B" w:rsidRPr="0072600F" w14:paraId="008CE3AA"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If Yes, attach manufacturer’s cut-sheet showing UL1741 listing</w:t>
      </w:r>
    </w:p>
    <w:p w:rsidR="00F3594B" w:rsidRPr="0072600F" w14:paraId="3806AEC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Estimated Installation Date: _____________</w:t>
      </w:r>
      <w:r w:rsidRPr="0072600F">
        <w:rPr>
          <w:rFonts w:ascii="Times New Roman" w:eastAsia="Calibri" w:hAnsi="Times New Roman" w:cs="Times New Roman"/>
          <w:sz w:val="26"/>
          <w:szCs w:val="26"/>
        </w:rPr>
        <w:tab/>
        <w:t xml:space="preserve">Estimated In-Service Date: ____________ </w:t>
      </w:r>
    </w:p>
    <w:p w:rsidR="00F3594B" w:rsidRPr="0072600F" w14:paraId="736CB13B" w14:textId="77777777">
      <w:pPr>
        <w:spacing w:after="200" w:line="276" w:lineRule="auto"/>
        <w:rPr>
          <w:rFonts w:ascii="Times New Roman" w:eastAsia="Calibri" w:hAnsi="Times New Roman" w:cs="Times New Roman"/>
          <w:sz w:val="26"/>
          <w:szCs w:val="26"/>
        </w:rPr>
      </w:pPr>
    </w:p>
    <w:p w:rsidR="00F3594B" w:rsidRPr="0072600F" w14:paraId="2BD82A0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The 10 kW Inverter Process is available only for inverter-based Small Generating Facilities no larger than 10 kW that meet the codes, standards, and certification requirements of Attachments 3 and 4 of the Small Generator Interconnection Procedures (SGIP), or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has reviewed the design or tested the proposed Small Generating Facility and is satisfied that it is safe to operate.</w:t>
      </w:r>
    </w:p>
    <w:p w:rsidR="00F3594B" w:rsidRPr="0072600F" w14:paraId="1ED149A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List components of the Small Generating Facility equipment package that are currently certified:</w:t>
      </w:r>
    </w:p>
    <w:tbl>
      <w:tblPr>
        <w:tblW w:w="0" w:type="auto"/>
        <w:jc w:val="center"/>
        <w:tblLook w:val="04A0"/>
      </w:tblPr>
      <w:tblGrid>
        <w:gridCol w:w="3996"/>
        <w:gridCol w:w="2550"/>
      </w:tblGrid>
      <w:tr w14:paraId="70F0AF8A" w14:textId="77777777">
        <w:tblPrEx>
          <w:tblW w:w="0" w:type="auto"/>
          <w:jc w:val="center"/>
          <w:tblLook w:val="04A0"/>
        </w:tblPrEx>
        <w:trPr>
          <w:trHeight w:val="161"/>
          <w:jc w:val="center"/>
        </w:trPr>
        <w:tc>
          <w:tcPr>
            <w:tcW w:w="3996" w:type="dxa"/>
            <w:shd w:val="clear" w:color="auto" w:fill="auto"/>
          </w:tcPr>
          <w:p w:rsidR="00F3594B" w:rsidRPr="0072600F" w:rsidP="00802435" w14:paraId="5E034FDA"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Equipment Type</w:t>
            </w:r>
          </w:p>
        </w:tc>
        <w:tc>
          <w:tcPr>
            <w:tcW w:w="2550" w:type="dxa"/>
            <w:shd w:val="clear" w:color="auto" w:fill="auto"/>
          </w:tcPr>
          <w:p w:rsidR="00F3594B" w:rsidRPr="0072600F" w:rsidP="00802435" w14:paraId="401B4346"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Certifying Entity</w:t>
            </w:r>
          </w:p>
        </w:tc>
      </w:tr>
      <w:tr w14:paraId="29F9BE44" w14:textId="77777777">
        <w:tblPrEx>
          <w:tblW w:w="0" w:type="auto"/>
          <w:jc w:val="center"/>
          <w:tblLook w:val="04A0"/>
        </w:tblPrEx>
        <w:trPr>
          <w:jc w:val="center"/>
        </w:trPr>
        <w:tc>
          <w:tcPr>
            <w:tcW w:w="3996" w:type="dxa"/>
            <w:shd w:val="clear" w:color="auto" w:fill="auto"/>
          </w:tcPr>
          <w:p w:rsidR="00F3594B" w:rsidRPr="0072600F" w14:paraId="5C8B3C8A" w14:textId="77777777">
            <w:pPr>
              <w:numPr>
                <w:ilvl w:val="0"/>
                <w:numId w:val="15"/>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2550" w:type="dxa"/>
            <w:shd w:val="clear" w:color="auto" w:fill="auto"/>
          </w:tcPr>
          <w:p w:rsidR="00F3594B" w:rsidRPr="0072600F" w:rsidP="00802435" w14:paraId="649E5A44"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_________________</w:t>
            </w:r>
          </w:p>
        </w:tc>
      </w:tr>
      <w:tr w14:paraId="79C6B6FA" w14:textId="77777777">
        <w:tblPrEx>
          <w:tblW w:w="0" w:type="auto"/>
          <w:jc w:val="center"/>
          <w:tblLook w:val="04A0"/>
        </w:tblPrEx>
        <w:trPr>
          <w:jc w:val="center"/>
        </w:trPr>
        <w:tc>
          <w:tcPr>
            <w:tcW w:w="3996" w:type="dxa"/>
            <w:shd w:val="clear" w:color="auto" w:fill="auto"/>
          </w:tcPr>
          <w:p w:rsidR="00F3594B" w:rsidRPr="0072600F" w14:paraId="6D050F31" w14:textId="77777777">
            <w:pPr>
              <w:numPr>
                <w:ilvl w:val="0"/>
                <w:numId w:val="15"/>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2550" w:type="dxa"/>
            <w:shd w:val="clear" w:color="auto" w:fill="auto"/>
          </w:tcPr>
          <w:p w:rsidR="00F3594B" w:rsidRPr="0072600F" w:rsidP="00802435" w14:paraId="7624B87E"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_________________</w:t>
            </w:r>
          </w:p>
        </w:tc>
      </w:tr>
      <w:tr w14:paraId="63C4EF22" w14:textId="77777777">
        <w:tblPrEx>
          <w:tblW w:w="0" w:type="auto"/>
          <w:jc w:val="center"/>
          <w:tblLook w:val="04A0"/>
        </w:tblPrEx>
        <w:trPr>
          <w:jc w:val="center"/>
        </w:trPr>
        <w:tc>
          <w:tcPr>
            <w:tcW w:w="3996" w:type="dxa"/>
            <w:shd w:val="clear" w:color="auto" w:fill="auto"/>
          </w:tcPr>
          <w:p w:rsidR="00F3594B" w:rsidRPr="0072600F" w14:paraId="576682BD" w14:textId="77777777">
            <w:pPr>
              <w:numPr>
                <w:ilvl w:val="0"/>
                <w:numId w:val="15"/>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2550" w:type="dxa"/>
            <w:shd w:val="clear" w:color="auto" w:fill="auto"/>
          </w:tcPr>
          <w:p w:rsidR="00F3594B" w:rsidRPr="0072600F" w:rsidP="00802435" w14:paraId="12B2787C"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_________________</w:t>
            </w:r>
          </w:p>
        </w:tc>
      </w:tr>
      <w:tr w14:paraId="720165C1" w14:textId="77777777">
        <w:tblPrEx>
          <w:tblW w:w="0" w:type="auto"/>
          <w:jc w:val="center"/>
          <w:tblLook w:val="04A0"/>
        </w:tblPrEx>
        <w:trPr>
          <w:jc w:val="center"/>
        </w:trPr>
        <w:tc>
          <w:tcPr>
            <w:tcW w:w="3996" w:type="dxa"/>
            <w:shd w:val="clear" w:color="auto" w:fill="auto"/>
          </w:tcPr>
          <w:p w:rsidR="00F3594B" w:rsidRPr="0072600F" w14:paraId="1516CD23" w14:textId="77777777">
            <w:pPr>
              <w:numPr>
                <w:ilvl w:val="0"/>
                <w:numId w:val="15"/>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2550" w:type="dxa"/>
            <w:shd w:val="clear" w:color="auto" w:fill="auto"/>
          </w:tcPr>
          <w:p w:rsidR="00F3594B" w:rsidRPr="0072600F" w:rsidP="00802435" w14:paraId="26C86CC4"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_________________</w:t>
            </w:r>
          </w:p>
        </w:tc>
      </w:tr>
      <w:tr w14:paraId="0EEBF332" w14:textId="77777777">
        <w:tblPrEx>
          <w:tblW w:w="0" w:type="auto"/>
          <w:jc w:val="center"/>
          <w:tblLook w:val="04A0"/>
        </w:tblPrEx>
        <w:trPr>
          <w:jc w:val="center"/>
        </w:trPr>
        <w:tc>
          <w:tcPr>
            <w:tcW w:w="3996" w:type="dxa"/>
            <w:shd w:val="clear" w:color="auto" w:fill="auto"/>
          </w:tcPr>
          <w:p w:rsidR="00F3594B" w:rsidRPr="0072600F" w14:paraId="3AA9930D" w14:textId="77777777">
            <w:pPr>
              <w:numPr>
                <w:ilvl w:val="0"/>
                <w:numId w:val="15"/>
              </w:numPr>
              <w:spacing w:after="0" w:line="240" w:lineRule="auto"/>
              <w:contextualSpacing/>
              <w:rPr>
                <w:rFonts w:ascii="Times New Roman" w:hAnsi="Times New Roman" w:cs="Times New Roman"/>
                <w:sz w:val="26"/>
                <w:szCs w:val="26"/>
              </w:rPr>
            </w:pPr>
            <w:r w:rsidRPr="0072600F">
              <w:rPr>
                <w:rFonts w:ascii="Times New Roman" w:hAnsi="Times New Roman" w:cs="Times New Roman"/>
                <w:sz w:val="26"/>
                <w:szCs w:val="26"/>
              </w:rPr>
              <w:t>______________________</w:t>
            </w:r>
          </w:p>
        </w:tc>
        <w:tc>
          <w:tcPr>
            <w:tcW w:w="2550" w:type="dxa"/>
            <w:shd w:val="clear" w:color="auto" w:fill="auto"/>
          </w:tcPr>
          <w:p w:rsidR="00F3594B" w:rsidRPr="0072600F" w:rsidP="00802435" w14:paraId="167B2FF8" w14:textId="77777777">
            <w:pPr>
              <w:contextualSpacing/>
              <w:jc w:val="center"/>
              <w:rPr>
                <w:rFonts w:ascii="Times New Roman" w:hAnsi="Times New Roman" w:cs="Times New Roman"/>
                <w:sz w:val="26"/>
                <w:szCs w:val="26"/>
              </w:rPr>
            </w:pPr>
            <w:r w:rsidRPr="0072600F">
              <w:rPr>
                <w:rFonts w:ascii="Times New Roman" w:hAnsi="Times New Roman" w:cs="Times New Roman"/>
                <w:sz w:val="26"/>
                <w:szCs w:val="26"/>
              </w:rPr>
              <w:t>_________________</w:t>
            </w:r>
          </w:p>
        </w:tc>
      </w:tr>
    </w:tbl>
    <w:p w:rsidR="00F3594B" w:rsidRPr="0072600F" w14:paraId="0CDD7E30" w14:textId="77777777">
      <w:pPr>
        <w:spacing w:after="200" w:line="276" w:lineRule="auto"/>
        <w:rPr>
          <w:rFonts w:ascii="Times New Roman" w:eastAsia="Calibri" w:hAnsi="Times New Roman" w:cs="Times New Roman"/>
          <w:sz w:val="26"/>
          <w:szCs w:val="26"/>
        </w:rPr>
      </w:pPr>
    </w:p>
    <w:p w:rsidR="00F3594B" w:rsidRPr="0072600F" w14:paraId="283EB3AE" w14:textId="77777777">
      <w:pPr>
        <w:spacing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 xml:space="preserve">Interconnection Customer Signature </w:t>
      </w:r>
    </w:p>
    <w:p w:rsidR="00F3594B" w:rsidRPr="0072600F" w14:paraId="087FF58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 hereby certify that, to the best of my knowledge, the information provided in this Application is true.  I agree to abide by the Terms and Conditions for Interconnecting an Inverter-Based Small Generating Facility No Larger than 10kW and return the Certificate of Completion when the Small Generating Facility has been installed.</w:t>
      </w:r>
    </w:p>
    <w:p w:rsidR="00F3594B" w:rsidRPr="0072600F" w14:paraId="2FFBE5C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Signed: ___________________________________________________________________ </w:t>
      </w:r>
    </w:p>
    <w:p w:rsidR="00F3594B" w:rsidRPr="0072600F" w14:paraId="6DAC09E4"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Title: __________________________________ </w:t>
      </w:r>
      <w:r w:rsidRPr="0072600F">
        <w:rPr>
          <w:rFonts w:ascii="Times New Roman" w:eastAsia="Calibri" w:hAnsi="Times New Roman" w:cs="Times New Roman"/>
          <w:sz w:val="26"/>
          <w:szCs w:val="26"/>
        </w:rPr>
        <w:tab/>
        <w:t xml:space="preserve">Date: ___________________________ </w:t>
      </w:r>
      <w:r w:rsidRPr="0072600F">
        <w:rPr>
          <w:rFonts w:ascii="Times New Roman" w:eastAsia="Calibri" w:hAnsi="Times New Roman" w:cs="Times New Roman"/>
          <w:sz w:val="26"/>
          <w:szCs w:val="26"/>
        </w:rPr>
        <w:tab/>
      </w:r>
    </w:p>
    <w:p w:rsidR="00F3594B" w:rsidRPr="0072600F" w14:paraId="7C046BE8" w14:textId="77777777">
      <w:pPr>
        <w:spacing w:after="200" w:line="276" w:lineRule="auto"/>
        <w:rPr>
          <w:rFonts w:ascii="Times New Roman" w:eastAsia="Calibri" w:hAnsi="Times New Roman" w:cs="Times New Roman"/>
          <w:sz w:val="26"/>
          <w:szCs w:val="26"/>
        </w:rPr>
      </w:pPr>
    </w:p>
    <w:p w:rsidR="00F3594B" w:rsidRPr="0072600F" w14:paraId="50AC9BB1" w14:textId="77777777">
      <w:pPr>
        <w:spacing w:after="200" w:line="276" w:lineRule="auto"/>
        <w:rPr>
          <w:rFonts w:ascii="Times New Roman" w:eastAsia="Calibri" w:hAnsi="Times New Roman" w:cs="Times New Roman"/>
          <w:sz w:val="26"/>
          <w:szCs w:val="26"/>
        </w:rPr>
      </w:pPr>
    </w:p>
    <w:p w:rsidR="00F3594B" w:rsidRPr="0072600F" w14:paraId="08DDAB3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p>
    <w:p w:rsidR="00F3594B" w:rsidRPr="0072600F" w14:paraId="3AFF507A" w14:textId="77777777">
      <w:pPr>
        <w:spacing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Contingent Approval to Interconnect the Small Generating Facility</w:t>
      </w:r>
    </w:p>
    <w:p w:rsidR="00F3594B" w:rsidRPr="0072600F" w14:paraId="6FBF21D3"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(For Company use only) </w:t>
      </w:r>
    </w:p>
    <w:p w:rsidR="00F3594B" w:rsidRPr="0072600F" w14:paraId="12817CC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of the Small Generating Facility is approved contingent upon the Terms and Conditions for Interconnecting an Inverter-Based Small Generating Facility No Larger than 10kW and return of the Certificate of Completion.</w:t>
      </w:r>
    </w:p>
    <w:p w:rsidR="00F3594B" w:rsidRPr="0072600F" w14:paraId="0C9C07E7" w14:textId="77777777">
      <w:pPr>
        <w:spacing w:after="288" w:afterLines="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Company Signature: _________________________________________________________</w:t>
      </w:r>
    </w:p>
    <w:p w:rsidR="00F3594B" w:rsidRPr="0072600F" w14:paraId="58E7F232" w14:textId="77777777">
      <w:pPr>
        <w:spacing w:after="288" w:afterLines="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Title: __________________________________ </w:t>
      </w:r>
      <w:r w:rsidRPr="0072600F">
        <w:rPr>
          <w:rFonts w:ascii="Times New Roman" w:eastAsia="Calibri" w:hAnsi="Times New Roman" w:cs="Times New Roman"/>
          <w:sz w:val="26"/>
          <w:szCs w:val="26"/>
        </w:rPr>
        <w:tab/>
        <w:t xml:space="preserve">Date: ___________________________ </w:t>
      </w:r>
      <w:r w:rsidRPr="0072600F">
        <w:rPr>
          <w:rFonts w:ascii="Times New Roman" w:eastAsia="Calibri" w:hAnsi="Times New Roman" w:cs="Times New Roman"/>
          <w:sz w:val="26"/>
          <w:szCs w:val="26"/>
        </w:rPr>
        <w:tab/>
      </w:r>
    </w:p>
    <w:p w:rsidR="00F3594B" w:rsidRPr="0072600F" w14:paraId="55435ABA" w14:textId="77777777">
      <w:pPr>
        <w:spacing w:after="288" w:afterLines="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Application ID number: __________________ </w:t>
      </w:r>
    </w:p>
    <w:p w:rsidR="00F3594B" w:rsidRPr="0072600F" w14:paraId="13FC875C" w14:textId="77777777">
      <w:pPr>
        <w:spacing w:after="288" w:afterLines="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Company waives inspection/witness test?  </w:t>
      </w:r>
      <w:r w:rsidRPr="0072600F">
        <w:rPr>
          <w:rFonts w:ascii="Times New Roman" w:eastAsia="Calibri" w:hAnsi="Times New Roman" w:cs="Times New Roman"/>
          <w:sz w:val="26"/>
          <w:szCs w:val="26"/>
        </w:rPr>
        <w:t>Yes___No</w:t>
      </w:r>
      <w:r w:rsidRPr="0072600F">
        <w:rPr>
          <w:rFonts w:ascii="Times New Roman" w:eastAsia="Calibri" w:hAnsi="Times New Roman" w:cs="Times New Roman"/>
          <w:sz w:val="26"/>
          <w:szCs w:val="26"/>
        </w:rPr>
        <w:t>___</w:t>
      </w:r>
    </w:p>
    <w:p w:rsidR="00F3594B" w:rsidRPr="0072600F" w14:paraId="59E19C9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3F40B088"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Small Generating Facility Certificate of Completion</w:t>
      </w:r>
    </w:p>
    <w:p w:rsidR="00F3594B" w:rsidRPr="0072600F" w14:paraId="2FC1384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Is the Small Generating Facility owner-installed? Yes______ No ______</w:t>
      </w:r>
    </w:p>
    <w:p w:rsidR="00F3594B" w:rsidRPr="0072600F" w14:paraId="22990B0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Interconnection Customer: ________________________________________________________</w:t>
      </w:r>
    </w:p>
    <w:p w:rsidR="00F3594B" w:rsidRPr="0072600F" w14:paraId="6449FD5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Contact Person: ________________________________________________________________</w:t>
      </w:r>
      <w:r w:rsidRPr="0072600F">
        <w:rPr>
          <w:rFonts w:ascii="Times New Roman" w:eastAsia="Calibri" w:hAnsi="Times New Roman" w:cs="Times New Roman"/>
          <w:sz w:val="26"/>
          <w:szCs w:val="26"/>
        </w:rPr>
        <w:tab/>
      </w:r>
    </w:p>
    <w:p w:rsidR="00F3594B" w:rsidRPr="0072600F" w14:paraId="0587CF1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 ______________________________________________________________________</w:t>
      </w:r>
      <w:r w:rsidRPr="0072600F">
        <w:rPr>
          <w:rFonts w:ascii="Times New Roman" w:eastAsia="Calibri" w:hAnsi="Times New Roman" w:cs="Times New Roman"/>
          <w:sz w:val="26"/>
          <w:szCs w:val="26"/>
        </w:rPr>
        <w:tab/>
      </w:r>
    </w:p>
    <w:p w:rsidR="00F3594B" w:rsidRPr="0072600F" w14:paraId="46215856"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Location of the Small Generating Facility (if different from above): _______________________ ______________________________________________________________________________ City: ____________________________ </w:t>
      </w:r>
      <w:r w:rsidRPr="0072600F">
        <w:rPr>
          <w:rFonts w:ascii="Times New Roman" w:eastAsia="Calibri" w:hAnsi="Times New Roman" w:cs="Times New Roman"/>
          <w:sz w:val="26"/>
          <w:szCs w:val="26"/>
        </w:rPr>
        <w:tab/>
        <w:t xml:space="preserve">State: ______ </w:t>
      </w:r>
      <w:r w:rsidRPr="0072600F">
        <w:rPr>
          <w:rFonts w:ascii="Times New Roman" w:eastAsia="Calibri" w:hAnsi="Times New Roman" w:cs="Times New Roman"/>
          <w:sz w:val="26"/>
          <w:szCs w:val="26"/>
        </w:rPr>
        <w:tab/>
        <w:t>Zip: _________</w:t>
      </w:r>
      <w:r w:rsidRPr="0072600F">
        <w:rPr>
          <w:rFonts w:ascii="Times New Roman" w:eastAsia="Calibri" w:hAnsi="Times New Roman" w:cs="Times New Roman"/>
          <w:sz w:val="26"/>
          <w:szCs w:val="26"/>
        </w:rPr>
        <w:tab/>
      </w:r>
    </w:p>
    <w:p w:rsidR="00F3594B" w:rsidRPr="0072600F" w14:paraId="0846BC0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w:t>
      </w:r>
      <w:r w:rsidRPr="0072600F">
        <w:rPr>
          <w:rFonts w:ascii="Times New Roman" w:eastAsia="Calibri" w:hAnsi="Times New Roman" w:cs="Times New Roman"/>
          <w:sz w:val="26"/>
          <w:szCs w:val="26"/>
        </w:rPr>
        <w:tab/>
        <w:t xml:space="preserve">  (Evening):  _______________</w:t>
      </w:r>
      <w:r w:rsidRPr="0072600F">
        <w:rPr>
          <w:rFonts w:ascii="Times New Roman" w:eastAsia="Calibri" w:hAnsi="Times New Roman" w:cs="Times New Roman"/>
          <w:sz w:val="26"/>
          <w:szCs w:val="26"/>
        </w:rPr>
        <w:tab/>
      </w:r>
    </w:p>
    <w:p w:rsidR="00F3594B" w:rsidRPr="0072600F" w14:paraId="1CA90C4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Fax: _______________ </w:t>
      </w:r>
      <w:r w:rsidRPr="0072600F">
        <w:rPr>
          <w:rFonts w:ascii="Times New Roman" w:eastAsia="Calibri" w:hAnsi="Times New Roman" w:cs="Times New Roman"/>
          <w:sz w:val="26"/>
          <w:szCs w:val="26"/>
        </w:rPr>
        <w:tab/>
        <w:t xml:space="preserve">  E-Mail Address: _______________</w:t>
      </w:r>
    </w:p>
    <w:p w:rsidR="00F3594B" w:rsidRPr="0072600F" w14:paraId="1C48B33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Electrician</w:t>
      </w:r>
      <w:r w:rsidRPr="0072600F">
        <w:rPr>
          <w:rFonts w:ascii="Times New Roman" w:eastAsia="Calibri" w:hAnsi="Times New Roman" w:cs="Times New Roman"/>
          <w:sz w:val="26"/>
          <w:szCs w:val="26"/>
        </w:rPr>
        <w:t xml:space="preserve">: </w:t>
      </w:r>
    </w:p>
    <w:p w:rsidR="00F3594B" w:rsidRPr="0072600F" w14:paraId="2C0F4FD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________________________________________________________________________</w:t>
      </w:r>
      <w:r w:rsidRPr="0072600F">
        <w:rPr>
          <w:rFonts w:ascii="Times New Roman" w:eastAsia="Calibri" w:hAnsi="Times New Roman" w:cs="Times New Roman"/>
          <w:sz w:val="26"/>
          <w:szCs w:val="26"/>
        </w:rPr>
        <w:tab/>
      </w:r>
    </w:p>
    <w:p w:rsidR="00F3594B" w:rsidRPr="0072600F" w14:paraId="6277D52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Address: ______________________________________________________________________</w:t>
      </w:r>
      <w:r w:rsidRPr="0072600F">
        <w:rPr>
          <w:rFonts w:ascii="Times New Roman" w:eastAsia="Calibri" w:hAnsi="Times New Roman" w:cs="Times New Roman"/>
          <w:sz w:val="26"/>
          <w:szCs w:val="26"/>
        </w:rPr>
        <w:tab/>
      </w:r>
    </w:p>
    <w:p w:rsidR="00F3594B" w:rsidRPr="0072600F" w14:paraId="2A3953B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Location of the Small Generating Facility (if different from above): _______________________ ______________________________________________________________________________ City: ____________________________ </w:t>
      </w:r>
      <w:r w:rsidRPr="0072600F">
        <w:rPr>
          <w:rFonts w:ascii="Times New Roman" w:eastAsia="Calibri" w:hAnsi="Times New Roman" w:cs="Times New Roman"/>
          <w:sz w:val="26"/>
          <w:szCs w:val="26"/>
        </w:rPr>
        <w:tab/>
        <w:t xml:space="preserve">State: ______ </w:t>
      </w:r>
      <w:r w:rsidRPr="0072600F">
        <w:rPr>
          <w:rFonts w:ascii="Times New Roman" w:eastAsia="Calibri" w:hAnsi="Times New Roman" w:cs="Times New Roman"/>
          <w:sz w:val="26"/>
          <w:szCs w:val="26"/>
        </w:rPr>
        <w:tab/>
        <w:t>Zip: _________</w:t>
      </w:r>
      <w:r w:rsidRPr="0072600F">
        <w:rPr>
          <w:rFonts w:ascii="Times New Roman" w:eastAsia="Calibri" w:hAnsi="Times New Roman" w:cs="Times New Roman"/>
          <w:sz w:val="26"/>
          <w:szCs w:val="26"/>
        </w:rPr>
        <w:tab/>
      </w:r>
    </w:p>
    <w:p w:rsidR="00F3594B" w:rsidRPr="0072600F" w14:paraId="744E95A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Telephone (Day): _______________</w:t>
      </w:r>
      <w:r w:rsidRPr="0072600F">
        <w:rPr>
          <w:rFonts w:ascii="Times New Roman" w:eastAsia="Calibri" w:hAnsi="Times New Roman" w:cs="Times New Roman"/>
          <w:sz w:val="26"/>
          <w:szCs w:val="26"/>
        </w:rPr>
        <w:tab/>
        <w:t xml:space="preserve">  (Evening):  _______________</w:t>
      </w:r>
      <w:r w:rsidRPr="0072600F">
        <w:rPr>
          <w:rFonts w:ascii="Times New Roman" w:eastAsia="Calibri" w:hAnsi="Times New Roman" w:cs="Times New Roman"/>
          <w:sz w:val="26"/>
          <w:szCs w:val="26"/>
        </w:rPr>
        <w:tab/>
      </w:r>
    </w:p>
    <w:p w:rsidR="00F3594B" w:rsidRPr="0072600F" w14:paraId="05D054F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Fax: _______________ </w:t>
      </w:r>
      <w:r w:rsidRPr="0072600F">
        <w:rPr>
          <w:rFonts w:ascii="Times New Roman" w:eastAsia="Calibri" w:hAnsi="Times New Roman" w:cs="Times New Roman"/>
          <w:sz w:val="26"/>
          <w:szCs w:val="26"/>
        </w:rPr>
        <w:tab/>
        <w:t xml:space="preserve">  E-Mail Address: _______________</w:t>
      </w:r>
    </w:p>
    <w:p w:rsidR="00F3594B" w:rsidRPr="0072600F" w14:paraId="2458D9E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License number: ____________________________________</w:t>
      </w:r>
    </w:p>
    <w:p w:rsidR="00F3594B" w:rsidRPr="0072600F" w14:paraId="7FAC600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Date Approval to Install Facility granted by the Company: ___________________</w:t>
      </w:r>
    </w:p>
    <w:p w:rsidR="00F3594B" w:rsidRPr="0072600F" w14:paraId="12EC3EE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Application ID number: ______________________________</w:t>
      </w:r>
    </w:p>
    <w:p w:rsidR="00F3594B" w:rsidRPr="0072600F" w14:paraId="0C36592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u w:val="single"/>
        </w:rPr>
        <w:t>Inspection</w:t>
      </w:r>
      <w:r w:rsidRPr="0072600F">
        <w:rPr>
          <w:rFonts w:ascii="Times New Roman" w:eastAsia="Calibri" w:hAnsi="Times New Roman" w:cs="Times New Roman"/>
          <w:sz w:val="26"/>
          <w:szCs w:val="26"/>
        </w:rPr>
        <w:t xml:space="preserve">: </w:t>
      </w:r>
    </w:p>
    <w:p w:rsidR="00F3594B" w:rsidRPr="0072600F" w14:paraId="1C07AF60"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The Small Generating Facility has been installed and inspected in compliance with the local</w:t>
      </w:r>
    </w:p>
    <w:p w:rsidR="00F3594B" w:rsidRPr="0072600F" w14:paraId="6DDFA6C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building/electrical code of: ____________________________________________________ </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 xml:space="preserve"> </w:t>
      </w:r>
    </w:p>
    <w:p w:rsidR="00F3594B" w:rsidRPr="0072600F" w14:paraId="380EF7C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Signed (Local electrical wiring inspector, or attach signed electrical inspection): ________________________________________</w:t>
      </w:r>
    </w:p>
    <w:p w:rsidR="00F3594B" w:rsidRPr="0072600F" w14:paraId="3143E64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Print Name: ______________________________</w:t>
      </w:r>
    </w:p>
    <w:p w:rsidR="00F3594B" w:rsidRPr="0072600F" w14:paraId="14E5337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Date: ____________________________________</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p>
    <w:p w:rsidR="00F3594B" w:rsidRPr="0072600F" w14:paraId="37F42CA1" w14:textId="77777777">
      <w:pPr>
        <w:spacing w:after="200" w:line="276" w:lineRule="auto"/>
        <w:rPr>
          <w:rFonts w:ascii="Times New Roman" w:eastAsia="Calibri" w:hAnsi="Times New Roman" w:cs="Times New Roman"/>
          <w:sz w:val="26"/>
          <w:szCs w:val="26"/>
        </w:rPr>
      </w:pPr>
    </w:p>
    <w:p w:rsidR="00F3594B" w:rsidRPr="0072600F" w14:paraId="2D60F28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As a condition of interconnection, you are required to send/fax a copy of this form along with a copy of the signed electrical permit to (insert Company information below): </w:t>
      </w:r>
    </w:p>
    <w:p w:rsidR="00F3594B" w:rsidRPr="0072600F" w14:paraId="7B442CC8" w14:textId="77777777">
      <w:pPr>
        <w:spacing w:after="200" w:line="276" w:lineRule="auto"/>
        <w:rPr>
          <w:rFonts w:ascii="Times New Roman" w:eastAsia="Calibri" w:hAnsi="Times New Roman" w:cs="Times New Roman"/>
          <w:sz w:val="26"/>
          <w:szCs w:val="26"/>
        </w:rPr>
      </w:pPr>
    </w:p>
    <w:p w:rsidR="00F3594B" w:rsidRPr="0072600F" w14:paraId="0176E068"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Name: _______________________________________________</w:t>
      </w:r>
    </w:p>
    <w:p w:rsidR="00F3594B" w:rsidRPr="0072600F" w14:paraId="488BB10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Company: ____________________________________________</w:t>
      </w:r>
    </w:p>
    <w:p w:rsidR="00F3594B" w:rsidRPr="0072600F" w14:paraId="32140D3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Address:______________________________________________</w:t>
      </w:r>
    </w:p>
    <w:p w:rsidR="00F3594B" w:rsidRPr="0072600F" w14:paraId="464B3BC9"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_____________________________________________________</w:t>
      </w:r>
    </w:p>
    <w:p w:rsidR="00F3594B" w:rsidRPr="0072600F" w14:paraId="4F417B30"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City, State ZIP: ________________________________________</w:t>
      </w:r>
    </w:p>
    <w:p w:rsidR="00F3594B" w:rsidRPr="0072600F" w14:paraId="1E1FD33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 xml:space="preserve">Fax: _________________________________________________ </w:t>
      </w:r>
      <w:r w:rsidRPr="0072600F">
        <w:rPr>
          <w:rFonts w:ascii="Times New Roman" w:eastAsia="Calibri" w:hAnsi="Times New Roman" w:cs="Times New Roman"/>
          <w:sz w:val="26"/>
          <w:szCs w:val="26"/>
        </w:rPr>
        <w:tab/>
      </w:r>
    </w:p>
    <w:p w:rsidR="00F3594B" w:rsidRPr="0072600F" w14:paraId="45F73C6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p>
    <w:p w:rsidR="00F3594B" w:rsidRPr="0072600F" w14:paraId="38D4F736" w14:textId="77777777">
      <w:pPr>
        <w:spacing w:after="200"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u w:val="single"/>
        </w:rPr>
        <w:t xml:space="preserve">Approval to Energize the Small Generating Facility (For Company use only) </w:t>
      </w:r>
    </w:p>
    <w:p w:rsidR="00F3594B" w:rsidRPr="0072600F" w14:paraId="5D1CAA8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Energizing the Small Generating Facility is approved contingent upon the Terms and Conditions for Interconnecting an Inverter-Based Small Generating Facility No Larger than 10kW</w:t>
      </w:r>
    </w:p>
    <w:p w:rsidR="00F3594B" w:rsidRPr="0072600F" w14:paraId="2FC6198A" w14:textId="77777777">
      <w:pPr>
        <w:spacing w:after="200" w:line="276" w:lineRule="auto"/>
        <w:rPr>
          <w:rFonts w:ascii="Times New Roman" w:eastAsia="Calibri" w:hAnsi="Times New Roman" w:cs="Times New Roman"/>
          <w:sz w:val="26"/>
          <w:szCs w:val="26"/>
        </w:rPr>
      </w:pPr>
    </w:p>
    <w:p w:rsidR="00F3594B" w:rsidRPr="0072600F" w14:paraId="5DCE949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Company Signature: ______________________________________________________</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 xml:space="preserve"> </w:t>
      </w:r>
    </w:p>
    <w:p w:rsidR="00F3594B" w:rsidRPr="0072600F" w14:paraId="5926DC9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Title: ________________________________________   Date: ____________________ </w:t>
      </w:r>
      <w:r w:rsidRPr="0072600F">
        <w:rPr>
          <w:rFonts w:ascii="Times New Roman" w:eastAsia="Calibri" w:hAnsi="Times New Roman" w:cs="Times New Roman"/>
          <w:sz w:val="26"/>
          <w:szCs w:val="26"/>
        </w:rPr>
        <w:tab/>
      </w:r>
    </w:p>
    <w:p w:rsidR="00F3594B" w:rsidRPr="0072600F" w14:paraId="42EA4DA0"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F3594B" w:rsidRPr="0072600F" w14:paraId="31B0BDC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646C6BA7"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Terms and Conditions for Interconnecting an Inverter-Based</w:t>
      </w:r>
    </w:p>
    <w:p w:rsidR="00F3594B" w:rsidRPr="0072600F" w14:paraId="2E6ADE01"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Small Generating Facility No Larger than 10kW</w:t>
      </w:r>
    </w:p>
    <w:p w:rsidR="00F3594B" w:rsidRPr="0072600F" w14:paraId="54D39B43" w14:textId="77777777">
      <w:pPr>
        <w:spacing w:line="276" w:lineRule="auto"/>
        <w:jc w:val="center"/>
        <w:rPr>
          <w:rFonts w:ascii="Times New Roman" w:eastAsia="Calibri" w:hAnsi="Times New Roman" w:cs="Times New Roman"/>
          <w:b/>
          <w:sz w:val="26"/>
          <w:szCs w:val="26"/>
        </w:rPr>
      </w:pPr>
    </w:p>
    <w:p w:rsidR="00F3594B" w:rsidRPr="0072600F" w14:paraId="54F83D71" w14:textId="77777777">
      <w:pPr>
        <w:numPr>
          <w:ilvl w:val="0"/>
          <w:numId w:val="16"/>
        </w:numPr>
        <w:spacing w:after="200" w:line="276" w:lineRule="auto"/>
        <w:contextualSpacing/>
        <w:rPr>
          <w:rFonts w:ascii="Times New Roman" w:eastAsia="Calibri" w:hAnsi="Times New Roman" w:cs="Times New Roman"/>
          <w:b/>
          <w:sz w:val="26"/>
          <w:szCs w:val="26"/>
        </w:rPr>
      </w:pPr>
      <w:r w:rsidRPr="0072600F">
        <w:rPr>
          <w:rFonts w:ascii="Times New Roman" w:eastAsia="Calibri" w:hAnsi="Times New Roman" w:cs="Times New Roman"/>
          <w:b/>
          <w:sz w:val="26"/>
          <w:szCs w:val="26"/>
        </w:rPr>
        <w:t>Construction of the Facility</w:t>
      </w:r>
    </w:p>
    <w:p w:rsidR="00F3594B" w:rsidRPr="0072600F" w14:paraId="525A0BAA" w14:textId="77777777">
      <w:pPr>
        <w:spacing w:after="120" w:line="276" w:lineRule="auto"/>
        <w:ind w:left="720"/>
        <w:contextualSpacing/>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(the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may proceed to construct (including operational testing not to exceed two hours) the Small Generating Facility when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(the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Company</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approves the Interconnection Request (the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Application</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and returns it to the Customer.</w:t>
      </w:r>
    </w:p>
    <w:p w:rsidR="00F3594B" w:rsidRPr="0072600F" w14:paraId="637E5D03" w14:textId="77777777">
      <w:pPr>
        <w:spacing w:after="120" w:line="276" w:lineRule="auto"/>
        <w:ind w:left="720"/>
        <w:contextualSpacing/>
        <w:rPr>
          <w:rFonts w:ascii="Times New Roman" w:eastAsia="Calibri" w:hAnsi="Times New Roman" w:cs="Times New Roman"/>
          <w:sz w:val="26"/>
          <w:szCs w:val="26"/>
        </w:rPr>
      </w:pPr>
    </w:p>
    <w:p w:rsidR="00F3594B" w:rsidRPr="0072600F" w14:paraId="01C31748" w14:textId="77777777">
      <w:pPr>
        <w:numPr>
          <w:ilvl w:val="0"/>
          <w:numId w:val="16"/>
        </w:numPr>
        <w:spacing w:after="200" w:line="276" w:lineRule="auto"/>
        <w:contextualSpacing/>
        <w:rPr>
          <w:rFonts w:ascii="Times New Roman" w:eastAsia="Calibri" w:hAnsi="Times New Roman" w:cs="Times New Roman"/>
          <w:b/>
          <w:sz w:val="26"/>
          <w:szCs w:val="26"/>
        </w:rPr>
      </w:pPr>
      <w:r w:rsidRPr="0072600F">
        <w:rPr>
          <w:rFonts w:ascii="Times New Roman" w:eastAsia="Calibri" w:hAnsi="Times New Roman" w:cs="Times New Roman"/>
          <w:b/>
          <w:sz w:val="26"/>
          <w:szCs w:val="26"/>
        </w:rPr>
        <w:t>Interconnection and Operation</w:t>
      </w:r>
    </w:p>
    <w:p w:rsidR="00F3594B" w:rsidRPr="0072600F" w14:paraId="3460DACE" w14:textId="77777777">
      <w:pPr>
        <w:spacing w:after="200" w:line="276" w:lineRule="auto"/>
        <w:ind w:left="720"/>
        <w:contextualSpacing/>
        <w:rPr>
          <w:rFonts w:ascii="Times New Roman" w:eastAsia="Calibri" w:hAnsi="Times New Roman" w:cs="Times New Roman"/>
          <w:sz w:val="26"/>
          <w:szCs w:val="26"/>
        </w:rPr>
      </w:pPr>
      <w:r w:rsidRPr="0072600F">
        <w:rPr>
          <w:rFonts w:ascii="Times New Roman" w:eastAsia="Calibri" w:hAnsi="Times New Roman" w:cs="Times New Roman"/>
          <w:sz w:val="26"/>
          <w:szCs w:val="26"/>
        </w:rPr>
        <w:t>The Customer may operate Small Generating Facility and interconnect with the Company’s electric system once all of the following have occurred:</w:t>
      </w:r>
    </w:p>
    <w:p w:rsidR="00F3594B" w:rsidRPr="0072600F" w14:paraId="02B6ECC8"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2.1</w:t>
      </w:r>
      <w:r w:rsidRPr="0072600F">
        <w:rPr>
          <w:rFonts w:ascii="Times New Roman" w:eastAsia="Calibri" w:hAnsi="Times New Roman" w:cs="Times New Roman"/>
          <w:sz w:val="26"/>
          <w:szCs w:val="26"/>
        </w:rPr>
        <w:tab/>
        <w:t>Upon completing construction, the Customer will cause the Small Generating Facility to be inspected or otherwise certified by the appropriate local electrical wiring inspector with jurisdiction, and</w:t>
      </w:r>
    </w:p>
    <w:p w:rsidR="00F3594B" w:rsidRPr="0072600F" w14:paraId="3EA653E7"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2.2</w:t>
      </w:r>
      <w:r w:rsidRPr="0072600F">
        <w:rPr>
          <w:rFonts w:ascii="Times New Roman" w:eastAsia="Calibri" w:hAnsi="Times New Roman" w:cs="Times New Roman"/>
          <w:sz w:val="26"/>
          <w:szCs w:val="26"/>
        </w:rPr>
        <w:tab/>
        <w:t xml:space="preserve">The Customer returns the Certificate of Completion to the Company, and </w:t>
      </w:r>
    </w:p>
    <w:p w:rsidR="00F3594B" w:rsidRPr="0072600F" w14:paraId="0DED94F2"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2.3</w:t>
      </w:r>
      <w:r w:rsidRPr="0072600F">
        <w:rPr>
          <w:rFonts w:ascii="Times New Roman" w:eastAsia="Calibri" w:hAnsi="Times New Roman" w:cs="Times New Roman"/>
          <w:sz w:val="26"/>
          <w:szCs w:val="26"/>
        </w:rPr>
        <w:tab/>
        <w:t>The Company has either:</w:t>
      </w:r>
    </w:p>
    <w:p w:rsidR="00F3594B" w:rsidRPr="0072600F" w14:paraId="6E77D217" w14:textId="77777777">
      <w:pPr>
        <w:spacing w:after="200" w:line="276" w:lineRule="auto"/>
        <w:ind w:left="216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2.3.1</w:t>
      </w:r>
      <w:r w:rsidRPr="0072600F">
        <w:rPr>
          <w:rFonts w:ascii="Times New Roman" w:eastAsia="Calibri" w:hAnsi="Times New Roman" w:cs="Times New Roman"/>
          <w:sz w:val="26"/>
          <w:szCs w:val="26"/>
        </w:rPr>
        <w:tab/>
        <w:t>Completed its inspection of the Small Generating Facility to ensure that all equipment has been appropriately installed and that all electrical connections have been made in accordance with applicable codes.  All inspections must be conducted by the Company, at its own expense, within ten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(10)</w:t>
      </w:r>
      <w:r w:rsidRPr="0072600F">
        <w:rPr>
          <w:rFonts w:ascii="Times New Roman" w:eastAsia="Calibri" w:hAnsi="Times New Roman" w:cs="Times New Roman"/>
          <w:sz w:val="26"/>
          <w:szCs w:val="26"/>
        </w:rPr>
        <w:t xml:space="preserve"> Business Days after receipt of the Certificate of Completion and shall take place at a time agreeable to the Parties.  The Company shall provide a written statement that the Small Generating Facility has passed inspection or shall notify the Customer of what steps it must take to pass inspection as soon as practicable after the inspection takes place; or</w:t>
      </w:r>
    </w:p>
    <w:p w:rsidR="00F3594B" w:rsidRPr="0072600F" w14:paraId="05C3B5D1" w14:textId="77777777">
      <w:pPr>
        <w:spacing w:after="200" w:line="276" w:lineRule="auto"/>
        <w:ind w:left="216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2.3.2</w:t>
      </w:r>
      <w:r w:rsidRPr="0072600F">
        <w:rPr>
          <w:rFonts w:ascii="Times New Roman" w:eastAsia="Calibri" w:hAnsi="Times New Roman" w:cs="Times New Roman"/>
          <w:sz w:val="26"/>
          <w:szCs w:val="26"/>
        </w:rPr>
        <w:tab/>
        <w:t>If the Company does not schedule an inspection of the Small Generating Facility within ten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(10)</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b</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B</w:t>
      </w:r>
      <w:r w:rsidRPr="0072600F">
        <w:rPr>
          <w:rFonts w:ascii="Times New Roman" w:eastAsia="Calibri" w:hAnsi="Times New Roman" w:cs="Times New Roman"/>
          <w:sz w:val="26"/>
          <w:szCs w:val="26"/>
        </w:rPr>
        <w:t xml:space="preserve">usiness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ays after receiving the Certificate of Completion, the witness test is deemed waived (unless the Parties agree otherwise); or</w:t>
      </w:r>
    </w:p>
    <w:p w:rsidR="00F3594B" w:rsidRPr="0072600F" w14:paraId="4022D756" w14:textId="77777777">
      <w:pPr>
        <w:spacing w:after="200" w:line="276" w:lineRule="auto"/>
        <w:ind w:left="720"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2.3.3 </w:t>
      </w:r>
      <w:r w:rsidRPr="0072600F">
        <w:rPr>
          <w:rFonts w:ascii="Times New Roman" w:eastAsia="Calibri" w:hAnsi="Times New Roman" w:cs="Times New Roman"/>
          <w:sz w:val="26"/>
          <w:szCs w:val="26"/>
        </w:rPr>
        <w:tab/>
        <w:t>The Company waives the right to inspect the Small Generating Facility.</w:t>
      </w:r>
    </w:p>
    <w:p w:rsidR="00F3594B" w:rsidRPr="0072600F" w14:paraId="13ABD1DD"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2.4</w:t>
      </w:r>
      <w:r w:rsidRPr="0072600F">
        <w:rPr>
          <w:rFonts w:ascii="Times New Roman" w:eastAsia="Calibri" w:hAnsi="Times New Roman" w:cs="Times New Roman"/>
          <w:sz w:val="26"/>
          <w:szCs w:val="26"/>
        </w:rPr>
        <w:tab/>
        <w:t>The Company has the right to disconnect the Small Generating Facility in the event of improper installation or failure to return the Certificate of Completion.</w:t>
      </w:r>
    </w:p>
    <w:p w:rsidR="00F3594B" w:rsidRPr="0072600F" w:rsidP="00A17DFF" w14:paraId="419EDA09"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2.5</w:t>
      </w:r>
      <w:r w:rsidRPr="0072600F">
        <w:rPr>
          <w:rFonts w:ascii="Times New Roman" w:eastAsia="Calibri" w:hAnsi="Times New Roman" w:cs="Times New Roman"/>
          <w:sz w:val="26"/>
          <w:szCs w:val="26"/>
        </w:rPr>
        <w:tab/>
        <w:t>Revenue quality metering equipment must be installed and tested in accordance with applicable ANSI standards.</w:t>
      </w:r>
    </w:p>
    <w:p w:rsidR="00F3594B" w:rsidRPr="0072600F" w14:paraId="061F6171" w14:textId="77777777">
      <w:pPr>
        <w:spacing w:line="276" w:lineRule="auto"/>
        <w:ind w:left="720" w:hanging="720"/>
        <w:rPr>
          <w:rFonts w:ascii="Times New Roman" w:eastAsia="Calibri" w:hAnsi="Times New Roman" w:cs="Times New Roman"/>
          <w:b/>
          <w:sz w:val="26"/>
          <w:szCs w:val="26"/>
        </w:rPr>
      </w:pPr>
      <w:r w:rsidRPr="0072600F">
        <w:rPr>
          <w:rFonts w:ascii="Times New Roman" w:eastAsia="Calibri" w:hAnsi="Times New Roman" w:cs="Times New Roman"/>
          <w:b/>
          <w:sz w:val="26"/>
          <w:szCs w:val="26"/>
        </w:rPr>
        <w:t>3.0</w:t>
      </w:r>
      <w:r w:rsidRPr="0072600F">
        <w:rPr>
          <w:rFonts w:ascii="Times New Roman" w:eastAsia="Calibri" w:hAnsi="Times New Roman" w:cs="Times New Roman"/>
          <w:b/>
          <w:sz w:val="26"/>
          <w:szCs w:val="26"/>
        </w:rPr>
        <w:tab/>
        <w:t xml:space="preserve">Safe Operations and Maintenance </w:t>
      </w:r>
    </w:p>
    <w:p w:rsidR="00F3594B" w:rsidRPr="0072600F" w14:paraId="7CE9DB2D"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Customer shall be fully responsible to operate, maintain, and repair the Small Generating Facility as required to ensure that it complies at all times with the interconnection standards to which it has been certified.</w:t>
      </w:r>
    </w:p>
    <w:p w:rsidR="00F3594B" w:rsidRPr="0072600F" w14:paraId="328A5738" w14:textId="77777777">
      <w:pPr>
        <w:spacing w:line="276" w:lineRule="auto"/>
        <w:ind w:left="720" w:hanging="720"/>
        <w:rPr>
          <w:rFonts w:ascii="Times New Roman" w:eastAsia="Calibri" w:hAnsi="Times New Roman" w:cs="Times New Roman"/>
          <w:b/>
          <w:sz w:val="26"/>
          <w:szCs w:val="26"/>
        </w:rPr>
      </w:pPr>
      <w:r w:rsidRPr="0072600F">
        <w:rPr>
          <w:rFonts w:ascii="Times New Roman" w:eastAsia="Calibri" w:hAnsi="Times New Roman" w:cs="Times New Roman"/>
          <w:b/>
          <w:sz w:val="26"/>
          <w:szCs w:val="26"/>
        </w:rPr>
        <w:t>4.0</w:t>
      </w:r>
      <w:r w:rsidRPr="0072600F">
        <w:rPr>
          <w:rFonts w:ascii="Times New Roman" w:eastAsia="Calibri" w:hAnsi="Times New Roman" w:cs="Times New Roman"/>
          <w:b/>
          <w:sz w:val="26"/>
          <w:szCs w:val="26"/>
        </w:rPr>
        <w:tab/>
        <w:t>Access</w:t>
      </w:r>
    </w:p>
    <w:p w:rsidR="00F3594B" w:rsidRPr="0072600F" w14:paraId="0040BB37"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The Company shall have access to the disconnect switch (if the disconnect switch is required) and metering equipment of the Small Generating Facility at all times. The Company shall provide reasonable notice to the Customer when possible prior to using its right of access. </w:t>
      </w:r>
    </w:p>
    <w:p w:rsidR="00F3594B" w:rsidRPr="0072600F" w14:paraId="4E5AE57A" w14:textId="77777777">
      <w:pPr>
        <w:pStyle w:val="ListParagraph"/>
        <w:numPr>
          <w:ilvl w:val="0"/>
          <w:numId w:val="18"/>
        </w:numPr>
        <w:spacing w:line="276" w:lineRule="auto"/>
        <w:rPr>
          <w:rFonts w:eastAsia="Calibri"/>
          <w:b/>
          <w:szCs w:val="26"/>
        </w:rPr>
      </w:pPr>
      <w:r w:rsidRPr="0072600F">
        <w:rPr>
          <w:rFonts w:eastAsia="Calibri"/>
          <w:b/>
          <w:szCs w:val="26"/>
        </w:rPr>
        <w:t>Disconnection</w:t>
      </w:r>
    </w:p>
    <w:p w:rsidR="00F3594B" w:rsidRPr="0072600F" w14:paraId="10225184" w14:textId="77777777">
      <w:pPr>
        <w:spacing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Company may temporarily disconnect the Small Generating Facility upon the following conditions:</w:t>
      </w:r>
    </w:p>
    <w:p w:rsidR="00F3594B" w:rsidRPr="0072600F" w14:paraId="0F9DEECD" w14:textId="77777777">
      <w:pPr>
        <w:spacing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5.1</w:t>
      </w:r>
      <w:r w:rsidRPr="0072600F">
        <w:rPr>
          <w:rFonts w:ascii="Times New Roman" w:eastAsia="Calibri" w:hAnsi="Times New Roman" w:cs="Times New Roman"/>
          <w:sz w:val="26"/>
          <w:szCs w:val="26"/>
        </w:rPr>
        <w:tab/>
        <w:t>For scheduled outages upon reasonable notice.</w:t>
      </w:r>
    </w:p>
    <w:p w:rsidR="00F3594B" w:rsidRPr="0072600F" w14:paraId="38DEEAA4" w14:textId="77777777">
      <w:pPr>
        <w:spacing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5.2</w:t>
      </w:r>
      <w:r w:rsidRPr="0072600F">
        <w:rPr>
          <w:rFonts w:ascii="Times New Roman" w:eastAsia="Calibri" w:hAnsi="Times New Roman" w:cs="Times New Roman"/>
          <w:sz w:val="26"/>
          <w:szCs w:val="26"/>
        </w:rPr>
        <w:tab/>
        <w:t>For unscheduled outages or emergency conditions.</w:t>
      </w:r>
    </w:p>
    <w:p w:rsidR="00F3594B" w:rsidRPr="0072600F" w14:paraId="5ADC69F2"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5.3</w:t>
      </w:r>
      <w:r w:rsidRPr="0072600F">
        <w:rPr>
          <w:rFonts w:ascii="Times New Roman" w:eastAsia="Calibri" w:hAnsi="Times New Roman" w:cs="Times New Roman"/>
          <w:sz w:val="26"/>
          <w:szCs w:val="26"/>
        </w:rPr>
        <w:tab/>
        <w:t>If the Small Generating Facility does not operate in the manner consistent with these Terms and Conditions.</w:t>
      </w:r>
    </w:p>
    <w:p w:rsidR="00F3594B" w:rsidRPr="0072600F" w14:paraId="54D956FC"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5.4</w:t>
      </w:r>
      <w:r w:rsidRPr="0072600F">
        <w:rPr>
          <w:rFonts w:ascii="Times New Roman" w:eastAsia="Calibri" w:hAnsi="Times New Roman" w:cs="Times New Roman"/>
          <w:sz w:val="26"/>
          <w:szCs w:val="26"/>
        </w:rPr>
        <w:tab/>
        <w:t>The Company shall inform the Customer in advance of any scheduled disconnection, or as is reasonable after an unscheduled disconnection.</w:t>
      </w:r>
    </w:p>
    <w:p w:rsidR="00F3594B" w:rsidRPr="0072600F" w14:paraId="30EAD4DE" w14:textId="77777777">
      <w:pPr>
        <w:spacing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6.0</w:t>
      </w:r>
      <w:r w:rsidRPr="0072600F">
        <w:rPr>
          <w:rFonts w:ascii="Times New Roman" w:eastAsia="Calibri" w:hAnsi="Times New Roman" w:cs="Times New Roman"/>
          <w:b/>
          <w:sz w:val="26"/>
          <w:szCs w:val="26"/>
        </w:rPr>
        <w:tab/>
        <w:t>Indemnification</w:t>
      </w:r>
    </w:p>
    <w:p w:rsidR="00F3594B" w:rsidRPr="0072600F" w14:paraId="3BF521E3"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Parties shall at all times indemnify, defend, and save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action or inactions of its obligations under this agreement on behalf of the indemnifying Party, except in cases of gross negligence or intentional wrongdoing by the indemnified Party.</w:t>
      </w:r>
    </w:p>
    <w:p w:rsidR="00F3594B" w:rsidRPr="0072600F" w14:paraId="4621E81E" w14:textId="77777777">
      <w:pPr>
        <w:spacing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7. 0</w:t>
      </w:r>
      <w:r w:rsidRPr="0072600F">
        <w:rPr>
          <w:rFonts w:ascii="Times New Roman" w:eastAsia="Calibri" w:hAnsi="Times New Roman" w:cs="Times New Roman"/>
          <w:b/>
          <w:sz w:val="26"/>
          <w:szCs w:val="26"/>
        </w:rPr>
        <w:tab/>
        <w:t>Insurance</w:t>
      </w:r>
    </w:p>
    <w:p w:rsidR="00F3594B" w:rsidRPr="0072600F" w14:paraId="1DD29AE5"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Parties agree to follow all applicable insurance requirements imposed by the state in which the Point of Interconnection is located.  All insurance policies must be maintained with insurers authorized to do business in that state.</w:t>
      </w:r>
    </w:p>
    <w:p w:rsidR="00F3594B" w:rsidRPr="0072600F" w14:paraId="338D0E6C" w14:textId="77777777">
      <w:pPr>
        <w:pStyle w:val="ListParagraph"/>
        <w:numPr>
          <w:ilvl w:val="0"/>
          <w:numId w:val="19"/>
        </w:numPr>
        <w:spacing w:line="276" w:lineRule="auto"/>
        <w:rPr>
          <w:rFonts w:eastAsia="Calibri"/>
          <w:b/>
          <w:szCs w:val="26"/>
        </w:rPr>
      </w:pPr>
      <w:r w:rsidRPr="0072600F">
        <w:rPr>
          <w:rFonts w:eastAsia="Calibri"/>
          <w:b/>
          <w:szCs w:val="26"/>
        </w:rPr>
        <w:t>Limitation of Liability</w:t>
      </w:r>
    </w:p>
    <w:p w:rsidR="00F3594B" w:rsidRPr="0072600F" w14:paraId="456F06CC"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consequential, or punitive damages of any kind whatsoever, except as allowed under paragraph 6.0.</w:t>
      </w:r>
    </w:p>
    <w:p w:rsidR="00F3594B" w:rsidRPr="0072600F" w14:paraId="4F64977A" w14:textId="77777777">
      <w:pPr>
        <w:spacing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9.0</w:t>
      </w:r>
      <w:r w:rsidRPr="0072600F">
        <w:rPr>
          <w:rFonts w:ascii="Times New Roman" w:eastAsia="Calibri" w:hAnsi="Times New Roman" w:cs="Times New Roman"/>
          <w:b/>
          <w:sz w:val="26"/>
          <w:szCs w:val="26"/>
        </w:rPr>
        <w:tab/>
        <w:t>Termination</w:t>
      </w:r>
    </w:p>
    <w:p w:rsidR="00F3594B" w:rsidRPr="0072600F" w14:paraId="6113F537"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The agreement to operate in parallel may be terminated under the following conditions:</w:t>
      </w:r>
    </w:p>
    <w:p w:rsidR="00F3594B" w:rsidRPr="0072600F" w14:paraId="55B32D46" w14:textId="77777777">
      <w:pPr>
        <w:spacing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9.1</w:t>
      </w:r>
      <w:r w:rsidRPr="0072600F">
        <w:rPr>
          <w:rFonts w:ascii="Times New Roman" w:eastAsia="Calibri" w:hAnsi="Times New Roman" w:cs="Times New Roman"/>
          <w:sz w:val="26"/>
          <w:szCs w:val="26"/>
        </w:rPr>
        <w:tab/>
      </w:r>
      <w:r w:rsidRPr="0072600F">
        <w:rPr>
          <w:rFonts w:ascii="Times New Roman" w:eastAsia="Calibri" w:hAnsi="Times New Roman" w:cs="Times New Roman"/>
          <w:b/>
          <w:sz w:val="26"/>
          <w:szCs w:val="26"/>
        </w:rPr>
        <w:t>By the Customer</w:t>
      </w:r>
    </w:p>
    <w:p w:rsidR="00F3594B" w:rsidRPr="0072600F" w14:paraId="55DCBEA7" w14:textId="77777777">
      <w:pPr>
        <w:spacing w:after="120" w:line="276" w:lineRule="auto"/>
        <w:ind w:left="720"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By providing written notice to the Company.</w:t>
      </w:r>
    </w:p>
    <w:p w:rsidR="00F3594B" w:rsidRPr="0072600F" w14:paraId="108AFFE9" w14:textId="77777777">
      <w:pPr>
        <w:spacing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9.2</w:t>
      </w:r>
      <w:r w:rsidRPr="0072600F">
        <w:rPr>
          <w:rFonts w:ascii="Times New Roman" w:eastAsia="Calibri" w:hAnsi="Times New Roman" w:cs="Times New Roman"/>
          <w:sz w:val="26"/>
          <w:szCs w:val="26"/>
        </w:rPr>
        <w:tab/>
      </w:r>
      <w:r w:rsidRPr="0072600F">
        <w:rPr>
          <w:rFonts w:ascii="Times New Roman" w:eastAsia="Calibri" w:hAnsi="Times New Roman" w:cs="Times New Roman"/>
          <w:b/>
          <w:sz w:val="26"/>
          <w:szCs w:val="26"/>
        </w:rPr>
        <w:t>By the Company</w:t>
      </w:r>
    </w:p>
    <w:p w:rsidR="00F3594B" w:rsidRPr="0072600F" w14:paraId="3F884F0F" w14:textId="77777777">
      <w:pPr>
        <w:spacing w:after="12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If the Small Generating Facility fails to operate for any consecutive 12 month period or the Customer fails to remedy a violation of these Terms and Conditions.</w:t>
      </w:r>
    </w:p>
    <w:p w:rsidR="00F3594B" w:rsidRPr="0072600F" w14:paraId="6B4DBBE0" w14:textId="77777777">
      <w:pPr>
        <w:spacing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9.3</w:t>
      </w:r>
      <w:r w:rsidRPr="0072600F">
        <w:rPr>
          <w:rFonts w:ascii="Times New Roman" w:eastAsia="Calibri" w:hAnsi="Times New Roman" w:cs="Times New Roman"/>
          <w:sz w:val="26"/>
          <w:szCs w:val="26"/>
        </w:rPr>
        <w:tab/>
      </w:r>
      <w:r w:rsidRPr="0072600F">
        <w:rPr>
          <w:rFonts w:ascii="Times New Roman" w:eastAsia="Calibri" w:hAnsi="Times New Roman" w:cs="Times New Roman"/>
          <w:b/>
          <w:sz w:val="26"/>
          <w:szCs w:val="26"/>
        </w:rPr>
        <w:t>Permanent Disconnection</w:t>
      </w:r>
    </w:p>
    <w:p w:rsidR="00F3594B" w:rsidRPr="0072600F" w14:paraId="202D80E1" w14:textId="77777777">
      <w:pPr>
        <w:spacing w:after="12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In the event this Agreement is terminated, the Company shall have the right to disconnect its facilities or direct the Customer to disconnect its Small Generating Facility.</w:t>
      </w:r>
    </w:p>
    <w:p w:rsidR="00F3594B" w:rsidRPr="0072600F" w14:paraId="0CB5FF00" w14:textId="77777777">
      <w:pPr>
        <w:spacing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9.4</w:t>
      </w:r>
      <w:r w:rsidRPr="0072600F">
        <w:rPr>
          <w:rFonts w:ascii="Times New Roman" w:eastAsia="Calibri" w:hAnsi="Times New Roman" w:cs="Times New Roman"/>
          <w:sz w:val="26"/>
          <w:szCs w:val="26"/>
        </w:rPr>
        <w:tab/>
      </w:r>
      <w:r w:rsidRPr="0072600F">
        <w:rPr>
          <w:rFonts w:ascii="Times New Roman" w:eastAsia="Calibri" w:hAnsi="Times New Roman" w:cs="Times New Roman"/>
          <w:b/>
          <w:sz w:val="26"/>
          <w:szCs w:val="26"/>
        </w:rPr>
        <w:t>Survival Rights</w:t>
      </w:r>
    </w:p>
    <w:p w:rsidR="00F3594B" w:rsidRPr="0072600F" w14:paraId="3D044C83" w14:textId="77777777">
      <w:pPr>
        <w:spacing w:after="200" w:line="276" w:lineRule="auto"/>
        <w:ind w:left="144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shall continue in effect after termination to the extent necessary to allow or require either Party to fulfill rights or obligations that arose under the Agreement.</w:t>
      </w:r>
    </w:p>
    <w:p w:rsidR="00F3594B" w:rsidRPr="0072600F" w14:paraId="68F80931" w14:textId="77777777">
      <w:pPr>
        <w:spacing w:line="276" w:lineRule="auto"/>
        <w:rPr>
          <w:rFonts w:ascii="Times New Roman" w:eastAsia="Calibri" w:hAnsi="Times New Roman" w:cs="Times New Roman"/>
          <w:b/>
          <w:sz w:val="26"/>
          <w:szCs w:val="26"/>
        </w:rPr>
      </w:pPr>
      <w:r w:rsidRPr="0072600F">
        <w:rPr>
          <w:rFonts w:ascii="Times New Roman" w:eastAsia="Calibri" w:hAnsi="Times New Roman" w:cs="Times New Roman"/>
          <w:b/>
          <w:sz w:val="26"/>
          <w:szCs w:val="26"/>
        </w:rPr>
        <w:t>10.0</w:t>
      </w:r>
      <w:r w:rsidRPr="0072600F">
        <w:rPr>
          <w:rFonts w:ascii="Times New Roman" w:eastAsia="Calibri" w:hAnsi="Times New Roman" w:cs="Times New Roman"/>
          <w:b/>
          <w:sz w:val="26"/>
          <w:szCs w:val="26"/>
        </w:rPr>
        <w:tab/>
        <w:t>Assignment/Transfer of Ownership of the Facility</w:t>
      </w:r>
    </w:p>
    <w:p w:rsidR="00F3594B" w:rsidRPr="0072600F" w14:paraId="0E858135"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shall survive the transfer of ownership of the Small Generating Facility to a new owner when the new owner agrees in writing to comply with the terms of this Agreement and so notifies the Company.</w:t>
      </w:r>
    </w:p>
    <w:p w:rsidR="00F3594B" w:rsidRPr="0072600F" w14:paraId="32BA9104" w14:textId="77777777">
      <w:pPr>
        <w:spacing w:after="200" w:line="276" w:lineRule="auto"/>
        <w:rPr>
          <w:rFonts w:ascii="Times New Roman" w:eastAsia="Calibri" w:hAnsi="Times New Roman" w:cs="Times New Roman"/>
          <w:sz w:val="26"/>
          <w:szCs w:val="26"/>
        </w:rPr>
        <w:sectPr>
          <w:footerReference w:type="default" r:id="rId60"/>
          <w:pgSz w:w="12240" w:h="15840"/>
          <w:pgMar w:top="1440" w:right="1440" w:bottom="1440" w:left="1440" w:header="720" w:footer="720" w:gutter="0"/>
          <w:pgNumType w:start="1"/>
          <w:cols w:space="720"/>
          <w:docGrid w:linePitch="360"/>
        </w:sectPr>
      </w:pPr>
    </w:p>
    <w:p w:rsidR="00F3594B" w:rsidRPr="0072600F" w14:paraId="3A5A1A39"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6</w:t>
      </w:r>
    </w:p>
    <w:p w:rsidR="00F3594B" w:rsidRPr="0072600F" w14:paraId="2DACD965"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Feasibility Study Agreement</w:t>
      </w:r>
    </w:p>
    <w:p w:rsidR="00F3594B" w:rsidRPr="0072600F" w14:paraId="5B1CC59E" w14:textId="77777777">
      <w:pPr>
        <w:spacing w:after="200" w:line="276" w:lineRule="auto"/>
        <w:rPr>
          <w:rFonts w:ascii="Times New Roman" w:eastAsia="Calibri" w:hAnsi="Times New Roman" w:cs="Times New Roman"/>
          <w:sz w:val="26"/>
          <w:szCs w:val="26"/>
        </w:rPr>
      </w:pPr>
    </w:p>
    <w:p w:rsidR="00F3594B" w:rsidRPr="0072600F" w14:paraId="79D614A3"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is made and entered into this _____day of ______________</w:t>
      </w:r>
    </w:p>
    <w:p w:rsidR="00F3594B" w:rsidRPr="0072600F" w14:paraId="24E2B40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20___ by and between_____________________________________________________,</w:t>
      </w:r>
    </w:p>
    <w:p w:rsidR="00F3594B" w:rsidRPr="0072600F" w14:paraId="2821C32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 ____________________________organized and existing under the laws of the State of</w:t>
      </w:r>
    </w:p>
    <w:p w:rsidR="00F3594B" w:rsidRPr="0072600F" w14:paraId="324912CD"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and</w:t>
      </w:r>
    </w:p>
    <w:p w:rsidR="00F3594B" w:rsidRPr="0072600F" w14:paraId="38631592"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 a________________</w:t>
      </w:r>
    </w:p>
    <w:p w:rsidR="00F3594B" w:rsidRPr="0072600F" w14:paraId="4C3F466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i/>
          <w:iCs/>
          <w:sz w:val="26"/>
          <w:szCs w:val="26"/>
        </w:rPr>
        <w:t xml:space="preserve">organized and </w:t>
      </w:r>
      <w:r w:rsidRPr="0072600F">
        <w:rPr>
          <w:rFonts w:ascii="Times New Roman" w:eastAsia="Calibri" w:hAnsi="Times New Roman" w:cs="Times New Roman"/>
          <w:sz w:val="26"/>
          <w:szCs w:val="26"/>
        </w:rPr>
        <w:t>existing under the laws of the State of___________________________________,</w:t>
      </w:r>
    </w:p>
    <w:p w:rsidR="00F3594B" w:rsidRPr="0072600F" w14:paraId="327B9D87"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Transmission Provider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Transmission Provider each may be referred to as a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Party,</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or collectively as the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Parties.</w:t>
      </w:r>
      <w:r w:rsidRPr="0072600F" w:rsidR="00DF7112">
        <w:rPr>
          <w:rFonts w:ascii="Times New Roman" w:eastAsia="Calibri" w:hAnsi="Times New Roman" w:cs="Times New Roman"/>
          <w:sz w:val="26"/>
          <w:szCs w:val="26"/>
        </w:rPr>
        <w:t>”</w:t>
      </w:r>
    </w:p>
    <w:p w:rsidR="00F3594B" w:rsidRPr="0072600F" w14:paraId="4B5716EA"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RECITALS</w:t>
      </w:r>
    </w:p>
    <w:p w:rsidR="00F3594B" w:rsidRPr="0072600F" w14:paraId="6716E4C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Interconnection Customer is proposing to develop a Small Generating Facility or generating capacity addition to an existing Small Generating Facility consistent with the Interconnection Request completed by Interconnection Customer on_________________________; and</w:t>
      </w:r>
    </w:p>
    <w:p w:rsidR="00F3594B" w:rsidRPr="0072600F" w14:paraId="7454657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Interconnection Customer desires to interconnect the Small Generating Facility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and</w:t>
      </w:r>
    </w:p>
    <w:p w:rsidR="00F3594B" w:rsidRPr="0072600F" w14:paraId="64C63E2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Interconnection Customer has requested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to perform a feasibility study to assess the feasibility of interconnecting the proposed Small Generating Facility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and of any Affected Systems; </w:t>
      </w:r>
    </w:p>
    <w:p w:rsidR="00F3594B" w:rsidRPr="0072600F" w14:paraId="244B64F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NOW, THEREFORE</w:t>
      </w:r>
      <w:r w:rsidRPr="0072600F">
        <w:rPr>
          <w:rFonts w:ascii="Times New Roman" w:eastAsia="Calibri" w:hAnsi="Times New Roman" w:cs="Times New Roman"/>
          <w:sz w:val="26"/>
          <w:szCs w:val="26"/>
        </w:rPr>
        <w:t>, in consideration of and subject to the mutual covenants contained herein the Parties agreed as follows:</w:t>
      </w:r>
    </w:p>
    <w:p w:rsidR="00F3594B" w:rsidRPr="0072600F" w14:paraId="7B6D28CD"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w:t>
      </w:r>
      <w:r w:rsidRPr="0072600F">
        <w:rPr>
          <w:rFonts w:ascii="Times New Roman" w:eastAsia="Calibri" w:hAnsi="Times New Roman" w:cs="Times New Roman"/>
          <w:sz w:val="26"/>
          <w:szCs w:val="26"/>
        </w:rPr>
        <w:tab/>
        <w:t>When used in this Agreement, with initial capitalization, the terms specified shall have the meanings indicated or the meanings specified in the standard Small Generator Interconnection Procedures.</w:t>
      </w:r>
    </w:p>
    <w:p w:rsidR="00F3594B" w:rsidRPr="0072600F" w14:paraId="25C32ED8"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w:t>
      </w:r>
      <w:r w:rsidRPr="0072600F">
        <w:rPr>
          <w:rFonts w:ascii="Times New Roman" w:eastAsia="Calibri" w:hAnsi="Times New Roman" w:cs="Times New Roman"/>
          <w:sz w:val="26"/>
          <w:szCs w:val="26"/>
        </w:rPr>
        <w:tab/>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elects and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cause to be performed an interconnection feasibility study consistent the standard Small Generator Interconnection Procedures in accordance with the Open Access Transmission Tariff.</w:t>
      </w:r>
    </w:p>
    <w:p w:rsidR="00F3594B" w:rsidRPr="0072600F" w14:paraId="4BE8DD60" w14:textId="77777777">
      <w:pPr>
        <w:spacing w:after="200" w:line="276" w:lineRule="auto"/>
        <w:rPr>
          <w:rFonts w:ascii="Times New Roman" w:eastAsia="Calibri" w:hAnsi="Times New Roman" w:cs="Times New Roman"/>
          <w:sz w:val="26"/>
          <w:szCs w:val="26"/>
        </w:rPr>
      </w:pPr>
    </w:p>
    <w:p w:rsidR="00F3594B" w:rsidRPr="0072600F" w14:paraId="3F817B99" w14:textId="77777777">
      <w:pPr>
        <w:spacing w:after="200" w:line="276" w:lineRule="auto"/>
        <w:rPr>
          <w:rFonts w:ascii="Times New Roman" w:eastAsia="Calibri" w:hAnsi="Times New Roman" w:cs="Times New Roman"/>
          <w:sz w:val="26"/>
          <w:szCs w:val="26"/>
        </w:rPr>
      </w:pPr>
    </w:p>
    <w:p w:rsidR="00F3594B" w:rsidRPr="0072600F" w14:paraId="656F809C"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3.0</w:t>
      </w:r>
      <w:r w:rsidRPr="0072600F">
        <w:rPr>
          <w:rFonts w:ascii="Times New Roman" w:eastAsia="Calibri" w:hAnsi="Times New Roman" w:cs="Times New Roman"/>
          <w:sz w:val="26"/>
          <w:szCs w:val="26"/>
        </w:rPr>
        <w:tab/>
        <w:t>The scope of the feasibility study shall be subject to the assumptions set forth in Attachment A to this Agreement.</w:t>
      </w:r>
    </w:p>
    <w:p w:rsidR="00F3594B" w:rsidRPr="0072600F" w14:paraId="01A5CD52"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4.0</w:t>
      </w:r>
      <w:r w:rsidRPr="0072600F">
        <w:rPr>
          <w:rFonts w:ascii="Times New Roman" w:eastAsia="Calibri" w:hAnsi="Times New Roman" w:cs="Times New Roman"/>
          <w:sz w:val="26"/>
          <w:szCs w:val="26"/>
        </w:rPr>
        <w:tab/>
        <w:t xml:space="preserve">The feasibility study shall be based on the technical information provided by </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in the Interconnection Request, as may be modified as the result of the scoping meeting.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reserves the right to request additional technical information from </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as may reasonably become necessary consistent with Good Utility Practice during the course of the feasibility study and as designated in accordance with the standard Small Generator Interconnection Procedures.  If </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modifies its Interconnection Request, the time to complete the feasibility study may be extended by agreement of the Parties.</w:t>
      </w:r>
    </w:p>
    <w:p w:rsidR="00F3594B" w:rsidRPr="0072600F" w14:paraId="50C284CD"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5.0</w:t>
      </w:r>
      <w:r w:rsidRPr="0072600F">
        <w:rPr>
          <w:rFonts w:ascii="Times New Roman" w:eastAsia="Calibri" w:hAnsi="Times New Roman" w:cs="Times New Roman"/>
          <w:sz w:val="26"/>
          <w:szCs w:val="26"/>
        </w:rPr>
        <w:tab/>
        <w:t xml:space="preserve">In performing the study,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rely, to the extent reasonably practicable, on existing studies of recent vintage.  </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not be charged for such existing studies; however, </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203DDC">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be responsible for charges associated with any new study or modifications to existing studies that are reasonably necessary to perform the feasibility study.</w:t>
      </w:r>
    </w:p>
    <w:p w:rsidR="00F3594B" w:rsidRPr="0072600F" w14:paraId="516D8749"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6.0</w:t>
      </w:r>
      <w:r w:rsidRPr="0072600F">
        <w:rPr>
          <w:rFonts w:ascii="Times New Roman" w:eastAsia="Calibri" w:hAnsi="Times New Roman" w:cs="Times New Roman"/>
          <w:sz w:val="26"/>
          <w:szCs w:val="26"/>
        </w:rPr>
        <w:tab/>
        <w:t>The feasibility study report shall provide the following analyses for the purpose of identifying any potential adverse system impacts that would result from the interconnection of the Small Generating Facility as proposed:</w:t>
      </w:r>
    </w:p>
    <w:p w:rsidR="00F3594B" w:rsidRPr="0072600F" w14:paraId="71EBE684"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6.1</w:t>
      </w:r>
      <w:r w:rsidRPr="0072600F">
        <w:rPr>
          <w:rFonts w:ascii="Times New Roman" w:eastAsia="Calibri" w:hAnsi="Times New Roman" w:cs="Times New Roman"/>
          <w:sz w:val="26"/>
          <w:szCs w:val="26"/>
        </w:rPr>
        <w:tab/>
        <w:t>Initial identification of any circuit breaker short circuit capability limits exceeded as a result of the interconnection;</w:t>
      </w:r>
    </w:p>
    <w:p w:rsidR="00F3594B" w:rsidRPr="0072600F" w14:paraId="01F73E7B"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6.2</w:t>
      </w:r>
      <w:r w:rsidRPr="0072600F">
        <w:rPr>
          <w:rFonts w:ascii="Times New Roman" w:eastAsia="Calibri" w:hAnsi="Times New Roman" w:cs="Times New Roman"/>
          <w:sz w:val="26"/>
          <w:szCs w:val="26"/>
        </w:rPr>
        <w:tab/>
        <w:t xml:space="preserve">Initial identification of any thermal overload or voltage limit violations resulting from the interconnection; </w:t>
      </w:r>
    </w:p>
    <w:p w:rsidR="00F3594B" w:rsidRPr="0072600F" w14:paraId="0524B726"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6.3</w:t>
      </w:r>
      <w:r w:rsidRPr="0072600F">
        <w:rPr>
          <w:rFonts w:ascii="Times New Roman" w:eastAsia="Calibri" w:hAnsi="Times New Roman" w:cs="Times New Roman"/>
          <w:sz w:val="26"/>
          <w:szCs w:val="26"/>
        </w:rPr>
        <w:tab/>
        <w:t>Initial review of grounding requirements and electric system protection; and</w:t>
      </w:r>
    </w:p>
    <w:p w:rsidR="00F3594B" w:rsidRPr="0072600F" w14:paraId="6C92E4B3"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6.4</w:t>
      </w:r>
      <w:r w:rsidRPr="0072600F">
        <w:rPr>
          <w:rFonts w:ascii="Times New Roman" w:eastAsia="Calibri" w:hAnsi="Times New Roman" w:cs="Times New Roman"/>
          <w:sz w:val="26"/>
          <w:szCs w:val="26"/>
        </w:rPr>
        <w:tab/>
        <w:t>Description and non-binding estimated cost of facilities required to interconnect the proposed Small Generating Facility and to address the identified short circuit and power flow issues.</w:t>
      </w:r>
    </w:p>
    <w:p w:rsidR="00F3594B" w:rsidRPr="0072600F" w14:paraId="5A5CAB31"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7.0</w:t>
      </w:r>
      <w:r w:rsidRPr="0072600F">
        <w:rPr>
          <w:rFonts w:ascii="Times New Roman" w:eastAsia="Calibri" w:hAnsi="Times New Roman" w:cs="Times New Roman"/>
          <w:sz w:val="26"/>
          <w:szCs w:val="26"/>
        </w:rPr>
        <w:tab/>
        <w:t xml:space="preserve">The feasibility study shall model the impact of the Small Generating Facility regardless of purpose in order to avoid the further expense and interruption of operation for reexamination of feasibility and impacts if </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later changes the purpose for which the Small Generating Facility is being installed.</w:t>
      </w:r>
    </w:p>
    <w:p w:rsidR="00F3594B" w:rsidRPr="0072600F" w14:paraId="30205164" w14:textId="77777777">
      <w:pPr>
        <w:spacing w:after="200" w:line="276" w:lineRule="auto"/>
        <w:rPr>
          <w:rFonts w:ascii="Times New Roman" w:eastAsia="Calibri" w:hAnsi="Times New Roman" w:cs="Times New Roman"/>
          <w:sz w:val="26"/>
          <w:szCs w:val="26"/>
        </w:rPr>
      </w:pPr>
    </w:p>
    <w:p w:rsidR="00F3594B" w:rsidRPr="0072600F" w14:paraId="62DF33F4"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8.0</w:t>
      </w:r>
      <w:r w:rsidRPr="0072600F">
        <w:rPr>
          <w:rFonts w:ascii="Times New Roman" w:eastAsia="Calibri" w:hAnsi="Times New Roman" w:cs="Times New Roman"/>
          <w:sz w:val="26"/>
          <w:szCs w:val="26"/>
        </w:rPr>
        <w:tab/>
        <w:t xml:space="preserve">The study shall include the feasibility of any interconnection at a proposed project site where there could be multiple potential Points of Interconnection, as requested by </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at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cost.</w:t>
      </w:r>
    </w:p>
    <w:p w:rsidR="00F3594B" w:rsidRPr="0072600F" w14:paraId="27D9148C"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9.0</w:t>
      </w:r>
      <w:r w:rsidRPr="0072600F">
        <w:rPr>
          <w:rFonts w:ascii="Times New Roman" w:eastAsia="Calibri" w:hAnsi="Times New Roman" w:cs="Times New Roman"/>
          <w:sz w:val="26"/>
          <w:szCs w:val="26"/>
        </w:rPr>
        <w:tab/>
        <w:t xml:space="preserve">A deposit of the lesser of 50 percent of good faith estimated feasibility study costs or earnest money of $1,000 may be required from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p>
    <w:p w:rsidR="00F3594B" w:rsidRPr="0072600F" w14:paraId="4DF610D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10.0</w:t>
      </w:r>
      <w:r w:rsidRPr="0072600F">
        <w:rPr>
          <w:rFonts w:ascii="Times New Roman" w:eastAsia="Calibri" w:hAnsi="Times New Roman" w:cs="Times New Roman"/>
          <w:sz w:val="26"/>
          <w:szCs w:val="26"/>
        </w:rPr>
        <w:tab/>
        <w:t xml:space="preserve">Once the feasibility study is completed, a feasibility study report shall be prepared and transmitted to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Barring unusual circumstances, the feasibility study must be completed and the feasibility study report transmitted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A2A9A">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s agreement to conduct a feasibility study.</w:t>
      </w:r>
    </w:p>
    <w:p w:rsidR="00F3594B" w:rsidRPr="0072600F" w14:paraId="73F08A47"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11.0</w:t>
      </w:r>
      <w:r w:rsidRPr="0072600F">
        <w:rPr>
          <w:rFonts w:ascii="Times New Roman" w:eastAsia="Calibri" w:hAnsi="Times New Roman" w:cs="Times New Roman"/>
          <w:sz w:val="26"/>
          <w:szCs w:val="26"/>
        </w:rPr>
        <w:tab/>
        <w:t xml:space="preserve">Any study fees shall be based on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actual costs and will be invoiced to </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after the study is completed and delivered and will include a summary of professional time.</w:t>
      </w:r>
    </w:p>
    <w:p w:rsidR="00F3594B" w:rsidRPr="0072600F" w14:paraId="6DF5A9E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12.0</w:t>
      </w:r>
      <w:r w:rsidRPr="0072600F">
        <w:rPr>
          <w:rFonts w:ascii="Times New Roman" w:eastAsia="Calibri" w:hAnsi="Times New Roman" w:cs="Times New Roman"/>
          <w:sz w:val="26"/>
          <w:szCs w:val="26"/>
        </w:rPr>
        <w:tab/>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pay any study costs that exceed the deposit without interest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sz w:val="26"/>
          <w:szCs w:val="26"/>
        </w:rPr>
        <w:t>C</w:t>
      </w:r>
      <w:r w:rsidRPr="0072600F">
        <w:rPr>
          <w:rFonts w:ascii="Times New Roman" w:eastAsia="Calibri" w:hAnsi="Times New Roman" w:cs="Times New Roman"/>
          <w:sz w:val="26"/>
          <w:szCs w:val="26"/>
        </w:rPr>
        <w:t xml:space="preserve">alendar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 xml:space="preserve">ays on receipt of the invoice or resolution of any dispute.  If the deposit exceeds the invoiced fees,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refund such excess 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alendar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ays of the invoice without interest.</w:t>
      </w:r>
    </w:p>
    <w:p w:rsidR="00F3594B" w:rsidRPr="0072600F" w14:paraId="0483A9C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13.0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Governing Law, Regulatory Authority, and Rules</w:t>
      </w:r>
    </w:p>
    <w:p w:rsidR="00F3594B" w:rsidRPr="0072600F" w14:paraId="4A16282A"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F3594B" w:rsidRPr="0072600F" w14:paraId="4F0FB56A"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14.0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Amendment</w:t>
      </w:r>
    </w:p>
    <w:p w:rsidR="00F3594B" w:rsidRPr="0072600F" w14:paraId="28AF7B67"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Parties may amend this Agreement by a written instrument duly executed by both Parties.</w:t>
      </w:r>
    </w:p>
    <w:p w:rsidR="00F3594B" w:rsidRPr="0072600F" w14:paraId="6F1DD45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15.0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No Third-Party Beneficiaries</w:t>
      </w:r>
    </w:p>
    <w:p w:rsidR="00F3594B" w:rsidRPr="0072600F" w14:paraId="6668EB98"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A71AF5" w:rsidRPr="0072600F" w14:paraId="62231124" w14:textId="77777777">
      <w:pPr>
        <w:spacing w:line="276" w:lineRule="auto"/>
        <w:rPr>
          <w:rFonts w:ascii="Times New Roman" w:eastAsia="Calibri" w:hAnsi="Times New Roman" w:cs="Times New Roman"/>
          <w:sz w:val="26"/>
          <w:szCs w:val="26"/>
        </w:rPr>
      </w:pPr>
    </w:p>
    <w:p w:rsidR="00F3594B" w:rsidRPr="0072600F" w14:paraId="765573A2"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16.0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Waiver</w:t>
      </w:r>
    </w:p>
    <w:p w:rsidR="00F3594B" w:rsidRPr="0072600F" w14:paraId="4741FAB9"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16.1</w:t>
      </w:r>
      <w:r w:rsidRPr="0072600F">
        <w:rPr>
          <w:rFonts w:ascii="Times New Roman" w:eastAsia="Calibri" w:hAnsi="Times New Roman" w:cs="Times New Roman"/>
          <w:sz w:val="26"/>
          <w:szCs w:val="26"/>
        </w:rPr>
        <w:tab/>
        <w:t>The failure of a Party to this Agreement to insist, on any occasion, upon strict performance of any provision of this Agreement will not be considered a waiver of any obligation, right, or duty of, or imposed upon, such Party.</w:t>
      </w:r>
    </w:p>
    <w:p w:rsidR="00F3594B" w:rsidRPr="0072600F" w14:paraId="493C6233"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16.2</w:t>
      </w:r>
      <w:r w:rsidRPr="0072600F">
        <w:rPr>
          <w:rFonts w:ascii="Times New Roman" w:eastAsia="Calibri" w:hAnsi="Times New Roman" w:cs="Times New Roman"/>
          <w:sz w:val="26"/>
          <w:szCs w:val="26"/>
        </w:rPr>
        <w:tab/>
        <w:t xml:space="preserve">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legal rights to obtain an interconnection from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Any waiver of this Agreement shall, if requested, be provided in writing.</w:t>
      </w:r>
    </w:p>
    <w:p w:rsidR="00F3594B" w:rsidRPr="0072600F" w14:paraId="2C9013F2"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17.0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Multiple Counterparts</w:t>
      </w:r>
    </w:p>
    <w:p w:rsidR="00F3594B" w:rsidRPr="0072600F" w14:paraId="2E5A0774"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may be executed in two or more counterparts, each of which is deemed an original but all constitute one and the same instrument.</w:t>
      </w:r>
    </w:p>
    <w:p w:rsidR="00F3594B" w:rsidRPr="0072600F" w14:paraId="4EDCAD2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18.0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No Partnership</w:t>
      </w:r>
    </w:p>
    <w:p w:rsidR="00F3594B" w:rsidRPr="0072600F" w14:paraId="02EAA97A"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F3594B" w:rsidRPr="0072600F" w14:paraId="7F7462AA"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19.0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Severability</w:t>
      </w:r>
    </w:p>
    <w:p w:rsidR="00F3594B" w:rsidRPr="0072600F" w14:paraId="2EFA208D"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F3594B" w:rsidRPr="0072600F" w14:paraId="4CBF975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20.0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Subcontractors</w:t>
      </w:r>
    </w:p>
    <w:p w:rsidR="00F3594B" w:rsidRPr="0072600F" w14:paraId="6D1CCCF3"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F3594B" w:rsidRPr="0072600F" w14:paraId="04EF6DE8"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20.1</w:t>
      </w:r>
      <w:r w:rsidRPr="0072600F">
        <w:rPr>
          <w:rFonts w:ascii="Times New Roman" w:eastAsia="Calibri" w:hAnsi="Times New Roman" w:cs="Times New Roman"/>
          <w:sz w:val="26"/>
          <w:szCs w:val="26"/>
        </w:rPr>
        <w:tab/>
        <w:t xml:space="preserve">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be liable for the actions or inactions of </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or its</w:t>
      </w:r>
      <w:r w:rsidRPr="0072600F" w:rsidR="00DF7112">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subcontractors with respect to obligations of </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3433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under this Agreement.  Any applicable obligation imposed by this Agreement upon the hiring Party shall be equally binding upon, and shall be construed as having application to, any subcontractor of such Party.</w:t>
      </w:r>
    </w:p>
    <w:p w:rsidR="00F3594B" w:rsidRPr="0072600F" w14:paraId="705818D9"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20.2</w:t>
      </w:r>
      <w:r w:rsidRPr="0072600F">
        <w:rPr>
          <w:rFonts w:ascii="Times New Roman" w:eastAsia="Calibri" w:hAnsi="Times New Roman" w:cs="Times New Roman"/>
          <w:sz w:val="26"/>
          <w:szCs w:val="26"/>
        </w:rPr>
        <w:tab/>
        <w:t xml:space="preserve">The obligations under this article will not be limited in any way by any </w:t>
      </w:r>
    </w:p>
    <w:p w:rsidR="00F3594B" w:rsidRPr="0072600F" w14:paraId="7EBE262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limitation of subcontractor’s insurance.</w:t>
      </w:r>
    </w:p>
    <w:p w:rsidR="00F3594B" w:rsidRPr="0072600F" w14:paraId="5FCB9B89" w14:textId="77777777">
      <w:pPr>
        <w:spacing w:line="276" w:lineRule="auto"/>
        <w:rPr>
          <w:rFonts w:ascii="Times New Roman" w:eastAsia="Calibri" w:hAnsi="Times New Roman" w:cs="Times New Roman"/>
          <w:sz w:val="26"/>
          <w:szCs w:val="26"/>
          <w:u w:val="single"/>
        </w:rPr>
      </w:pPr>
      <w:r w:rsidRPr="0072600F">
        <w:rPr>
          <w:rFonts w:ascii="Times New Roman" w:eastAsia="Calibri" w:hAnsi="Times New Roman" w:cs="Times New Roman"/>
          <w:sz w:val="26"/>
          <w:szCs w:val="26"/>
        </w:rPr>
        <w:t>21.0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Reservation of Rights</w:t>
      </w:r>
    </w:p>
    <w:p w:rsidR="00F3594B" w:rsidRPr="0072600F" w14:paraId="211AB51B"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rules and regulations thereunder, and </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have the right to make a unilateral filing with FERC to modify this Agreement under any applicable provision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s rules and regulations;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s rules and regulations, except to the extent that the Parties otherwise agree as provided herein.</w:t>
      </w:r>
    </w:p>
    <w:p w:rsidR="00F3594B" w:rsidRPr="0072600F" w14:paraId="18A29A96" w14:textId="77777777">
      <w:pPr>
        <w:spacing w:after="200" w:line="276" w:lineRule="auto"/>
        <w:rPr>
          <w:rFonts w:ascii="Times New Roman" w:eastAsia="Calibri" w:hAnsi="Times New Roman" w:cs="Times New Roman"/>
          <w:sz w:val="26"/>
          <w:szCs w:val="26"/>
        </w:rPr>
      </w:pPr>
    </w:p>
    <w:p w:rsidR="00F3594B" w:rsidRPr="0072600F" w14:paraId="311134CD" w14:textId="77777777">
      <w:pPr>
        <w:rPr>
          <w:rFonts w:ascii="Times New Roman" w:eastAsia="Calibri" w:hAnsi="Times New Roman" w:cs="Times New Roman"/>
          <w:b/>
          <w:sz w:val="26"/>
          <w:szCs w:val="26"/>
        </w:rPr>
      </w:pPr>
      <w:r w:rsidRPr="0072600F">
        <w:rPr>
          <w:rFonts w:ascii="Times New Roman" w:eastAsia="Calibri" w:hAnsi="Times New Roman" w:cs="Times New Roman"/>
          <w:b/>
          <w:sz w:val="26"/>
          <w:szCs w:val="26"/>
        </w:rPr>
        <w:br w:type="page"/>
      </w:r>
    </w:p>
    <w:p w:rsidR="00F3594B" w:rsidRPr="0072600F" w14:paraId="7C235AC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IN WITNESS WHEREOF</w:t>
      </w:r>
      <w:r w:rsidRPr="0072600F">
        <w:rPr>
          <w:rFonts w:ascii="Times New Roman" w:eastAsia="Calibri" w:hAnsi="Times New Roman" w:cs="Times New Roman"/>
          <w:sz w:val="26"/>
          <w:szCs w:val="26"/>
        </w:rPr>
        <w:t>, the Parties have caused this Agreement to be duly executed by their duly authorized officers or agents on the day and year first above written.</w:t>
      </w:r>
    </w:p>
    <w:p w:rsidR="00F3594B" w:rsidRPr="0072600F" w14:paraId="735FBC32" w14:textId="77777777">
      <w:pPr>
        <w:spacing w:after="200" w:line="276" w:lineRule="auto"/>
        <w:rPr>
          <w:rFonts w:ascii="Times New Roman" w:eastAsia="Calibri" w:hAnsi="Times New Roman" w:cs="Times New Roman"/>
          <w:sz w:val="26"/>
          <w:szCs w:val="26"/>
        </w:rPr>
      </w:pPr>
    </w:p>
    <w:p w:rsidR="00F3594B" w:rsidRPr="0072600F" w14:paraId="3AC3B3E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Insert name of Transmission Provider</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Insert name of Interconnection Customer</w:t>
      </w:r>
      <w:r w:rsidRPr="0072600F">
        <w:rPr>
          <w:rFonts w:ascii="Times New Roman" w:eastAsia="Calibri" w:hAnsi="Times New Roman" w:cs="Times New Roman"/>
          <w:sz w:val="26"/>
          <w:szCs w:val="26"/>
        </w:rPr>
        <w:t>}</w:t>
      </w:r>
    </w:p>
    <w:p w:rsidR="00F3594B" w:rsidRPr="0072600F" w14:paraId="00D8F0B2"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w:t>
      </w:r>
      <w:r w:rsidRPr="0072600F">
        <w:rPr>
          <w:rFonts w:ascii="Times New Roman" w:eastAsia="Calibri" w:hAnsi="Times New Roman" w:cs="Times New Roman"/>
          <w:sz w:val="26"/>
          <w:szCs w:val="26"/>
        </w:rPr>
        <w:tab/>
        <w:t>_________________________________</w:t>
      </w:r>
    </w:p>
    <w:p w:rsidR="00F3594B" w:rsidRPr="0072600F" w14:paraId="1D969F5A" w14:textId="77777777">
      <w:pPr>
        <w:spacing w:after="200" w:line="276" w:lineRule="auto"/>
        <w:rPr>
          <w:rFonts w:ascii="Times New Roman" w:eastAsia="Calibri" w:hAnsi="Times New Roman" w:cs="Times New Roman"/>
          <w:sz w:val="26"/>
          <w:szCs w:val="26"/>
        </w:rPr>
      </w:pPr>
    </w:p>
    <w:p w:rsidR="00F3594B" w:rsidRPr="0072600F" w14:paraId="366C0C80"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Signed: ____________________________ </w:t>
      </w:r>
      <w:r w:rsidRPr="0072600F">
        <w:rPr>
          <w:rFonts w:ascii="Times New Roman" w:eastAsia="Calibri" w:hAnsi="Times New Roman" w:cs="Times New Roman"/>
          <w:sz w:val="26"/>
          <w:szCs w:val="26"/>
        </w:rPr>
        <w:tab/>
        <w:t>Signed: __________________________</w:t>
      </w:r>
    </w:p>
    <w:p w:rsidR="00F3594B" w:rsidRPr="0072600F" w14:paraId="6A285071" w14:textId="77777777">
      <w:pPr>
        <w:spacing w:after="200" w:line="276" w:lineRule="auto"/>
        <w:rPr>
          <w:rFonts w:ascii="Times New Roman" w:eastAsia="Calibri" w:hAnsi="Times New Roman" w:cs="Times New Roman"/>
          <w:sz w:val="26"/>
          <w:szCs w:val="26"/>
        </w:rPr>
      </w:pPr>
    </w:p>
    <w:p w:rsidR="00F3594B" w:rsidRPr="0072600F" w14:paraId="27A3019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(Printed):</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Name (Printed):</w:t>
      </w:r>
    </w:p>
    <w:p w:rsidR="00F3594B" w:rsidRPr="0072600F" w14:paraId="33804E4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w:t>
      </w:r>
      <w:r w:rsidRPr="0072600F">
        <w:rPr>
          <w:rFonts w:ascii="Times New Roman" w:eastAsia="Calibri" w:hAnsi="Times New Roman" w:cs="Times New Roman"/>
          <w:sz w:val="26"/>
          <w:szCs w:val="26"/>
        </w:rPr>
        <w:tab/>
        <w:t>________________________________</w:t>
      </w:r>
    </w:p>
    <w:p w:rsidR="00F3594B" w:rsidRPr="0072600F" w14:paraId="5C47C685" w14:textId="77777777">
      <w:pPr>
        <w:spacing w:after="200" w:line="276" w:lineRule="auto"/>
        <w:rPr>
          <w:rFonts w:ascii="Times New Roman" w:eastAsia="Calibri" w:hAnsi="Times New Roman" w:cs="Times New Roman"/>
          <w:sz w:val="26"/>
          <w:szCs w:val="26"/>
        </w:rPr>
      </w:pPr>
    </w:p>
    <w:p w:rsidR="00F3594B" w:rsidRPr="0072600F" w14:paraId="4897B628"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Title: ______________________________</w:t>
      </w:r>
      <w:r w:rsidRPr="0072600F">
        <w:rPr>
          <w:rFonts w:ascii="Times New Roman" w:eastAsia="Calibri" w:hAnsi="Times New Roman" w:cs="Times New Roman"/>
          <w:sz w:val="26"/>
          <w:szCs w:val="26"/>
        </w:rPr>
        <w:tab/>
        <w:t>Title: ____________________________</w:t>
      </w:r>
    </w:p>
    <w:p w:rsidR="00F3594B" w:rsidRPr="0072600F" w14:paraId="7F33EE33" w14:textId="77777777">
      <w:pPr>
        <w:spacing w:after="200" w:line="276" w:lineRule="auto"/>
        <w:rPr>
          <w:rFonts w:ascii="Times New Roman" w:eastAsia="Calibri" w:hAnsi="Times New Roman" w:cs="Times New Roman"/>
          <w:sz w:val="26"/>
          <w:szCs w:val="26"/>
        </w:rPr>
      </w:pPr>
    </w:p>
    <w:p w:rsidR="00F3594B" w:rsidRPr="0072600F" w14:paraId="06461A4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F3594B" w:rsidRPr="0072600F" w14:paraId="4A6B0A7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077CFD3B"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A to</w:t>
      </w:r>
    </w:p>
    <w:p w:rsidR="00F3594B" w:rsidRPr="0072600F" w14:paraId="610B61ED" w14:textId="77777777">
      <w:pPr>
        <w:spacing w:after="12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Feasibility Study Agreement</w:t>
      </w:r>
    </w:p>
    <w:p w:rsidR="00F3594B" w:rsidRPr="0072600F" w14:paraId="0CB8A25C"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Assumptions Used in Conducting the Feasibility Study</w:t>
      </w:r>
    </w:p>
    <w:p w:rsidR="00F3594B" w:rsidRPr="0072600F" w14:paraId="22394E0F" w14:textId="77777777">
      <w:pPr>
        <w:spacing w:after="200" w:line="276" w:lineRule="auto"/>
        <w:rPr>
          <w:rFonts w:ascii="Times New Roman" w:eastAsia="Calibri" w:hAnsi="Times New Roman" w:cs="Times New Roman"/>
          <w:sz w:val="26"/>
          <w:szCs w:val="26"/>
        </w:rPr>
      </w:pPr>
    </w:p>
    <w:p w:rsidR="00F3594B" w:rsidRPr="0072600F" w14:paraId="0B74567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The feasibility study will be based upon the information set forth in the Interconnection Request and agreed upon in the scoping meeting held on _____________________:</w:t>
      </w:r>
    </w:p>
    <w:p w:rsidR="00F3594B" w:rsidRPr="0072600F" w14:paraId="0926C65D" w14:textId="77777777">
      <w:pPr>
        <w:spacing w:after="200" w:line="276" w:lineRule="auto"/>
        <w:rPr>
          <w:rFonts w:ascii="Times New Roman" w:eastAsia="Calibri" w:hAnsi="Times New Roman" w:cs="Times New Roman"/>
          <w:sz w:val="26"/>
          <w:szCs w:val="26"/>
        </w:rPr>
      </w:pPr>
    </w:p>
    <w:p w:rsidR="00F3594B" w:rsidRPr="0072600F" w14:paraId="2F94A62B" w14:textId="77777777">
      <w:pPr>
        <w:pStyle w:val="ListParagraph"/>
        <w:numPr>
          <w:ilvl w:val="0"/>
          <w:numId w:val="20"/>
        </w:numPr>
        <w:spacing w:after="200" w:line="276" w:lineRule="auto"/>
        <w:ind w:left="720"/>
        <w:rPr>
          <w:rFonts w:eastAsia="Calibri"/>
          <w:szCs w:val="26"/>
        </w:rPr>
      </w:pPr>
      <w:r w:rsidRPr="0072600F">
        <w:rPr>
          <w:rFonts w:eastAsia="Calibri"/>
          <w:szCs w:val="26"/>
        </w:rPr>
        <w:t>Designation of Point of Interconnection and configuration to be studied.</w:t>
      </w:r>
    </w:p>
    <w:p w:rsidR="00F3594B" w:rsidRPr="0072600F" w14:paraId="74B784ED" w14:textId="77777777">
      <w:pPr>
        <w:spacing w:after="200" w:line="276" w:lineRule="auto"/>
        <w:rPr>
          <w:rFonts w:ascii="Times New Roman" w:eastAsia="Calibri" w:hAnsi="Times New Roman" w:cs="Times New Roman"/>
          <w:sz w:val="26"/>
          <w:szCs w:val="26"/>
        </w:rPr>
      </w:pPr>
    </w:p>
    <w:p w:rsidR="00F3594B" w:rsidRPr="0072600F" w14:paraId="3F7378FA" w14:textId="77777777">
      <w:pPr>
        <w:spacing w:after="200" w:line="276" w:lineRule="auto"/>
        <w:rPr>
          <w:rFonts w:ascii="Times New Roman" w:eastAsia="Calibri" w:hAnsi="Times New Roman" w:cs="Times New Roman"/>
          <w:sz w:val="26"/>
          <w:szCs w:val="26"/>
        </w:rPr>
      </w:pPr>
    </w:p>
    <w:p w:rsidR="00F3594B" w:rsidRPr="0072600F" w:rsidP="00531940" w14:paraId="4BF4D27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w:t>
      </w:r>
      <w:r w:rsidRPr="0072600F">
        <w:rPr>
          <w:rFonts w:ascii="Times New Roman" w:eastAsia="Calibri" w:hAnsi="Times New Roman" w:cs="Times New Roman"/>
          <w:sz w:val="26"/>
          <w:szCs w:val="26"/>
        </w:rPr>
        <w:tab/>
        <w:t>Designation of alternative Points of Interconnection and configuration.</w:t>
      </w:r>
    </w:p>
    <w:p w:rsidR="00F3594B" w:rsidRPr="0072600F" w14:paraId="0A3B935A" w14:textId="77777777">
      <w:pPr>
        <w:spacing w:after="200" w:line="276" w:lineRule="auto"/>
        <w:rPr>
          <w:rFonts w:ascii="Times New Roman" w:eastAsia="Calibri" w:hAnsi="Times New Roman" w:cs="Times New Roman"/>
          <w:sz w:val="26"/>
          <w:szCs w:val="26"/>
        </w:rPr>
      </w:pPr>
    </w:p>
    <w:p w:rsidR="00F3594B" w:rsidRPr="0072600F" w14:paraId="2A908EEE" w14:textId="77777777">
      <w:pPr>
        <w:spacing w:after="200" w:line="276" w:lineRule="auto"/>
        <w:rPr>
          <w:rFonts w:ascii="Times New Roman" w:eastAsia="Calibri" w:hAnsi="Times New Roman" w:cs="Times New Roman"/>
          <w:sz w:val="26"/>
          <w:szCs w:val="26"/>
        </w:rPr>
      </w:pPr>
    </w:p>
    <w:p w:rsidR="00F3594B" w:rsidRPr="0072600F" w:rsidP="00531940" w14:paraId="06C812E3" w14:textId="77777777">
      <w:pPr>
        <w:pStyle w:val="ListParagraph"/>
        <w:rPr>
          <w:rFonts w:eastAsia="Calibri"/>
          <w:szCs w:val="26"/>
        </w:rPr>
      </w:pPr>
      <w:r w:rsidRPr="0072600F">
        <w:rPr>
          <w:rFonts w:eastAsia="Calibri"/>
          <w:szCs w:val="26"/>
        </w:rPr>
        <w:t xml:space="preserve">1) </w:t>
      </w:r>
      <w:r w:rsidRPr="0072600F">
        <w:rPr>
          <w:rFonts w:eastAsia="Calibri"/>
          <w:szCs w:val="26"/>
        </w:rPr>
        <w:t xml:space="preserve">and 2) are to be completed by the Interconnection Customer.  Other assumptions (listed below) are to be provided by </w:t>
      </w:r>
      <w:r w:rsidRPr="0072600F" w:rsidR="008716C5">
        <w:rPr>
          <w:rFonts w:eastAsia="Calibri"/>
          <w:szCs w:val="26"/>
        </w:rPr>
        <w:t>[</w:t>
      </w:r>
      <w:r w:rsidRPr="0072600F">
        <w:rPr>
          <w:rFonts w:eastAsia="Calibri"/>
          <w:szCs w:val="26"/>
        </w:rPr>
        <w:t>the</w:t>
      </w:r>
      <w:r w:rsidRPr="0072600F" w:rsidR="008716C5">
        <w:rPr>
          <w:rFonts w:eastAsia="Calibri"/>
          <w:szCs w:val="26"/>
        </w:rPr>
        <w:t>]</w:t>
      </w:r>
      <w:r w:rsidRPr="0072600F">
        <w:rPr>
          <w:rFonts w:eastAsia="Calibri"/>
          <w:szCs w:val="26"/>
        </w:rPr>
        <w:t xml:space="preserve"> Interconnection Customer and </w:t>
      </w:r>
      <w:r w:rsidRPr="0072600F" w:rsidR="00DF7112">
        <w:rPr>
          <w:rFonts w:eastAsia="Calibri"/>
          <w:szCs w:val="26"/>
        </w:rPr>
        <w:t>[</w:t>
      </w:r>
      <w:r w:rsidRPr="0072600F">
        <w:rPr>
          <w:rFonts w:eastAsia="Calibri"/>
          <w:szCs w:val="26"/>
        </w:rPr>
        <w:t>the</w:t>
      </w:r>
      <w:r w:rsidRPr="0072600F" w:rsidR="00DF7112">
        <w:rPr>
          <w:rFonts w:eastAsia="Calibri"/>
          <w:szCs w:val="26"/>
        </w:rPr>
        <w:t>]</w:t>
      </w:r>
      <w:r w:rsidRPr="0072600F">
        <w:rPr>
          <w:rFonts w:eastAsia="Calibri"/>
          <w:szCs w:val="26"/>
        </w:rPr>
        <w:t xml:space="preserve"> Transmission Provider.</w:t>
      </w:r>
    </w:p>
    <w:p w:rsidR="00F3594B" w:rsidRPr="0072600F" w14:paraId="44893A73" w14:textId="77777777">
      <w:pPr>
        <w:spacing w:after="200" w:line="276" w:lineRule="auto"/>
        <w:rPr>
          <w:rFonts w:ascii="Times New Roman" w:eastAsia="Calibri" w:hAnsi="Times New Roman" w:cs="Times New Roman"/>
          <w:sz w:val="26"/>
          <w:szCs w:val="26"/>
        </w:rPr>
      </w:pPr>
    </w:p>
    <w:p w:rsidR="00F3594B" w:rsidRPr="0072600F" w14:paraId="5F94192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p>
    <w:p w:rsidR="00F3594B" w:rsidRPr="0072600F" w14:paraId="4F95E308" w14:textId="77777777">
      <w:pPr>
        <w:spacing w:after="200" w:line="276" w:lineRule="auto"/>
        <w:rPr>
          <w:rFonts w:ascii="Times New Roman" w:eastAsia="Calibri" w:hAnsi="Times New Roman" w:cs="Times New Roman"/>
          <w:sz w:val="26"/>
          <w:szCs w:val="26"/>
        </w:rPr>
        <w:sectPr>
          <w:footerReference w:type="default" r:id="rId61"/>
          <w:pgSz w:w="12240" w:h="15840"/>
          <w:pgMar w:top="1440" w:right="1440" w:bottom="1440" w:left="1440" w:header="720" w:footer="720" w:gutter="0"/>
          <w:pgNumType w:start="1"/>
          <w:cols w:space="720"/>
          <w:docGrid w:linePitch="360"/>
        </w:sectPr>
      </w:pPr>
    </w:p>
    <w:p w:rsidR="00F3594B" w:rsidRPr="0072600F" w14:paraId="44337908"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7</w:t>
      </w:r>
    </w:p>
    <w:p w:rsidR="00F3594B" w:rsidRPr="0072600F" w14:paraId="05B6FA8E"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System Impact Study Agreement</w:t>
      </w:r>
    </w:p>
    <w:p w:rsidR="00F3594B" w:rsidRPr="0072600F" w14:paraId="57B6DA7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is made and entered into this _____day of______________</w:t>
      </w:r>
    </w:p>
    <w:p w:rsidR="00F3594B" w:rsidRPr="0072600F" w14:paraId="1CE83956"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20___ by and between_____________________________________________________,</w:t>
      </w:r>
    </w:p>
    <w:p w:rsidR="00F3594B" w:rsidRPr="0072600F" w14:paraId="13EC68DE"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w:t>
      </w:r>
      <w:r w:rsidRPr="0072600F">
        <w:rPr>
          <w:rFonts w:ascii="Times New Roman" w:eastAsia="Calibri" w:hAnsi="Times New Roman" w:cs="Times New Roman"/>
          <w:sz w:val="26"/>
          <w:szCs w:val="26"/>
        </w:rPr>
        <w:t>___________________________ organized and existing under the laws of the State of</w:t>
      </w:r>
    </w:p>
    <w:p w:rsidR="00F3594B" w:rsidRPr="0072600F" w14:paraId="6F7FD135"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Interconnection Customer,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and</w:t>
      </w:r>
    </w:p>
    <w:p w:rsidR="00F3594B" w:rsidRPr="0072600F" w14:paraId="1589BFD0"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 a________________</w:t>
      </w:r>
    </w:p>
    <w:p w:rsidR="00F3594B" w:rsidRPr="0072600F" w14:paraId="6090553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i/>
          <w:iCs/>
          <w:sz w:val="26"/>
          <w:szCs w:val="26"/>
        </w:rPr>
        <w:t xml:space="preserve">organized and </w:t>
      </w:r>
      <w:r w:rsidRPr="0072600F">
        <w:rPr>
          <w:rFonts w:ascii="Times New Roman" w:eastAsia="Calibri" w:hAnsi="Times New Roman" w:cs="Times New Roman"/>
          <w:sz w:val="26"/>
          <w:szCs w:val="26"/>
        </w:rPr>
        <w:t>existing under the laws of the State of___________________________________,</w:t>
      </w:r>
    </w:p>
    <w:p w:rsidR="00F3594B" w:rsidRPr="0072600F" w14:paraId="1C222A3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Transmission Provider</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Transmission Provider each may be referred to as a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Party,</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or collectively as the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Parties.</w:t>
      </w:r>
      <w:r w:rsidRPr="0072600F" w:rsidR="00DF7112">
        <w:rPr>
          <w:rFonts w:ascii="Times New Roman" w:eastAsia="Calibri" w:hAnsi="Times New Roman" w:cs="Times New Roman"/>
          <w:sz w:val="26"/>
          <w:szCs w:val="26"/>
        </w:rPr>
        <w:t>”</w:t>
      </w:r>
    </w:p>
    <w:p w:rsidR="00F3594B" w:rsidRPr="0072600F" w14:paraId="65B9ACBC"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RECITALS</w:t>
      </w:r>
    </w:p>
    <w:p w:rsidR="00F3594B" w:rsidRPr="0072600F" w14:paraId="1F2489B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is proposing to develop a Small Generating Facility or generating capacity addition to an existing Small Generating Facility consistent with the Interconnection Request completed by </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on________________________; and</w:t>
      </w:r>
    </w:p>
    <w:p w:rsidR="00F3594B" w:rsidRPr="0072600F" w14:paraId="57C39D5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8716C5">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desires to interconnect the Small Generating Facility with </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F7112">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w:t>
      </w:r>
    </w:p>
    <w:p w:rsidR="00F3594B" w:rsidRPr="0072600F" w14:paraId="0677585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has completed a feasibility study and provided the results of said study to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(This recital to be omitted if the Parties have agreed to forego the feasibility study.); and</w:t>
      </w:r>
    </w:p>
    <w:p w:rsidR="00F3594B" w:rsidRPr="0072600F" w14:paraId="2B83C2C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has requested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to perform a system impact study(s) to assess the impact of interconnecting the Small Generating Facility with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 and of any Affected Systems; </w:t>
      </w:r>
    </w:p>
    <w:p w:rsidR="00F3594B" w:rsidRPr="0072600F" w14:paraId="78D39A8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NOW, THEREFORE</w:t>
      </w:r>
      <w:r w:rsidRPr="0072600F">
        <w:rPr>
          <w:rFonts w:ascii="Times New Roman" w:eastAsia="Calibri" w:hAnsi="Times New Roman" w:cs="Times New Roman"/>
          <w:sz w:val="26"/>
          <w:szCs w:val="26"/>
        </w:rPr>
        <w:t>, in consideration of and subject to the mutual covenants contained herein the Parties agreed as follows:</w:t>
      </w:r>
    </w:p>
    <w:p w:rsidR="00F3594B" w:rsidRPr="0072600F" w14:paraId="68DC88F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w:t>
      </w:r>
      <w:r w:rsidRPr="0072600F">
        <w:rPr>
          <w:rFonts w:ascii="Times New Roman" w:eastAsia="Calibri" w:hAnsi="Times New Roman" w:cs="Times New Roman"/>
          <w:sz w:val="26"/>
          <w:szCs w:val="26"/>
        </w:rPr>
        <w:tab/>
        <w:t>When used in this Agreement, with initial capitalization, the terms specified shall have the meanings indicated or the meanings specified in the standard Small Generator Interconnection Procedures.</w:t>
      </w:r>
    </w:p>
    <w:p w:rsidR="00F3594B" w:rsidRPr="0072600F" w14:paraId="6F7EFD56"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w:t>
      </w:r>
      <w:r w:rsidRPr="0072600F">
        <w:rPr>
          <w:rFonts w:ascii="Times New Roman" w:eastAsia="Calibri" w:hAnsi="Times New Roman" w:cs="Times New Roman"/>
          <w:sz w:val="26"/>
          <w:szCs w:val="26"/>
        </w:rPr>
        <w:tab/>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elects and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cause to be performed a system impact study(s) consistent with the standard Small Generator Interconnection Procedures in accordance with the Open Access Transmission Tariff.</w:t>
      </w:r>
    </w:p>
    <w:p w:rsidR="00F3594B" w:rsidRPr="0072600F" w14:paraId="75C9C061" w14:textId="77777777">
      <w:pPr>
        <w:spacing w:after="200" w:line="276" w:lineRule="auto"/>
        <w:rPr>
          <w:rFonts w:ascii="Times New Roman" w:eastAsia="Calibri" w:hAnsi="Times New Roman" w:cs="Times New Roman"/>
          <w:sz w:val="26"/>
          <w:szCs w:val="26"/>
        </w:rPr>
      </w:pPr>
    </w:p>
    <w:p w:rsidR="00F3594B" w:rsidRPr="0072600F" w14:paraId="57E6380E"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3.0</w:t>
      </w:r>
      <w:r w:rsidRPr="0072600F">
        <w:rPr>
          <w:rFonts w:ascii="Times New Roman" w:eastAsia="Calibri" w:hAnsi="Times New Roman" w:cs="Times New Roman"/>
          <w:sz w:val="26"/>
          <w:szCs w:val="26"/>
        </w:rPr>
        <w:tab/>
        <w:t>The scope of a system impact study shall be subject to the assumptions set forth in Attachment A to this Agreement.</w:t>
      </w:r>
    </w:p>
    <w:p w:rsidR="00F3594B" w:rsidRPr="0072600F" w14:paraId="360163CD"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4.0</w:t>
      </w:r>
      <w:r w:rsidRPr="0072600F">
        <w:rPr>
          <w:rFonts w:ascii="Times New Roman" w:eastAsia="Calibri" w:hAnsi="Times New Roman" w:cs="Times New Roman"/>
          <w:sz w:val="26"/>
          <w:szCs w:val="26"/>
        </w:rPr>
        <w:tab/>
        <w:t xml:space="preserve">A system impact study will be based upon the results of the feasibility study and the technical information provided by Interconnection Customer in the Interconnection Request.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reserves the right to request additional technical information from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as may reasonably become necessary consistent with Good Utility Practice during the course of the system impact study.  If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modifies its designated Point of Interconnection, Interconnection Request, or the technical information provided therein is modified, the time to complete the system impact study may be extended.</w:t>
      </w:r>
    </w:p>
    <w:p w:rsidR="00F3594B" w:rsidRPr="0072600F" w14:paraId="6E5E8CD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5.0</w:t>
      </w:r>
      <w:r w:rsidRPr="0072600F">
        <w:rPr>
          <w:rFonts w:ascii="Times New Roman" w:eastAsia="Calibri" w:hAnsi="Times New Roman" w:cs="Times New Roman"/>
          <w:sz w:val="26"/>
          <w:szCs w:val="26"/>
        </w:rPr>
        <w:tab/>
        <w:t>A system impact study shall consist of a short circuit analysis, a stability analysis, a power flow analysis, voltage drop and flicker studies, protection and set point coordination studies, and grounding reviews, as necessary.  A system impact study shall state the assumptions upon which it is based, state the results of the analyses, and provide the requirement or potential impediments to providing the requested interconnection service, including a preliminary indication of the cost and length of time that would be necessary to correct any problems identified in those analyses and implement the interconnection.  A system impact study shall provide a list of facilities that are required as a result of the Interconnection Request and non-binding good faith estimates of cost responsibility and time to construct.</w:t>
      </w:r>
    </w:p>
    <w:p w:rsidR="00F3594B" w:rsidRPr="0072600F" w14:paraId="3C4DADA8"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6.0</w:t>
      </w:r>
      <w:r w:rsidRPr="0072600F">
        <w:rPr>
          <w:rFonts w:ascii="Times New Roman" w:eastAsia="Calibri" w:hAnsi="Times New Roman" w:cs="Times New Roman"/>
          <w:sz w:val="26"/>
          <w:szCs w:val="26"/>
        </w:rPr>
        <w:tab/>
        <w:t>A distribution system impact study shall incorporate a distribution load flow study, an analysis of equipment interrupting ratings, protection coordination study, voltage drop and flicker studies, protection and set point coordination studies, grounding reviews, and the impact on electric system operation, as necessary.</w:t>
      </w:r>
    </w:p>
    <w:p w:rsidR="00F3594B" w:rsidRPr="0072600F" w14:paraId="0B0BDDA0"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7.0</w:t>
      </w:r>
      <w:r w:rsidRPr="0072600F">
        <w:rPr>
          <w:rFonts w:ascii="Times New Roman" w:eastAsia="Calibri" w:hAnsi="Times New Roman" w:cs="Times New Roman"/>
          <w:sz w:val="26"/>
          <w:szCs w:val="26"/>
        </w:rPr>
        <w:tab/>
        <w:t xml:space="preserve">Affected Systems may participate in the preparation of a system impact study, with a division of costs among such entities as they may agree.  All Affected Systems shall be afforded an opportunity to review and comment upon a system impact study that covers potential adverse system impacts on their electric systems, and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has</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twenty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20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additional Business Days to complete a system impact study requiring review by Affected Systems.</w:t>
      </w:r>
    </w:p>
    <w:p w:rsidR="00F3594B" w:rsidRPr="0072600F" w14:paraId="61420390"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3C8F8D3F" w14:textId="77777777">
      <w:pPr>
        <w:spacing w:after="200" w:line="276" w:lineRule="auto"/>
        <w:rPr>
          <w:rFonts w:ascii="Times New Roman" w:eastAsia="Calibri" w:hAnsi="Times New Roman" w:cs="Times New Roman"/>
          <w:sz w:val="26"/>
          <w:szCs w:val="26"/>
        </w:rPr>
      </w:pPr>
    </w:p>
    <w:p w:rsidR="00F3594B" w:rsidRPr="0072600F" w14:paraId="6A2A6CDF"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8.0</w:t>
      </w:r>
      <w:r w:rsidRPr="0072600F">
        <w:rPr>
          <w:rFonts w:ascii="Times New Roman" w:eastAsia="Calibri" w:hAnsi="Times New Roman" w:cs="Times New Roman"/>
          <w:sz w:val="26"/>
          <w:szCs w:val="26"/>
        </w:rPr>
        <w:tab/>
        <w:t xml:space="preserve">If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uses a queuing procedure for sorting or prioritizing projects and their associated cost responsibilities for any required Network Upgrades, the system impact study shall consider all generating facilities (and with respect to paragraph 8.3 below, any identified Upgrades associated with such higher queued interconnection) that, on the date the system impact study is commenced –</w:t>
      </w:r>
    </w:p>
    <w:p w:rsidR="00F3594B" w:rsidRPr="0072600F" w14:paraId="789F8FAF" w14:textId="77777777">
      <w:pPr>
        <w:spacing w:after="200"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8.1</w:t>
      </w:r>
      <w:r w:rsidRPr="0072600F">
        <w:rPr>
          <w:rFonts w:ascii="Times New Roman" w:eastAsia="Calibri" w:hAnsi="Times New Roman" w:cs="Times New Roman"/>
          <w:sz w:val="26"/>
          <w:szCs w:val="26"/>
        </w:rPr>
        <w:tab/>
        <w:t xml:space="preserve">Are directly interconnected with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electric system; or</w:t>
      </w:r>
    </w:p>
    <w:p w:rsidR="00F3594B" w:rsidRPr="0072600F" w14:paraId="1C582343"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8.2</w:t>
      </w:r>
      <w:r w:rsidRPr="0072600F">
        <w:rPr>
          <w:rFonts w:ascii="Times New Roman" w:eastAsia="Calibri" w:hAnsi="Times New Roman" w:cs="Times New Roman"/>
          <w:sz w:val="26"/>
          <w:szCs w:val="26"/>
        </w:rPr>
        <w:tab/>
        <w:t>Are interconnected with Affected Systems and may have an impact on the proposed interconnection; and</w:t>
      </w:r>
    </w:p>
    <w:p w:rsidR="00F3594B" w:rsidRPr="0072600F" w14:paraId="7C4D9063"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8.3</w:t>
      </w:r>
      <w:r w:rsidRPr="0072600F">
        <w:rPr>
          <w:rFonts w:ascii="Times New Roman" w:eastAsia="Calibri" w:hAnsi="Times New Roman" w:cs="Times New Roman"/>
          <w:sz w:val="26"/>
          <w:szCs w:val="26"/>
        </w:rPr>
        <w:tab/>
        <w:t xml:space="preserve">Have a pending higher queued Interconnection Request to interconnect with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electric system.</w:t>
      </w:r>
    </w:p>
    <w:p w:rsidR="00F3594B" w:rsidRPr="0072600F" w14:paraId="46A91801"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9.0</w:t>
      </w:r>
      <w:r w:rsidRPr="0072600F">
        <w:rPr>
          <w:rFonts w:ascii="Times New Roman" w:eastAsia="Calibri" w:hAnsi="Times New Roman" w:cs="Times New Roman"/>
          <w:sz w:val="26"/>
          <w:szCs w:val="26"/>
        </w:rPr>
        <w:tab/>
        <w:t xml:space="preserve">A distribution system impact study, if required, shall be completed and the results transmitted to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after this Agreement is signed by the Parties.  A transmission system impact study, if required, shall be completed and the results transmitted to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within </w:t>
      </w:r>
      <w:r w:rsidRPr="0072600F" w:rsidR="0056592A">
        <w:rPr>
          <w:rFonts w:ascii="Times New Roman" w:eastAsia="Calibri" w:hAnsi="Times New Roman" w:cs="Times New Roman"/>
          <w:i/>
          <w:sz w:val="26"/>
          <w:szCs w:val="26"/>
        </w:rPr>
        <w:t>forty-five</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45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after this Agreement is signed by the Parties, or in accordance with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queuing procedures.</w:t>
      </w:r>
    </w:p>
    <w:p w:rsidR="00F3594B" w:rsidRPr="0072600F" w14:paraId="600AC9E2"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10.0</w:t>
      </w:r>
      <w:r w:rsidRPr="0072600F">
        <w:rPr>
          <w:rFonts w:ascii="Times New Roman" w:eastAsia="Calibri" w:hAnsi="Times New Roman" w:cs="Times New Roman"/>
          <w:sz w:val="26"/>
          <w:szCs w:val="26"/>
        </w:rPr>
        <w:tab/>
        <w:t xml:space="preserve">A deposit of the equivalent of the good faith estimated cost of a distribution system impact study and the one half the good faith estimated cost of a transmission system impact study may be required from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w:t>
      </w:r>
    </w:p>
    <w:p w:rsidR="00F3594B" w:rsidRPr="0072600F" w14:paraId="18EFD60B"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11.0</w:t>
      </w:r>
      <w:r w:rsidRPr="0072600F">
        <w:rPr>
          <w:rFonts w:ascii="Times New Roman" w:eastAsia="Calibri" w:hAnsi="Times New Roman" w:cs="Times New Roman"/>
          <w:sz w:val="26"/>
          <w:szCs w:val="26"/>
        </w:rPr>
        <w:tab/>
        <w:t xml:space="preserve">Any study fees shall be based on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actual costs and will be invoiced to </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after the study is completed and delivered and will include a summary of professional time.</w:t>
      </w:r>
    </w:p>
    <w:p w:rsidR="00F3594B" w:rsidRPr="0072600F" w14:paraId="43F32FE6"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12.0</w:t>
      </w:r>
      <w:r w:rsidRPr="0072600F">
        <w:rPr>
          <w:rFonts w:ascii="Times New Roman" w:eastAsia="Calibri" w:hAnsi="Times New Roman" w:cs="Times New Roman"/>
          <w:sz w:val="26"/>
          <w:szCs w:val="26"/>
        </w:rPr>
        <w:tab/>
      </w:r>
      <w:r w:rsidRPr="0072600F" w:rsidR="00C6509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pay any study costs that exceed the deposit without interest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alendar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 xml:space="preserve">ays on receipt of the invoice or resolution of any dispute.  If the deposit exceeds the invoiced fees,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refund such excess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alendar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ays of the invoice without interest.</w:t>
      </w:r>
    </w:p>
    <w:p w:rsidR="00F3594B" w:rsidRPr="0072600F" w14:paraId="63816477"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13.0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Governing Law, Regulatory Authority, and Rules</w:t>
      </w:r>
    </w:p>
    <w:p w:rsidR="00F3594B" w:rsidRPr="0072600F" w14:paraId="75F8283B"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F3594B" w:rsidRPr="0072600F" w14:paraId="4C2C5B11" w14:textId="77777777">
      <w:pPr>
        <w:spacing w:after="200" w:line="276" w:lineRule="auto"/>
        <w:rPr>
          <w:rFonts w:ascii="Times New Roman" w:eastAsia="Calibri" w:hAnsi="Times New Roman" w:cs="Times New Roman"/>
          <w:sz w:val="26"/>
          <w:szCs w:val="26"/>
        </w:rPr>
      </w:pPr>
    </w:p>
    <w:p w:rsidR="00F3594B" w:rsidRPr="0072600F" w14:paraId="5CAE69E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14.0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Amendment</w:t>
      </w:r>
    </w:p>
    <w:p w:rsidR="00F3594B" w:rsidRPr="0072600F" w14:paraId="2A227F44"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Parties may amend this Agreement by a written instrument duly executed by both Parties.</w:t>
      </w:r>
    </w:p>
    <w:p w:rsidR="00F3594B" w:rsidRPr="0072600F" w14:paraId="08792933"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15.0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No Third-Party Beneficiaries</w:t>
      </w:r>
    </w:p>
    <w:p w:rsidR="00F3594B" w:rsidRPr="0072600F" w14:paraId="2B2E46AC"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F3594B" w:rsidRPr="0072600F" w14:paraId="2959F05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16.0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Waiver</w:t>
      </w:r>
    </w:p>
    <w:p w:rsidR="00F3594B" w:rsidRPr="0072600F" w14:paraId="7A668B8D"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16.1</w:t>
      </w:r>
      <w:r w:rsidRPr="0072600F">
        <w:rPr>
          <w:rFonts w:ascii="Times New Roman" w:eastAsia="Calibri" w:hAnsi="Times New Roman" w:cs="Times New Roman"/>
          <w:sz w:val="26"/>
          <w:szCs w:val="26"/>
        </w:rPr>
        <w:tab/>
        <w:t>The failure of a Party to this Agreement to insist, on any occasion, upon strict performance of any provision of this Agreement will not be considered a waiver of any obligation, right, or duty of, or imposed upon, such Party.</w:t>
      </w:r>
    </w:p>
    <w:p w:rsidR="00F3594B" w:rsidRPr="0072600F" w14:paraId="4B049EC7"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16.2</w:t>
      </w:r>
      <w:r w:rsidRPr="0072600F">
        <w:rPr>
          <w:rFonts w:ascii="Times New Roman" w:eastAsia="Calibri" w:hAnsi="Times New Roman" w:cs="Times New Roman"/>
          <w:sz w:val="26"/>
          <w:szCs w:val="26"/>
        </w:rPr>
        <w:tab/>
        <w:t xml:space="preserve">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legal rights to obtain an interconnection from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Any waiver of this Agreement shall, if requested, be provided in writing.</w:t>
      </w:r>
    </w:p>
    <w:p w:rsidR="00F3594B" w:rsidRPr="0072600F" w14:paraId="0B4C0A3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17.0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Multiple Counterparts</w:t>
      </w:r>
    </w:p>
    <w:p w:rsidR="00F3594B" w:rsidRPr="0072600F" w14:paraId="7F2FC1BA"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may be executed in two or more counterparts, each of which is deemed an original but all constitute one and the same instrument.</w:t>
      </w:r>
    </w:p>
    <w:p w:rsidR="00F3594B" w:rsidRPr="0072600F" w14:paraId="66280B28"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18.0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No Partnership</w:t>
      </w:r>
    </w:p>
    <w:p w:rsidR="00F3594B" w:rsidRPr="0072600F" w14:paraId="2940F0D9"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F3594B" w:rsidRPr="0072600F" w14:paraId="3B647D37"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19246C4B"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19.0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Severability</w:t>
      </w:r>
    </w:p>
    <w:p w:rsidR="00F3594B" w:rsidRPr="0072600F" w14:paraId="255B2D66"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F3594B" w:rsidRPr="0072600F" w14:paraId="35E965B7"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20.0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Subcontractors</w:t>
      </w:r>
    </w:p>
    <w:p w:rsidR="00F3594B" w:rsidRPr="0072600F" w14:paraId="55EFF825"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F3594B" w:rsidRPr="0072600F" w:rsidP="00096D71" w14:paraId="720F7509"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20.1</w:t>
      </w:r>
      <w:r w:rsidRPr="0072600F">
        <w:rPr>
          <w:rFonts w:ascii="Times New Roman" w:eastAsia="Calibri" w:hAnsi="Times New Roman" w:cs="Times New Roman"/>
          <w:sz w:val="26"/>
          <w:szCs w:val="26"/>
        </w:rPr>
        <w:tab/>
        <w:t xml:space="preserve">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0A4DE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be liable for the actions or inactions of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or its subcontractors with respect to obligations of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under this Agreement.  Any applicable obligation imposed by this Agreement upon the hiring Party shall be equally binding upon, and shall be construed as having application to, any subcontractor of such Party.</w:t>
      </w:r>
    </w:p>
    <w:p w:rsidR="00F3594B" w:rsidRPr="0072600F" w:rsidP="00141E0B" w14:paraId="5609D30E"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20.2</w:t>
      </w:r>
      <w:r w:rsidRPr="0072600F">
        <w:rPr>
          <w:rFonts w:ascii="Times New Roman" w:eastAsia="Calibri" w:hAnsi="Times New Roman" w:cs="Times New Roman"/>
          <w:sz w:val="26"/>
          <w:szCs w:val="26"/>
        </w:rPr>
        <w:tab/>
        <w:t>The obligations under this article will not be limited in any way by any limitation of subcontractor’s insurance.</w:t>
      </w:r>
    </w:p>
    <w:p w:rsidR="00F3594B" w:rsidRPr="0072600F" w14:paraId="51F2926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21.0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Reservation of Rights</w:t>
      </w:r>
    </w:p>
    <w:p w:rsidR="00F3594B" w:rsidRPr="0072600F" w14:paraId="61E877B3"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rules and regulations thereunder, and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have the right to make a unilateral filing with FERC to modify this Agreement under any applicable provision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s rules and regulations; provided that each Party shall have the right to protest any such filing by the other Party and to participate fully in any proceeding before FERC in which such modifications</w:t>
      </w:r>
      <w:r w:rsidRPr="0072600F">
        <w:rPr>
          <w:rFonts w:ascii="Times New Roman" w:hAnsi="Times New Roman" w:cs="Times New Roman"/>
          <w:sz w:val="26"/>
          <w:szCs w:val="26"/>
        </w:rPr>
        <w:t xml:space="preserve"> may be considered.  Nothing in this Agreement shall limit the rights of the Parties or of FERC under sections 205 or 206 of the Federal Power Act and FERC</w:t>
      </w:r>
      <w:r w:rsidRPr="0072600F">
        <w:rPr>
          <w:rFonts w:ascii="Times New Roman" w:hAnsi="Times New Roman" w:cs="Times New Roman"/>
          <w:sz w:val="26"/>
          <w:szCs w:val="26"/>
        </w:rPr>
        <w:t>’</w:t>
      </w:r>
      <w:r w:rsidRPr="0072600F">
        <w:rPr>
          <w:rFonts w:ascii="Times New Roman" w:hAnsi="Times New Roman" w:cs="Times New Roman"/>
          <w:sz w:val="26"/>
          <w:szCs w:val="26"/>
        </w:rPr>
        <w:t>s rules and regulations, except to the extent that the Parties otherwise agree as provided herein.</w:t>
      </w:r>
    </w:p>
    <w:p w:rsidR="00F3594B" w:rsidRPr="0072600F" w14:paraId="2E4503E4" w14:textId="77777777">
      <w:pPr>
        <w:spacing w:after="200" w:line="276" w:lineRule="auto"/>
        <w:rPr>
          <w:rFonts w:ascii="Times New Roman" w:eastAsia="Calibri" w:hAnsi="Times New Roman" w:cs="Times New Roman"/>
          <w:sz w:val="26"/>
          <w:szCs w:val="26"/>
        </w:rPr>
      </w:pPr>
    </w:p>
    <w:p w:rsidR="00F3594B" w:rsidRPr="0072600F" w14:paraId="28B310F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IN WITNESS THEREOF</w:t>
      </w:r>
      <w:r w:rsidRPr="0072600F">
        <w:rPr>
          <w:rFonts w:ascii="Times New Roman" w:eastAsia="Calibri" w:hAnsi="Times New Roman" w:cs="Times New Roman"/>
          <w:sz w:val="26"/>
          <w:szCs w:val="26"/>
        </w:rPr>
        <w:t>, the Parties have caused this Agreement to be duly executed by their duly authorized officers or agents on the day and year first above written.</w:t>
      </w:r>
    </w:p>
    <w:p w:rsidR="00F3594B" w:rsidRPr="0072600F" w14:paraId="789E3349" w14:textId="77777777">
      <w:pPr>
        <w:spacing w:after="200" w:line="276" w:lineRule="auto"/>
        <w:rPr>
          <w:rFonts w:ascii="Times New Roman" w:eastAsia="Calibri" w:hAnsi="Times New Roman" w:cs="Times New Roman"/>
          <w:sz w:val="26"/>
          <w:szCs w:val="26"/>
        </w:rPr>
      </w:pPr>
    </w:p>
    <w:p w:rsidR="00F3594B" w:rsidRPr="0072600F" w14:paraId="68225EC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Insert name of Transmission Provider</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Insert name of Interconnection Customer</w:t>
      </w:r>
      <w:r w:rsidRPr="0072600F">
        <w:rPr>
          <w:rFonts w:ascii="Times New Roman" w:eastAsia="Calibri" w:hAnsi="Times New Roman" w:cs="Times New Roman"/>
          <w:sz w:val="26"/>
          <w:szCs w:val="26"/>
        </w:rPr>
        <w:t>}</w:t>
      </w:r>
    </w:p>
    <w:p w:rsidR="00F3594B" w:rsidRPr="0072600F" w14:paraId="099A911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w:t>
      </w:r>
      <w:r w:rsidRPr="0072600F">
        <w:rPr>
          <w:rFonts w:ascii="Times New Roman" w:eastAsia="Calibri" w:hAnsi="Times New Roman" w:cs="Times New Roman"/>
          <w:sz w:val="26"/>
          <w:szCs w:val="26"/>
        </w:rPr>
        <w:tab/>
        <w:t>_________________________________</w:t>
      </w:r>
    </w:p>
    <w:p w:rsidR="00F3594B" w:rsidRPr="0072600F" w14:paraId="09BD2448" w14:textId="77777777">
      <w:pPr>
        <w:spacing w:after="200" w:line="276" w:lineRule="auto"/>
        <w:rPr>
          <w:rFonts w:ascii="Times New Roman" w:eastAsia="Calibri" w:hAnsi="Times New Roman" w:cs="Times New Roman"/>
          <w:sz w:val="26"/>
          <w:szCs w:val="26"/>
        </w:rPr>
      </w:pPr>
    </w:p>
    <w:p w:rsidR="00F3594B" w:rsidRPr="0072600F" w14:paraId="38259A7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Signed: ____________________________</w:t>
      </w:r>
      <w:r w:rsidRPr="0072600F">
        <w:rPr>
          <w:rFonts w:ascii="Times New Roman" w:eastAsia="Calibri" w:hAnsi="Times New Roman" w:cs="Times New Roman"/>
          <w:sz w:val="26"/>
          <w:szCs w:val="26"/>
        </w:rPr>
        <w:tab/>
        <w:t>Signed: __________________________</w:t>
      </w:r>
    </w:p>
    <w:p w:rsidR="00F3594B" w:rsidRPr="0072600F" w14:paraId="15A3F644" w14:textId="77777777">
      <w:pPr>
        <w:spacing w:after="200" w:line="276" w:lineRule="auto"/>
        <w:rPr>
          <w:rFonts w:ascii="Times New Roman" w:eastAsia="Calibri" w:hAnsi="Times New Roman" w:cs="Times New Roman"/>
          <w:sz w:val="26"/>
          <w:szCs w:val="26"/>
        </w:rPr>
      </w:pPr>
    </w:p>
    <w:p w:rsidR="00F3594B" w:rsidRPr="0072600F" w14:paraId="4E2B4E2B"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(Printed):</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Name (Printed):</w:t>
      </w:r>
    </w:p>
    <w:p w:rsidR="00F3594B" w:rsidRPr="0072600F" w14:paraId="6E629BB0"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w:t>
      </w:r>
      <w:r w:rsidRPr="0072600F">
        <w:rPr>
          <w:rFonts w:ascii="Times New Roman" w:eastAsia="Calibri" w:hAnsi="Times New Roman" w:cs="Times New Roman"/>
          <w:sz w:val="26"/>
          <w:szCs w:val="26"/>
        </w:rPr>
        <w:tab/>
        <w:t>________________________________</w:t>
      </w:r>
    </w:p>
    <w:p w:rsidR="00F3594B" w:rsidRPr="0072600F" w14:paraId="57FBA77F" w14:textId="77777777">
      <w:pPr>
        <w:spacing w:after="200" w:line="276" w:lineRule="auto"/>
        <w:rPr>
          <w:rFonts w:ascii="Times New Roman" w:eastAsia="Calibri" w:hAnsi="Times New Roman" w:cs="Times New Roman"/>
          <w:sz w:val="26"/>
          <w:szCs w:val="26"/>
        </w:rPr>
      </w:pPr>
    </w:p>
    <w:p w:rsidR="00F3594B" w:rsidRPr="0072600F" w14:paraId="6C55970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Title: ______________________________</w:t>
      </w:r>
      <w:r w:rsidRPr="0072600F">
        <w:rPr>
          <w:rFonts w:ascii="Times New Roman" w:eastAsia="Calibri" w:hAnsi="Times New Roman" w:cs="Times New Roman"/>
          <w:sz w:val="26"/>
          <w:szCs w:val="26"/>
        </w:rPr>
        <w:tab/>
        <w:t>Title: __________________________</w:t>
      </w:r>
    </w:p>
    <w:p w:rsidR="00F3594B" w:rsidRPr="0072600F" w14:paraId="2A8F532A"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sz w:val="26"/>
          <w:szCs w:val="26"/>
        </w:rPr>
        <w:br w:type="page"/>
      </w:r>
      <w:r w:rsidRPr="0072600F">
        <w:rPr>
          <w:rFonts w:ascii="Times New Roman" w:eastAsia="Calibri" w:hAnsi="Times New Roman" w:cs="Times New Roman"/>
          <w:b/>
          <w:sz w:val="26"/>
          <w:szCs w:val="26"/>
        </w:rPr>
        <w:t>Attachment A to System</w:t>
      </w:r>
    </w:p>
    <w:p w:rsidR="00F3594B" w:rsidRPr="0072600F" w14:paraId="57763C83" w14:textId="77777777">
      <w:pPr>
        <w:spacing w:after="120"/>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Impact Study Agreement</w:t>
      </w:r>
    </w:p>
    <w:p w:rsidR="00F3594B" w:rsidRPr="0072600F" w14:paraId="6DFC47A7"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Assumptions Used in Conducting the System Impact Study</w:t>
      </w:r>
    </w:p>
    <w:p w:rsidR="00F3594B" w:rsidRPr="0072600F" w14:paraId="0255B840" w14:textId="77777777">
      <w:pPr>
        <w:spacing w:after="200" w:line="276" w:lineRule="auto"/>
        <w:rPr>
          <w:rFonts w:ascii="Times New Roman" w:eastAsia="Calibri" w:hAnsi="Times New Roman" w:cs="Times New Roman"/>
          <w:b/>
          <w:sz w:val="26"/>
          <w:szCs w:val="26"/>
        </w:rPr>
      </w:pPr>
    </w:p>
    <w:p w:rsidR="00F3594B" w:rsidRPr="0072600F" w14:paraId="2D8A15F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The system impact study shall be based upon the results of the feasibility study, subject to any modifications in accordance with the standard Small Generator Interconnection Procedures, and the following assumptions:</w:t>
      </w:r>
    </w:p>
    <w:p w:rsidR="00F3594B" w:rsidRPr="0072600F" w14:paraId="257A613B" w14:textId="77777777">
      <w:pPr>
        <w:spacing w:after="200" w:line="276" w:lineRule="auto"/>
        <w:rPr>
          <w:rFonts w:ascii="Times New Roman" w:eastAsia="Calibri" w:hAnsi="Times New Roman" w:cs="Times New Roman"/>
          <w:sz w:val="26"/>
          <w:szCs w:val="26"/>
        </w:rPr>
      </w:pPr>
    </w:p>
    <w:p w:rsidR="00F3594B" w:rsidRPr="0072600F" w:rsidP="000A4DEE" w14:paraId="62F0E880" w14:textId="77777777">
      <w:pPr>
        <w:spacing w:after="200" w:line="276" w:lineRule="auto"/>
        <w:rPr>
          <w:rFonts w:ascii="Times New Roman" w:hAnsi="Times New Roman" w:cs="Times New Roman"/>
          <w:sz w:val="26"/>
          <w:szCs w:val="26"/>
        </w:rPr>
      </w:pPr>
      <w:r w:rsidRPr="0072600F">
        <w:rPr>
          <w:rFonts w:ascii="Times New Roman" w:hAnsi="Times New Roman" w:cs="Times New Roman"/>
          <w:sz w:val="26"/>
          <w:szCs w:val="26"/>
        </w:rPr>
        <w:t>1)</w:t>
      </w:r>
      <w:r w:rsidRPr="0072600F">
        <w:rPr>
          <w:rFonts w:ascii="Times New Roman" w:hAnsi="Times New Roman" w:cs="Times New Roman"/>
          <w:sz w:val="26"/>
          <w:szCs w:val="26"/>
        </w:rPr>
        <w:tab/>
        <w:t>Designation of Point of Interconnection and configuration to be studied.</w:t>
      </w:r>
    </w:p>
    <w:p w:rsidR="00F3594B" w:rsidRPr="0072600F" w14:paraId="4F146F0F" w14:textId="77777777">
      <w:pPr>
        <w:spacing w:after="200" w:line="276" w:lineRule="auto"/>
        <w:rPr>
          <w:rFonts w:ascii="Times New Roman" w:eastAsia="Calibri" w:hAnsi="Times New Roman" w:cs="Times New Roman"/>
          <w:sz w:val="26"/>
          <w:szCs w:val="26"/>
        </w:rPr>
      </w:pPr>
    </w:p>
    <w:p w:rsidR="00F3594B" w:rsidRPr="0072600F" w14:paraId="5DF57641" w14:textId="77777777">
      <w:pPr>
        <w:spacing w:after="200" w:line="276" w:lineRule="auto"/>
        <w:rPr>
          <w:rFonts w:ascii="Times New Roman" w:eastAsia="Calibri" w:hAnsi="Times New Roman" w:cs="Times New Roman"/>
          <w:sz w:val="26"/>
          <w:szCs w:val="26"/>
        </w:rPr>
      </w:pPr>
    </w:p>
    <w:p w:rsidR="00F3594B" w:rsidRPr="0072600F" w14:paraId="2CC6735B" w14:textId="77777777">
      <w:pPr>
        <w:spacing w:after="200" w:line="276" w:lineRule="auto"/>
        <w:rPr>
          <w:rFonts w:ascii="Times New Roman" w:eastAsia="Calibri" w:hAnsi="Times New Roman" w:cs="Times New Roman"/>
          <w:sz w:val="26"/>
          <w:szCs w:val="26"/>
        </w:rPr>
      </w:pPr>
    </w:p>
    <w:p w:rsidR="00F3594B" w:rsidRPr="0072600F" w:rsidP="000A4DEE" w14:paraId="5444386F" w14:textId="77777777">
      <w:pPr>
        <w:spacing w:after="200" w:line="276" w:lineRule="auto"/>
        <w:rPr>
          <w:rFonts w:ascii="Times New Roman" w:hAnsi="Times New Roman" w:cs="Times New Roman"/>
          <w:sz w:val="26"/>
          <w:szCs w:val="26"/>
        </w:rPr>
      </w:pPr>
      <w:r w:rsidRPr="0072600F">
        <w:rPr>
          <w:rFonts w:ascii="Times New Roman" w:hAnsi="Times New Roman" w:cs="Times New Roman"/>
          <w:sz w:val="26"/>
          <w:szCs w:val="26"/>
        </w:rPr>
        <w:t>2)</w:t>
      </w:r>
      <w:r w:rsidRPr="0072600F">
        <w:rPr>
          <w:rFonts w:ascii="Times New Roman" w:hAnsi="Times New Roman" w:cs="Times New Roman"/>
          <w:sz w:val="26"/>
          <w:szCs w:val="26"/>
        </w:rPr>
        <w:tab/>
        <w:t>Designation of alternative Points of Interconnection and configuration.</w:t>
      </w:r>
    </w:p>
    <w:p w:rsidR="00F3594B" w:rsidRPr="0072600F" w14:paraId="5835D403" w14:textId="77777777">
      <w:pPr>
        <w:spacing w:after="200" w:line="276" w:lineRule="auto"/>
        <w:rPr>
          <w:rFonts w:ascii="Times New Roman" w:eastAsia="Calibri" w:hAnsi="Times New Roman" w:cs="Times New Roman"/>
          <w:sz w:val="26"/>
          <w:szCs w:val="26"/>
        </w:rPr>
      </w:pPr>
    </w:p>
    <w:p w:rsidR="00F3594B" w:rsidRPr="0072600F" w14:paraId="24136131" w14:textId="77777777">
      <w:pPr>
        <w:spacing w:after="200" w:line="276" w:lineRule="auto"/>
        <w:rPr>
          <w:rFonts w:ascii="Times New Roman" w:eastAsia="Calibri" w:hAnsi="Times New Roman" w:cs="Times New Roman"/>
          <w:sz w:val="26"/>
          <w:szCs w:val="26"/>
        </w:rPr>
      </w:pPr>
    </w:p>
    <w:p w:rsidR="00F3594B" w:rsidRPr="0072600F" w14:paraId="16845012" w14:textId="77777777">
      <w:pPr>
        <w:pStyle w:val="ListParagraph"/>
        <w:numPr>
          <w:ilvl w:val="0"/>
          <w:numId w:val="21"/>
        </w:numPr>
        <w:spacing w:after="200" w:line="276" w:lineRule="auto"/>
        <w:rPr>
          <w:rFonts w:eastAsia="Calibri"/>
          <w:szCs w:val="26"/>
        </w:rPr>
      </w:pPr>
      <w:r w:rsidRPr="0072600F">
        <w:rPr>
          <w:rFonts w:eastAsia="Calibri"/>
          <w:szCs w:val="26"/>
        </w:rPr>
        <w:t xml:space="preserve">and 2) are to be completed by </w:t>
      </w:r>
      <w:r w:rsidRPr="0072600F" w:rsidR="00710007">
        <w:rPr>
          <w:rFonts w:eastAsia="Calibri"/>
          <w:szCs w:val="26"/>
        </w:rPr>
        <w:t>[</w:t>
      </w:r>
      <w:r w:rsidRPr="0072600F">
        <w:rPr>
          <w:rFonts w:eastAsia="Calibri"/>
          <w:szCs w:val="26"/>
        </w:rPr>
        <w:t>the</w:t>
      </w:r>
      <w:r w:rsidRPr="0072600F" w:rsidR="00710007">
        <w:rPr>
          <w:rFonts w:eastAsia="Calibri"/>
          <w:szCs w:val="26"/>
        </w:rPr>
        <w:t>]</w:t>
      </w:r>
      <w:r w:rsidRPr="0072600F">
        <w:rPr>
          <w:rFonts w:eastAsia="Calibri"/>
          <w:szCs w:val="26"/>
        </w:rPr>
        <w:t xml:space="preserve"> Interconnection Customer.  Other assumptions (listed below) are to be provided by </w:t>
      </w:r>
      <w:r w:rsidRPr="0072600F" w:rsidR="00D171D9">
        <w:rPr>
          <w:rFonts w:eastAsia="Calibri"/>
          <w:szCs w:val="26"/>
        </w:rPr>
        <w:t>[</w:t>
      </w:r>
      <w:r w:rsidRPr="0072600F">
        <w:rPr>
          <w:rFonts w:eastAsia="Calibri"/>
          <w:szCs w:val="26"/>
        </w:rPr>
        <w:t>the</w:t>
      </w:r>
      <w:r w:rsidRPr="0072600F" w:rsidR="00D171D9">
        <w:rPr>
          <w:rFonts w:eastAsia="Calibri"/>
          <w:szCs w:val="26"/>
        </w:rPr>
        <w:t>]</w:t>
      </w:r>
      <w:r w:rsidRPr="0072600F">
        <w:rPr>
          <w:rFonts w:eastAsia="Calibri"/>
          <w:szCs w:val="26"/>
        </w:rPr>
        <w:t xml:space="preserve"> Interconnection Customer and </w:t>
      </w:r>
      <w:r w:rsidRPr="0072600F" w:rsidR="000A4DEE">
        <w:rPr>
          <w:rFonts w:eastAsia="Calibri"/>
          <w:szCs w:val="26"/>
        </w:rPr>
        <w:t>[</w:t>
      </w:r>
      <w:r w:rsidRPr="0072600F">
        <w:rPr>
          <w:rFonts w:eastAsia="Calibri"/>
          <w:szCs w:val="26"/>
        </w:rPr>
        <w:t>the</w:t>
      </w:r>
      <w:r w:rsidRPr="0072600F" w:rsidR="000A4DEE">
        <w:rPr>
          <w:rFonts w:eastAsia="Calibri"/>
          <w:szCs w:val="26"/>
        </w:rPr>
        <w:t>]</w:t>
      </w:r>
      <w:r w:rsidRPr="0072600F">
        <w:rPr>
          <w:rFonts w:eastAsia="Calibri"/>
          <w:szCs w:val="26"/>
        </w:rPr>
        <w:t xml:space="preserve"> Transmission Provider.</w:t>
      </w:r>
    </w:p>
    <w:p w:rsidR="00F3594B" w:rsidRPr="0072600F" w14:paraId="6D009003" w14:textId="77777777">
      <w:pPr>
        <w:spacing w:after="200" w:line="276" w:lineRule="auto"/>
        <w:rPr>
          <w:rFonts w:ascii="Times New Roman" w:eastAsia="Calibri" w:hAnsi="Times New Roman" w:cs="Times New Roman"/>
          <w:sz w:val="26"/>
          <w:szCs w:val="26"/>
        </w:rPr>
        <w:sectPr>
          <w:footerReference w:type="default" r:id="rId62"/>
          <w:pgSz w:w="12240" w:h="15840"/>
          <w:pgMar w:top="1440" w:right="1440" w:bottom="1440" w:left="1440" w:header="720" w:footer="720" w:gutter="0"/>
          <w:pgNumType w:start="1"/>
          <w:cols w:space="720"/>
          <w:docGrid w:linePitch="360"/>
        </w:sectPr>
      </w:pPr>
    </w:p>
    <w:p w:rsidR="00F3594B" w:rsidRPr="0072600F" w14:paraId="49A1BC40"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8</w:t>
      </w:r>
    </w:p>
    <w:p w:rsidR="00F3594B" w:rsidRPr="0072600F" w14:paraId="5CBFB226"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Facilities Study Agreement</w:t>
      </w:r>
    </w:p>
    <w:p w:rsidR="00F3594B" w:rsidRPr="0072600F" w14:paraId="41223FE9" w14:textId="77777777">
      <w:pPr>
        <w:spacing w:after="200" w:line="276" w:lineRule="auto"/>
        <w:rPr>
          <w:rFonts w:ascii="Times New Roman" w:eastAsia="Calibri" w:hAnsi="Times New Roman" w:cs="Times New Roman"/>
          <w:sz w:val="26"/>
          <w:szCs w:val="26"/>
        </w:rPr>
      </w:pPr>
    </w:p>
    <w:p w:rsidR="00F3594B" w:rsidRPr="0072600F" w14:paraId="59FA9AE5"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is made and entered into this _____day of______________</w:t>
      </w:r>
    </w:p>
    <w:p w:rsidR="00F3594B" w:rsidRPr="0072600F" w14:paraId="7E152771"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20___ by and between_____________________________________________________,</w:t>
      </w:r>
    </w:p>
    <w:p w:rsidR="00F3594B" w:rsidRPr="0072600F" w14:paraId="0C971B9B"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 ____________________________organized and existing under the laws of the State of</w:t>
      </w:r>
    </w:p>
    <w:p w:rsidR="00F3594B" w:rsidRPr="0072600F" w14:paraId="1C0ABF09"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Interconnection Customer,</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and</w:t>
      </w:r>
    </w:p>
    <w:p w:rsidR="00F3594B" w:rsidRPr="0072600F" w14:paraId="634F78CF"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 a________________</w:t>
      </w:r>
    </w:p>
    <w:p w:rsidR="00F3594B" w:rsidRPr="0072600F" w14:paraId="7ADA9468"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i/>
          <w:iCs/>
          <w:sz w:val="26"/>
          <w:szCs w:val="26"/>
        </w:rPr>
        <w:t xml:space="preserve">organized and </w:t>
      </w:r>
      <w:r w:rsidRPr="0072600F">
        <w:rPr>
          <w:rFonts w:ascii="Times New Roman" w:eastAsia="Calibri" w:hAnsi="Times New Roman" w:cs="Times New Roman"/>
          <w:sz w:val="26"/>
          <w:szCs w:val="26"/>
        </w:rPr>
        <w:t>existing under the laws of the State of___________________________________,</w:t>
      </w:r>
    </w:p>
    <w:p w:rsidR="00F3594B" w:rsidRPr="0072600F" w14:paraId="2E7C599C" w14:textId="77777777">
      <w:pP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Transmission Provider</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 Transmission Provider each may be referred to as a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Party,</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or collectively as the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Parties.</w:t>
      </w:r>
      <w:r w:rsidRPr="0072600F" w:rsidR="00D171D9">
        <w:rPr>
          <w:rFonts w:ascii="Times New Roman" w:eastAsia="Calibri" w:hAnsi="Times New Roman" w:cs="Times New Roman"/>
          <w:sz w:val="26"/>
          <w:szCs w:val="26"/>
        </w:rPr>
        <w:t>”</w:t>
      </w:r>
    </w:p>
    <w:p w:rsidR="00F3594B" w:rsidRPr="0072600F" w14:paraId="73868B03"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RECITALS</w:t>
      </w:r>
    </w:p>
    <w:p w:rsidR="00F3594B" w:rsidRPr="0072600F" w14:paraId="0B8FEE0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is proposing to develop a Small Generating Facility or generating capacity addition to an existing Small Generating Facility consistent with the Interconnection Request completed by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on______________________; and</w:t>
      </w:r>
    </w:p>
    <w:p w:rsidR="00F3594B" w:rsidRPr="0072600F" w14:paraId="2BAB2071"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desires to interconnect the Small Generating Facility with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w:t>
      </w:r>
    </w:p>
    <w:p w:rsidR="00F3594B" w:rsidRPr="0072600F" w14:paraId="5F0854B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has completed a system impact study and provided the results of said study to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and</w:t>
      </w:r>
    </w:p>
    <w:p w:rsidR="00F3594B" w:rsidRPr="0072600F" w14:paraId="5DA7874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WHEREAS</w:t>
      </w:r>
      <w:r w:rsidRPr="0072600F">
        <w:rPr>
          <w:rFonts w:ascii="Times New Roman" w:eastAsia="Calibri" w:hAnsi="Times New Roman" w:cs="Times New Roman"/>
          <w:sz w:val="26"/>
          <w:szCs w:val="26"/>
        </w:rPr>
        <w:t xml:space="preserve">,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has requested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to perform a facilities study to specify and estimate the cost of the equipment, engineering, procurement and construction work needed to implement the conclusions of the system impact study in accordance with Good Utility Practice to physically and electrically connect the Small Generating Facility with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w:t>
      </w:r>
    </w:p>
    <w:p w:rsidR="00F3594B" w:rsidRPr="0072600F" w14:paraId="7EFDF74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b/>
          <w:sz w:val="26"/>
          <w:szCs w:val="26"/>
        </w:rPr>
        <w:t>NOW, THEREFORE</w:t>
      </w:r>
      <w:r w:rsidRPr="0072600F">
        <w:rPr>
          <w:rFonts w:ascii="Times New Roman" w:eastAsia="Calibri" w:hAnsi="Times New Roman" w:cs="Times New Roman"/>
          <w:sz w:val="26"/>
          <w:szCs w:val="26"/>
        </w:rPr>
        <w:t>, in consideration of and subject to the mutual covenants contained herein the Parties agreed as follows:</w:t>
      </w:r>
    </w:p>
    <w:p w:rsidR="00F3594B" w:rsidRPr="0072600F" w14:paraId="70052182"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w:t>
      </w:r>
      <w:r w:rsidRPr="0072600F">
        <w:rPr>
          <w:rFonts w:ascii="Times New Roman" w:eastAsia="Calibri" w:hAnsi="Times New Roman" w:cs="Times New Roman"/>
          <w:sz w:val="26"/>
          <w:szCs w:val="26"/>
        </w:rPr>
        <w:tab/>
        <w:t>When used in this Agreement, with initial capitalization, the terms specified shall have the meanings indicated or the meanings specified in the standard Small Generator Interconnection Procedures.</w:t>
      </w:r>
    </w:p>
    <w:p w:rsidR="00F3594B" w:rsidRPr="0072600F" w14:paraId="0FE35EA8"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w:t>
      </w:r>
      <w:r w:rsidRPr="0072600F">
        <w:rPr>
          <w:rFonts w:ascii="Times New Roman" w:eastAsia="Calibri" w:hAnsi="Times New Roman" w:cs="Times New Roman"/>
          <w:sz w:val="26"/>
          <w:szCs w:val="26"/>
        </w:rPr>
        <w:tab/>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elects and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cause a facilities study consistent with the standard Small Generator Interconnection Procedures to be performed in accordance with the Open Access Transmission Tariff.</w:t>
      </w:r>
    </w:p>
    <w:p w:rsidR="00F3594B" w:rsidRPr="0072600F" w14:paraId="20B31233"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3.0</w:t>
      </w:r>
      <w:r w:rsidRPr="0072600F">
        <w:rPr>
          <w:rFonts w:ascii="Times New Roman" w:eastAsia="Calibri" w:hAnsi="Times New Roman" w:cs="Times New Roman"/>
          <w:sz w:val="26"/>
          <w:szCs w:val="26"/>
        </w:rPr>
        <w:tab/>
        <w:t>The scope of the facilities study shall be subject to data provided in Attachment A to this Agreement.</w:t>
      </w:r>
    </w:p>
    <w:p w:rsidR="00F3594B" w:rsidRPr="0072600F" w14:paraId="10CDE6BA"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4.0</w:t>
      </w:r>
      <w:r w:rsidRPr="0072600F">
        <w:rPr>
          <w:rFonts w:ascii="Times New Roman" w:eastAsia="Calibri" w:hAnsi="Times New Roman" w:cs="Times New Roman"/>
          <w:sz w:val="26"/>
          <w:szCs w:val="26"/>
        </w:rPr>
        <w:tab/>
        <w:t xml:space="preserve">The facilities study shall specify and estimate the cost of the equipment, engineering, procurement and construction work (including overheads) needed to implement the conclusions of the system impact study(s).  The facilities study shall also identify (1) the electrical switching configuration of the equipment, including, without limitation, transformer, switchgear, meters, and other station equipment, (2) the nature and estimated cost of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Interconnection Facilities and Upgrades necessary to accomplish the interconnection, and (3) an estimate of the time required to complete the construction and installation of such facilities.</w:t>
      </w:r>
    </w:p>
    <w:p w:rsidR="00F3594B" w:rsidRPr="0072600F" w14:paraId="461929E3"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5.0</w:t>
      </w:r>
      <w:r w:rsidRPr="0072600F">
        <w:rPr>
          <w:rFonts w:ascii="Times New Roman" w:eastAsia="Calibri" w:hAnsi="Times New Roman" w:cs="Times New Roman"/>
          <w:sz w:val="26"/>
          <w:szCs w:val="26"/>
        </w:rPr>
        <w:tab/>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may propose to group facilities required for more than one Interconnection Customer in order to minimize facilities costs through economies of scale, but any Interconnection Customer may require the installation of facilities required for its own Small Generating Facility if it is willing to pay the costs of those facilities.</w:t>
      </w:r>
    </w:p>
    <w:p w:rsidR="00F3594B" w:rsidRPr="0072600F" w14:paraId="4E68CBC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6.0</w:t>
      </w:r>
      <w:r w:rsidRPr="0072600F">
        <w:rPr>
          <w:rFonts w:ascii="Times New Roman" w:eastAsia="Calibri" w:hAnsi="Times New Roman" w:cs="Times New Roman"/>
          <w:sz w:val="26"/>
          <w:szCs w:val="26"/>
        </w:rPr>
        <w:tab/>
        <w:t xml:space="preserve">A deposit of the good faith estimated facilities study costs may be required from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p>
    <w:p w:rsidR="00F3594B" w:rsidRPr="0072600F" w14:paraId="255E2A65"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7.0</w:t>
      </w:r>
      <w:r w:rsidRPr="0072600F">
        <w:rPr>
          <w:rFonts w:ascii="Times New Roman" w:eastAsia="Calibri" w:hAnsi="Times New Roman" w:cs="Times New Roman"/>
          <w:sz w:val="26"/>
          <w:szCs w:val="26"/>
        </w:rPr>
        <w:tab/>
        <w:t xml:space="preserve">In cases where Upgrades are required, the facilities study must be completed within </w:t>
      </w:r>
      <w:r w:rsidRPr="0072600F" w:rsidR="0056592A">
        <w:rPr>
          <w:rFonts w:ascii="Times New Roman" w:eastAsia="Calibri" w:hAnsi="Times New Roman" w:cs="Times New Roman"/>
          <w:i/>
          <w:sz w:val="26"/>
          <w:szCs w:val="26"/>
        </w:rPr>
        <w:t>forty-five (</w:t>
      </w:r>
      <w:r w:rsidRPr="0072600F">
        <w:rPr>
          <w:rFonts w:ascii="Times New Roman" w:eastAsia="Calibri" w:hAnsi="Times New Roman" w:cs="Times New Roman"/>
          <w:sz w:val="26"/>
          <w:szCs w:val="26"/>
        </w:rPr>
        <w:t>45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the receipt of this Agreement.  In cases where no Upgrades are necessary, and the required facilities are limited to Interconnection Facilities, the facilities study must be completed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w:t>
      </w:r>
    </w:p>
    <w:p w:rsidR="00F3594B" w:rsidRPr="0072600F" w14:paraId="288D38C3"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8.0</w:t>
      </w:r>
      <w:r w:rsidRPr="0072600F">
        <w:rPr>
          <w:rFonts w:ascii="Times New Roman" w:eastAsia="Calibri" w:hAnsi="Times New Roman" w:cs="Times New Roman"/>
          <w:sz w:val="26"/>
          <w:szCs w:val="26"/>
        </w:rPr>
        <w:tab/>
        <w:t>Once the facilities study is completed, a “</w:t>
      </w:r>
      <w:r w:rsidRPr="0072600F">
        <w:rPr>
          <w:rFonts w:ascii="Times New Roman" w:eastAsia="Calibri" w:hAnsi="Times New Roman" w:cs="Times New Roman"/>
          <w:sz w:val="26"/>
          <w:szCs w:val="26"/>
          <w:u w:val="single"/>
        </w:rPr>
        <w:t>draft</w:t>
      </w:r>
      <w:r w:rsidRPr="0072600F">
        <w:rPr>
          <w:rFonts w:ascii="Times New Roman" w:eastAsia="Calibri" w:hAnsi="Times New Roman" w:cs="Times New Roman"/>
          <w:sz w:val="26"/>
          <w:szCs w:val="26"/>
        </w:rPr>
        <w:t xml:space="preserve">” facilities study report shall be prepared and transmitted to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Barring unusual circumstances, the facilities study must be completed and the “</w:t>
      </w:r>
      <w:r w:rsidRPr="0072600F">
        <w:rPr>
          <w:rFonts w:ascii="Times New Roman" w:eastAsia="Calibri" w:hAnsi="Times New Roman" w:cs="Times New Roman"/>
          <w:sz w:val="26"/>
          <w:szCs w:val="26"/>
          <w:u w:val="single"/>
        </w:rPr>
        <w:t>draft</w:t>
      </w:r>
      <w:r w:rsidRPr="0072600F">
        <w:rPr>
          <w:rFonts w:ascii="Times New Roman" w:eastAsia="Calibri" w:hAnsi="Times New Roman" w:cs="Times New Roman"/>
          <w:sz w:val="26"/>
          <w:szCs w:val="26"/>
        </w:rPr>
        <w:t xml:space="preserve">” facilities study report transmitted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s agreement to conduct a facilities study.</w:t>
      </w:r>
    </w:p>
    <w:p w:rsidR="00F3594B" w:rsidRPr="0072600F" w14:paraId="4CC76309"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9.0</w:t>
      </w:r>
      <w:r w:rsidRPr="0072600F">
        <w:rPr>
          <w:rFonts w:ascii="Times New Roman" w:eastAsia="Calibri" w:hAnsi="Times New Roman" w:cs="Times New Roman"/>
          <w:sz w:val="26"/>
          <w:szCs w:val="26"/>
        </w:rPr>
        <w:tab/>
        <w:t>Interconnection Customer may, within</w:t>
      </w:r>
      <w:r w:rsidRPr="0072600F" w:rsidR="0056592A">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thirty</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Calendar Days after receipt of the draft report, provide written comments to Transmission Provider, which Transmission Provider shall include in the final report.  Transmission Provider shall issue the final Interconnection Facilities Study report within </w:t>
      </w:r>
      <w:r w:rsidRPr="0072600F" w:rsidR="0056592A">
        <w:rPr>
          <w:rFonts w:ascii="Times New Roman" w:eastAsia="Calibri" w:hAnsi="Times New Roman" w:cs="Times New Roman"/>
          <w:i/>
          <w:iCs/>
          <w:sz w:val="26"/>
          <w:szCs w:val="26"/>
        </w:rPr>
        <w:t>fifteen (</w:t>
      </w:r>
      <w:r w:rsidRPr="0072600F">
        <w:rPr>
          <w:rFonts w:ascii="Times New Roman" w:eastAsia="Calibri" w:hAnsi="Times New Roman" w:cs="Times New Roman"/>
          <w:sz w:val="26"/>
          <w:szCs w:val="26"/>
        </w:rPr>
        <w:t>15</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Business Days of receiving Interconnection Customer’s comments or promptly upon receiving Interconnection Customer’s statement that it will not provide comments.  Transmission Provider may reasonably extend such fifteen-day period upon notice to Interconnection Customer if Interconnection Customer’s comments require Transmission Provider to perform additional analyses or make other significant modifications prior to the issuance of the final Interconnection Facilities Report.  Upon request, Transmission Provider shall provide Interconnection Customer supporting documentation, workpapers, and databases or data developed in the preparation of the</w:t>
      </w:r>
      <w:r w:rsidRPr="0072600F">
        <w:rPr>
          <w:rFonts w:ascii="Times New Roman" w:eastAsia="Calibri" w:hAnsi="Times New Roman" w:cs="Times New Roman"/>
          <w:sz w:val="26"/>
          <w:szCs w:val="26"/>
          <w:u w:val="single"/>
        </w:rPr>
        <w:t xml:space="preserve"> </w:t>
      </w:r>
      <w:r w:rsidRPr="0072600F">
        <w:rPr>
          <w:rFonts w:ascii="Times New Roman" w:eastAsia="Calibri" w:hAnsi="Times New Roman" w:cs="Times New Roman"/>
          <w:sz w:val="26"/>
          <w:szCs w:val="26"/>
        </w:rPr>
        <w:t>Interconnection Facilities Study, subject to confidentiality arrangements consistent with Section 4.5 of the standard Small Generator Interconnection Procedures.</w:t>
      </w:r>
    </w:p>
    <w:p w:rsidR="00F3594B" w:rsidRPr="0072600F" w14:paraId="182F3414"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10.0</w:t>
      </w:r>
      <w:r w:rsidRPr="0072600F">
        <w:rPr>
          <w:rFonts w:ascii="Times New Roman" w:eastAsia="Calibri" w:hAnsi="Times New Roman" w:cs="Times New Roman"/>
          <w:sz w:val="26"/>
          <w:szCs w:val="26"/>
        </w:rPr>
        <w:tab/>
        <w:t xml:space="preserve">Within ten </w:t>
      </w:r>
      <w:r w:rsidRPr="0072600F" w:rsidR="0056592A">
        <w:rPr>
          <w:rFonts w:ascii="Times New Roman" w:eastAsia="Calibri" w:hAnsi="Times New Roman" w:cs="Times New Roman"/>
          <w:i/>
          <w:iCs/>
          <w:sz w:val="26"/>
          <w:szCs w:val="26"/>
        </w:rPr>
        <w:t xml:space="preserve">(10) </w:t>
      </w:r>
      <w:r w:rsidRPr="0072600F">
        <w:rPr>
          <w:rFonts w:ascii="Times New Roman" w:eastAsia="Calibri" w:hAnsi="Times New Roman" w:cs="Times New Roman"/>
          <w:sz w:val="26"/>
          <w:szCs w:val="26"/>
        </w:rPr>
        <w:t>Business Days of providing a draft Interconnection Facilities Study report to Interconnection Customer, Transmission Provider and Interconnection Customer shall meet to discuss the results of the Interconnection Facilities Study.</w:t>
      </w:r>
    </w:p>
    <w:p w:rsidR="00F3594B" w:rsidRPr="0072600F" w14:paraId="65ED94A4"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11.0</w:t>
      </w:r>
      <w:r w:rsidRPr="0072600F">
        <w:rPr>
          <w:rFonts w:ascii="Times New Roman" w:eastAsia="Calibri" w:hAnsi="Times New Roman" w:cs="Times New Roman"/>
          <w:sz w:val="26"/>
          <w:szCs w:val="26"/>
        </w:rPr>
        <w:tab/>
        <w:t xml:space="preserve">Any study fees shall be based on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actual costs and will be invoiced to </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after the study is completed and delivered and will include a summary of professional time.</w:t>
      </w:r>
    </w:p>
    <w:p w:rsidR="00F3594B" w:rsidRPr="0072600F" w14:paraId="666C4C50" w14:textId="77777777">
      <w:pPr>
        <w:spacing w:after="200" w:line="276" w:lineRule="auto"/>
        <w:ind w:left="72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12.0</w:t>
      </w:r>
      <w:r w:rsidRPr="0072600F">
        <w:rPr>
          <w:rFonts w:ascii="Times New Roman" w:eastAsia="Calibri" w:hAnsi="Times New Roman" w:cs="Times New Roman"/>
          <w:sz w:val="26"/>
          <w:szCs w:val="26"/>
        </w:rPr>
        <w:tab/>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171D9">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must pay any study costs that exceed the deposit without interest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alendar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 xml:space="preserve">ays on receipt of the invoice or resolution of any dispute.  If the deposit exceeds the invoiced fees,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refund such excess within </w:t>
      </w:r>
      <w:r w:rsidRPr="0072600F" w:rsidR="0056592A">
        <w:rPr>
          <w:rFonts w:ascii="Times New Roman" w:eastAsia="Calibri" w:hAnsi="Times New Roman" w:cs="Times New Roman"/>
          <w:i/>
          <w:iCs/>
          <w:sz w:val="26"/>
          <w:szCs w:val="26"/>
        </w:rPr>
        <w:t>thirty (</w:t>
      </w:r>
      <w:r w:rsidRPr="0072600F">
        <w:rPr>
          <w:rFonts w:ascii="Times New Roman" w:eastAsia="Calibri" w:hAnsi="Times New Roman" w:cs="Times New Roman"/>
          <w:sz w:val="26"/>
          <w:szCs w:val="26"/>
        </w:rPr>
        <w:t>30</w:t>
      </w:r>
      <w:r w:rsidRPr="0072600F" w:rsidR="0056592A">
        <w:rPr>
          <w:rFonts w:ascii="Times New Roman" w:eastAsia="Calibri" w:hAnsi="Times New Roman" w:cs="Times New Roman"/>
          <w:i/>
          <w:iCs/>
          <w:sz w:val="26"/>
          <w:szCs w:val="26"/>
        </w:rPr>
        <w:t>)</w:t>
      </w:r>
      <w:r w:rsidRPr="0072600F">
        <w:rPr>
          <w:rFonts w:ascii="Times New Roman" w:eastAsia="Calibri" w:hAnsi="Times New Roman" w:cs="Times New Roman"/>
          <w:sz w:val="26"/>
          <w:szCs w:val="26"/>
        </w:rPr>
        <w:t xml:space="preserve">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c</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C</w:t>
      </w:r>
      <w:r w:rsidRPr="0072600F">
        <w:rPr>
          <w:rFonts w:ascii="Times New Roman" w:eastAsia="Calibri" w:hAnsi="Times New Roman" w:cs="Times New Roman"/>
          <w:sz w:val="26"/>
          <w:szCs w:val="26"/>
        </w:rPr>
        <w:t xml:space="preserve">alendar </w:t>
      </w:r>
      <w:r w:rsidRPr="0072600F" w:rsidR="0056592A">
        <w:rPr>
          <w:rFonts w:ascii="Times New Roman" w:eastAsia="Calibri" w:hAnsi="Times New Roman" w:cs="Times New Roman"/>
          <w:sz w:val="26"/>
          <w:szCs w:val="26"/>
        </w:rPr>
        <w:t>[</w:t>
      </w:r>
      <w:r w:rsidRPr="0072600F">
        <w:rPr>
          <w:rFonts w:ascii="Times New Roman" w:eastAsia="Calibri" w:hAnsi="Times New Roman" w:cs="Times New Roman"/>
          <w:sz w:val="26"/>
          <w:szCs w:val="26"/>
        </w:rPr>
        <w:t>d</w:t>
      </w:r>
      <w:r w:rsidRPr="0072600F" w:rsidR="0056592A">
        <w:rPr>
          <w:rFonts w:ascii="Times New Roman" w:eastAsia="Calibri" w:hAnsi="Times New Roman" w:cs="Times New Roman"/>
          <w:sz w:val="26"/>
          <w:szCs w:val="26"/>
        </w:rPr>
        <w:t>]</w:t>
      </w:r>
      <w:r w:rsidRPr="0072600F" w:rsidR="0056592A">
        <w:rPr>
          <w:rFonts w:ascii="Times New Roman" w:eastAsia="Calibri" w:hAnsi="Times New Roman" w:cs="Times New Roman"/>
          <w:i/>
          <w:iCs/>
          <w:sz w:val="26"/>
          <w:szCs w:val="26"/>
        </w:rPr>
        <w:t>D</w:t>
      </w:r>
      <w:r w:rsidRPr="0072600F">
        <w:rPr>
          <w:rFonts w:ascii="Times New Roman" w:eastAsia="Calibri" w:hAnsi="Times New Roman" w:cs="Times New Roman"/>
          <w:sz w:val="26"/>
          <w:szCs w:val="26"/>
        </w:rPr>
        <w:t>ays of the invoice without interest.</w:t>
      </w:r>
    </w:p>
    <w:p w:rsidR="00F3594B" w:rsidRPr="0072600F" w14:paraId="63B8991D"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13.0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Governing Law, Regulatory Authority, and Rules</w:t>
      </w:r>
    </w:p>
    <w:p w:rsidR="00F3594B" w:rsidRPr="0072600F" w14:paraId="3BD6D7A2"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F3594B" w:rsidRPr="0072600F" w14:paraId="3C1B437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14.0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Amendment</w:t>
      </w:r>
    </w:p>
    <w:p w:rsidR="00F3594B" w:rsidRPr="0072600F" w14:paraId="7CF8B985"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The Parties may amend this Agreement by a written instrument duly executed by both Parties.</w:t>
      </w:r>
    </w:p>
    <w:p w:rsidR="00F3594B" w:rsidRPr="0072600F" w14:paraId="6CF21C79"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15.0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No Third-Party Beneficiaries</w:t>
      </w:r>
    </w:p>
    <w:p w:rsidR="00F3594B" w:rsidRPr="0072600F" w14:paraId="1F3B4339"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F3594B" w:rsidRPr="0072600F" w14:paraId="3F8E9F8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br w:type="page"/>
      </w:r>
    </w:p>
    <w:p w:rsidR="00F3594B" w:rsidRPr="0072600F" w14:paraId="5D8AABE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16.0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Waiver</w:t>
      </w:r>
    </w:p>
    <w:p w:rsidR="00F3594B" w:rsidRPr="0072600F" w14:paraId="2BF176B0"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16.1</w:t>
      </w:r>
      <w:r w:rsidRPr="0072600F">
        <w:rPr>
          <w:rFonts w:ascii="Times New Roman" w:eastAsia="Calibri" w:hAnsi="Times New Roman" w:cs="Times New Roman"/>
          <w:sz w:val="26"/>
          <w:szCs w:val="26"/>
        </w:rPr>
        <w:tab/>
        <w:t>The failure of a Party to this Agreement to insist, on any occasion, upon strict performance of any provision of this Agreement will not be considered a waiver of any obligation, right, or duty of, or imposed upon, such Party.</w:t>
      </w:r>
    </w:p>
    <w:p w:rsidR="00F3594B" w:rsidRPr="0072600F" w14:paraId="6963197F" w14:textId="77777777">
      <w:pPr>
        <w:spacing w:after="200"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16.2</w:t>
      </w:r>
      <w:r w:rsidRPr="0072600F">
        <w:rPr>
          <w:rFonts w:ascii="Times New Roman" w:eastAsia="Calibri" w:hAnsi="Times New Roman" w:cs="Times New Roman"/>
          <w:sz w:val="26"/>
          <w:szCs w:val="26"/>
        </w:rPr>
        <w:tab/>
        <w:t xml:space="preserve">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710007">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legal rights to obtain an interconnection from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Any waiver of this Agreement shall, if requested, be provided in writing.</w:t>
      </w:r>
    </w:p>
    <w:p w:rsidR="00F3594B" w:rsidRPr="0072600F" w14:paraId="19D61BF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17.0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Multiple Counterparts</w:t>
      </w:r>
    </w:p>
    <w:p w:rsidR="00F3594B" w:rsidRPr="0072600F" w14:paraId="45FCA69B"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may be executed in two or more counterparts, each of which is deemed an original but all constitute one and the same instrument.</w:t>
      </w:r>
    </w:p>
    <w:p w:rsidR="00F3594B" w:rsidRPr="0072600F" w14:paraId="08905F27"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18.0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No Partnership</w:t>
      </w:r>
    </w:p>
    <w:p w:rsidR="00F3594B" w:rsidRPr="0072600F" w14:paraId="259F22A7"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F3594B" w:rsidRPr="0072600F" w14:paraId="65011F15"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19.0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Severability</w:t>
      </w:r>
    </w:p>
    <w:p w:rsidR="00F3594B" w:rsidRPr="0072600F" w14:paraId="77124E3B"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F3594B" w:rsidRPr="0072600F" w14:paraId="145012F7"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20.0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Subcontractors</w:t>
      </w:r>
    </w:p>
    <w:p w:rsidR="00F3594B" w:rsidRPr="0072600F" w14:paraId="5EF44600"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F3594B" w:rsidRPr="0072600F" w:rsidP="00746CDD" w14:paraId="5C2E57A6"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20.1</w:t>
      </w:r>
      <w:r w:rsidRPr="0072600F">
        <w:rPr>
          <w:rFonts w:ascii="Times New Roman" w:eastAsia="Calibri" w:hAnsi="Times New Roman" w:cs="Times New Roman"/>
          <w:sz w:val="26"/>
          <w:szCs w:val="26"/>
        </w:rPr>
        <w:tab/>
        <w:t xml:space="preserve">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137D5E">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be liable for the actions or inactions of </w:t>
      </w:r>
      <w:r w:rsidRPr="0072600F" w:rsidR="00DC2BC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C2BC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or its</w:t>
      </w:r>
      <w:r w:rsidRPr="0072600F" w:rsidR="00137D5E">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 xml:space="preserve">subcontractors with respect to obligations of </w:t>
      </w:r>
      <w:r w:rsidRPr="0072600F" w:rsidR="00DC2BC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C2BC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under this Agreement.  Any applicable obligation imposed by this Agreement upon the hiring Party shall be equally binding upon, and shall be construed as having application to, any subcontractor of such Party.</w:t>
      </w:r>
    </w:p>
    <w:p w:rsidR="00F3594B" w:rsidRPr="0072600F" w:rsidP="00746CDD" w14:paraId="78E5597D" w14:textId="77777777">
      <w:pPr>
        <w:spacing w:line="276" w:lineRule="auto"/>
        <w:ind w:left="1440" w:hanging="720"/>
        <w:rPr>
          <w:rFonts w:ascii="Times New Roman" w:eastAsia="Calibri" w:hAnsi="Times New Roman" w:cs="Times New Roman"/>
          <w:sz w:val="26"/>
          <w:szCs w:val="26"/>
        </w:rPr>
      </w:pPr>
      <w:r w:rsidRPr="0072600F">
        <w:rPr>
          <w:rFonts w:ascii="Times New Roman" w:eastAsia="Calibri" w:hAnsi="Times New Roman" w:cs="Times New Roman"/>
          <w:sz w:val="26"/>
          <w:szCs w:val="26"/>
        </w:rPr>
        <w:t>20.2</w:t>
      </w:r>
      <w:r w:rsidRPr="0072600F">
        <w:rPr>
          <w:rFonts w:ascii="Times New Roman" w:eastAsia="Calibri" w:hAnsi="Times New Roman" w:cs="Times New Roman"/>
          <w:sz w:val="26"/>
          <w:szCs w:val="26"/>
        </w:rPr>
        <w:tab/>
        <w:t>The obligations under this article will not be limited in any way by any limitation of subcontractor’s insurance.</w:t>
      </w:r>
    </w:p>
    <w:p w:rsidR="00F3594B" w:rsidRPr="0072600F" w14:paraId="11A6F69E"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21.0</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u w:val="single"/>
        </w:rPr>
        <w:t>Reservation of Rights</w:t>
      </w:r>
    </w:p>
    <w:p w:rsidR="00F3594B" w:rsidRPr="0072600F" w14:paraId="4D4FB595"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s rules and regulations thereunder, and </w:t>
      </w:r>
      <w:r w:rsidRPr="0072600F" w:rsidR="00DC2BC4">
        <w:rPr>
          <w:rFonts w:ascii="Times New Roman" w:eastAsia="Calibri" w:hAnsi="Times New Roman" w:cs="Times New Roman"/>
          <w:sz w:val="26"/>
          <w:szCs w:val="26"/>
        </w:rPr>
        <w:t>[</w:t>
      </w:r>
      <w:r w:rsidRPr="0072600F">
        <w:rPr>
          <w:rFonts w:ascii="Times New Roman" w:eastAsia="Calibri" w:hAnsi="Times New Roman" w:cs="Times New Roman"/>
          <w:sz w:val="26"/>
          <w:szCs w:val="26"/>
        </w:rPr>
        <w:t>the</w:t>
      </w:r>
      <w:r w:rsidRPr="0072600F" w:rsidR="00DC2BC4">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Interconnection Customer shall have the right to make a unilateral filing with FERC to modify this Agreement under any applicable provision of the Federal Power Act and FERC</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s rules and regulations; provided that each Party shall have the right to protest any such filing by the other Party and to participate fully in any proceeding before FERC in which such modifications</w:t>
      </w:r>
      <w:r w:rsidRPr="0072600F">
        <w:rPr>
          <w:rFonts w:ascii="Times New Roman" w:hAnsi="Times New Roman" w:cs="Times New Roman"/>
          <w:sz w:val="26"/>
          <w:szCs w:val="26"/>
        </w:rPr>
        <w:t xml:space="preserve"> may be considered.  Nothing in this Agreement shall limit the rights of the Parties or of FERC under sections 205 or 206 of the Federal Power Act and FERC</w:t>
      </w:r>
      <w:r w:rsidRPr="0072600F">
        <w:rPr>
          <w:rFonts w:ascii="Times New Roman" w:hAnsi="Times New Roman" w:cs="Times New Roman"/>
          <w:sz w:val="26"/>
          <w:szCs w:val="26"/>
        </w:rPr>
        <w:t>’</w:t>
      </w:r>
      <w:r w:rsidRPr="0072600F">
        <w:rPr>
          <w:rFonts w:ascii="Times New Roman" w:hAnsi="Times New Roman" w:cs="Times New Roman"/>
          <w:sz w:val="26"/>
          <w:szCs w:val="26"/>
        </w:rPr>
        <w:t>s rules and regulations, except to the extent that the Parties otherwise agree as provided herein.</w:t>
      </w:r>
    </w:p>
    <w:p w:rsidR="00F3594B" w:rsidRPr="0072600F" w14:paraId="05F5F91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IN WITNESS WHEREOF, the Parties have caused this Agreement to be duly executed by their duly authorized officers or agents on the day and year first above written.</w:t>
      </w:r>
    </w:p>
    <w:p w:rsidR="00F3594B" w:rsidRPr="0072600F" w14:paraId="4861804E"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Insert name of Transmission Provider</w:t>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w:t>
      </w:r>
      <w:r w:rsidRPr="0072600F">
        <w:rPr>
          <w:rFonts w:ascii="Times New Roman" w:eastAsia="Calibri" w:hAnsi="Times New Roman" w:cs="Times New Roman"/>
          <w:sz w:val="26"/>
          <w:szCs w:val="26"/>
        </w:rPr>
        <w:t>Insert name of Interconnection Customer</w:t>
      </w:r>
      <w:r w:rsidRPr="0072600F">
        <w:rPr>
          <w:rFonts w:ascii="Times New Roman" w:eastAsia="Calibri" w:hAnsi="Times New Roman" w:cs="Times New Roman"/>
          <w:sz w:val="26"/>
          <w:szCs w:val="26"/>
        </w:rPr>
        <w:t>}</w:t>
      </w:r>
    </w:p>
    <w:p w:rsidR="00F3594B" w:rsidRPr="0072600F" w14:paraId="5F841CD5"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w:t>
      </w:r>
      <w:r w:rsidRPr="0072600F">
        <w:rPr>
          <w:rFonts w:ascii="Times New Roman" w:eastAsia="Calibri" w:hAnsi="Times New Roman" w:cs="Times New Roman"/>
          <w:sz w:val="26"/>
          <w:szCs w:val="26"/>
        </w:rPr>
        <w:tab/>
        <w:t>_________________________________</w:t>
      </w:r>
    </w:p>
    <w:p w:rsidR="00F3594B" w:rsidRPr="0072600F" w14:paraId="6A52F1D1" w14:textId="77777777">
      <w:pPr>
        <w:spacing w:line="276" w:lineRule="auto"/>
        <w:rPr>
          <w:rFonts w:ascii="Times New Roman" w:eastAsia="Calibri" w:hAnsi="Times New Roman" w:cs="Times New Roman"/>
          <w:sz w:val="26"/>
          <w:szCs w:val="26"/>
        </w:rPr>
      </w:pPr>
    </w:p>
    <w:p w:rsidR="00F3594B" w:rsidRPr="0072600F" w14:paraId="0B13C1FC"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Signed______________________________</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Signed</w:t>
      </w:r>
      <w:r w:rsidRPr="0072600F">
        <w:rPr>
          <w:rFonts w:ascii="Times New Roman" w:eastAsia="Calibri" w:hAnsi="Times New Roman" w:cs="Times New Roman"/>
          <w:sz w:val="26"/>
          <w:szCs w:val="26"/>
        </w:rPr>
        <w:t>___________________________</w:t>
      </w:r>
    </w:p>
    <w:p w:rsidR="00F3594B" w:rsidRPr="0072600F" w14:paraId="100598F9" w14:textId="77777777">
      <w:pPr>
        <w:spacing w:line="276" w:lineRule="auto"/>
        <w:rPr>
          <w:rFonts w:ascii="Times New Roman" w:eastAsia="Calibri" w:hAnsi="Times New Roman" w:cs="Times New Roman"/>
          <w:sz w:val="26"/>
          <w:szCs w:val="26"/>
        </w:rPr>
      </w:pPr>
    </w:p>
    <w:p w:rsidR="00F3594B" w:rsidRPr="0072600F" w14:paraId="41CA335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Name (Printed):</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Name (Printed):</w:t>
      </w:r>
    </w:p>
    <w:p w:rsidR="00F3594B" w:rsidRPr="0072600F" w14:paraId="051F805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w:t>
      </w:r>
      <w:r w:rsidRPr="0072600F">
        <w:rPr>
          <w:rFonts w:ascii="Times New Roman" w:eastAsia="Calibri" w:hAnsi="Times New Roman" w:cs="Times New Roman"/>
          <w:sz w:val="26"/>
          <w:szCs w:val="26"/>
        </w:rPr>
        <w:tab/>
        <w:t>________________________________</w:t>
      </w:r>
    </w:p>
    <w:p w:rsidR="00F3594B" w:rsidRPr="0072600F" w14:paraId="248C7D1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Title_______________________________</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Title</w:t>
      </w:r>
      <w:r w:rsidRPr="0072600F">
        <w:rPr>
          <w:rFonts w:ascii="Times New Roman" w:eastAsia="Calibri" w:hAnsi="Times New Roman" w:cs="Times New Roman"/>
          <w:sz w:val="26"/>
          <w:szCs w:val="26"/>
        </w:rPr>
        <w:t>____________________________</w:t>
      </w:r>
    </w:p>
    <w:p w:rsidR="00F3594B" w:rsidRPr="0072600F" w14:paraId="3CA817F3"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w:t>
      </w:r>
      <w:r w:rsidRPr="0072600F">
        <w:rPr>
          <w:rFonts w:ascii="Times New Roman" w:eastAsia="Calibri" w:hAnsi="Times New Roman" w:cs="Times New Roman"/>
          <w:sz w:val="26"/>
          <w:szCs w:val="26"/>
        </w:rPr>
        <w:br w:type="page"/>
      </w:r>
    </w:p>
    <w:p w:rsidR="00F3594B" w:rsidRPr="0072600F" w14:paraId="17ABA663"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Attachment A to</w:t>
      </w:r>
    </w:p>
    <w:p w:rsidR="00F3594B" w:rsidRPr="0072600F" w14:paraId="2F1AE707"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Facilities Study Agreement</w:t>
      </w:r>
    </w:p>
    <w:p w:rsidR="00F3594B" w:rsidRPr="0072600F" w14:paraId="361DC0D3" w14:textId="77777777">
      <w:pPr>
        <w:spacing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 xml:space="preserve">Data to Be Provided by </w:t>
      </w:r>
      <w:r w:rsidRPr="0072600F" w:rsidR="00710007">
        <w:rPr>
          <w:rFonts w:ascii="Times New Roman" w:eastAsia="Calibri" w:hAnsi="Times New Roman" w:cs="Times New Roman"/>
          <w:b/>
          <w:sz w:val="26"/>
          <w:szCs w:val="26"/>
        </w:rPr>
        <w:t>[</w:t>
      </w:r>
      <w:r w:rsidRPr="0072600F">
        <w:rPr>
          <w:rFonts w:ascii="Times New Roman" w:eastAsia="Calibri" w:hAnsi="Times New Roman" w:cs="Times New Roman"/>
          <w:b/>
          <w:sz w:val="26"/>
          <w:szCs w:val="26"/>
        </w:rPr>
        <w:t>the</w:t>
      </w:r>
      <w:r w:rsidRPr="0072600F" w:rsidR="00710007">
        <w:rPr>
          <w:rFonts w:ascii="Times New Roman" w:eastAsia="Calibri" w:hAnsi="Times New Roman" w:cs="Times New Roman"/>
          <w:b/>
          <w:sz w:val="26"/>
          <w:szCs w:val="26"/>
        </w:rPr>
        <w:t>]</w:t>
      </w:r>
      <w:r w:rsidRPr="0072600F">
        <w:rPr>
          <w:rFonts w:ascii="Times New Roman" w:eastAsia="Calibri" w:hAnsi="Times New Roman" w:cs="Times New Roman"/>
          <w:b/>
          <w:sz w:val="26"/>
          <w:szCs w:val="26"/>
        </w:rPr>
        <w:t xml:space="preserve"> Interconnection Customer</w:t>
      </w:r>
    </w:p>
    <w:p w:rsidR="00F3594B" w:rsidRPr="0072600F" w14:paraId="2E7B2ADB" w14:textId="77777777">
      <w:pPr>
        <w:spacing w:after="200" w:line="276" w:lineRule="auto"/>
        <w:jc w:val="center"/>
        <w:rPr>
          <w:rFonts w:ascii="Times New Roman" w:eastAsia="Calibri" w:hAnsi="Times New Roman" w:cs="Times New Roman"/>
          <w:b/>
          <w:sz w:val="26"/>
          <w:szCs w:val="26"/>
        </w:rPr>
      </w:pPr>
      <w:r w:rsidRPr="0072600F">
        <w:rPr>
          <w:rFonts w:ascii="Times New Roman" w:eastAsia="Calibri" w:hAnsi="Times New Roman" w:cs="Times New Roman"/>
          <w:b/>
          <w:sz w:val="26"/>
          <w:szCs w:val="26"/>
        </w:rPr>
        <w:t>with the Facilities Study Agreement</w:t>
      </w:r>
    </w:p>
    <w:p w:rsidR="00F3594B" w:rsidRPr="0072600F" w14:paraId="4627E2FC"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Provide location plan and simplified one-line diagram of the plant and station facilities.  For staged projects, please indicate future generation, transmission circuits, etc.</w:t>
      </w:r>
    </w:p>
    <w:p w:rsidR="00F3594B" w:rsidRPr="0072600F" w14:paraId="033BA5B5"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On the one-line diagram, indicate the generation capacity attached at each metering location. (Maximum load on CT/PT)</w:t>
      </w:r>
    </w:p>
    <w:p w:rsidR="00F3594B" w:rsidRPr="0072600F" w14:paraId="2250C129" w14:textId="77777777">
      <w:pPr>
        <w:spacing w:after="200" w:line="276" w:lineRule="auto"/>
        <w:ind w:left="720"/>
        <w:rPr>
          <w:rFonts w:ascii="Times New Roman" w:eastAsia="Calibri" w:hAnsi="Times New Roman" w:cs="Times New Roman"/>
          <w:sz w:val="26"/>
          <w:szCs w:val="26"/>
        </w:rPr>
      </w:pPr>
      <w:r w:rsidRPr="0072600F">
        <w:rPr>
          <w:rFonts w:ascii="Times New Roman" w:eastAsia="Calibri" w:hAnsi="Times New Roman" w:cs="Times New Roman"/>
          <w:sz w:val="26"/>
          <w:szCs w:val="26"/>
        </w:rPr>
        <w:t>On the one-line diagram, indicate the location of auxiliary power. (Minimum load on CT/PT)  Amps</w:t>
      </w:r>
    </w:p>
    <w:p w:rsidR="00F3594B" w:rsidRPr="0072600F" w14:paraId="0F0F026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One set of metering is required for each generation connection to the new ring bus or existing Transmission Provider station.  Number of generation connections: _____________</w:t>
      </w:r>
    </w:p>
    <w:p w:rsidR="00F3594B" w:rsidRPr="0072600F" w14:paraId="4DDC4FAF"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Will an alternate source of auxiliary power be available during CT/PT maintenance?</w:t>
      </w:r>
    </w:p>
    <w:p w:rsidR="00F3594B" w:rsidRPr="0072600F" w14:paraId="17E9C8BD" w14:textId="77777777">
      <w:pPr>
        <w:spacing w:line="276" w:lineRule="auto"/>
        <w:ind w:firstLine="720"/>
        <w:rPr>
          <w:rFonts w:ascii="Times New Roman" w:eastAsia="Calibri" w:hAnsi="Times New Roman" w:cs="Times New Roman"/>
          <w:sz w:val="26"/>
          <w:szCs w:val="26"/>
        </w:rPr>
      </w:pPr>
      <w:r w:rsidRPr="0072600F">
        <w:rPr>
          <w:rFonts w:ascii="Times New Roman" w:eastAsia="Calibri" w:hAnsi="Times New Roman" w:cs="Times New Roman"/>
          <w:sz w:val="26"/>
          <w:szCs w:val="26"/>
        </w:rPr>
        <w:t>Yes ____       No ____</w:t>
      </w:r>
    </w:p>
    <w:p w:rsidR="00F3594B" w:rsidRPr="0072600F" w14:paraId="7EC6BE2B" w14:textId="77777777">
      <w:pPr>
        <w:spacing w:line="276" w:lineRule="auto"/>
        <w:rPr>
          <w:rFonts w:ascii="Times New Roman" w:eastAsia="Calibri" w:hAnsi="Times New Roman" w:cs="Times New Roman"/>
          <w:sz w:val="26"/>
          <w:szCs w:val="26"/>
        </w:rPr>
      </w:pPr>
    </w:p>
    <w:p w:rsidR="00F3594B" w:rsidRPr="0072600F" w14:paraId="297A6AB6"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Will a transfer bus on the generation side of the metering require that each meter set be designed for the total plant generation? </w:t>
      </w:r>
      <w:r w:rsidRPr="0072600F">
        <w:rPr>
          <w:rFonts w:ascii="Times New Roman" w:eastAsia="Calibri" w:hAnsi="Times New Roman" w:cs="Times New Roman"/>
          <w:sz w:val="26"/>
          <w:szCs w:val="26"/>
        </w:rPr>
        <w:tab/>
        <w:t xml:space="preserve">Yes ____       No ____ </w:t>
      </w:r>
    </w:p>
    <w:p w:rsidR="00F3594B" w:rsidRPr="0072600F" w14:paraId="585CA1F4"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(Please indicate on the one-line diagram). </w:t>
      </w:r>
    </w:p>
    <w:p w:rsidR="00F3594B" w:rsidRPr="0072600F" w14:paraId="74BE05AC"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What type of control system or PLC will be located at the Small Generating Facility?</w:t>
      </w:r>
    </w:p>
    <w:p w:rsidR="00F3594B" w:rsidRPr="0072600F" w14:paraId="38EC973D"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w:t>
      </w:r>
    </w:p>
    <w:p w:rsidR="00F3594B" w:rsidRPr="0072600F" w14:paraId="6772CD7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p>
    <w:p w:rsidR="00F3594B" w:rsidRPr="0072600F" w14:paraId="3A40FA97"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What protocol does the control system or PLC use?</w:t>
      </w:r>
    </w:p>
    <w:p w:rsidR="00F3594B" w:rsidRPr="0072600F" w14:paraId="69DA3AB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p>
    <w:p w:rsidR="00F3594B" w:rsidRPr="0072600F" w14:paraId="740B395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p>
    <w:p w:rsidR="00F3594B" w:rsidRPr="0072600F" w14:paraId="6DA4E8DF"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Please provide a 7.5-minute quadrangle map of the site.  Indicate the plant, station, transmission line, and property lines.</w:t>
      </w:r>
    </w:p>
    <w:p w:rsidR="00F3594B" w:rsidRPr="0072600F" w14:paraId="6A869A7C"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Physical dimensions of the proposed interconnection station:</w:t>
      </w:r>
    </w:p>
    <w:p w:rsidR="00F3594B" w:rsidRPr="0072600F" w14:paraId="48E18168"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r w:rsidRPr="0072600F">
        <w:rPr>
          <w:rFonts w:ascii="Times New Roman" w:eastAsia="Calibri" w:hAnsi="Times New Roman" w:cs="Times New Roman"/>
          <w:sz w:val="26"/>
          <w:szCs w:val="26"/>
        </w:rPr>
        <w:t>Bus length from generation to interconnection station:</w:t>
      </w:r>
    </w:p>
    <w:p w:rsidR="00F3594B" w:rsidRPr="0072600F" w14:paraId="0E2E3E03"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r w:rsidRPr="0072600F">
        <w:rPr>
          <w:rFonts w:ascii="Times New Roman" w:eastAsia="Calibri" w:hAnsi="Times New Roman" w:cs="Times New Roman"/>
          <w:sz w:val="26"/>
          <w:szCs w:val="26"/>
        </w:rPr>
        <w:t xml:space="preserve">Line length from interconnection station to </w:t>
      </w:r>
      <w:r w:rsidRPr="0072600F" w:rsidR="00BD11B3">
        <w:rPr>
          <w:rFonts w:ascii="Times New Roman" w:eastAsia="Calibri" w:hAnsi="Times New Roman" w:cs="Times New Roman"/>
          <w:sz w:val="26"/>
          <w:szCs w:val="26"/>
        </w:rPr>
        <w:t>Transmission Provider’s</w:t>
      </w:r>
      <w:r w:rsidRPr="0072600F">
        <w:rPr>
          <w:rFonts w:ascii="Times New Roman" w:eastAsia="Calibri" w:hAnsi="Times New Roman" w:cs="Times New Roman"/>
          <w:sz w:val="26"/>
          <w:szCs w:val="26"/>
        </w:rPr>
        <w:t xml:space="preserve"> Transmission System.</w:t>
      </w:r>
    </w:p>
    <w:p w:rsidR="00F3594B" w:rsidRPr="0072600F" w14:paraId="1F0DBAA8"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r w:rsidRPr="0072600F">
        <w:rPr>
          <w:rFonts w:ascii="Times New Roman" w:eastAsia="Calibri" w:hAnsi="Times New Roman" w:cs="Times New Roman"/>
          <w:sz w:val="26"/>
          <w:szCs w:val="26"/>
        </w:rPr>
        <w:t>Tower number observed in the field. (Painted on tower leg)*:</w:t>
      </w:r>
    </w:p>
    <w:p w:rsidR="00F3594B" w:rsidRPr="0072600F" w14:paraId="6CBE7008" w14:textId="77777777">
      <w:pPr>
        <w:pBdr>
          <w:bottom w:val="single" w:sz="12" w:space="1" w:color="auto"/>
        </w:pBd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r w:rsidRPr="0072600F">
        <w:rPr>
          <w:rFonts w:ascii="Times New Roman" w:eastAsia="Calibri" w:hAnsi="Times New Roman" w:cs="Times New Roman"/>
          <w:sz w:val="26"/>
          <w:szCs w:val="26"/>
        </w:rPr>
        <w:t>Number of third party easements required for transmission lines*:</w:t>
      </w:r>
    </w:p>
    <w:p w:rsidR="00F3594B" w:rsidRPr="0072600F" w14:paraId="60DCDB2A"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r w:rsidRPr="0072600F">
        <w:rPr>
          <w:rFonts w:ascii="Times New Roman" w:eastAsia="Calibri" w:hAnsi="Times New Roman" w:cs="Times New Roman"/>
          <w:sz w:val="26"/>
          <w:szCs w:val="26"/>
        </w:rPr>
        <w:tab/>
        <w:t xml:space="preserve">* To be completed in coordination with Transmission Provider. </w:t>
      </w:r>
    </w:p>
    <w:p w:rsidR="00F3594B" w:rsidRPr="0072600F" w14:paraId="13D0C8A1" w14:textId="77777777">
      <w:pPr>
        <w:spacing w:after="200" w:line="276" w:lineRule="auto"/>
        <w:rPr>
          <w:rFonts w:ascii="Times New Roman" w:eastAsia="Calibri" w:hAnsi="Times New Roman" w:cs="Times New Roman"/>
          <w:sz w:val="26"/>
          <w:szCs w:val="26"/>
        </w:rPr>
      </w:pPr>
    </w:p>
    <w:p w:rsidR="00F3594B" w:rsidRPr="0072600F" w14:paraId="4BAD9151" w14:textId="77777777">
      <w:pPr>
        <w:spacing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Is the Small Generating Facility located in Transmission Provider’s service area?</w:t>
      </w:r>
    </w:p>
    <w:p w:rsidR="00F3594B" w:rsidRPr="0072600F" w14:paraId="5CACBF8B" w14:textId="77777777">
      <w:pPr>
        <w:pBdr>
          <w:bottom w:val="single" w:sz="12" w:space="1" w:color="auto"/>
        </w:pBdr>
        <w:spacing w:after="12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          Yes _____   No _____        If No, please provide name of local provider:</w:t>
      </w:r>
    </w:p>
    <w:p w:rsidR="00F3594B" w:rsidRPr="0072600F" w14:paraId="6A3D1FA5"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______________________________________________________________________________</w:t>
      </w:r>
    </w:p>
    <w:p w:rsidR="00F3594B" w:rsidRPr="0072600F" w14:paraId="45F3E936" w14:textId="77777777">
      <w:pPr>
        <w:spacing w:after="20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 xml:space="preserve">Please provide the following proposed schedule dates: </w:t>
      </w:r>
    </w:p>
    <w:p w:rsidR="00F3594B" w:rsidRPr="0072600F" w14:paraId="3946A884" w14:textId="77777777">
      <w:pPr>
        <w:spacing w:after="4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Begin Construction</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 xml:space="preserve"> </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Date: ____________________________</w:t>
      </w:r>
    </w:p>
    <w:p w:rsidR="00F3594B" w:rsidRPr="0072600F" w14:paraId="66BB9902" w14:textId="77777777">
      <w:pPr>
        <w:spacing w:after="40" w:line="276" w:lineRule="auto"/>
        <w:rPr>
          <w:rFonts w:ascii="Times New Roman" w:eastAsia="Calibri" w:hAnsi="Times New Roman" w:cs="Times New Roman"/>
          <w:sz w:val="26"/>
          <w:szCs w:val="26"/>
        </w:rPr>
      </w:pPr>
    </w:p>
    <w:p w:rsidR="00F3594B" w:rsidRPr="0072600F" w14:paraId="45E9BF63" w14:textId="77777777">
      <w:pPr>
        <w:spacing w:after="4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Generator step-up transformers</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Date: ____________________________</w:t>
      </w:r>
    </w:p>
    <w:p w:rsidR="00F3594B" w:rsidRPr="0072600F" w14:paraId="336014C1" w14:textId="77777777">
      <w:pPr>
        <w:spacing w:after="4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receive back feed power</w:t>
      </w:r>
    </w:p>
    <w:p w:rsidR="00F3594B" w:rsidRPr="0072600F" w14:paraId="0808F726" w14:textId="77777777">
      <w:pPr>
        <w:spacing w:after="40" w:line="276" w:lineRule="auto"/>
        <w:rPr>
          <w:rFonts w:ascii="Times New Roman" w:eastAsia="Calibri" w:hAnsi="Times New Roman" w:cs="Times New Roman"/>
          <w:sz w:val="26"/>
          <w:szCs w:val="26"/>
        </w:rPr>
      </w:pPr>
    </w:p>
    <w:p w:rsidR="00F3594B" w:rsidRPr="0072600F" w14:paraId="5AFE27C6" w14:textId="77777777">
      <w:pPr>
        <w:spacing w:after="4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Generation Testing</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Date: ____________________________</w:t>
      </w:r>
    </w:p>
    <w:p w:rsidR="00F3594B" w:rsidRPr="0072600F" w14:paraId="6348AEE5" w14:textId="77777777">
      <w:pPr>
        <w:spacing w:after="40" w:line="276" w:lineRule="auto"/>
        <w:rPr>
          <w:rFonts w:ascii="Times New Roman" w:eastAsia="Calibri" w:hAnsi="Times New Roman" w:cs="Times New Roman"/>
          <w:sz w:val="26"/>
          <w:szCs w:val="26"/>
        </w:rPr>
      </w:pPr>
    </w:p>
    <w:p w:rsidR="00F3594B" w:rsidRPr="0072600F" w14:paraId="766A6A78" w14:textId="77777777">
      <w:pPr>
        <w:spacing w:after="40" w:line="276" w:lineRule="auto"/>
        <w:rPr>
          <w:rFonts w:ascii="Times New Roman" w:eastAsia="Calibri" w:hAnsi="Times New Roman" w:cs="Times New Roman"/>
          <w:sz w:val="26"/>
          <w:szCs w:val="26"/>
        </w:rPr>
      </w:pPr>
      <w:r w:rsidRPr="0072600F">
        <w:rPr>
          <w:rFonts w:ascii="Times New Roman" w:eastAsia="Calibri" w:hAnsi="Times New Roman" w:cs="Times New Roman"/>
          <w:sz w:val="26"/>
          <w:szCs w:val="26"/>
        </w:rPr>
        <w:tab/>
        <w:t>Commercial Operation</w:t>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r>
      <w:r w:rsidRPr="0072600F">
        <w:rPr>
          <w:rFonts w:ascii="Times New Roman" w:eastAsia="Calibri" w:hAnsi="Times New Roman" w:cs="Times New Roman"/>
          <w:sz w:val="26"/>
          <w:szCs w:val="26"/>
        </w:rPr>
        <w:tab/>
        <w:t>Date: ____________________________</w:t>
      </w:r>
    </w:p>
    <w:p w:rsidR="00F3594B" w:rsidRPr="0072600F" w14:paraId="6B837148" w14:textId="77777777">
      <w:pPr>
        <w:spacing w:after="200" w:line="276" w:lineRule="auto"/>
        <w:rPr>
          <w:rFonts w:ascii="Times New Roman" w:eastAsia="Calibri" w:hAnsi="Times New Roman" w:cs="Times New Roman"/>
          <w:sz w:val="26"/>
          <w:szCs w:val="26"/>
        </w:rPr>
      </w:pPr>
    </w:p>
    <w:p w:rsidR="00F3594B" w:rsidRPr="0072600F" w14:paraId="2C9DC261" w14:textId="77777777">
      <w:pPr>
        <w:rPr>
          <w:rFonts w:ascii="Times New Roman" w:hAnsi="Times New Roman" w:cs="Times New Roman"/>
          <w:sz w:val="26"/>
          <w:szCs w:val="26"/>
        </w:rPr>
      </w:pPr>
    </w:p>
    <w:p w:rsidR="00F3594B" w:rsidRPr="0072600F" w14:paraId="3B36DA61" w14:textId="77777777">
      <w:pPr>
        <w:rPr>
          <w:rFonts w:ascii="Times New Roman" w:hAnsi="Times New Roman" w:cs="Times New Roman"/>
          <w:sz w:val="26"/>
          <w:szCs w:val="26"/>
        </w:rPr>
      </w:pPr>
      <w:r w:rsidRPr="0072600F">
        <w:rPr>
          <w:rFonts w:ascii="Times New Roman" w:hAnsi="Times New Roman" w:cs="Times New Roman"/>
          <w:sz w:val="26"/>
          <w:szCs w:val="26"/>
        </w:rPr>
        <w:br w:type="page"/>
      </w:r>
    </w:p>
    <w:p w:rsidR="00911580" w:rsidRPr="0072600F" w:rsidP="00F3594B" w14:paraId="42649E98" w14:textId="77777777">
      <w:pPr>
        <w:pStyle w:val="Heading1"/>
        <w:rPr>
          <w:sz w:val="26"/>
          <w:szCs w:val="26"/>
        </w:rPr>
      </w:pPr>
      <w:r w:rsidRPr="0072600F">
        <w:rPr>
          <w:sz w:val="26"/>
          <w:szCs w:val="26"/>
        </w:rPr>
        <w:t>Appendix</w:t>
      </w:r>
      <w:r w:rsidRPr="0072600F" w:rsidR="00503D78">
        <w:rPr>
          <w:sz w:val="26"/>
          <w:szCs w:val="26"/>
        </w:rPr>
        <w:t xml:space="preserve"> F</w:t>
      </w:r>
      <w:r w:rsidRPr="0072600F">
        <w:rPr>
          <w:sz w:val="26"/>
          <w:szCs w:val="26"/>
        </w:rPr>
        <w:t>:  Changes to pro forma SGIA</w:t>
      </w:r>
    </w:p>
    <w:p w:rsidR="00F3594B" w:rsidRPr="0072600F" w:rsidP="00F3594B" w14:paraId="29250184" w14:textId="77777777">
      <w:pPr>
        <w:rPr>
          <w:rFonts w:ascii="Times New Roman" w:hAnsi="Times New Roman" w:cs="Times New Roman"/>
          <w:sz w:val="26"/>
          <w:szCs w:val="26"/>
        </w:rPr>
      </w:pPr>
    </w:p>
    <w:p w:rsidR="00503D78" w:rsidRPr="0072600F" w14:paraId="0BB7E5B2" w14:textId="77777777">
      <w:pPr>
        <w:rPr>
          <w:rFonts w:ascii="Times New Roman" w:hAnsi="Times New Roman" w:cs="Times New Roman"/>
          <w:sz w:val="26"/>
          <w:szCs w:val="26"/>
        </w:rPr>
      </w:pPr>
      <w:bookmarkStart w:id="713" w:name="_Hlk149744425"/>
      <w:bookmarkStart w:id="714" w:name="_Hlk149744286"/>
      <w:bookmarkEnd w:id="713"/>
      <w:bookmarkEnd w:id="714"/>
    </w:p>
    <w:p w:rsidR="00503D78" w:rsidRPr="0072600F" w14:paraId="28F38EBE" w14:textId="77777777">
      <w:pPr>
        <w:rPr>
          <w:rFonts w:ascii="Times New Roman" w:hAnsi="Times New Roman" w:cs="Times New Roman"/>
          <w:sz w:val="26"/>
          <w:szCs w:val="26"/>
        </w:rPr>
      </w:pPr>
    </w:p>
    <w:p w:rsidR="00503D78" w:rsidRPr="0072600F" w14:paraId="22B7E7E4" w14:textId="77777777">
      <w:pPr>
        <w:rPr>
          <w:rFonts w:ascii="Times New Roman" w:hAnsi="Times New Roman" w:cs="Times New Roman"/>
          <w:sz w:val="26"/>
          <w:szCs w:val="26"/>
        </w:rPr>
      </w:pPr>
    </w:p>
    <w:p w:rsidR="00503D78" w:rsidRPr="0072600F" w14:paraId="0447D9A4" w14:textId="77777777">
      <w:pPr>
        <w:rPr>
          <w:rFonts w:ascii="Times New Roman" w:hAnsi="Times New Roman" w:cs="Times New Roman"/>
          <w:sz w:val="26"/>
          <w:szCs w:val="26"/>
        </w:rPr>
      </w:pPr>
    </w:p>
    <w:p w:rsidR="00503D78" w:rsidRPr="0072600F" w14:paraId="53752AD0" w14:textId="77777777">
      <w:pPr>
        <w:rPr>
          <w:rFonts w:ascii="Times New Roman" w:hAnsi="Times New Roman" w:cs="Times New Roman"/>
          <w:sz w:val="26"/>
          <w:szCs w:val="26"/>
        </w:rPr>
      </w:pPr>
    </w:p>
    <w:p w:rsidR="00503D78" w:rsidRPr="0072600F" w14:paraId="50F85D48" w14:textId="77777777">
      <w:pPr>
        <w:rPr>
          <w:rFonts w:ascii="Times New Roman" w:hAnsi="Times New Roman" w:cs="Times New Roman"/>
          <w:sz w:val="26"/>
          <w:szCs w:val="26"/>
        </w:rPr>
      </w:pPr>
    </w:p>
    <w:p w:rsidR="00503D78" w:rsidRPr="0072600F" w14:paraId="631F6653" w14:textId="77777777">
      <w:pPr>
        <w:rPr>
          <w:rFonts w:ascii="Times New Roman" w:hAnsi="Times New Roman" w:cs="Times New Roman"/>
          <w:sz w:val="26"/>
          <w:szCs w:val="26"/>
        </w:rPr>
      </w:pPr>
    </w:p>
    <w:p w:rsidR="00503D78" w:rsidRPr="0072600F" w14:paraId="46A56FD2" w14:textId="77777777">
      <w:pPr>
        <w:rPr>
          <w:rFonts w:ascii="Times New Roman" w:hAnsi="Times New Roman" w:cs="Times New Roman"/>
          <w:sz w:val="26"/>
          <w:szCs w:val="26"/>
        </w:rPr>
      </w:pPr>
    </w:p>
    <w:p w:rsidR="00503D78" w:rsidRPr="0072600F" w14:paraId="53BF93D2" w14:textId="77777777">
      <w:pPr>
        <w:rPr>
          <w:rFonts w:ascii="Times New Roman" w:hAnsi="Times New Roman" w:cs="Times New Roman"/>
          <w:sz w:val="26"/>
          <w:szCs w:val="26"/>
        </w:rPr>
      </w:pPr>
    </w:p>
    <w:p w:rsidR="00503D78" w:rsidRPr="0072600F" w14:paraId="7796B288" w14:textId="77777777">
      <w:pPr>
        <w:rPr>
          <w:rFonts w:ascii="Times New Roman" w:hAnsi="Times New Roman" w:cs="Times New Roman"/>
          <w:sz w:val="26"/>
          <w:szCs w:val="26"/>
        </w:rPr>
      </w:pPr>
    </w:p>
    <w:p w:rsidR="00503D78" w:rsidRPr="0072600F" w14:paraId="6B4C040A" w14:textId="77777777">
      <w:pPr>
        <w:rPr>
          <w:rFonts w:ascii="Times New Roman" w:hAnsi="Times New Roman" w:cs="Times New Roman"/>
          <w:sz w:val="26"/>
          <w:szCs w:val="26"/>
        </w:rPr>
      </w:pPr>
    </w:p>
    <w:p w:rsidR="00503D78" w:rsidRPr="0072600F" w14:paraId="5E43DE8E" w14:textId="77777777">
      <w:pPr>
        <w:rPr>
          <w:rFonts w:ascii="Times New Roman" w:hAnsi="Times New Roman" w:cs="Times New Roman"/>
          <w:sz w:val="26"/>
          <w:szCs w:val="26"/>
        </w:rPr>
      </w:pPr>
    </w:p>
    <w:p w:rsidR="00503D78" w:rsidRPr="0072600F" w14:paraId="6CBDCF37" w14:textId="77777777">
      <w:pPr>
        <w:rPr>
          <w:rFonts w:ascii="Times New Roman" w:hAnsi="Times New Roman" w:cs="Times New Roman"/>
          <w:sz w:val="26"/>
          <w:szCs w:val="26"/>
        </w:rPr>
      </w:pPr>
    </w:p>
    <w:p w:rsidR="00503D78" w:rsidRPr="0072600F" w14:paraId="48C364D2" w14:textId="77777777">
      <w:pPr>
        <w:rPr>
          <w:rFonts w:ascii="Times New Roman" w:hAnsi="Times New Roman" w:cs="Times New Roman"/>
          <w:sz w:val="26"/>
          <w:szCs w:val="26"/>
        </w:rPr>
      </w:pPr>
    </w:p>
    <w:p w:rsidR="00503D78" w:rsidRPr="0072600F" w14:paraId="0AFF9F3D"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SMALL GENERATOR</w:t>
      </w:r>
    </w:p>
    <w:p w:rsidR="00503D78" w:rsidRPr="0072600F" w14:paraId="0B8C9D90"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INTERCONNECTION AGREEMENT (SGIA)</w:t>
      </w:r>
    </w:p>
    <w:p w:rsidR="00503D78" w:rsidRPr="0072600F" w14:paraId="2C854BD8" w14:textId="77777777">
      <w:pPr>
        <w:jc w:val="center"/>
        <w:rPr>
          <w:rFonts w:ascii="Times New Roman" w:hAnsi="Times New Roman" w:cs="Times New Roman"/>
          <w:b/>
          <w:sz w:val="26"/>
          <w:szCs w:val="26"/>
        </w:rPr>
      </w:pPr>
    </w:p>
    <w:p w:rsidR="00503D78" w:rsidRPr="0072600F" w14:paraId="10BB6F98" w14:textId="77777777">
      <w:pPr>
        <w:jc w:val="center"/>
        <w:rPr>
          <w:rFonts w:ascii="Times New Roman" w:hAnsi="Times New Roman" w:cs="Times New Roman"/>
          <w:b/>
          <w:sz w:val="26"/>
          <w:szCs w:val="26"/>
        </w:rPr>
      </w:pPr>
    </w:p>
    <w:p w:rsidR="00503D78" w:rsidRPr="0072600F" w14:paraId="01B4D0B2" w14:textId="77777777">
      <w:pPr>
        <w:jc w:val="center"/>
        <w:rPr>
          <w:rFonts w:ascii="Times New Roman" w:hAnsi="Times New Roman" w:cs="Times New Roman"/>
          <w:b/>
          <w:sz w:val="26"/>
          <w:szCs w:val="26"/>
        </w:rPr>
      </w:pPr>
      <w:r w:rsidRPr="0072600F">
        <w:rPr>
          <w:rFonts w:ascii="Times New Roman" w:hAnsi="Times New Roman" w:cs="Times New Roman"/>
          <w:b/>
          <w:sz w:val="26"/>
          <w:szCs w:val="26"/>
        </w:rPr>
        <w:t>(For Generating Facilities No Larger Than 20 MW)</w:t>
      </w:r>
    </w:p>
    <w:p w:rsidR="00503D78" w:rsidRPr="0072600F" w14:paraId="10B6F22B" w14:textId="77777777">
      <w:pPr>
        <w:rPr>
          <w:rFonts w:ascii="Times New Roman" w:hAnsi="Times New Roman" w:cs="Times New Roman"/>
          <w:b/>
          <w:sz w:val="26"/>
          <w:szCs w:val="26"/>
        </w:rPr>
      </w:pPr>
    </w:p>
    <w:p w:rsidR="00503D78" w:rsidRPr="0072600F" w14:paraId="55750342" w14:textId="77777777">
      <w:pPr>
        <w:jc w:val="center"/>
        <w:rPr>
          <w:rFonts w:ascii="Times New Roman" w:hAnsi="Times New Roman" w:cs="Times New Roman"/>
          <w:sz w:val="26"/>
          <w:szCs w:val="26"/>
        </w:rPr>
        <w:sectPr>
          <w:headerReference w:type="even" r:id="rId63"/>
          <w:headerReference w:type="default" r:id="rId64"/>
          <w:footerReference w:type="even" r:id="rId65"/>
          <w:footerReference w:type="default" r:id="rId66"/>
          <w:headerReference w:type="first" r:id="rId67"/>
          <w:footerReference w:type="first" r:id="rId68"/>
          <w:footnotePr>
            <w:numFmt w:val="lowerLetter"/>
          </w:footnotePr>
          <w:endnotePr>
            <w:numFmt w:val="lowerLetter"/>
          </w:endnotePr>
          <w:pgSz w:w="12240" w:h="15840" w:code="1"/>
          <w:pgMar w:top="1440" w:right="1440" w:bottom="1440" w:left="1440" w:header="1440" w:footer="1440" w:gutter="0"/>
          <w:pgNumType w:fmt="lowerRoman" w:start="1"/>
          <w:cols w:space="720"/>
        </w:sectPr>
      </w:pPr>
    </w:p>
    <w:p w:rsidR="00503D78" w:rsidRPr="0072600F" w14:paraId="050AEF32" w14:textId="77777777">
      <w:pPr>
        <w:jc w:val="center"/>
        <w:rPr>
          <w:rFonts w:ascii="Times New Roman" w:hAnsi="Times New Roman" w:cs="Times New Roman"/>
          <w:sz w:val="26"/>
          <w:szCs w:val="26"/>
        </w:rPr>
      </w:pPr>
      <w:r w:rsidRPr="0072600F">
        <w:rPr>
          <w:rFonts w:ascii="Times New Roman" w:hAnsi="Times New Roman" w:cs="Times New Roman"/>
          <w:b/>
          <w:sz w:val="26"/>
          <w:szCs w:val="26"/>
        </w:rPr>
        <w:t>TABLE OF CONTENTS</w:t>
      </w:r>
    </w:p>
    <w:p w:rsidR="00503D78" w:rsidRPr="0072600F" w14:paraId="0F86FA14" w14:textId="77777777">
      <w:pPr>
        <w:pStyle w:val="TOCHeading"/>
        <w:jc w:val="right"/>
        <w:rPr>
          <w:rFonts w:ascii="Times New Roman" w:hAnsi="Times New Roman" w:cs="Times New Roman"/>
          <w:color w:val="auto"/>
          <w:sz w:val="26"/>
          <w:szCs w:val="26"/>
        </w:rPr>
      </w:pPr>
      <w:r w:rsidRPr="0072600F">
        <w:rPr>
          <w:rFonts w:ascii="Times New Roman" w:hAnsi="Times New Roman" w:cs="Times New Roman"/>
          <w:color w:val="auto"/>
          <w:sz w:val="26"/>
          <w:szCs w:val="26"/>
        </w:rPr>
        <w:t>Page No.</w:t>
      </w:r>
    </w:p>
    <w:sdt>
      <w:sdtPr>
        <w:rPr>
          <w:rFonts w:ascii="Times New Roman" w:hAnsi="Times New Roman" w:cs="Times New Roman"/>
          <w:sz w:val="26"/>
          <w:szCs w:val="26"/>
        </w:rPr>
        <w:id w:val="1150407246"/>
        <w:docPartObj>
          <w:docPartGallery w:val="Table of Contents"/>
          <w:docPartUnique/>
        </w:docPartObj>
      </w:sdtPr>
      <w:sdtEndPr>
        <w:rPr>
          <w:b/>
          <w:bCs/>
          <w:noProof/>
        </w:rPr>
      </w:sdtEndPr>
      <w:sdtContent>
        <w:p w:rsidR="00503D78" w:rsidRPr="0072600F" w14:paraId="48348B7C" w14:textId="77777777">
          <w:pPr>
            <w:jc w:val="right"/>
            <w:rPr>
              <w:rFonts w:ascii="Times New Roman" w:hAnsi="Times New Roman" w:cs="Times New Roman"/>
              <w:sz w:val="26"/>
              <w:szCs w:val="26"/>
            </w:rPr>
          </w:pPr>
        </w:p>
        <w:p w:rsidR="00503D78" w:rsidRPr="0072600F" w14:paraId="22D7F30F" w14:textId="77777777">
          <w:pPr>
            <w:pStyle w:val="TOC1"/>
            <w:rPr>
              <w:rFonts w:eastAsiaTheme="minorEastAsia"/>
              <w:sz w:val="26"/>
              <w:szCs w:val="26"/>
            </w:rPr>
          </w:pPr>
          <w:r w:rsidRPr="0072600F">
            <w:rPr>
              <w:sz w:val="26"/>
              <w:szCs w:val="26"/>
            </w:rPr>
            <w:fldChar w:fldCharType="begin"/>
          </w:r>
          <w:r w:rsidRPr="0072600F">
            <w:rPr>
              <w:sz w:val="26"/>
              <w:szCs w:val="26"/>
            </w:rPr>
            <w:instrText xml:space="preserve"> TOC \o "1-3" \h \z \u </w:instrText>
          </w:r>
          <w:r w:rsidRPr="0072600F">
            <w:rPr>
              <w:sz w:val="26"/>
              <w:szCs w:val="26"/>
            </w:rPr>
            <w:fldChar w:fldCharType="separate"/>
          </w:r>
          <w:hyperlink w:anchor="_Toc149901333" w:history="1">
            <w:r w:rsidRPr="0072600F">
              <w:rPr>
                <w:rStyle w:val="Hyperlink"/>
                <w:sz w:val="26"/>
                <w:szCs w:val="26"/>
              </w:rPr>
              <w:t>Article 1.  Scope and Limitations of Agreement</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_Toc149901333 \h </w:instrText>
            </w:r>
            <w:r w:rsidRPr="0072600F">
              <w:rPr>
                <w:webHidden/>
                <w:sz w:val="26"/>
                <w:szCs w:val="26"/>
              </w:rPr>
              <w:fldChar w:fldCharType="separate"/>
            </w:r>
            <w:r w:rsidR="00C46123">
              <w:rPr>
                <w:webHidden/>
                <w:sz w:val="26"/>
                <w:szCs w:val="26"/>
              </w:rPr>
              <w:t>- 2 -</w:t>
            </w:r>
            <w:r w:rsidRPr="0072600F">
              <w:rPr>
                <w:webHidden/>
                <w:sz w:val="26"/>
                <w:szCs w:val="26"/>
              </w:rPr>
              <w:fldChar w:fldCharType="end"/>
            </w:r>
          </w:hyperlink>
        </w:p>
        <w:p w:rsidR="00503D78" w:rsidRPr="0072600F" w14:paraId="51944636" w14:textId="77777777">
          <w:pPr>
            <w:pStyle w:val="TOC2"/>
            <w:rPr>
              <w:rFonts w:eastAsiaTheme="minorEastAsia"/>
              <w:noProof/>
              <w:sz w:val="26"/>
              <w:szCs w:val="26"/>
            </w:rPr>
          </w:pPr>
          <w:hyperlink w:anchor="_Toc149901338" w:history="1">
            <w:r w:rsidRPr="0072600F">
              <w:rPr>
                <w:rStyle w:val="Hyperlink"/>
                <w:noProof/>
                <w:sz w:val="26"/>
                <w:szCs w:val="26"/>
              </w:rPr>
              <w:t>1.5</w:t>
            </w:r>
            <w:r w:rsidRPr="0072600F">
              <w:rPr>
                <w:rFonts w:eastAsiaTheme="minorEastAsia"/>
                <w:noProof/>
                <w:sz w:val="26"/>
                <w:szCs w:val="26"/>
              </w:rPr>
              <w:tab/>
            </w:r>
            <w:r w:rsidRPr="0072600F">
              <w:rPr>
                <w:rStyle w:val="Hyperlink"/>
                <w:noProof/>
                <w:sz w:val="26"/>
                <w:szCs w:val="26"/>
              </w:rPr>
              <w:t>Responsibilities of the Parties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_Toc149901338 \h </w:instrText>
            </w:r>
            <w:r w:rsidRPr="0072600F">
              <w:rPr>
                <w:noProof/>
                <w:webHidden/>
                <w:sz w:val="26"/>
                <w:szCs w:val="26"/>
              </w:rPr>
              <w:fldChar w:fldCharType="separate"/>
            </w:r>
            <w:r w:rsidR="00C46123">
              <w:rPr>
                <w:noProof/>
                <w:webHidden/>
                <w:sz w:val="26"/>
                <w:szCs w:val="26"/>
              </w:rPr>
              <w:t>- 2 -</w:t>
            </w:r>
            <w:r w:rsidRPr="0072600F">
              <w:rPr>
                <w:noProof/>
                <w:webHidden/>
                <w:sz w:val="26"/>
                <w:szCs w:val="26"/>
              </w:rPr>
              <w:fldChar w:fldCharType="end"/>
            </w:r>
          </w:hyperlink>
        </w:p>
        <w:p w:rsidR="00503D78" w:rsidRPr="0072600F" w14:paraId="4056758F" w14:textId="77777777">
          <w:pPr>
            <w:pStyle w:val="TOC2"/>
            <w:rPr>
              <w:rFonts w:eastAsiaTheme="minorEastAsia"/>
              <w:noProof/>
              <w:sz w:val="26"/>
              <w:szCs w:val="26"/>
            </w:rPr>
          </w:pPr>
          <w:hyperlink w:anchor="_Toc149901346" w:history="1">
            <w:r w:rsidRPr="0072600F">
              <w:rPr>
                <w:rStyle w:val="Hyperlink"/>
                <w:noProof/>
                <w:sz w:val="26"/>
                <w:szCs w:val="26"/>
              </w:rPr>
              <w:t>1.6</w:t>
            </w:r>
            <w:r w:rsidRPr="0072600F">
              <w:rPr>
                <w:rFonts w:eastAsiaTheme="minorEastAsia"/>
                <w:noProof/>
                <w:sz w:val="26"/>
                <w:szCs w:val="26"/>
              </w:rPr>
              <w:tab/>
            </w:r>
            <w:r w:rsidRPr="0072600F">
              <w:rPr>
                <w:rStyle w:val="Hyperlink"/>
                <w:noProof/>
                <w:sz w:val="26"/>
                <w:szCs w:val="26"/>
              </w:rPr>
              <w:t>Parallel Operation Obligations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_Toc149901346 \h </w:instrText>
            </w:r>
            <w:r w:rsidRPr="0072600F">
              <w:rPr>
                <w:noProof/>
                <w:webHidden/>
                <w:sz w:val="26"/>
                <w:szCs w:val="26"/>
              </w:rPr>
              <w:fldChar w:fldCharType="separate"/>
            </w:r>
            <w:r w:rsidR="00C46123">
              <w:rPr>
                <w:noProof/>
                <w:webHidden/>
                <w:sz w:val="26"/>
                <w:szCs w:val="26"/>
              </w:rPr>
              <w:t>- 5 -</w:t>
            </w:r>
            <w:r w:rsidRPr="0072600F">
              <w:rPr>
                <w:noProof/>
                <w:webHidden/>
                <w:sz w:val="26"/>
                <w:szCs w:val="26"/>
              </w:rPr>
              <w:fldChar w:fldCharType="end"/>
            </w:r>
          </w:hyperlink>
        </w:p>
        <w:p w:rsidR="00503D78" w:rsidRPr="0072600F" w14:paraId="4FE8D706" w14:textId="77777777">
          <w:pPr>
            <w:pStyle w:val="TOC2"/>
            <w:rPr>
              <w:rFonts w:eastAsiaTheme="minorEastAsia"/>
              <w:noProof/>
              <w:sz w:val="26"/>
              <w:szCs w:val="26"/>
            </w:rPr>
          </w:pPr>
          <w:hyperlink w:anchor="_Toc149901347" w:history="1">
            <w:r w:rsidRPr="0072600F">
              <w:rPr>
                <w:rStyle w:val="Hyperlink"/>
                <w:noProof/>
                <w:sz w:val="26"/>
                <w:szCs w:val="26"/>
              </w:rPr>
              <w:t>1.7</w:t>
            </w:r>
            <w:r w:rsidRPr="0072600F">
              <w:rPr>
                <w:rFonts w:eastAsiaTheme="minorEastAsia"/>
                <w:noProof/>
                <w:sz w:val="26"/>
                <w:szCs w:val="26"/>
              </w:rPr>
              <w:tab/>
            </w:r>
            <w:r w:rsidRPr="0072600F">
              <w:rPr>
                <w:rStyle w:val="Hyperlink"/>
                <w:noProof/>
                <w:sz w:val="26"/>
                <w:szCs w:val="26"/>
              </w:rPr>
              <w:t>Metering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_Toc149901347 \h </w:instrText>
            </w:r>
            <w:r w:rsidRPr="0072600F">
              <w:rPr>
                <w:noProof/>
                <w:webHidden/>
                <w:sz w:val="26"/>
                <w:szCs w:val="26"/>
              </w:rPr>
              <w:fldChar w:fldCharType="separate"/>
            </w:r>
            <w:r w:rsidR="00C46123">
              <w:rPr>
                <w:noProof/>
                <w:webHidden/>
                <w:sz w:val="26"/>
                <w:szCs w:val="26"/>
              </w:rPr>
              <w:t>- 5 -</w:t>
            </w:r>
            <w:r w:rsidRPr="0072600F">
              <w:rPr>
                <w:noProof/>
                <w:webHidden/>
                <w:sz w:val="26"/>
                <w:szCs w:val="26"/>
              </w:rPr>
              <w:fldChar w:fldCharType="end"/>
            </w:r>
          </w:hyperlink>
        </w:p>
        <w:p w:rsidR="00503D78" w:rsidRPr="0072600F" w14:paraId="328DE67C" w14:textId="77777777">
          <w:pPr>
            <w:pStyle w:val="TOC2"/>
            <w:rPr>
              <w:rFonts w:eastAsiaTheme="minorEastAsia"/>
              <w:noProof/>
              <w:sz w:val="26"/>
              <w:szCs w:val="26"/>
            </w:rPr>
          </w:pPr>
          <w:hyperlink w:anchor="_Toc149901348" w:history="1">
            <w:r w:rsidRPr="0072600F">
              <w:rPr>
                <w:rStyle w:val="Hyperlink"/>
                <w:noProof/>
                <w:sz w:val="26"/>
                <w:szCs w:val="26"/>
              </w:rPr>
              <w:t>1.8</w:t>
            </w:r>
            <w:r w:rsidRPr="0072600F">
              <w:rPr>
                <w:rFonts w:eastAsiaTheme="minorEastAsia"/>
                <w:noProof/>
                <w:sz w:val="26"/>
                <w:szCs w:val="26"/>
              </w:rPr>
              <w:tab/>
            </w:r>
            <w:r w:rsidRPr="0072600F">
              <w:rPr>
                <w:rStyle w:val="Hyperlink"/>
                <w:noProof/>
                <w:sz w:val="26"/>
                <w:szCs w:val="26"/>
              </w:rPr>
              <w:t>Reactive Power and Primary Frequency Response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_Toc149901348 \h </w:instrText>
            </w:r>
            <w:r w:rsidRPr="0072600F">
              <w:rPr>
                <w:noProof/>
                <w:webHidden/>
                <w:sz w:val="26"/>
                <w:szCs w:val="26"/>
              </w:rPr>
              <w:fldChar w:fldCharType="separate"/>
            </w:r>
            <w:r w:rsidR="00C46123">
              <w:rPr>
                <w:noProof/>
                <w:webHidden/>
                <w:sz w:val="26"/>
                <w:szCs w:val="26"/>
              </w:rPr>
              <w:t>- 5 -</w:t>
            </w:r>
            <w:r w:rsidRPr="0072600F">
              <w:rPr>
                <w:noProof/>
                <w:webHidden/>
                <w:sz w:val="26"/>
                <w:szCs w:val="26"/>
              </w:rPr>
              <w:fldChar w:fldCharType="end"/>
            </w:r>
          </w:hyperlink>
        </w:p>
        <w:p w:rsidR="00503D78" w:rsidRPr="0072600F" w14:paraId="08CFECB5" w14:textId="77777777">
          <w:pPr>
            <w:pStyle w:val="TOC3"/>
            <w:tabs>
              <w:tab w:val="left" w:pos="2160"/>
              <w:tab w:val="right" w:leader="dot" w:pos="9350"/>
            </w:tabs>
            <w:rPr>
              <w:rFonts w:eastAsiaTheme="minorEastAsia"/>
              <w:noProof/>
              <w:sz w:val="26"/>
              <w:szCs w:val="26"/>
            </w:rPr>
          </w:pPr>
          <w:hyperlink w:anchor="_Toc149901349" w:history="1">
            <w:r w:rsidRPr="0072600F">
              <w:rPr>
                <w:rStyle w:val="Hyperlink"/>
                <w:noProof/>
                <w:sz w:val="26"/>
                <w:szCs w:val="26"/>
              </w:rPr>
              <w:t>1.8.1</w:t>
            </w:r>
            <w:r w:rsidRPr="0072600F">
              <w:rPr>
                <w:rFonts w:eastAsiaTheme="minorEastAsia"/>
                <w:noProof/>
                <w:sz w:val="26"/>
                <w:szCs w:val="26"/>
              </w:rPr>
              <w:tab/>
            </w:r>
            <w:r w:rsidRPr="0072600F">
              <w:rPr>
                <w:rStyle w:val="Hyperlink"/>
                <w:noProof/>
                <w:sz w:val="26"/>
                <w:szCs w:val="26"/>
              </w:rPr>
              <w:t>Power Factor Design Criteria</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_Toc149901349 \h </w:instrText>
            </w:r>
            <w:r w:rsidRPr="0072600F">
              <w:rPr>
                <w:noProof/>
                <w:webHidden/>
                <w:sz w:val="26"/>
                <w:szCs w:val="26"/>
              </w:rPr>
              <w:fldChar w:fldCharType="separate"/>
            </w:r>
            <w:r w:rsidR="00C46123">
              <w:rPr>
                <w:noProof/>
                <w:webHidden/>
                <w:sz w:val="26"/>
                <w:szCs w:val="26"/>
              </w:rPr>
              <w:t>- 5 -</w:t>
            </w:r>
            <w:r w:rsidRPr="0072600F">
              <w:rPr>
                <w:noProof/>
                <w:webHidden/>
                <w:sz w:val="26"/>
                <w:szCs w:val="26"/>
              </w:rPr>
              <w:fldChar w:fldCharType="end"/>
            </w:r>
          </w:hyperlink>
        </w:p>
        <w:p w:rsidR="00503D78" w:rsidRPr="0072600F" w14:paraId="2BB87E13" w14:textId="77777777">
          <w:pPr>
            <w:pStyle w:val="TOC3"/>
            <w:tabs>
              <w:tab w:val="left" w:pos="2880"/>
              <w:tab w:val="right" w:leader="dot" w:pos="9350"/>
            </w:tabs>
            <w:rPr>
              <w:rFonts w:eastAsiaTheme="minorEastAsia"/>
              <w:noProof/>
              <w:sz w:val="26"/>
              <w:szCs w:val="26"/>
            </w:rPr>
          </w:pPr>
          <w:hyperlink w:anchor="_Toc149901352" w:history="1">
            <w:r w:rsidRPr="0072600F">
              <w:rPr>
                <w:rStyle w:val="Hyperlink"/>
                <w:noProof/>
                <w:sz w:val="26"/>
                <w:szCs w:val="26"/>
              </w:rPr>
              <w:t xml:space="preserve">1.8.4 </w:t>
            </w:r>
            <w:r w:rsidRPr="0072600F">
              <w:rPr>
                <w:rFonts w:eastAsiaTheme="minorEastAsia"/>
                <w:noProof/>
                <w:sz w:val="26"/>
                <w:szCs w:val="26"/>
              </w:rPr>
              <w:tab/>
            </w:r>
            <w:r w:rsidRPr="0072600F">
              <w:rPr>
                <w:rStyle w:val="Hyperlink"/>
                <w:noProof/>
                <w:sz w:val="26"/>
                <w:szCs w:val="26"/>
              </w:rPr>
              <w:t>Primary Frequency Response.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_Toc149901352 \h </w:instrText>
            </w:r>
            <w:r w:rsidRPr="0072600F">
              <w:rPr>
                <w:noProof/>
                <w:webHidden/>
                <w:sz w:val="26"/>
                <w:szCs w:val="26"/>
              </w:rPr>
              <w:fldChar w:fldCharType="separate"/>
            </w:r>
            <w:r w:rsidR="00C46123">
              <w:rPr>
                <w:noProof/>
                <w:webHidden/>
                <w:sz w:val="26"/>
                <w:szCs w:val="26"/>
              </w:rPr>
              <w:t>- 7 -</w:t>
            </w:r>
            <w:r w:rsidRPr="0072600F">
              <w:rPr>
                <w:noProof/>
                <w:webHidden/>
                <w:sz w:val="26"/>
                <w:szCs w:val="26"/>
              </w:rPr>
              <w:fldChar w:fldCharType="end"/>
            </w:r>
          </w:hyperlink>
        </w:p>
        <w:p w:rsidR="00503D78" w:rsidRPr="0072600F" w14:paraId="5FC959B8" w14:textId="77777777">
          <w:pPr>
            <w:pStyle w:val="TOC1"/>
            <w:rPr>
              <w:rFonts w:eastAsiaTheme="minorEastAsia"/>
              <w:sz w:val="26"/>
              <w:szCs w:val="26"/>
            </w:rPr>
          </w:pPr>
          <w:hyperlink w:anchor="_Toc149901354" w:history="1">
            <w:r w:rsidRPr="0072600F">
              <w:rPr>
                <w:rStyle w:val="Hyperlink"/>
                <w:sz w:val="26"/>
                <w:szCs w:val="26"/>
              </w:rPr>
              <w:t>Article 2.  Inspection, Testing, Authorization, and Right of Access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_Toc149901354 \h </w:instrText>
            </w:r>
            <w:r w:rsidRPr="0072600F">
              <w:rPr>
                <w:webHidden/>
                <w:sz w:val="26"/>
                <w:szCs w:val="26"/>
              </w:rPr>
              <w:fldChar w:fldCharType="separate"/>
            </w:r>
            <w:r w:rsidR="00C46123">
              <w:rPr>
                <w:webHidden/>
                <w:sz w:val="26"/>
                <w:szCs w:val="26"/>
              </w:rPr>
              <w:t>- 10 -</w:t>
            </w:r>
            <w:r w:rsidRPr="0072600F">
              <w:rPr>
                <w:webHidden/>
                <w:sz w:val="26"/>
                <w:szCs w:val="26"/>
              </w:rPr>
              <w:fldChar w:fldCharType="end"/>
            </w:r>
          </w:hyperlink>
        </w:p>
        <w:p w:rsidR="00503D78" w:rsidRPr="0072600F" w14:paraId="4A83D83C" w14:textId="77777777">
          <w:pPr>
            <w:pStyle w:val="TOC2"/>
            <w:rPr>
              <w:rFonts w:eastAsiaTheme="minorEastAsia"/>
              <w:noProof/>
              <w:sz w:val="26"/>
              <w:szCs w:val="26"/>
            </w:rPr>
          </w:pPr>
          <w:hyperlink w:anchor="_Toc149901355" w:history="1">
            <w:r w:rsidRPr="0072600F">
              <w:rPr>
                <w:rStyle w:val="Hyperlink"/>
                <w:noProof/>
                <w:sz w:val="26"/>
                <w:szCs w:val="26"/>
              </w:rPr>
              <w:t>2.1</w:t>
            </w:r>
            <w:r w:rsidRPr="0072600F">
              <w:rPr>
                <w:rFonts w:eastAsiaTheme="minorEastAsia"/>
                <w:noProof/>
                <w:sz w:val="26"/>
                <w:szCs w:val="26"/>
              </w:rPr>
              <w:tab/>
            </w:r>
            <w:r w:rsidRPr="0072600F">
              <w:rPr>
                <w:rStyle w:val="Hyperlink"/>
                <w:noProof/>
                <w:sz w:val="26"/>
                <w:szCs w:val="26"/>
              </w:rPr>
              <w:t>Equipment Testing and Inspection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_Toc149901355 \h </w:instrText>
            </w:r>
            <w:r w:rsidRPr="0072600F">
              <w:rPr>
                <w:noProof/>
                <w:webHidden/>
                <w:sz w:val="26"/>
                <w:szCs w:val="26"/>
              </w:rPr>
              <w:fldChar w:fldCharType="separate"/>
            </w:r>
            <w:r w:rsidR="00C46123">
              <w:rPr>
                <w:noProof/>
                <w:webHidden/>
                <w:sz w:val="26"/>
                <w:szCs w:val="26"/>
              </w:rPr>
              <w:t>- 11 -</w:t>
            </w:r>
            <w:r w:rsidRPr="0072600F">
              <w:rPr>
                <w:noProof/>
                <w:webHidden/>
                <w:sz w:val="26"/>
                <w:szCs w:val="26"/>
              </w:rPr>
              <w:fldChar w:fldCharType="end"/>
            </w:r>
          </w:hyperlink>
        </w:p>
        <w:p w:rsidR="00503D78" w:rsidRPr="0072600F" w14:paraId="3F0B6152" w14:textId="77777777">
          <w:pPr>
            <w:pStyle w:val="TOC2"/>
            <w:rPr>
              <w:rFonts w:eastAsiaTheme="minorEastAsia"/>
              <w:noProof/>
              <w:sz w:val="26"/>
              <w:szCs w:val="26"/>
            </w:rPr>
          </w:pPr>
          <w:hyperlink w:anchor="_Toc149901358" w:history="1">
            <w:r w:rsidRPr="0072600F">
              <w:rPr>
                <w:rStyle w:val="Hyperlink"/>
                <w:noProof/>
                <w:sz w:val="26"/>
                <w:szCs w:val="26"/>
              </w:rPr>
              <w:t>2.2</w:t>
            </w:r>
            <w:r w:rsidRPr="0072600F">
              <w:rPr>
                <w:rFonts w:eastAsiaTheme="minorEastAsia"/>
                <w:noProof/>
                <w:sz w:val="26"/>
                <w:szCs w:val="26"/>
              </w:rPr>
              <w:tab/>
            </w:r>
            <w:r w:rsidRPr="0072600F">
              <w:rPr>
                <w:rStyle w:val="Hyperlink"/>
                <w:noProof/>
                <w:sz w:val="26"/>
                <w:szCs w:val="26"/>
              </w:rPr>
              <w:t>Authorization Required Prior to Parallel Operation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_Toc149901358 \h </w:instrText>
            </w:r>
            <w:r w:rsidRPr="0072600F">
              <w:rPr>
                <w:noProof/>
                <w:webHidden/>
                <w:sz w:val="26"/>
                <w:szCs w:val="26"/>
              </w:rPr>
              <w:fldChar w:fldCharType="separate"/>
            </w:r>
            <w:r w:rsidR="00C46123">
              <w:rPr>
                <w:noProof/>
                <w:webHidden/>
                <w:sz w:val="26"/>
                <w:szCs w:val="26"/>
              </w:rPr>
              <w:t>- 11 -</w:t>
            </w:r>
            <w:r w:rsidRPr="0072600F">
              <w:rPr>
                <w:noProof/>
                <w:webHidden/>
                <w:sz w:val="26"/>
                <w:szCs w:val="26"/>
              </w:rPr>
              <w:fldChar w:fldCharType="end"/>
            </w:r>
          </w:hyperlink>
        </w:p>
        <w:p w:rsidR="00503D78" w:rsidRPr="0072600F" w14:paraId="32A1535E" w14:textId="77777777">
          <w:pPr>
            <w:pStyle w:val="TOC2"/>
            <w:rPr>
              <w:rFonts w:eastAsiaTheme="minorEastAsia"/>
              <w:noProof/>
              <w:sz w:val="26"/>
              <w:szCs w:val="26"/>
            </w:rPr>
          </w:pPr>
          <w:hyperlink w:anchor="_Toc149901361" w:history="1">
            <w:r w:rsidRPr="0072600F">
              <w:rPr>
                <w:rStyle w:val="Hyperlink"/>
                <w:noProof/>
                <w:sz w:val="26"/>
                <w:szCs w:val="26"/>
              </w:rPr>
              <w:t>2.3</w:t>
            </w:r>
            <w:r w:rsidRPr="0072600F">
              <w:rPr>
                <w:rFonts w:eastAsiaTheme="minorEastAsia"/>
                <w:noProof/>
                <w:sz w:val="26"/>
                <w:szCs w:val="26"/>
              </w:rPr>
              <w:tab/>
            </w:r>
            <w:r w:rsidRPr="0072600F">
              <w:rPr>
                <w:rStyle w:val="Hyperlink"/>
                <w:noProof/>
                <w:sz w:val="26"/>
                <w:szCs w:val="26"/>
              </w:rPr>
              <w:t>Right of Access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_Toc149901361 \h </w:instrText>
            </w:r>
            <w:r w:rsidRPr="0072600F">
              <w:rPr>
                <w:noProof/>
                <w:webHidden/>
                <w:sz w:val="26"/>
                <w:szCs w:val="26"/>
              </w:rPr>
              <w:fldChar w:fldCharType="separate"/>
            </w:r>
            <w:r w:rsidR="00C46123">
              <w:rPr>
                <w:noProof/>
                <w:webHidden/>
                <w:sz w:val="26"/>
                <w:szCs w:val="26"/>
              </w:rPr>
              <w:t>- 12 -</w:t>
            </w:r>
            <w:r w:rsidRPr="0072600F">
              <w:rPr>
                <w:noProof/>
                <w:webHidden/>
                <w:sz w:val="26"/>
                <w:szCs w:val="26"/>
              </w:rPr>
              <w:fldChar w:fldCharType="end"/>
            </w:r>
          </w:hyperlink>
        </w:p>
        <w:p w:rsidR="00503D78" w:rsidRPr="0072600F" w14:paraId="7208090C" w14:textId="77777777">
          <w:pPr>
            <w:pStyle w:val="TOC1"/>
            <w:rPr>
              <w:rFonts w:eastAsiaTheme="minorEastAsia"/>
              <w:sz w:val="26"/>
              <w:szCs w:val="26"/>
            </w:rPr>
          </w:pPr>
          <w:hyperlink w:anchor="_Toc149901365" w:history="1">
            <w:r w:rsidRPr="0072600F">
              <w:rPr>
                <w:rStyle w:val="Hyperlink"/>
                <w:sz w:val="26"/>
                <w:szCs w:val="26"/>
              </w:rPr>
              <w:t>Article 3.  Effective Date, Term, Termination, and Disconnection</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_Toc149901365 \h </w:instrText>
            </w:r>
            <w:r w:rsidRPr="0072600F">
              <w:rPr>
                <w:webHidden/>
                <w:sz w:val="26"/>
                <w:szCs w:val="26"/>
              </w:rPr>
              <w:fldChar w:fldCharType="separate"/>
            </w:r>
            <w:r w:rsidR="00C46123">
              <w:rPr>
                <w:webHidden/>
                <w:sz w:val="26"/>
                <w:szCs w:val="26"/>
              </w:rPr>
              <w:t>- 12 -</w:t>
            </w:r>
            <w:r w:rsidRPr="0072600F">
              <w:rPr>
                <w:webHidden/>
                <w:sz w:val="26"/>
                <w:szCs w:val="26"/>
              </w:rPr>
              <w:fldChar w:fldCharType="end"/>
            </w:r>
          </w:hyperlink>
        </w:p>
        <w:p w:rsidR="00503D78" w:rsidRPr="0072600F" w14:paraId="395011A3" w14:textId="77777777">
          <w:pPr>
            <w:pStyle w:val="TOC2"/>
            <w:rPr>
              <w:rFonts w:eastAsiaTheme="minorEastAsia"/>
              <w:noProof/>
              <w:sz w:val="26"/>
              <w:szCs w:val="26"/>
            </w:rPr>
          </w:pPr>
          <w:hyperlink w:anchor="_Toc149901366" w:history="1">
            <w:r w:rsidRPr="0072600F">
              <w:rPr>
                <w:rStyle w:val="Hyperlink"/>
                <w:noProof/>
                <w:sz w:val="26"/>
                <w:szCs w:val="26"/>
              </w:rPr>
              <w:t>3.1</w:t>
            </w:r>
            <w:r w:rsidRPr="0072600F">
              <w:rPr>
                <w:rFonts w:eastAsiaTheme="minorEastAsia"/>
                <w:noProof/>
                <w:sz w:val="26"/>
                <w:szCs w:val="26"/>
              </w:rPr>
              <w:tab/>
            </w:r>
            <w:r w:rsidRPr="0072600F">
              <w:rPr>
                <w:rStyle w:val="Hyperlink"/>
                <w:noProof/>
                <w:sz w:val="26"/>
                <w:szCs w:val="26"/>
              </w:rPr>
              <w:t>Effective Date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_Toc149901366 \h </w:instrText>
            </w:r>
            <w:r w:rsidRPr="0072600F">
              <w:rPr>
                <w:noProof/>
                <w:webHidden/>
                <w:sz w:val="26"/>
                <w:szCs w:val="26"/>
              </w:rPr>
              <w:fldChar w:fldCharType="separate"/>
            </w:r>
            <w:r w:rsidR="00C46123">
              <w:rPr>
                <w:noProof/>
                <w:webHidden/>
                <w:sz w:val="26"/>
                <w:szCs w:val="26"/>
              </w:rPr>
              <w:t>- 12 -</w:t>
            </w:r>
            <w:r w:rsidRPr="0072600F">
              <w:rPr>
                <w:noProof/>
                <w:webHidden/>
                <w:sz w:val="26"/>
                <w:szCs w:val="26"/>
              </w:rPr>
              <w:fldChar w:fldCharType="end"/>
            </w:r>
          </w:hyperlink>
        </w:p>
        <w:p w:rsidR="00503D78" w:rsidRPr="0072600F" w14:paraId="4FC172DB" w14:textId="77777777">
          <w:pPr>
            <w:pStyle w:val="TOC2"/>
            <w:rPr>
              <w:rFonts w:eastAsiaTheme="minorEastAsia"/>
              <w:noProof/>
              <w:sz w:val="26"/>
              <w:szCs w:val="26"/>
            </w:rPr>
          </w:pPr>
          <w:hyperlink w:anchor="_Toc149901367" w:history="1">
            <w:r w:rsidRPr="0072600F">
              <w:rPr>
                <w:rStyle w:val="Hyperlink"/>
                <w:noProof/>
                <w:sz w:val="26"/>
                <w:szCs w:val="26"/>
              </w:rPr>
              <w:t>3.2</w:t>
            </w:r>
            <w:r w:rsidRPr="0072600F">
              <w:rPr>
                <w:rFonts w:eastAsiaTheme="minorEastAsia"/>
                <w:noProof/>
                <w:sz w:val="26"/>
                <w:szCs w:val="26"/>
              </w:rPr>
              <w:tab/>
            </w:r>
            <w:r w:rsidRPr="0072600F">
              <w:rPr>
                <w:rStyle w:val="Hyperlink"/>
                <w:noProof/>
                <w:sz w:val="26"/>
                <w:szCs w:val="26"/>
              </w:rPr>
              <w:t>Term of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_Toc149901367 \h </w:instrText>
            </w:r>
            <w:r w:rsidRPr="0072600F">
              <w:rPr>
                <w:noProof/>
                <w:webHidden/>
                <w:sz w:val="26"/>
                <w:szCs w:val="26"/>
              </w:rPr>
              <w:fldChar w:fldCharType="separate"/>
            </w:r>
            <w:r w:rsidR="00C46123">
              <w:rPr>
                <w:noProof/>
                <w:webHidden/>
                <w:sz w:val="26"/>
                <w:szCs w:val="26"/>
              </w:rPr>
              <w:t>- 13 -</w:t>
            </w:r>
            <w:r w:rsidRPr="0072600F">
              <w:rPr>
                <w:noProof/>
                <w:webHidden/>
                <w:sz w:val="26"/>
                <w:szCs w:val="26"/>
              </w:rPr>
              <w:fldChar w:fldCharType="end"/>
            </w:r>
          </w:hyperlink>
        </w:p>
        <w:p w:rsidR="00503D78" w:rsidRPr="0072600F" w14:paraId="4B6010D4" w14:textId="77777777">
          <w:pPr>
            <w:pStyle w:val="TOC2"/>
            <w:rPr>
              <w:rFonts w:eastAsiaTheme="minorEastAsia"/>
              <w:noProof/>
              <w:sz w:val="26"/>
              <w:szCs w:val="26"/>
            </w:rPr>
          </w:pPr>
          <w:hyperlink w:anchor="_Toc149901368" w:history="1">
            <w:r w:rsidRPr="0072600F">
              <w:rPr>
                <w:rStyle w:val="Hyperlink"/>
                <w:noProof/>
                <w:sz w:val="26"/>
                <w:szCs w:val="26"/>
              </w:rPr>
              <w:t>3.3</w:t>
            </w:r>
            <w:r w:rsidRPr="0072600F">
              <w:rPr>
                <w:rFonts w:eastAsiaTheme="minorEastAsia"/>
                <w:noProof/>
                <w:sz w:val="26"/>
                <w:szCs w:val="26"/>
              </w:rPr>
              <w:tab/>
            </w:r>
            <w:r w:rsidRPr="0072600F">
              <w:rPr>
                <w:rStyle w:val="Hyperlink"/>
                <w:noProof/>
                <w:sz w:val="26"/>
                <w:szCs w:val="26"/>
              </w:rPr>
              <w:t>Termination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_Toc149901368 \h </w:instrText>
            </w:r>
            <w:r w:rsidRPr="0072600F">
              <w:rPr>
                <w:noProof/>
                <w:webHidden/>
                <w:sz w:val="26"/>
                <w:szCs w:val="26"/>
              </w:rPr>
              <w:fldChar w:fldCharType="separate"/>
            </w:r>
            <w:r w:rsidR="00C46123">
              <w:rPr>
                <w:noProof/>
                <w:webHidden/>
                <w:sz w:val="26"/>
                <w:szCs w:val="26"/>
              </w:rPr>
              <w:t>- 13 -</w:t>
            </w:r>
            <w:r w:rsidRPr="0072600F">
              <w:rPr>
                <w:noProof/>
                <w:webHidden/>
                <w:sz w:val="26"/>
                <w:szCs w:val="26"/>
              </w:rPr>
              <w:fldChar w:fldCharType="end"/>
            </w:r>
          </w:hyperlink>
        </w:p>
        <w:p w:rsidR="00503D78" w:rsidRPr="0072600F" w14:paraId="3F72639E" w14:textId="77777777">
          <w:pPr>
            <w:pStyle w:val="TOC2"/>
            <w:rPr>
              <w:rFonts w:eastAsiaTheme="minorEastAsia"/>
              <w:noProof/>
              <w:sz w:val="26"/>
              <w:szCs w:val="26"/>
            </w:rPr>
          </w:pPr>
          <w:hyperlink w:anchor="_Toc149901374" w:history="1">
            <w:r w:rsidRPr="0072600F">
              <w:rPr>
                <w:rStyle w:val="Hyperlink"/>
                <w:noProof/>
                <w:sz w:val="26"/>
                <w:szCs w:val="26"/>
              </w:rPr>
              <w:t>3.4</w:t>
            </w:r>
            <w:r w:rsidRPr="0072600F">
              <w:rPr>
                <w:rFonts w:eastAsiaTheme="minorEastAsia"/>
                <w:noProof/>
                <w:sz w:val="26"/>
                <w:szCs w:val="26"/>
              </w:rPr>
              <w:tab/>
            </w:r>
            <w:r w:rsidRPr="0072600F">
              <w:rPr>
                <w:rStyle w:val="Hyperlink"/>
                <w:noProof/>
                <w:sz w:val="26"/>
                <w:szCs w:val="26"/>
              </w:rPr>
              <w:t>Temporary Disconnection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_Toc149901374 \h </w:instrText>
            </w:r>
            <w:r w:rsidRPr="0072600F">
              <w:rPr>
                <w:noProof/>
                <w:webHidden/>
                <w:sz w:val="26"/>
                <w:szCs w:val="26"/>
              </w:rPr>
              <w:fldChar w:fldCharType="separate"/>
            </w:r>
            <w:r w:rsidR="00C46123">
              <w:rPr>
                <w:noProof/>
                <w:webHidden/>
                <w:sz w:val="26"/>
                <w:szCs w:val="26"/>
              </w:rPr>
              <w:t>- 14 -</w:t>
            </w:r>
            <w:r w:rsidRPr="0072600F">
              <w:rPr>
                <w:noProof/>
                <w:webHidden/>
                <w:sz w:val="26"/>
                <w:szCs w:val="26"/>
              </w:rPr>
              <w:fldChar w:fldCharType="end"/>
            </w:r>
          </w:hyperlink>
        </w:p>
        <w:p w:rsidR="00503D78" w:rsidRPr="0072600F" w14:paraId="22646CA2" w14:textId="77777777">
          <w:pPr>
            <w:pStyle w:val="TOC3"/>
            <w:tabs>
              <w:tab w:val="left" w:pos="2160"/>
              <w:tab w:val="right" w:leader="dot" w:pos="9350"/>
            </w:tabs>
            <w:rPr>
              <w:rFonts w:eastAsiaTheme="minorEastAsia"/>
              <w:noProof/>
              <w:sz w:val="26"/>
              <w:szCs w:val="26"/>
            </w:rPr>
          </w:pPr>
          <w:hyperlink w:anchor="_Toc149901375" w:history="1">
            <w:r w:rsidRPr="0072600F">
              <w:rPr>
                <w:rStyle w:val="Hyperlink"/>
                <w:noProof/>
                <w:sz w:val="26"/>
                <w:szCs w:val="26"/>
              </w:rPr>
              <w:t>3.4.1</w:t>
            </w:r>
            <w:r w:rsidRPr="0072600F">
              <w:rPr>
                <w:rFonts w:eastAsiaTheme="minorEastAsia"/>
                <w:noProof/>
                <w:sz w:val="26"/>
                <w:szCs w:val="26"/>
              </w:rPr>
              <w:tab/>
            </w:r>
            <w:r w:rsidRPr="0072600F">
              <w:rPr>
                <w:rStyle w:val="Hyperlink"/>
                <w:noProof/>
                <w:sz w:val="26"/>
                <w:szCs w:val="26"/>
              </w:rPr>
              <w:t>Emergency Conditions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_Toc149901375 \h </w:instrText>
            </w:r>
            <w:r w:rsidRPr="0072600F">
              <w:rPr>
                <w:noProof/>
                <w:webHidden/>
                <w:sz w:val="26"/>
                <w:szCs w:val="26"/>
              </w:rPr>
              <w:fldChar w:fldCharType="separate"/>
            </w:r>
            <w:r w:rsidR="00C46123">
              <w:rPr>
                <w:noProof/>
                <w:webHidden/>
                <w:sz w:val="26"/>
                <w:szCs w:val="26"/>
              </w:rPr>
              <w:t>- 14 -</w:t>
            </w:r>
            <w:r w:rsidRPr="0072600F">
              <w:rPr>
                <w:noProof/>
                <w:webHidden/>
                <w:sz w:val="26"/>
                <w:szCs w:val="26"/>
              </w:rPr>
              <w:fldChar w:fldCharType="end"/>
            </w:r>
          </w:hyperlink>
        </w:p>
        <w:p w:rsidR="00503D78" w:rsidRPr="0072600F" w14:paraId="01A83A3A" w14:textId="77777777">
          <w:pPr>
            <w:pStyle w:val="TOC3"/>
            <w:tabs>
              <w:tab w:val="left" w:pos="2160"/>
              <w:tab w:val="right" w:leader="dot" w:pos="9350"/>
            </w:tabs>
            <w:rPr>
              <w:rFonts w:eastAsiaTheme="minorEastAsia"/>
              <w:noProof/>
              <w:sz w:val="26"/>
              <w:szCs w:val="26"/>
            </w:rPr>
          </w:pPr>
          <w:hyperlink w:anchor="_Toc149901376" w:history="1">
            <w:r w:rsidRPr="0072600F">
              <w:rPr>
                <w:rStyle w:val="Hyperlink"/>
                <w:noProof/>
                <w:sz w:val="26"/>
                <w:szCs w:val="26"/>
              </w:rPr>
              <w:t>3.4.2</w:t>
            </w:r>
            <w:r w:rsidRPr="0072600F">
              <w:rPr>
                <w:rFonts w:eastAsiaTheme="minorEastAsia"/>
                <w:noProof/>
                <w:sz w:val="26"/>
                <w:szCs w:val="26"/>
              </w:rPr>
              <w:tab/>
            </w:r>
            <w:r w:rsidRPr="0072600F">
              <w:rPr>
                <w:rStyle w:val="Hyperlink"/>
                <w:noProof/>
                <w:sz w:val="26"/>
                <w:szCs w:val="26"/>
              </w:rPr>
              <w:t>Routine Maintenance, Construction, and Repair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_Toc149901376 \h </w:instrText>
            </w:r>
            <w:r w:rsidRPr="0072600F">
              <w:rPr>
                <w:noProof/>
                <w:webHidden/>
                <w:sz w:val="26"/>
                <w:szCs w:val="26"/>
              </w:rPr>
              <w:fldChar w:fldCharType="separate"/>
            </w:r>
            <w:r w:rsidR="00C46123">
              <w:rPr>
                <w:noProof/>
                <w:webHidden/>
                <w:sz w:val="26"/>
                <w:szCs w:val="26"/>
              </w:rPr>
              <w:t>- 15 -</w:t>
            </w:r>
            <w:r w:rsidRPr="0072600F">
              <w:rPr>
                <w:noProof/>
                <w:webHidden/>
                <w:sz w:val="26"/>
                <w:szCs w:val="26"/>
              </w:rPr>
              <w:fldChar w:fldCharType="end"/>
            </w:r>
          </w:hyperlink>
        </w:p>
        <w:p w:rsidR="00503D78" w:rsidRPr="0072600F" w14:paraId="2DCE7F77" w14:textId="77777777">
          <w:pPr>
            <w:pStyle w:val="TOC3"/>
            <w:tabs>
              <w:tab w:val="left" w:pos="2160"/>
              <w:tab w:val="right" w:leader="dot" w:pos="9350"/>
            </w:tabs>
            <w:rPr>
              <w:rFonts w:eastAsiaTheme="minorEastAsia"/>
              <w:noProof/>
              <w:sz w:val="26"/>
              <w:szCs w:val="26"/>
            </w:rPr>
          </w:pPr>
          <w:hyperlink w:anchor="_Toc149901377" w:history="1">
            <w:r w:rsidRPr="0072600F">
              <w:rPr>
                <w:rStyle w:val="Hyperlink"/>
                <w:noProof/>
                <w:sz w:val="26"/>
                <w:szCs w:val="26"/>
              </w:rPr>
              <w:t>3.4.3</w:t>
            </w:r>
            <w:r w:rsidRPr="0072600F">
              <w:rPr>
                <w:rFonts w:eastAsiaTheme="minorEastAsia"/>
                <w:noProof/>
                <w:sz w:val="26"/>
                <w:szCs w:val="26"/>
              </w:rPr>
              <w:tab/>
            </w:r>
            <w:r w:rsidRPr="0072600F">
              <w:rPr>
                <w:rStyle w:val="Hyperlink"/>
                <w:noProof/>
                <w:sz w:val="26"/>
                <w:szCs w:val="26"/>
              </w:rPr>
              <w:t>Forced Outages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_Toc149901377 \h </w:instrText>
            </w:r>
            <w:r w:rsidRPr="0072600F">
              <w:rPr>
                <w:noProof/>
                <w:webHidden/>
                <w:sz w:val="26"/>
                <w:szCs w:val="26"/>
              </w:rPr>
              <w:fldChar w:fldCharType="separate"/>
            </w:r>
            <w:r w:rsidR="00C46123">
              <w:rPr>
                <w:noProof/>
                <w:webHidden/>
                <w:sz w:val="26"/>
                <w:szCs w:val="26"/>
              </w:rPr>
              <w:t>- 15 -</w:t>
            </w:r>
            <w:r w:rsidRPr="0072600F">
              <w:rPr>
                <w:noProof/>
                <w:webHidden/>
                <w:sz w:val="26"/>
                <w:szCs w:val="26"/>
              </w:rPr>
              <w:fldChar w:fldCharType="end"/>
            </w:r>
          </w:hyperlink>
        </w:p>
        <w:p w:rsidR="00503D78" w:rsidRPr="0072600F" w14:paraId="65FCBB24" w14:textId="77777777">
          <w:pPr>
            <w:pStyle w:val="TOC3"/>
            <w:tabs>
              <w:tab w:val="left" w:pos="2160"/>
              <w:tab w:val="right" w:leader="dot" w:pos="9350"/>
            </w:tabs>
            <w:rPr>
              <w:rFonts w:eastAsiaTheme="minorEastAsia"/>
              <w:noProof/>
              <w:sz w:val="26"/>
              <w:szCs w:val="26"/>
            </w:rPr>
          </w:pPr>
          <w:hyperlink w:anchor="_Toc149901378" w:history="1">
            <w:r w:rsidRPr="0072600F">
              <w:rPr>
                <w:rStyle w:val="Hyperlink"/>
                <w:noProof/>
                <w:sz w:val="26"/>
                <w:szCs w:val="26"/>
              </w:rPr>
              <w:t>3.4.4</w:t>
            </w:r>
            <w:r w:rsidRPr="0072600F">
              <w:rPr>
                <w:rFonts w:eastAsiaTheme="minorEastAsia"/>
                <w:noProof/>
                <w:sz w:val="26"/>
                <w:szCs w:val="26"/>
              </w:rPr>
              <w:tab/>
            </w:r>
            <w:r w:rsidRPr="0072600F">
              <w:rPr>
                <w:rStyle w:val="Hyperlink"/>
                <w:noProof/>
                <w:sz w:val="26"/>
                <w:szCs w:val="26"/>
              </w:rPr>
              <w:t>Adverse Operating Effects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_Toc149901378 \h </w:instrText>
            </w:r>
            <w:r w:rsidRPr="0072600F">
              <w:rPr>
                <w:noProof/>
                <w:webHidden/>
                <w:sz w:val="26"/>
                <w:szCs w:val="26"/>
              </w:rPr>
              <w:fldChar w:fldCharType="separate"/>
            </w:r>
            <w:r w:rsidR="00C46123">
              <w:rPr>
                <w:noProof/>
                <w:webHidden/>
                <w:sz w:val="26"/>
                <w:szCs w:val="26"/>
              </w:rPr>
              <w:t>- 15 -</w:t>
            </w:r>
            <w:r w:rsidRPr="0072600F">
              <w:rPr>
                <w:noProof/>
                <w:webHidden/>
                <w:sz w:val="26"/>
                <w:szCs w:val="26"/>
              </w:rPr>
              <w:fldChar w:fldCharType="end"/>
            </w:r>
          </w:hyperlink>
        </w:p>
        <w:p w:rsidR="00503D78" w:rsidRPr="0072600F" w14:paraId="2BA4414A" w14:textId="77777777">
          <w:pPr>
            <w:pStyle w:val="TOC3"/>
            <w:tabs>
              <w:tab w:val="left" w:pos="2160"/>
              <w:tab w:val="right" w:leader="dot" w:pos="9350"/>
            </w:tabs>
            <w:rPr>
              <w:rFonts w:eastAsiaTheme="minorEastAsia"/>
              <w:noProof/>
              <w:sz w:val="26"/>
              <w:szCs w:val="26"/>
            </w:rPr>
          </w:pPr>
          <w:hyperlink w:anchor="_Toc149901379" w:history="1">
            <w:r w:rsidRPr="0072600F">
              <w:rPr>
                <w:rStyle w:val="Hyperlink"/>
                <w:noProof/>
                <w:sz w:val="26"/>
                <w:szCs w:val="26"/>
              </w:rPr>
              <w:t>3.4.5</w:t>
            </w:r>
            <w:r w:rsidRPr="0072600F">
              <w:rPr>
                <w:rFonts w:eastAsiaTheme="minorEastAsia"/>
                <w:noProof/>
                <w:sz w:val="26"/>
                <w:szCs w:val="26"/>
              </w:rPr>
              <w:tab/>
            </w:r>
            <w:r w:rsidRPr="0072600F">
              <w:rPr>
                <w:rStyle w:val="Hyperlink"/>
                <w:noProof/>
                <w:sz w:val="26"/>
                <w:szCs w:val="26"/>
              </w:rPr>
              <w:t>Modification of the Small Generating Facility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_Toc149901379 \h </w:instrText>
            </w:r>
            <w:r w:rsidRPr="0072600F">
              <w:rPr>
                <w:noProof/>
                <w:webHidden/>
                <w:sz w:val="26"/>
                <w:szCs w:val="26"/>
              </w:rPr>
              <w:fldChar w:fldCharType="separate"/>
            </w:r>
            <w:r w:rsidR="00C46123">
              <w:rPr>
                <w:noProof/>
                <w:webHidden/>
                <w:sz w:val="26"/>
                <w:szCs w:val="26"/>
              </w:rPr>
              <w:t>- 16 -</w:t>
            </w:r>
            <w:r w:rsidRPr="0072600F">
              <w:rPr>
                <w:noProof/>
                <w:webHidden/>
                <w:sz w:val="26"/>
                <w:szCs w:val="26"/>
              </w:rPr>
              <w:fldChar w:fldCharType="end"/>
            </w:r>
          </w:hyperlink>
        </w:p>
        <w:p w:rsidR="00503D78" w:rsidRPr="0072600F" w14:paraId="57697093" w14:textId="77777777">
          <w:pPr>
            <w:pStyle w:val="TOC3"/>
            <w:tabs>
              <w:tab w:val="left" w:pos="2160"/>
              <w:tab w:val="right" w:leader="dot" w:pos="9350"/>
            </w:tabs>
            <w:rPr>
              <w:rFonts w:eastAsiaTheme="minorEastAsia"/>
              <w:noProof/>
              <w:sz w:val="26"/>
              <w:szCs w:val="26"/>
            </w:rPr>
          </w:pPr>
          <w:hyperlink w:anchor="_Toc149901380" w:history="1">
            <w:r w:rsidRPr="0072600F">
              <w:rPr>
                <w:rStyle w:val="Hyperlink"/>
                <w:noProof/>
                <w:sz w:val="26"/>
                <w:szCs w:val="26"/>
              </w:rPr>
              <w:t>3.4.6</w:t>
            </w:r>
            <w:r w:rsidRPr="0072600F">
              <w:rPr>
                <w:rFonts w:eastAsiaTheme="minorEastAsia"/>
                <w:noProof/>
                <w:sz w:val="26"/>
                <w:szCs w:val="26"/>
              </w:rPr>
              <w:tab/>
            </w:r>
            <w:r w:rsidRPr="0072600F">
              <w:rPr>
                <w:rStyle w:val="Hyperlink"/>
                <w:noProof/>
                <w:sz w:val="26"/>
                <w:szCs w:val="26"/>
              </w:rPr>
              <w:t>Reconnection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_Toc149901380 \h </w:instrText>
            </w:r>
            <w:r w:rsidRPr="0072600F">
              <w:rPr>
                <w:noProof/>
                <w:webHidden/>
                <w:sz w:val="26"/>
                <w:szCs w:val="26"/>
              </w:rPr>
              <w:fldChar w:fldCharType="separate"/>
            </w:r>
            <w:r w:rsidR="00C46123">
              <w:rPr>
                <w:noProof/>
                <w:webHidden/>
                <w:sz w:val="26"/>
                <w:szCs w:val="26"/>
              </w:rPr>
              <w:t>- 16 -</w:t>
            </w:r>
            <w:r w:rsidRPr="0072600F">
              <w:rPr>
                <w:noProof/>
                <w:webHidden/>
                <w:sz w:val="26"/>
                <w:szCs w:val="26"/>
              </w:rPr>
              <w:fldChar w:fldCharType="end"/>
            </w:r>
          </w:hyperlink>
        </w:p>
        <w:p w:rsidR="00503D78" w:rsidRPr="0072600F" w14:paraId="03109631" w14:textId="77777777">
          <w:pPr>
            <w:pStyle w:val="TOC1"/>
            <w:rPr>
              <w:rFonts w:eastAsiaTheme="minorEastAsia"/>
              <w:sz w:val="26"/>
              <w:szCs w:val="26"/>
            </w:rPr>
          </w:pPr>
          <w:hyperlink w:anchor="_Toc149901381" w:history="1">
            <w:r w:rsidRPr="0072600F">
              <w:rPr>
                <w:rStyle w:val="Hyperlink"/>
                <w:sz w:val="26"/>
                <w:szCs w:val="26"/>
              </w:rPr>
              <w:t>Article 4.  Cost Responsibility for Interconnection Facilities and Distribution Upgrades</w:t>
            </w:r>
            <w:r w:rsidRPr="0072600F">
              <w:rPr>
                <w:rStyle w:val="Hyperlink"/>
                <w:sz w:val="26"/>
                <w:szCs w:val="26"/>
              </w:rPr>
              <w:tab/>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_Toc149901381 \h </w:instrText>
            </w:r>
            <w:r w:rsidRPr="0072600F">
              <w:rPr>
                <w:webHidden/>
                <w:sz w:val="26"/>
                <w:szCs w:val="26"/>
              </w:rPr>
              <w:fldChar w:fldCharType="separate"/>
            </w:r>
            <w:r w:rsidR="00C46123">
              <w:rPr>
                <w:webHidden/>
                <w:sz w:val="26"/>
                <w:szCs w:val="26"/>
              </w:rPr>
              <w:t>- 16 -</w:t>
            </w:r>
            <w:r w:rsidRPr="0072600F">
              <w:rPr>
                <w:webHidden/>
                <w:sz w:val="26"/>
                <w:szCs w:val="26"/>
              </w:rPr>
              <w:fldChar w:fldCharType="end"/>
            </w:r>
          </w:hyperlink>
        </w:p>
        <w:p w:rsidR="00503D78" w:rsidRPr="0072600F" w14:paraId="2E5E80A9" w14:textId="77777777">
          <w:pPr>
            <w:pStyle w:val="TOC2"/>
            <w:rPr>
              <w:rFonts w:eastAsiaTheme="minorEastAsia"/>
              <w:noProof/>
              <w:sz w:val="26"/>
              <w:szCs w:val="26"/>
            </w:rPr>
          </w:pPr>
          <w:hyperlink w:anchor="_Toc149901382" w:history="1">
            <w:r w:rsidRPr="0072600F">
              <w:rPr>
                <w:rStyle w:val="Hyperlink"/>
                <w:noProof/>
                <w:sz w:val="26"/>
                <w:szCs w:val="26"/>
              </w:rPr>
              <w:t>4.1</w:t>
            </w:r>
            <w:r w:rsidRPr="0072600F">
              <w:rPr>
                <w:rFonts w:eastAsiaTheme="minorEastAsia"/>
                <w:noProof/>
                <w:sz w:val="26"/>
                <w:szCs w:val="26"/>
              </w:rPr>
              <w:tab/>
            </w:r>
            <w:r w:rsidRPr="0072600F">
              <w:rPr>
                <w:rStyle w:val="Hyperlink"/>
                <w:noProof/>
                <w:sz w:val="26"/>
                <w:szCs w:val="26"/>
              </w:rPr>
              <w:t>Interconnection Facilities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_Toc149901382 \h </w:instrText>
            </w:r>
            <w:r w:rsidRPr="0072600F">
              <w:rPr>
                <w:noProof/>
                <w:webHidden/>
                <w:sz w:val="26"/>
                <w:szCs w:val="26"/>
              </w:rPr>
              <w:fldChar w:fldCharType="separate"/>
            </w:r>
            <w:r w:rsidR="00C46123">
              <w:rPr>
                <w:noProof/>
                <w:webHidden/>
                <w:sz w:val="26"/>
                <w:szCs w:val="26"/>
              </w:rPr>
              <w:t>- 16 -</w:t>
            </w:r>
            <w:r w:rsidRPr="0072600F">
              <w:rPr>
                <w:noProof/>
                <w:webHidden/>
                <w:sz w:val="26"/>
                <w:szCs w:val="26"/>
              </w:rPr>
              <w:fldChar w:fldCharType="end"/>
            </w:r>
          </w:hyperlink>
        </w:p>
        <w:p w:rsidR="00503D78" w:rsidRPr="0072600F" w14:paraId="7A7AA956" w14:textId="77777777">
          <w:pPr>
            <w:pStyle w:val="TOC2"/>
            <w:rPr>
              <w:rFonts w:eastAsiaTheme="minorEastAsia"/>
              <w:noProof/>
              <w:sz w:val="26"/>
              <w:szCs w:val="26"/>
            </w:rPr>
          </w:pPr>
          <w:hyperlink w:anchor="_Toc149901385" w:history="1">
            <w:r w:rsidRPr="0072600F">
              <w:rPr>
                <w:rStyle w:val="Hyperlink"/>
                <w:noProof/>
                <w:sz w:val="26"/>
                <w:szCs w:val="26"/>
              </w:rPr>
              <w:t>4.2</w:t>
            </w:r>
            <w:r w:rsidRPr="0072600F">
              <w:rPr>
                <w:rFonts w:eastAsiaTheme="minorEastAsia"/>
                <w:noProof/>
                <w:sz w:val="26"/>
                <w:szCs w:val="26"/>
              </w:rPr>
              <w:tab/>
            </w:r>
            <w:r w:rsidRPr="0072600F">
              <w:rPr>
                <w:rStyle w:val="Hyperlink"/>
                <w:noProof/>
                <w:sz w:val="26"/>
                <w:szCs w:val="26"/>
              </w:rPr>
              <w:t>Distribution Upgrades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_Toc149901385 \h </w:instrText>
            </w:r>
            <w:r w:rsidRPr="0072600F">
              <w:rPr>
                <w:noProof/>
                <w:webHidden/>
                <w:sz w:val="26"/>
                <w:szCs w:val="26"/>
              </w:rPr>
              <w:fldChar w:fldCharType="separate"/>
            </w:r>
            <w:r w:rsidR="00C46123">
              <w:rPr>
                <w:noProof/>
                <w:webHidden/>
                <w:sz w:val="26"/>
                <w:szCs w:val="26"/>
              </w:rPr>
              <w:t>- 17 -</w:t>
            </w:r>
            <w:r w:rsidRPr="0072600F">
              <w:rPr>
                <w:noProof/>
                <w:webHidden/>
                <w:sz w:val="26"/>
                <w:szCs w:val="26"/>
              </w:rPr>
              <w:fldChar w:fldCharType="end"/>
            </w:r>
          </w:hyperlink>
        </w:p>
        <w:p w:rsidR="00503D78" w:rsidRPr="0072600F" w14:paraId="4EBF4632" w14:textId="77777777">
          <w:pPr>
            <w:pStyle w:val="TOC1"/>
            <w:rPr>
              <w:rFonts w:eastAsiaTheme="minorEastAsia"/>
              <w:sz w:val="26"/>
              <w:szCs w:val="26"/>
            </w:rPr>
          </w:pPr>
          <w:hyperlink w:anchor="_Toc149901386" w:history="1">
            <w:r w:rsidRPr="0072600F">
              <w:rPr>
                <w:rStyle w:val="Hyperlink"/>
                <w:sz w:val="26"/>
                <w:szCs w:val="26"/>
              </w:rPr>
              <w:t>Article 5.  Cost Responsibility for Network Upgrades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_Toc149901386 \h </w:instrText>
            </w:r>
            <w:r w:rsidRPr="0072600F">
              <w:rPr>
                <w:webHidden/>
                <w:sz w:val="26"/>
                <w:szCs w:val="26"/>
              </w:rPr>
              <w:fldChar w:fldCharType="separate"/>
            </w:r>
            <w:r w:rsidR="00C46123">
              <w:rPr>
                <w:webHidden/>
                <w:sz w:val="26"/>
                <w:szCs w:val="26"/>
              </w:rPr>
              <w:t>- 17 -</w:t>
            </w:r>
            <w:r w:rsidRPr="0072600F">
              <w:rPr>
                <w:webHidden/>
                <w:sz w:val="26"/>
                <w:szCs w:val="26"/>
              </w:rPr>
              <w:fldChar w:fldCharType="end"/>
            </w:r>
          </w:hyperlink>
        </w:p>
        <w:p w:rsidR="00503D78" w:rsidRPr="0072600F" w14:paraId="1AF4D30B" w14:textId="77777777">
          <w:pPr>
            <w:pStyle w:val="TOC2"/>
            <w:rPr>
              <w:rFonts w:eastAsiaTheme="minorEastAsia"/>
              <w:noProof/>
              <w:sz w:val="26"/>
              <w:szCs w:val="26"/>
            </w:rPr>
          </w:pPr>
          <w:hyperlink w:anchor="_Toc149901387" w:history="1">
            <w:r w:rsidRPr="0072600F">
              <w:rPr>
                <w:rStyle w:val="Hyperlink"/>
                <w:noProof/>
                <w:sz w:val="26"/>
                <w:szCs w:val="26"/>
              </w:rPr>
              <w:t>5.1</w:t>
            </w:r>
            <w:r w:rsidRPr="0072600F">
              <w:rPr>
                <w:rFonts w:eastAsiaTheme="minorEastAsia"/>
                <w:noProof/>
                <w:sz w:val="26"/>
                <w:szCs w:val="26"/>
              </w:rPr>
              <w:tab/>
            </w:r>
            <w:r w:rsidRPr="0072600F">
              <w:rPr>
                <w:rStyle w:val="Hyperlink"/>
                <w:noProof/>
                <w:sz w:val="26"/>
                <w:szCs w:val="26"/>
              </w:rPr>
              <w:t>Applicability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_Toc149901387 \h </w:instrText>
            </w:r>
            <w:r w:rsidRPr="0072600F">
              <w:rPr>
                <w:noProof/>
                <w:webHidden/>
                <w:sz w:val="26"/>
                <w:szCs w:val="26"/>
              </w:rPr>
              <w:fldChar w:fldCharType="separate"/>
            </w:r>
            <w:r w:rsidR="00C46123">
              <w:rPr>
                <w:noProof/>
                <w:webHidden/>
                <w:sz w:val="26"/>
                <w:szCs w:val="26"/>
              </w:rPr>
              <w:t>- 17 -</w:t>
            </w:r>
            <w:r w:rsidRPr="0072600F">
              <w:rPr>
                <w:noProof/>
                <w:webHidden/>
                <w:sz w:val="26"/>
                <w:szCs w:val="26"/>
              </w:rPr>
              <w:fldChar w:fldCharType="end"/>
            </w:r>
          </w:hyperlink>
        </w:p>
        <w:p w:rsidR="00503D78" w:rsidRPr="0072600F" w14:paraId="3D510F88" w14:textId="77777777">
          <w:pPr>
            <w:pStyle w:val="TOC2"/>
            <w:rPr>
              <w:rFonts w:eastAsiaTheme="minorEastAsia"/>
              <w:noProof/>
              <w:sz w:val="26"/>
              <w:szCs w:val="26"/>
            </w:rPr>
          </w:pPr>
          <w:hyperlink w:anchor="_Toc149901388" w:history="1">
            <w:r w:rsidRPr="0072600F">
              <w:rPr>
                <w:rStyle w:val="Hyperlink"/>
                <w:noProof/>
                <w:sz w:val="26"/>
                <w:szCs w:val="26"/>
              </w:rPr>
              <w:t>5.2</w:t>
            </w:r>
            <w:r w:rsidRPr="0072600F">
              <w:rPr>
                <w:rFonts w:eastAsiaTheme="minorEastAsia"/>
                <w:noProof/>
                <w:sz w:val="26"/>
                <w:szCs w:val="26"/>
              </w:rPr>
              <w:tab/>
            </w:r>
            <w:r w:rsidRPr="0072600F">
              <w:rPr>
                <w:rStyle w:val="Hyperlink"/>
                <w:noProof/>
                <w:sz w:val="26"/>
                <w:szCs w:val="26"/>
              </w:rPr>
              <w:t>Network Upgrades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_Toc149901388 \h </w:instrText>
            </w:r>
            <w:r w:rsidRPr="0072600F">
              <w:rPr>
                <w:noProof/>
                <w:webHidden/>
                <w:sz w:val="26"/>
                <w:szCs w:val="26"/>
              </w:rPr>
              <w:fldChar w:fldCharType="separate"/>
            </w:r>
            <w:r w:rsidR="00C46123">
              <w:rPr>
                <w:noProof/>
                <w:webHidden/>
                <w:sz w:val="26"/>
                <w:szCs w:val="26"/>
              </w:rPr>
              <w:t>- 17 -</w:t>
            </w:r>
            <w:r w:rsidRPr="0072600F">
              <w:rPr>
                <w:noProof/>
                <w:webHidden/>
                <w:sz w:val="26"/>
                <w:szCs w:val="26"/>
              </w:rPr>
              <w:fldChar w:fldCharType="end"/>
            </w:r>
          </w:hyperlink>
        </w:p>
        <w:p w:rsidR="00503D78" w:rsidRPr="0072600F" w14:paraId="69CDB9A2" w14:textId="77777777">
          <w:pPr>
            <w:pStyle w:val="TOC3"/>
            <w:tabs>
              <w:tab w:val="left" w:pos="2160"/>
              <w:tab w:val="right" w:leader="dot" w:pos="9350"/>
            </w:tabs>
            <w:rPr>
              <w:rFonts w:eastAsiaTheme="minorEastAsia"/>
              <w:noProof/>
              <w:sz w:val="26"/>
              <w:szCs w:val="26"/>
            </w:rPr>
          </w:pPr>
          <w:hyperlink w:anchor="_Toc149901389" w:history="1">
            <w:r w:rsidRPr="0072600F">
              <w:rPr>
                <w:rStyle w:val="Hyperlink"/>
                <w:noProof/>
                <w:sz w:val="26"/>
                <w:szCs w:val="26"/>
              </w:rPr>
              <w:t>5.2.1</w:t>
            </w:r>
            <w:r w:rsidRPr="0072600F">
              <w:rPr>
                <w:rFonts w:eastAsiaTheme="minorEastAsia"/>
                <w:noProof/>
                <w:sz w:val="26"/>
                <w:szCs w:val="26"/>
              </w:rPr>
              <w:tab/>
            </w:r>
            <w:r w:rsidRPr="0072600F">
              <w:rPr>
                <w:rStyle w:val="Hyperlink"/>
                <w:noProof/>
                <w:sz w:val="26"/>
                <w:szCs w:val="26"/>
              </w:rPr>
              <w:t>Repayment of Amounts Advanced for Network Upgrades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_Toc149901389 \h </w:instrText>
            </w:r>
            <w:r w:rsidRPr="0072600F">
              <w:rPr>
                <w:noProof/>
                <w:webHidden/>
                <w:sz w:val="26"/>
                <w:szCs w:val="26"/>
              </w:rPr>
              <w:fldChar w:fldCharType="separate"/>
            </w:r>
            <w:r w:rsidR="00C46123">
              <w:rPr>
                <w:noProof/>
                <w:webHidden/>
                <w:sz w:val="26"/>
                <w:szCs w:val="26"/>
              </w:rPr>
              <w:t>- 17 -</w:t>
            </w:r>
            <w:r w:rsidRPr="0072600F">
              <w:rPr>
                <w:noProof/>
                <w:webHidden/>
                <w:sz w:val="26"/>
                <w:szCs w:val="26"/>
              </w:rPr>
              <w:fldChar w:fldCharType="end"/>
            </w:r>
          </w:hyperlink>
        </w:p>
        <w:p w:rsidR="00503D78" w:rsidRPr="0072600F" w14:paraId="145764E7" w14:textId="77777777">
          <w:pPr>
            <w:pStyle w:val="TOC2"/>
            <w:rPr>
              <w:rFonts w:eastAsiaTheme="minorEastAsia"/>
              <w:noProof/>
              <w:sz w:val="26"/>
              <w:szCs w:val="26"/>
            </w:rPr>
          </w:pPr>
          <w:hyperlink w:anchor="_Toc149901390" w:history="1">
            <w:r w:rsidRPr="0072600F">
              <w:rPr>
                <w:rStyle w:val="Hyperlink"/>
                <w:noProof/>
                <w:sz w:val="26"/>
                <w:szCs w:val="26"/>
              </w:rPr>
              <w:t>5.3</w:t>
            </w:r>
            <w:r w:rsidRPr="0072600F">
              <w:rPr>
                <w:rFonts w:eastAsiaTheme="minorEastAsia"/>
                <w:noProof/>
                <w:sz w:val="26"/>
                <w:szCs w:val="26"/>
              </w:rPr>
              <w:tab/>
            </w:r>
            <w:r w:rsidRPr="0072600F">
              <w:rPr>
                <w:rStyle w:val="Hyperlink"/>
                <w:noProof/>
                <w:sz w:val="26"/>
                <w:szCs w:val="26"/>
              </w:rPr>
              <w:t>Special Provisions for Affected Systems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_Toc149901390 \h </w:instrText>
            </w:r>
            <w:r w:rsidRPr="0072600F">
              <w:rPr>
                <w:noProof/>
                <w:webHidden/>
                <w:sz w:val="26"/>
                <w:szCs w:val="26"/>
              </w:rPr>
              <w:fldChar w:fldCharType="separate"/>
            </w:r>
            <w:r w:rsidR="00C46123">
              <w:rPr>
                <w:noProof/>
                <w:webHidden/>
                <w:sz w:val="26"/>
                <w:szCs w:val="26"/>
              </w:rPr>
              <w:t>- 19 -</w:t>
            </w:r>
            <w:r w:rsidRPr="0072600F">
              <w:rPr>
                <w:noProof/>
                <w:webHidden/>
                <w:sz w:val="26"/>
                <w:szCs w:val="26"/>
              </w:rPr>
              <w:fldChar w:fldCharType="end"/>
            </w:r>
          </w:hyperlink>
        </w:p>
        <w:p w:rsidR="00503D78" w:rsidRPr="0072600F" w14:paraId="77C6BEB7" w14:textId="77777777">
          <w:pPr>
            <w:pStyle w:val="TOC2"/>
            <w:rPr>
              <w:rFonts w:eastAsiaTheme="minorEastAsia"/>
              <w:noProof/>
              <w:sz w:val="26"/>
              <w:szCs w:val="26"/>
            </w:rPr>
          </w:pPr>
          <w:hyperlink w:anchor="_Toc149901391" w:history="1">
            <w:r w:rsidRPr="0072600F">
              <w:rPr>
                <w:rStyle w:val="Hyperlink"/>
                <w:noProof/>
                <w:sz w:val="26"/>
                <w:szCs w:val="26"/>
              </w:rPr>
              <w:t>5.4</w:t>
            </w:r>
            <w:r w:rsidRPr="0072600F">
              <w:rPr>
                <w:rFonts w:eastAsiaTheme="minorEastAsia"/>
                <w:noProof/>
                <w:sz w:val="26"/>
                <w:szCs w:val="26"/>
              </w:rPr>
              <w:tab/>
            </w:r>
            <w:r w:rsidRPr="0072600F">
              <w:rPr>
                <w:rStyle w:val="Hyperlink"/>
                <w:noProof/>
                <w:sz w:val="26"/>
                <w:szCs w:val="26"/>
              </w:rPr>
              <w:t>Rights Under Other Agreements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_Toc149901391 \h </w:instrText>
            </w:r>
            <w:r w:rsidRPr="0072600F">
              <w:rPr>
                <w:noProof/>
                <w:webHidden/>
                <w:sz w:val="26"/>
                <w:szCs w:val="26"/>
              </w:rPr>
              <w:fldChar w:fldCharType="separate"/>
            </w:r>
            <w:r w:rsidR="00C46123">
              <w:rPr>
                <w:noProof/>
                <w:webHidden/>
                <w:sz w:val="26"/>
                <w:szCs w:val="26"/>
              </w:rPr>
              <w:t>- 19 -</w:t>
            </w:r>
            <w:r w:rsidRPr="0072600F">
              <w:rPr>
                <w:noProof/>
                <w:webHidden/>
                <w:sz w:val="26"/>
                <w:szCs w:val="26"/>
              </w:rPr>
              <w:fldChar w:fldCharType="end"/>
            </w:r>
          </w:hyperlink>
        </w:p>
        <w:p w:rsidR="00503D78" w:rsidRPr="0072600F" w14:paraId="1E8F79A7" w14:textId="77777777">
          <w:pPr>
            <w:pStyle w:val="TOC1"/>
            <w:rPr>
              <w:rFonts w:eastAsiaTheme="minorEastAsia"/>
              <w:sz w:val="26"/>
              <w:szCs w:val="26"/>
            </w:rPr>
          </w:pPr>
          <w:hyperlink w:anchor="_Toc149901392" w:history="1">
            <w:r w:rsidRPr="0072600F">
              <w:rPr>
                <w:rStyle w:val="Hyperlink"/>
                <w:sz w:val="26"/>
                <w:szCs w:val="26"/>
              </w:rPr>
              <w:t>Article 6.  Billing, Payment, Milestones, and Financial Security</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_Toc149901392 \h </w:instrText>
            </w:r>
            <w:r w:rsidRPr="0072600F">
              <w:rPr>
                <w:webHidden/>
                <w:sz w:val="26"/>
                <w:szCs w:val="26"/>
              </w:rPr>
              <w:fldChar w:fldCharType="separate"/>
            </w:r>
            <w:r w:rsidR="00C46123">
              <w:rPr>
                <w:webHidden/>
                <w:sz w:val="26"/>
                <w:szCs w:val="26"/>
              </w:rPr>
              <w:t>- 19 -</w:t>
            </w:r>
            <w:r w:rsidRPr="0072600F">
              <w:rPr>
                <w:webHidden/>
                <w:sz w:val="26"/>
                <w:szCs w:val="26"/>
              </w:rPr>
              <w:fldChar w:fldCharType="end"/>
            </w:r>
          </w:hyperlink>
        </w:p>
        <w:p w:rsidR="00503D78" w:rsidRPr="0072600F" w14:paraId="013AC939" w14:textId="77777777">
          <w:pPr>
            <w:pStyle w:val="TOC2"/>
            <w:rPr>
              <w:rFonts w:eastAsiaTheme="minorEastAsia"/>
              <w:noProof/>
              <w:sz w:val="26"/>
              <w:szCs w:val="26"/>
            </w:rPr>
          </w:pPr>
          <w:hyperlink w:anchor="_Toc149901393" w:history="1">
            <w:r w:rsidRPr="0072600F">
              <w:rPr>
                <w:rStyle w:val="Hyperlink"/>
                <w:noProof/>
                <w:sz w:val="26"/>
                <w:szCs w:val="26"/>
              </w:rPr>
              <w:t>6.1</w:t>
            </w:r>
            <w:r w:rsidRPr="0072600F">
              <w:rPr>
                <w:rFonts w:eastAsiaTheme="minorEastAsia"/>
                <w:noProof/>
                <w:sz w:val="26"/>
                <w:szCs w:val="26"/>
              </w:rPr>
              <w:tab/>
            </w:r>
            <w:r w:rsidRPr="0072600F">
              <w:rPr>
                <w:rStyle w:val="Hyperlink"/>
                <w:noProof/>
                <w:sz w:val="26"/>
                <w:szCs w:val="26"/>
              </w:rPr>
              <w:t>Billing and Payment Procedures and Final Accounting</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_Toc149901393 \h </w:instrText>
            </w:r>
            <w:r w:rsidRPr="0072600F">
              <w:rPr>
                <w:noProof/>
                <w:webHidden/>
                <w:sz w:val="26"/>
                <w:szCs w:val="26"/>
              </w:rPr>
              <w:fldChar w:fldCharType="separate"/>
            </w:r>
            <w:r w:rsidR="00C46123">
              <w:rPr>
                <w:noProof/>
                <w:webHidden/>
                <w:sz w:val="26"/>
                <w:szCs w:val="26"/>
              </w:rPr>
              <w:t>- 19 -</w:t>
            </w:r>
            <w:r w:rsidRPr="0072600F">
              <w:rPr>
                <w:noProof/>
                <w:webHidden/>
                <w:sz w:val="26"/>
                <w:szCs w:val="26"/>
              </w:rPr>
              <w:fldChar w:fldCharType="end"/>
            </w:r>
          </w:hyperlink>
        </w:p>
        <w:p w:rsidR="00503D78" w:rsidRPr="0072600F" w14:paraId="4746431C" w14:textId="77777777">
          <w:pPr>
            <w:pStyle w:val="TOC2"/>
            <w:rPr>
              <w:rFonts w:eastAsiaTheme="minorEastAsia"/>
              <w:noProof/>
              <w:sz w:val="26"/>
              <w:szCs w:val="26"/>
            </w:rPr>
          </w:pPr>
          <w:hyperlink w:anchor="_Toc149901396" w:history="1">
            <w:r w:rsidRPr="0072600F">
              <w:rPr>
                <w:rStyle w:val="Hyperlink"/>
                <w:noProof/>
                <w:sz w:val="26"/>
                <w:szCs w:val="26"/>
              </w:rPr>
              <w:t>6.2</w:t>
            </w:r>
            <w:r w:rsidRPr="0072600F">
              <w:rPr>
                <w:rFonts w:eastAsiaTheme="minorEastAsia"/>
                <w:noProof/>
                <w:sz w:val="26"/>
                <w:szCs w:val="26"/>
              </w:rPr>
              <w:tab/>
            </w:r>
            <w:r w:rsidRPr="0072600F">
              <w:rPr>
                <w:rStyle w:val="Hyperlink"/>
                <w:noProof/>
                <w:sz w:val="26"/>
                <w:szCs w:val="26"/>
              </w:rPr>
              <w:t>Milestones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_Toc149901396 \h </w:instrText>
            </w:r>
            <w:r w:rsidRPr="0072600F">
              <w:rPr>
                <w:noProof/>
                <w:webHidden/>
                <w:sz w:val="26"/>
                <w:szCs w:val="26"/>
              </w:rPr>
              <w:fldChar w:fldCharType="separate"/>
            </w:r>
            <w:r w:rsidR="00C46123">
              <w:rPr>
                <w:noProof/>
                <w:webHidden/>
                <w:sz w:val="26"/>
                <w:szCs w:val="26"/>
              </w:rPr>
              <w:t>- 20 -</w:t>
            </w:r>
            <w:r w:rsidRPr="0072600F">
              <w:rPr>
                <w:noProof/>
                <w:webHidden/>
                <w:sz w:val="26"/>
                <w:szCs w:val="26"/>
              </w:rPr>
              <w:fldChar w:fldCharType="end"/>
            </w:r>
          </w:hyperlink>
        </w:p>
        <w:p w:rsidR="00503D78" w:rsidRPr="0072600F" w14:paraId="6D8953E0" w14:textId="77777777">
          <w:pPr>
            <w:pStyle w:val="TOC2"/>
            <w:rPr>
              <w:rFonts w:eastAsiaTheme="minorEastAsia"/>
              <w:noProof/>
              <w:sz w:val="26"/>
              <w:szCs w:val="26"/>
            </w:rPr>
          </w:pPr>
          <w:hyperlink w:anchor="_Toc149901397" w:history="1">
            <w:r w:rsidRPr="0072600F">
              <w:rPr>
                <w:rStyle w:val="Hyperlink"/>
                <w:noProof/>
                <w:sz w:val="26"/>
                <w:szCs w:val="26"/>
              </w:rPr>
              <w:t>6.3</w:t>
            </w:r>
            <w:r w:rsidRPr="0072600F">
              <w:rPr>
                <w:rFonts w:eastAsiaTheme="minorEastAsia"/>
                <w:noProof/>
                <w:sz w:val="26"/>
                <w:szCs w:val="26"/>
              </w:rPr>
              <w:tab/>
            </w:r>
            <w:r w:rsidRPr="0072600F">
              <w:rPr>
                <w:rStyle w:val="Hyperlink"/>
                <w:noProof/>
                <w:sz w:val="26"/>
                <w:szCs w:val="26"/>
              </w:rPr>
              <w:t>Financial Security Arrangements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_Toc149901397 \h </w:instrText>
            </w:r>
            <w:r w:rsidRPr="0072600F">
              <w:rPr>
                <w:noProof/>
                <w:webHidden/>
                <w:sz w:val="26"/>
                <w:szCs w:val="26"/>
              </w:rPr>
              <w:fldChar w:fldCharType="separate"/>
            </w:r>
            <w:r w:rsidR="00C46123">
              <w:rPr>
                <w:noProof/>
                <w:webHidden/>
                <w:sz w:val="26"/>
                <w:szCs w:val="26"/>
              </w:rPr>
              <w:t>- 20 -</w:t>
            </w:r>
            <w:r w:rsidRPr="0072600F">
              <w:rPr>
                <w:noProof/>
                <w:webHidden/>
                <w:sz w:val="26"/>
                <w:szCs w:val="26"/>
              </w:rPr>
              <w:fldChar w:fldCharType="end"/>
            </w:r>
          </w:hyperlink>
        </w:p>
        <w:p w:rsidR="00503D78" w:rsidRPr="0072600F" w14:paraId="4863A159" w14:textId="77777777">
          <w:pPr>
            <w:pStyle w:val="TOC1"/>
            <w:rPr>
              <w:rFonts w:eastAsiaTheme="minorEastAsia"/>
              <w:sz w:val="26"/>
              <w:szCs w:val="26"/>
            </w:rPr>
          </w:pPr>
          <w:hyperlink w:anchor="_Toc149901400" w:history="1">
            <w:r w:rsidRPr="0072600F">
              <w:rPr>
                <w:rStyle w:val="Hyperlink"/>
                <w:sz w:val="26"/>
                <w:szCs w:val="26"/>
              </w:rPr>
              <w:t>Article 7.  Assignment, Liability, Indemnity, Force Majeure, Consequential Damages, and Default</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_Toc149901400 \h </w:instrText>
            </w:r>
            <w:r w:rsidRPr="0072600F">
              <w:rPr>
                <w:webHidden/>
                <w:sz w:val="26"/>
                <w:szCs w:val="26"/>
              </w:rPr>
              <w:fldChar w:fldCharType="separate"/>
            </w:r>
            <w:r w:rsidR="00C46123">
              <w:rPr>
                <w:webHidden/>
                <w:sz w:val="26"/>
                <w:szCs w:val="26"/>
              </w:rPr>
              <w:t>- 21 -</w:t>
            </w:r>
            <w:r w:rsidRPr="0072600F">
              <w:rPr>
                <w:webHidden/>
                <w:sz w:val="26"/>
                <w:szCs w:val="26"/>
              </w:rPr>
              <w:fldChar w:fldCharType="end"/>
            </w:r>
          </w:hyperlink>
        </w:p>
        <w:p w:rsidR="00503D78" w:rsidRPr="0072600F" w14:paraId="3131BF9B" w14:textId="77777777">
          <w:pPr>
            <w:pStyle w:val="TOC2"/>
            <w:rPr>
              <w:rFonts w:eastAsiaTheme="minorEastAsia"/>
              <w:noProof/>
              <w:sz w:val="26"/>
              <w:szCs w:val="26"/>
            </w:rPr>
          </w:pPr>
          <w:hyperlink w:anchor="_Toc149901401" w:history="1">
            <w:r w:rsidRPr="0072600F">
              <w:rPr>
                <w:rStyle w:val="Hyperlink"/>
                <w:noProof/>
                <w:sz w:val="26"/>
                <w:szCs w:val="26"/>
              </w:rPr>
              <w:t>7.1</w:t>
            </w:r>
            <w:r w:rsidRPr="0072600F">
              <w:rPr>
                <w:rFonts w:eastAsiaTheme="minorEastAsia"/>
                <w:noProof/>
                <w:sz w:val="26"/>
                <w:szCs w:val="26"/>
              </w:rPr>
              <w:tab/>
            </w:r>
            <w:r w:rsidRPr="0072600F">
              <w:rPr>
                <w:rStyle w:val="Hyperlink"/>
                <w:noProof/>
                <w:sz w:val="26"/>
                <w:szCs w:val="26"/>
              </w:rPr>
              <w:t>Assignment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_Toc149901401 \h </w:instrText>
            </w:r>
            <w:r w:rsidRPr="0072600F">
              <w:rPr>
                <w:noProof/>
                <w:webHidden/>
                <w:sz w:val="26"/>
                <w:szCs w:val="26"/>
              </w:rPr>
              <w:fldChar w:fldCharType="separate"/>
            </w:r>
            <w:r w:rsidR="00C46123">
              <w:rPr>
                <w:noProof/>
                <w:webHidden/>
                <w:sz w:val="26"/>
                <w:szCs w:val="26"/>
              </w:rPr>
              <w:t>- 21 -</w:t>
            </w:r>
            <w:r w:rsidRPr="0072600F">
              <w:rPr>
                <w:noProof/>
                <w:webHidden/>
                <w:sz w:val="26"/>
                <w:szCs w:val="26"/>
              </w:rPr>
              <w:fldChar w:fldCharType="end"/>
            </w:r>
          </w:hyperlink>
        </w:p>
        <w:p w:rsidR="00503D78" w:rsidRPr="0072600F" w14:paraId="5C9062D7" w14:textId="77777777">
          <w:pPr>
            <w:pStyle w:val="TOC2"/>
            <w:rPr>
              <w:rFonts w:eastAsiaTheme="minorEastAsia"/>
              <w:noProof/>
              <w:sz w:val="26"/>
              <w:szCs w:val="26"/>
            </w:rPr>
          </w:pPr>
          <w:hyperlink w:anchor="_Toc149901405" w:history="1">
            <w:r w:rsidRPr="0072600F">
              <w:rPr>
                <w:rStyle w:val="Hyperlink"/>
                <w:noProof/>
                <w:sz w:val="26"/>
                <w:szCs w:val="26"/>
              </w:rPr>
              <w:t>7.2</w:t>
            </w:r>
            <w:r w:rsidRPr="0072600F">
              <w:rPr>
                <w:rFonts w:eastAsiaTheme="minorEastAsia"/>
                <w:noProof/>
                <w:sz w:val="26"/>
                <w:szCs w:val="26"/>
              </w:rPr>
              <w:tab/>
            </w:r>
            <w:r w:rsidRPr="0072600F">
              <w:rPr>
                <w:rStyle w:val="Hyperlink"/>
                <w:noProof/>
                <w:sz w:val="26"/>
                <w:szCs w:val="26"/>
              </w:rPr>
              <w:t>Limitation of Liability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_Toc149901405 \h </w:instrText>
            </w:r>
            <w:r w:rsidRPr="0072600F">
              <w:rPr>
                <w:noProof/>
                <w:webHidden/>
                <w:sz w:val="26"/>
                <w:szCs w:val="26"/>
              </w:rPr>
              <w:fldChar w:fldCharType="separate"/>
            </w:r>
            <w:r w:rsidR="00C46123">
              <w:rPr>
                <w:noProof/>
                <w:webHidden/>
                <w:sz w:val="26"/>
                <w:szCs w:val="26"/>
              </w:rPr>
              <w:t>- 22 -</w:t>
            </w:r>
            <w:r w:rsidRPr="0072600F">
              <w:rPr>
                <w:noProof/>
                <w:webHidden/>
                <w:sz w:val="26"/>
                <w:szCs w:val="26"/>
              </w:rPr>
              <w:fldChar w:fldCharType="end"/>
            </w:r>
          </w:hyperlink>
        </w:p>
        <w:p w:rsidR="00503D78" w:rsidRPr="0072600F" w14:paraId="2A2CC187" w14:textId="77777777">
          <w:pPr>
            <w:pStyle w:val="TOC2"/>
            <w:rPr>
              <w:rFonts w:eastAsiaTheme="minorEastAsia"/>
              <w:noProof/>
              <w:sz w:val="26"/>
              <w:szCs w:val="26"/>
            </w:rPr>
          </w:pPr>
          <w:hyperlink w:anchor="_Toc149901406" w:history="1">
            <w:r w:rsidRPr="0072600F">
              <w:rPr>
                <w:rStyle w:val="Hyperlink"/>
                <w:noProof/>
                <w:sz w:val="26"/>
                <w:szCs w:val="26"/>
              </w:rPr>
              <w:t>7.3</w:t>
            </w:r>
            <w:r w:rsidRPr="0072600F">
              <w:rPr>
                <w:rFonts w:eastAsiaTheme="minorEastAsia"/>
                <w:noProof/>
                <w:sz w:val="26"/>
                <w:szCs w:val="26"/>
              </w:rPr>
              <w:tab/>
            </w:r>
            <w:r w:rsidRPr="0072600F">
              <w:rPr>
                <w:rStyle w:val="Hyperlink"/>
                <w:noProof/>
                <w:sz w:val="26"/>
                <w:szCs w:val="26"/>
              </w:rPr>
              <w:t>Indemnity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_Toc149901406 \h </w:instrText>
            </w:r>
            <w:r w:rsidRPr="0072600F">
              <w:rPr>
                <w:noProof/>
                <w:webHidden/>
                <w:sz w:val="26"/>
                <w:szCs w:val="26"/>
              </w:rPr>
              <w:fldChar w:fldCharType="separate"/>
            </w:r>
            <w:r w:rsidR="00C46123">
              <w:rPr>
                <w:noProof/>
                <w:webHidden/>
                <w:sz w:val="26"/>
                <w:szCs w:val="26"/>
              </w:rPr>
              <w:t>- 22 -</w:t>
            </w:r>
            <w:r w:rsidRPr="0072600F">
              <w:rPr>
                <w:noProof/>
                <w:webHidden/>
                <w:sz w:val="26"/>
                <w:szCs w:val="26"/>
              </w:rPr>
              <w:fldChar w:fldCharType="end"/>
            </w:r>
          </w:hyperlink>
        </w:p>
        <w:p w:rsidR="00503D78" w:rsidRPr="0072600F" w14:paraId="12090F58" w14:textId="77777777">
          <w:pPr>
            <w:pStyle w:val="TOC2"/>
            <w:rPr>
              <w:rFonts w:eastAsiaTheme="minorEastAsia"/>
              <w:noProof/>
              <w:sz w:val="26"/>
              <w:szCs w:val="26"/>
            </w:rPr>
          </w:pPr>
          <w:hyperlink w:anchor="_Toc149901412" w:history="1">
            <w:r w:rsidRPr="0072600F">
              <w:rPr>
                <w:rStyle w:val="Hyperlink"/>
                <w:noProof/>
                <w:sz w:val="26"/>
                <w:szCs w:val="26"/>
              </w:rPr>
              <w:t>7.4</w:t>
            </w:r>
            <w:r w:rsidRPr="0072600F">
              <w:rPr>
                <w:rFonts w:eastAsiaTheme="minorEastAsia"/>
                <w:noProof/>
                <w:sz w:val="26"/>
                <w:szCs w:val="26"/>
              </w:rPr>
              <w:tab/>
            </w:r>
            <w:r w:rsidRPr="0072600F">
              <w:rPr>
                <w:rStyle w:val="Hyperlink"/>
                <w:noProof/>
                <w:sz w:val="26"/>
                <w:szCs w:val="26"/>
              </w:rPr>
              <w:t>Consequential Damages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_Toc149901412 \h </w:instrText>
            </w:r>
            <w:r w:rsidRPr="0072600F">
              <w:rPr>
                <w:noProof/>
                <w:webHidden/>
                <w:sz w:val="26"/>
                <w:szCs w:val="26"/>
              </w:rPr>
              <w:fldChar w:fldCharType="separate"/>
            </w:r>
            <w:r w:rsidR="00C46123">
              <w:rPr>
                <w:noProof/>
                <w:webHidden/>
                <w:sz w:val="26"/>
                <w:szCs w:val="26"/>
              </w:rPr>
              <w:t>- 23 -</w:t>
            </w:r>
            <w:r w:rsidRPr="0072600F">
              <w:rPr>
                <w:noProof/>
                <w:webHidden/>
                <w:sz w:val="26"/>
                <w:szCs w:val="26"/>
              </w:rPr>
              <w:fldChar w:fldCharType="end"/>
            </w:r>
          </w:hyperlink>
        </w:p>
        <w:p w:rsidR="00503D78" w:rsidRPr="0072600F" w14:paraId="009E5866" w14:textId="77777777">
          <w:pPr>
            <w:pStyle w:val="TOC2"/>
            <w:rPr>
              <w:rFonts w:eastAsiaTheme="minorEastAsia"/>
              <w:noProof/>
              <w:sz w:val="26"/>
              <w:szCs w:val="26"/>
            </w:rPr>
          </w:pPr>
          <w:hyperlink w:anchor="_Toc149901413" w:history="1">
            <w:r w:rsidRPr="0072600F">
              <w:rPr>
                <w:rStyle w:val="Hyperlink"/>
                <w:noProof/>
                <w:sz w:val="26"/>
                <w:szCs w:val="26"/>
              </w:rPr>
              <w:t>7.5</w:t>
            </w:r>
            <w:r w:rsidRPr="0072600F">
              <w:rPr>
                <w:rFonts w:eastAsiaTheme="minorEastAsia"/>
                <w:noProof/>
                <w:sz w:val="26"/>
                <w:szCs w:val="26"/>
              </w:rPr>
              <w:tab/>
            </w:r>
            <w:r w:rsidRPr="0072600F">
              <w:rPr>
                <w:rStyle w:val="Hyperlink"/>
                <w:noProof/>
                <w:sz w:val="26"/>
                <w:szCs w:val="26"/>
              </w:rPr>
              <w:t>Force Majeure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_Toc149901413 \h </w:instrText>
            </w:r>
            <w:r w:rsidRPr="0072600F">
              <w:rPr>
                <w:noProof/>
                <w:webHidden/>
                <w:sz w:val="26"/>
                <w:szCs w:val="26"/>
              </w:rPr>
              <w:fldChar w:fldCharType="separate"/>
            </w:r>
            <w:r w:rsidR="00C46123">
              <w:rPr>
                <w:noProof/>
                <w:webHidden/>
                <w:sz w:val="26"/>
                <w:szCs w:val="26"/>
              </w:rPr>
              <w:t>- 24 -</w:t>
            </w:r>
            <w:r w:rsidRPr="0072600F">
              <w:rPr>
                <w:noProof/>
                <w:webHidden/>
                <w:sz w:val="26"/>
                <w:szCs w:val="26"/>
              </w:rPr>
              <w:fldChar w:fldCharType="end"/>
            </w:r>
          </w:hyperlink>
        </w:p>
        <w:p w:rsidR="00503D78" w:rsidRPr="0072600F" w14:paraId="55B1E1B9" w14:textId="77777777">
          <w:pPr>
            <w:pStyle w:val="TOC2"/>
            <w:rPr>
              <w:rFonts w:eastAsiaTheme="minorEastAsia"/>
              <w:noProof/>
              <w:sz w:val="26"/>
              <w:szCs w:val="26"/>
            </w:rPr>
          </w:pPr>
          <w:hyperlink w:anchor="_Toc149901416" w:history="1">
            <w:r w:rsidRPr="0072600F">
              <w:rPr>
                <w:rStyle w:val="Hyperlink"/>
                <w:noProof/>
                <w:sz w:val="26"/>
                <w:szCs w:val="26"/>
              </w:rPr>
              <w:t>7.6</w:t>
            </w:r>
            <w:r w:rsidRPr="0072600F">
              <w:rPr>
                <w:rFonts w:eastAsiaTheme="minorEastAsia"/>
                <w:noProof/>
                <w:sz w:val="26"/>
                <w:szCs w:val="26"/>
              </w:rPr>
              <w:tab/>
            </w:r>
            <w:r w:rsidRPr="0072600F">
              <w:rPr>
                <w:rStyle w:val="Hyperlink"/>
                <w:noProof/>
                <w:sz w:val="26"/>
                <w:szCs w:val="26"/>
              </w:rPr>
              <w:t>Default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_Toc149901416 \h </w:instrText>
            </w:r>
            <w:r w:rsidRPr="0072600F">
              <w:rPr>
                <w:noProof/>
                <w:webHidden/>
                <w:sz w:val="26"/>
                <w:szCs w:val="26"/>
              </w:rPr>
              <w:fldChar w:fldCharType="separate"/>
            </w:r>
            <w:r w:rsidR="00C46123">
              <w:rPr>
                <w:noProof/>
                <w:webHidden/>
                <w:sz w:val="26"/>
                <w:szCs w:val="26"/>
              </w:rPr>
              <w:t>- 24 -</w:t>
            </w:r>
            <w:r w:rsidRPr="0072600F">
              <w:rPr>
                <w:noProof/>
                <w:webHidden/>
                <w:sz w:val="26"/>
                <w:szCs w:val="26"/>
              </w:rPr>
              <w:fldChar w:fldCharType="end"/>
            </w:r>
          </w:hyperlink>
        </w:p>
        <w:p w:rsidR="00503D78" w:rsidRPr="0072600F" w14:paraId="242D578B" w14:textId="77777777">
          <w:pPr>
            <w:pStyle w:val="TOC1"/>
            <w:rPr>
              <w:rFonts w:eastAsiaTheme="minorEastAsia"/>
              <w:sz w:val="26"/>
              <w:szCs w:val="26"/>
            </w:rPr>
          </w:pPr>
          <w:hyperlink w:anchor="_Toc149901419" w:history="1">
            <w:r w:rsidRPr="0072600F">
              <w:rPr>
                <w:rStyle w:val="Hyperlink"/>
                <w:sz w:val="26"/>
                <w:szCs w:val="26"/>
              </w:rPr>
              <w:t>Article 8.  Insurance</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_Toc149901419 \h </w:instrText>
            </w:r>
            <w:r w:rsidRPr="0072600F">
              <w:rPr>
                <w:webHidden/>
                <w:sz w:val="26"/>
                <w:szCs w:val="26"/>
              </w:rPr>
              <w:fldChar w:fldCharType="separate"/>
            </w:r>
            <w:r w:rsidR="00C46123">
              <w:rPr>
                <w:webHidden/>
                <w:sz w:val="26"/>
                <w:szCs w:val="26"/>
              </w:rPr>
              <w:t>- 25 -</w:t>
            </w:r>
            <w:r w:rsidRPr="0072600F">
              <w:rPr>
                <w:webHidden/>
                <w:sz w:val="26"/>
                <w:szCs w:val="26"/>
              </w:rPr>
              <w:fldChar w:fldCharType="end"/>
            </w:r>
          </w:hyperlink>
        </w:p>
        <w:p w:rsidR="00503D78" w:rsidRPr="0072600F" w14:paraId="7A842C8F" w14:textId="77777777">
          <w:pPr>
            <w:pStyle w:val="TOC1"/>
            <w:rPr>
              <w:rFonts w:eastAsiaTheme="minorEastAsia"/>
              <w:sz w:val="26"/>
              <w:szCs w:val="26"/>
            </w:rPr>
          </w:pPr>
          <w:hyperlink w:anchor="_Toc149901423" w:history="1">
            <w:r w:rsidRPr="0072600F">
              <w:rPr>
                <w:rStyle w:val="Hyperlink"/>
                <w:sz w:val="26"/>
                <w:szCs w:val="26"/>
              </w:rPr>
              <w:t>Article 9.  Confidentiality</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_Toc149901423 \h </w:instrText>
            </w:r>
            <w:r w:rsidRPr="0072600F">
              <w:rPr>
                <w:webHidden/>
                <w:sz w:val="26"/>
                <w:szCs w:val="26"/>
              </w:rPr>
              <w:fldChar w:fldCharType="separate"/>
            </w:r>
            <w:r w:rsidR="00C46123">
              <w:rPr>
                <w:webHidden/>
                <w:sz w:val="26"/>
                <w:szCs w:val="26"/>
              </w:rPr>
              <w:t>- 26 -</w:t>
            </w:r>
            <w:r w:rsidRPr="0072600F">
              <w:rPr>
                <w:webHidden/>
                <w:sz w:val="26"/>
                <w:szCs w:val="26"/>
              </w:rPr>
              <w:fldChar w:fldCharType="end"/>
            </w:r>
          </w:hyperlink>
        </w:p>
        <w:p w:rsidR="00503D78" w:rsidRPr="0072600F" w14:paraId="3BAE6B93" w14:textId="77777777">
          <w:pPr>
            <w:pStyle w:val="TOC1"/>
            <w:rPr>
              <w:rFonts w:eastAsiaTheme="minorEastAsia"/>
              <w:sz w:val="26"/>
              <w:szCs w:val="26"/>
            </w:rPr>
          </w:pPr>
          <w:hyperlink w:anchor="_Toc149901429" w:history="1">
            <w:r w:rsidRPr="0072600F">
              <w:rPr>
                <w:rStyle w:val="Hyperlink"/>
                <w:sz w:val="26"/>
                <w:szCs w:val="26"/>
              </w:rPr>
              <w:t>Article 10.  Disputes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_Toc149901429 \h </w:instrText>
            </w:r>
            <w:r w:rsidRPr="0072600F">
              <w:rPr>
                <w:webHidden/>
                <w:sz w:val="26"/>
                <w:szCs w:val="26"/>
              </w:rPr>
              <w:fldChar w:fldCharType="separate"/>
            </w:r>
            <w:r w:rsidR="00C46123">
              <w:rPr>
                <w:webHidden/>
                <w:sz w:val="26"/>
                <w:szCs w:val="26"/>
              </w:rPr>
              <w:t>- 27 -</w:t>
            </w:r>
            <w:r w:rsidRPr="0072600F">
              <w:rPr>
                <w:webHidden/>
                <w:sz w:val="26"/>
                <w:szCs w:val="26"/>
              </w:rPr>
              <w:fldChar w:fldCharType="end"/>
            </w:r>
          </w:hyperlink>
        </w:p>
        <w:p w:rsidR="00503D78" w:rsidRPr="0072600F" w14:paraId="2D61C989" w14:textId="77777777">
          <w:pPr>
            <w:pStyle w:val="TOC1"/>
            <w:rPr>
              <w:rFonts w:eastAsiaTheme="minorEastAsia"/>
              <w:sz w:val="26"/>
              <w:szCs w:val="26"/>
            </w:rPr>
          </w:pPr>
          <w:hyperlink w:anchor="_Toc149901436" w:history="1">
            <w:r w:rsidRPr="0072600F">
              <w:rPr>
                <w:rStyle w:val="Hyperlink"/>
                <w:sz w:val="26"/>
                <w:szCs w:val="26"/>
              </w:rPr>
              <w:t>Article 11.  Taxes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_Toc149901436 \h </w:instrText>
            </w:r>
            <w:r w:rsidRPr="0072600F">
              <w:rPr>
                <w:webHidden/>
                <w:sz w:val="26"/>
                <w:szCs w:val="26"/>
              </w:rPr>
              <w:fldChar w:fldCharType="separate"/>
            </w:r>
            <w:r w:rsidR="00C46123">
              <w:rPr>
                <w:webHidden/>
                <w:sz w:val="26"/>
                <w:szCs w:val="26"/>
              </w:rPr>
              <w:t>- 28 -</w:t>
            </w:r>
            <w:r w:rsidRPr="0072600F">
              <w:rPr>
                <w:webHidden/>
                <w:sz w:val="26"/>
                <w:szCs w:val="26"/>
              </w:rPr>
              <w:fldChar w:fldCharType="end"/>
            </w:r>
          </w:hyperlink>
        </w:p>
        <w:p w:rsidR="00503D78" w:rsidRPr="0072600F" w14:paraId="1B7D4C29" w14:textId="77777777">
          <w:pPr>
            <w:pStyle w:val="TOC1"/>
            <w:rPr>
              <w:rFonts w:eastAsiaTheme="minorEastAsia"/>
              <w:sz w:val="26"/>
              <w:szCs w:val="26"/>
            </w:rPr>
          </w:pPr>
          <w:hyperlink w:anchor="_Toc149901439" w:history="1">
            <w:r w:rsidRPr="0072600F">
              <w:rPr>
                <w:rStyle w:val="Hyperlink"/>
                <w:sz w:val="26"/>
                <w:szCs w:val="26"/>
              </w:rPr>
              <w:t>Article 12.  Miscellaneous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_Toc149901439 \h </w:instrText>
            </w:r>
            <w:r w:rsidRPr="0072600F">
              <w:rPr>
                <w:webHidden/>
                <w:sz w:val="26"/>
                <w:szCs w:val="26"/>
              </w:rPr>
              <w:fldChar w:fldCharType="separate"/>
            </w:r>
            <w:r w:rsidR="00C46123">
              <w:rPr>
                <w:webHidden/>
                <w:sz w:val="26"/>
                <w:szCs w:val="26"/>
              </w:rPr>
              <w:t>- 28 -</w:t>
            </w:r>
            <w:r w:rsidRPr="0072600F">
              <w:rPr>
                <w:webHidden/>
                <w:sz w:val="26"/>
                <w:szCs w:val="26"/>
              </w:rPr>
              <w:fldChar w:fldCharType="end"/>
            </w:r>
          </w:hyperlink>
        </w:p>
        <w:p w:rsidR="00503D78" w:rsidRPr="0072600F" w14:paraId="30DF8DFF" w14:textId="77777777">
          <w:pPr>
            <w:pStyle w:val="TOC2"/>
            <w:rPr>
              <w:rFonts w:eastAsiaTheme="minorEastAsia"/>
              <w:noProof/>
              <w:sz w:val="26"/>
              <w:szCs w:val="26"/>
            </w:rPr>
          </w:pPr>
          <w:hyperlink w:anchor="_Toc149901440" w:history="1">
            <w:r w:rsidRPr="0072600F">
              <w:rPr>
                <w:rStyle w:val="Hyperlink"/>
                <w:noProof/>
                <w:sz w:val="26"/>
                <w:szCs w:val="26"/>
              </w:rPr>
              <w:t>12.1</w:t>
            </w:r>
            <w:r w:rsidRPr="0072600F">
              <w:rPr>
                <w:rFonts w:eastAsiaTheme="minorEastAsia"/>
                <w:noProof/>
                <w:sz w:val="26"/>
                <w:szCs w:val="26"/>
              </w:rPr>
              <w:tab/>
            </w:r>
            <w:r w:rsidRPr="0072600F">
              <w:rPr>
                <w:rStyle w:val="Hyperlink"/>
                <w:noProof/>
                <w:sz w:val="26"/>
                <w:szCs w:val="26"/>
              </w:rPr>
              <w:t>Governing Law, Regulatory Authority, and Rules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_Toc149901440 \h </w:instrText>
            </w:r>
            <w:r w:rsidRPr="0072600F">
              <w:rPr>
                <w:noProof/>
                <w:webHidden/>
                <w:sz w:val="26"/>
                <w:szCs w:val="26"/>
              </w:rPr>
              <w:fldChar w:fldCharType="separate"/>
            </w:r>
            <w:r w:rsidR="00C46123">
              <w:rPr>
                <w:noProof/>
                <w:webHidden/>
                <w:sz w:val="26"/>
                <w:szCs w:val="26"/>
              </w:rPr>
              <w:t>- 28 -</w:t>
            </w:r>
            <w:r w:rsidRPr="0072600F">
              <w:rPr>
                <w:noProof/>
                <w:webHidden/>
                <w:sz w:val="26"/>
                <w:szCs w:val="26"/>
              </w:rPr>
              <w:fldChar w:fldCharType="end"/>
            </w:r>
          </w:hyperlink>
        </w:p>
        <w:p w:rsidR="00503D78" w:rsidRPr="0072600F" w14:paraId="0B5745F5" w14:textId="77777777">
          <w:pPr>
            <w:pStyle w:val="TOC2"/>
            <w:rPr>
              <w:rFonts w:eastAsiaTheme="minorEastAsia"/>
              <w:noProof/>
              <w:sz w:val="26"/>
              <w:szCs w:val="26"/>
            </w:rPr>
          </w:pPr>
          <w:hyperlink w:anchor="_Toc149901441" w:history="1">
            <w:r w:rsidRPr="0072600F">
              <w:rPr>
                <w:rStyle w:val="Hyperlink"/>
                <w:noProof/>
                <w:sz w:val="26"/>
                <w:szCs w:val="26"/>
              </w:rPr>
              <w:t>12.2</w:t>
            </w:r>
            <w:r w:rsidRPr="0072600F">
              <w:rPr>
                <w:rFonts w:eastAsiaTheme="minorEastAsia"/>
                <w:noProof/>
                <w:sz w:val="26"/>
                <w:szCs w:val="26"/>
              </w:rPr>
              <w:tab/>
            </w:r>
            <w:r w:rsidRPr="0072600F">
              <w:rPr>
                <w:rStyle w:val="Hyperlink"/>
                <w:noProof/>
                <w:sz w:val="26"/>
                <w:szCs w:val="26"/>
              </w:rPr>
              <w:t>Amendment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_Toc149901441 \h </w:instrText>
            </w:r>
            <w:r w:rsidRPr="0072600F">
              <w:rPr>
                <w:noProof/>
                <w:webHidden/>
                <w:sz w:val="26"/>
                <w:szCs w:val="26"/>
              </w:rPr>
              <w:fldChar w:fldCharType="separate"/>
            </w:r>
            <w:r w:rsidR="00C46123">
              <w:rPr>
                <w:noProof/>
                <w:webHidden/>
                <w:sz w:val="26"/>
                <w:szCs w:val="26"/>
              </w:rPr>
              <w:t>- 28 -</w:t>
            </w:r>
            <w:r w:rsidRPr="0072600F">
              <w:rPr>
                <w:noProof/>
                <w:webHidden/>
                <w:sz w:val="26"/>
                <w:szCs w:val="26"/>
              </w:rPr>
              <w:fldChar w:fldCharType="end"/>
            </w:r>
          </w:hyperlink>
        </w:p>
        <w:p w:rsidR="00503D78" w:rsidRPr="0072600F" w14:paraId="2E238512" w14:textId="77777777">
          <w:pPr>
            <w:pStyle w:val="TOC2"/>
            <w:rPr>
              <w:rFonts w:eastAsiaTheme="minorEastAsia"/>
              <w:noProof/>
              <w:sz w:val="26"/>
              <w:szCs w:val="26"/>
            </w:rPr>
          </w:pPr>
          <w:hyperlink w:anchor="_Toc149901442" w:history="1">
            <w:r w:rsidRPr="0072600F">
              <w:rPr>
                <w:rStyle w:val="Hyperlink"/>
                <w:noProof/>
                <w:sz w:val="26"/>
                <w:szCs w:val="26"/>
              </w:rPr>
              <w:t>12.3</w:t>
            </w:r>
            <w:r w:rsidRPr="0072600F">
              <w:rPr>
                <w:rFonts w:eastAsiaTheme="minorEastAsia"/>
                <w:noProof/>
                <w:sz w:val="26"/>
                <w:szCs w:val="26"/>
              </w:rPr>
              <w:tab/>
            </w:r>
            <w:r w:rsidRPr="0072600F">
              <w:rPr>
                <w:rStyle w:val="Hyperlink"/>
                <w:noProof/>
                <w:sz w:val="26"/>
                <w:szCs w:val="26"/>
              </w:rPr>
              <w:t>No Third-Party Beneficiaries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_Toc149901442 \h </w:instrText>
            </w:r>
            <w:r w:rsidRPr="0072600F">
              <w:rPr>
                <w:noProof/>
                <w:webHidden/>
                <w:sz w:val="26"/>
                <w:szCs w:val="26"/>
              </w:rPr>
              <w:fldChar w:fldCharType="separate"/>
            </w:r>
            <w:r w:rsidR="00C46123">
              <w:rPr>
                <w:noProof/>
                <w:webHidden/>
                <w:sz w:val="26"/>
                <w:szCs w:val="26"/>
              </w:rPr>
              <w:t>- 29 -</w:t>
            </w:r>
            <w:r w:rsidRPr="0072600F">
              <w:rPr>
                <w:noProof/>
                <w:webHidden/>
                <w:sz w:val="26"/>
                <w:szCs w:val="26"/>
              </w:rPr>
              <w:fldChar w:fldCharType="end"/>
            </w:r>
          </w:hyperlink>
        </w:p>
        <w:p w:rsidR="00503D78" w:rsidRPr="0072600F" w14:paraId="23B4DECE" w14:textId="77777777">
          <w:pPr>
            <w:pStyle w:val="TOC2"/>
            <w:rPr>
              <w:rFonts w:eastAsiaTheme="minorEastAsia"/>
              <w:noProof/>
              <w:sz w:val="26"/>
              <w:szCs w:val="26"/>
            </w:rPr>
          </w:pPr>
          <w:hyperlink w:anchor="_Toc149901443" w:history="1">
            <w:r w:rsidRPr="0072600F">
              <w:rPr>
                <w:rStyle w:val="Hyperlink"/>
                <w:noProof/>
                <w:sz w:val="26"/>
                <w:szCs w:val="26"/>
              </w:rPr>
              <w:t>12.4</w:t>
            </w:r>
            <w:r w:rsidRPr="0072600F">
              <w:rPr>
                <w:rFonts w:eastAsiaTheme="minorEastAsia"/>
                <w:noProof/>
                <w:sz w:val="26"/>
                <w:szCs w:val="26"/>
              </w:rPr>
              <w:tab/>
            </w:r>
            <w:r w:rsidRPr="0072600F">
              <w:rPr>
                <w:rStyle w:val="Hyperlink"/>
                <w:noProof/>
                <w:sz w:val="26"/>
                <w:szCs w:val="26"/>
              </w:rPr>
              <w:t>Waiver</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_Toc149901443 \h </w:instrText>
            </w:r>
            <w:r w:rsidRPr="0072600F">
              <w:rPr>
                <w:noProof/>
                <w:webHidden/>
                <w:sz w:val="26"/>
                <w:szCs w:val="26"/>
              </w:rPr>
              <w:fldChar w:fldCharType="separate"/>
            </w:r>
            <w:r w:rsidR="00C46123">
              <w:rPr>
                <w:noProof/>
                <w:webHidden/>
                <w:sz w:val="26"/>
                <w:szCs w:val="26"/>
              </w:rPr>
              <w:t>- 29 -</w:t>
            </w:r>
            <w:r w:rsidRPr="0072600F">
              <w:rPr>
                <w:noProof/>
                <w:webHidden/>
                <w:sz w:val="26"/>
                <w:szCs w:val="26"/>
              </w:rPr>
              <w:fldChar w:fldCharType="end"/>
            </w:r>
          </w:hyperlink>
        </w:p>
        <w:p w:rsidR="00503D78" w:rsidRPr="0072600F" w14:paraId="6CD44173" w14:textId="77777777">
          <w:pPr>
            <w:pStyle w:val="TOC2"/>
            <w:rPr>
              <w:rFonts w:eastAsiaTheme="minorEastAsia"/>
              <w:noProof/>
              <w:sz w:val="26"/>
              <w:szCs w:val="26"/>
            </w:rPr>
          </w:pPr>
          <w:hyperlink w:anchor="_Toc149901446" w:history="1">
            <w:r w:rsidRPr="0072600F">
              <w:rPr>
                <w:rStyle w:val="Hyperlink"/>
                <w:noProof/>
                <w:sz w:val="26"/>
                <w:szCs w:val="26"/>
              </w:rPr>
              <w:t>12.5</w:t>
            </w:r>
            <w:r w:rsidRPr="0072600F">
              <w:rPr>
                <w:rFonts w:eastAsiaTheme="minorEastAsia"/>
                <w:noProof/>
                <w:sz w:val="26"/>
                <w:szCs w:val="26"/>
              </w:rPr>
              <w:tab/>
            </w:r>
            <w:r w:rsidRPr="0072600F">
              <w:rPr>
                <w:rStyle w:val="Hyperlink"/>
                <w:noProof/>
                <w:sz w:val="26"/>
                <w:szCs w:val="26"/>
              </w:rPr>
              <w:t>Entire Agreement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_Toc149901446 \h </w:instrText>
            </w:r>
            <w:r w:rsidRPr="0072600F">
              <w:rPr>
                <w:noProof/>
                <w:webHidden/>
                <w:sz w:val="26"/>
                <w:szCs w:val="26"/>
              </w:rPr>
              <w:fldChar w:fldCharType="separate"/>
            </w:r>
            <w:r w:rsidR="00C46123">
              <w:rPr>
                <w:noProof/>
                <w:webHidden/>
                <w:sz w:val="26"/>
                <w:szCs w:val="26"/>
              </w:rPr>
              <w:t>- 29 -</w:t>
            </w:r>
            <w:r w:rsidRPr="0072600F">
              <w:rPr>
                <w:noProof/>
                <w:webHidden/>
                <w:sz w:val="26"/>
                <w:szCs w:val="26"/>
              </w:rPr>
              <w:fldChar w:fldCharType="end"/>
            </w:r>
          </w:hyperlink>
        </w:p>
        <w:p w:rsidR="00503D78" w:rsidRPr="0072600F" w14:paraId="25DFD6F5" w14:textId="77777777">
          <w:pPr>
            <w:pStyle w:val="TOC2"/>
            <w:rPr>
              <w:rFonts w:eastAsiaTheme="minorEastAsia"/>
              <w:noProof/>
              <w:sz w:val="26"/>
              <w:szCs w:val="26"/>
            </w:rPr>
          </w:pPr>
          <w:hyperlink w:anchor="_Toc149901447" w:history="1">
            <w:r w:rsidRPr="0072600F">
              <w:rPr>
                <w:rStyle w:val="Hyperlink"/>
                <w:noProof/>
                <w:sz w:val="26"/>
                <w:szCs w:val="26"/>
              </w:rPr>
              <w:t>12.6</w:t>
            </w:r>
            <w:r w:rsidRPr="0072600F">
              <w:rPr>
                <w:rFonts w:eastAsiaTheme="minorEastAsia"/>
                <w:noProof/>
                <w:sz w:val="26"/>
                <w:szCs w:val="26"/>
              </w:rPr>
              <w:tab/>
            </w:r>
            <w:r w:rsidRPr="0072600F">
              <w:rPr>
                <w:rStyle w:val="Hyperlink"/>
                <w:noProof/>
                <w:sz w:val="26"/>
                <w:szCs w:val="26"/>
              </w:rPr>
              <w:t>Multiple Counterparts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_Toc149901447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503D78" w:rsidRPr="0072600F" w14:paraId="17464A5A" w14:textId="77777777">
          <w:pPr>
            <w:pStyle w:val="TOC2"/>
            <w:rPr>
              <w:rFonts w:eastAsiaTheme="minorEastAsia"/>
              <w:noProof/>
              <w:sz w:val="26"/>
              <w:szCs w:val="26"/>
            </w:rPr>
          </w:pPr>
          <w:hyperlink w:anchor="_Toc149901448" w:history="1">
            <w:r w:rsidRPr="0072600F">
              <w:rPr>
                <w:rStyle w:val="Hyperlink"/>
                <w:noProof/>
                <w:sz w:val="26"/>
                <w:szCs w:val="26"/>
              </w:rPr>
              <w:t>12.7</w:t>
            </w:r>
            <w:r w:rsidRPr="0072600F">
              <w:rPr>
                <w:rFonts w:eastAsiaTheme="minorEastAsia"/>
                <w:noProof/>
                <w:sz w:val="26"/>
                <w:szCs w:val="26"/>
              </w:rPr>
              <w:tab/>
            </w:r>
            <w:r w:rsidRPr="0072600F">
              <w:rPr>
                <w:rStyle w:val="Hyperlink"/>
                <w:noProof/>
                <w:sz w:val="26"/>
                <w:szCs w:val="26"/>
              </w:rPr>
              <w:t>No Partnership</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_Toc149901448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503D78" w:rsidRPr="0072600F" w14:paraId="7E9F0DE6" w14:textId="77777777">
          <w:pPr>
            <w:pStyle w:val="TOC2"/>
            <w:rPr>
              <w:rFonts w:eastAsiaTheme="minorEastAsia"/>
              <w:noProof/>
              <w:sz w:val="26"/>
              <w:szCs w:val="26"/>
            </w:rPr>
          </w:pPr>
          <w:hyperlink w:anchor="_Toc149901449" w:history="1">
            <w:r w:rsidRPr="0072600F">
              <w:rPr>
                <w:rStyle w:val="Hyperlink"/>
                <w:noProof/>
                <w:sz w:val="26"/>
                <w:szCs w:val="26"/>
              </w:rPr>
              <w:t>12.8</w:t>
            </w:r>
            <w:r w:rsidRPr="0072600F">
              <w:rPr>
                <w:rFonts w:eastAsiaTheme="minorEastAsia"/>
                <w:noProof/>
                <w:sz w:val="26"/>
                <w:szCs w:val="26"/>
              </w:rPr>
              <w:tab/>
            </w:r>
            <w:r w:rsidRPr="0072600F">
              <w:rPr>
                <w:rStyle w:val="Hyperlink"/>
                <w:noProof/>
                <w:sz w:val="26"/>
                <w:szCs w:val="26"/>
              </w:rPr>
              <w:t>Severability</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_Toc149901449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503D78" w:rsidRPr="0072600F" w14:paraId="36E51B07" w14:textId="77777777">
          <w:pPr>
            <w:pStyle w:val="TOC2"/>
            <w:rPr>
              <w:rFonts w:eastAsiaTheme="minorEastAsia"/>
              <w:noProof/>
              <w:sz w:val="26"/>
              <w:szCs w:val="26"/>
            </w:rPr>
          </w:pPr>
          <w:hyperlink w:anchor="_Toc149901450" w:history="1">
            <w:r w:rsidRPr="0072600F">
              <w:rPr>
                <w:rStyle w:val="Hyperlink"/>
                <w:noProof/>
                <w:sz w:val="26"/>
                <w:szCs w:val="26"/>
              </w:rPr>
              <w:t>12.9</w:t>
            </w:r>
            <w:r w:rsidRPr="0072600F">
              <w:rPr>
                <w:rFonts w:eastAsiaTheme="minorEastAsia"/>
                <w:noProof/>
                <w:sz w:val="26"/>
                <w:szCs w:val="26"/>
              </w:rPr>
              <w:tab/>
            </w:r>
            <w:r w:rsidRPr="0072600F">
              <w:rPr>
                <w:rStyle w:val="Hyperlink"/>
                <w:noProof/>
                <w:sz w:val="26"/>
                <w:szCs w:val="26"/>
              </w:rPr>
              <w:t>Security Arrangements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_Toc149901450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503D78" w:rsidRPr="0072600F" w14:paraId="0E4AB9BB" w14:textId="77777777">
          <w:pPr>
            <w:pStyle w:val="TOC2"/>
            <w:rPr>
              <w:rFonts w:eastAsiaTheme="minorEastAsia"/>
              <w:noProof/>
              <w:sz w:val="26"/>
              <w:szCs w:val="26"/>
            </w:rPr>
          </w:pPr>
          <w:hyperlink w:anchor="_Toc149901451" w:history="1">
            <w:r w:rsidRPr="0072600F">
              <w:rPr>
                <w:rStyle w:val="Hyperlink"/>
                <w:noProof/>
                <w:sz w:val="26"/>
                <w:szCs w:val="26"/>
              </w:rPr>
              <w:t>12.10</w:t>
            </w:r>
            <w:r w:rsidRPr="0072600F">
              <w:rPr>
                <w:rFonts w:eastAsiaTheme="minorEastAsia"/>
                <w:noProof/>
                <w:sz w:val="26"/>
                <w:szCs w:val="26"/>
              </w:rPr>
              <w:tab/>
            </w:r>
            <w:r w:rsidRPr="0072600F">
              <w:rPr>
                <w:rStyle w:val="Hyperlink"/>
                <w:noProof/>
                <w:sz w:val="26"/>
                <w:szCs w:val="26"/>
              </w:rPr>
              <w:t>Environmental Releases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_Toc149901451 \h </w:instrText>
            </w:r>
            <w:r w:rsidRPr="0072600F">
              <w:rPr>
                <w:noProof/>
                <w:webHidden/>
                <w:sz w:val="26"/>
                <w:szCs w:val="26"/>
              </w:rPr>
              <w:fldChar w:fldCharType="separate"/>
            </w:r>
            <w:r w:rsidR="00C46123">
              <w:rPr>
                <w:noProof/>
                <w:webHidden/>
                <w:sz w:val="26"/>
                <w:szCs w:val="26"/>
              </w:rPr>
              <w:t>- 30 -</w:t>
            </w:r>
            <w:r w:rsidRPr="0072600F">
              <w:rPr>
                <w:noProof/>
                <w:webHidden/>
                <w:sz w:val="26"/>
                <w:szCs w:val="26"/>
              </w:rPr>
              <w:fldChar w:fldCharType="end"/>
            </w:r>
          </w:hyperlink>
        </w:p>
        <w:p w:rsidR="00503D78" w:rsidRPr="0072600F" w14:paraId="63C3FAC5" w14:textId="77777777">
          <w:pPr>
            <w:pStyle w:val="TOC2"/>
            <w:rPr>
              <w:rFonts w:eastAsiaTheme="minorEastAsia"/>
              <w:noProof/>
              <w:sz w:val="26"/>
              <w:szCs w:val="26"/>
            </w:rPr>
          </w:pPr>
          <w:hyperlink w:anchor="_Toc149901452" w:history="1">
            <w:r w:rsidRPr="0072600F">
              <w:rPr>
                <w:rStyle w:val="Hyperlink"/>
                <w:noProof/>
                <w:sz w:val="26"/>
                <w:szCs w:val="26"/>
              </w:rPr>
              <w:t>12.11</w:t>
            </w:r>
            <w:r w:rsidRPr="0072600F">
              <w:rPr>
                <w:rFonts w:eastAsiaTheme="minorEastAsia"/>
                <w:noProof/>
                <w:sz w:val="26"/>
                <w:szCs w:val="26"/>
              </w:rPr>
              <w:tab/>
            </w:r>
            <w:r w:rsidRPr="0072600F">
              <w:rPr>
                <w:rStyle w:val="Hyperlink"/>
                <w:noProof/>
                <w:sz w:val="26"/>
                <w:szCs w:val="26"/>
              </w:rPr>
              <w:t>Subcontractors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_Toc149901452 \h </w:instrText>
            </w:r>
            <w:r w:rsidRPr="0072600F">
              <w:rPr>
                <w:noProof/>
                <w:webHidden/>
                <w:sz w:val="26"/>
                <w:szCs w:val="26"/>
              </w:rPr>
              <w:fldChar w:fldCharType="separate"/>
            </w:r>
            <w:r w:rsidR="00C46123">
              <w:rPr>
                <w:noProof/>
                <w:webHidden/>
                <w:sz w:val="26"/>
                <w:szCs w:val="26"/>
              </w:rPr>
              <w:t>- 31 -</w:t>
            </w:r>
            <w:r w:rsidRPr="0072600F">
              <w:rPr>
                <w:noProof/>
                <w:webHidden/>
                <w:sz w:val="26"/>
                <w:szCs w:val="26"/>
              </w:rPr>
              <w:fldChar w:fldCharType="end"/>
            </w:r>
          </w:hyperlink>
        </w:p>
        <w:p w:rsidR="00503D78" w:rsidRPr="0072600F" w14:paraId="70784E7A" w14:textId="77777777">
          <w:pPr>
            <w:pStyle w:val="TOC2"/>
            <w:rPr>
              <w:rFonts w:eastAsiaTheme="minorEastAsia"/>
              <w:noProof/>
              <w:sz w:val="26"/>
              <w:szCs w:val="26"/>
            </w:rPr>
          </w:pPr>
          <w:hyperlink w:anchor="_Toc149901455" w:history="1">
            <w:r w:rsidRPr="0072600F">
              <w:rPr>
                <w:rStyle w:val="Hyperlink"/>
                <w:noProof/>
                <w:sz w:val="26"/>
                <w:szCs w:val="26"/>
              </w:rPr>
              <w:t>12.12</w:t>
            </w:r>
            <w:r w:rsidRPr="0072600F">
              <w:rPr>
                <w:rFonts w:eastAsiaTheme="minorEastAsia"/>
                <w:noProof/>
                <w:sz w:val="26"/>
                <w:szCs w:val="26"/>
              </w:rPr>
              <w:tab/>
            </w:r>
            <w:r w:rsidRPr="0072600F">
              <w:rPr>
                <w:rStyle w:val="Hyperlink"/>
                <w:noProof/>
                <w:sz w:val="26"/>
                <w:szCs w:val="26"/>
              </w:rPr>
              <w:t>Reservation of Rights</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_Toc149901455 \h </w:instrText>
            </w:r>
            <w:r w:rsidRPr="0072600F">
              <w:rPr>
                <w:noProof/>
                <w:webHidden/>
                <w:sz w:val="26"/>
                <w:szCs w:val="26"/>
              </w:rPr>
              <w:fldChar w:fldCharType="separate"/>
            </w:r>
            <w:r w:rsidR="00C46123">
              <w:rPr>
                <w:noProof/>
                <w:webHidden/>
                <w:sz w:val="26"/>
                <w:szCs w:val="26"/>
              </w:rPr>
              <w:t>- 31 -</w:t>
            </w:r>
            <w:r w:rsidRPr="0072600F">
              <w:rPr>
                <w:noProof/>
                <w:webHidden/>
                <w:sz w:val="26"/>
                <w:szCs w:val="26"/>
              </w:rPr>
              <w:fldChar w:fldCharType="end"/>
            </w:r>
          </w:hyperlink>
        </w:p>
        <w:p w:rsidR="00503D78" w:rsidRPr="0072600F" w14:paraId="52678246" w14:textId="77777777">
          <w:pPr>
            <w:pStyle w:val="TOC1"/>
            <w:rPr>
              <w:rFonts w:eastAsiaTheme="minorEastAsia"/>
              <w:sz w:val="26"/>
              <w:szCs w:val="26"/>
            </w:rPr>
          </w:pPr>
          <w:hyperlink w:anchor="_Toc149901456" w:history="1">
            <w:r w:rsidRPr="0072600F">
              <w:rPr>
                <w:rStyle w:val="Hyperlink"/>
                <w:sz w:val="26"/>
                <w:szCs w:val="26"/>
              </w:rPr>
              <w:t>Article 13.  Notices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_Toc149901456 \h </w:instrText>
            </w:r>
            <w:r w:rsidRPr="0072600F">
              <w:rPr>
                <w:webHidden/>
                <w:sz w:val="26"/>
                <w:szCs w:val="26"/>
              </w:rPr>
              <w:fldChar w:fldCharType="separate"/>
            </w:r>
            <w:r w:rsidR="00C46123">
              <w:rPr>
                <w:webHidden/>
                <w:sz w:val="26"/>
                <w:szCs w:val="26"/>
              </w:rPr>
              <w:t>- 32 -</w:t>
            </w:r>
            <w:r w:rsidRPr="0072600F">
              <w:rPr>
                <w:webHidden/>
                <w:sz w:val="26"/>
                <w:szCs w:val="26"/>
              </w:rPr>
              <w:fldChar w:fldCharType="end"/>
            </w:r>
          </w:hyperlink>
        </w:p>
        <w:p w:rsidR="00503D78" w:rsidRPr="0072600F" w14:paraId="67FD9D41" w14:textId="77777777">
          <w:pPr>
            <w:pStyle w:val="TOC2"/>
            <w:rPr>
              <w:rFonts w:eastAsiaTheme="minorEastAsia"/>
              <w:noProof/>
              <w:sz w:val="26"/>
              <w:szCs w:val="26"/>
            </w:rPr>
          </w:pPr>
          <w:hyperlink w:anchor="_Toc149901457" w:history="1">
            <w:r w:rsidRPr="0072600F">
              <w:rPr>
                <w:rStyle w:val="Hyperlink"/>
                <w:noProof/>
                <w:sz w:val="26"/>
                <w:szCs w:val="26"/>
              </w:rPr>
              <w:t>13.1</w:t>
            </w:r>
            <w:r w:rsidRPr="0072600F">
              <w:rPr>
                <w:rFonts w:eastAsiaTheme="minorEastAsia"/>
                <w:noProof/>
                <w:sz w:val="26"/>
                <w:szCs w:val="26"/>
              </w:rPr>
              <w:tab/>
            </w:r>
            <w:r w:rsidRPr="0072600F">
              <w:rPr>
                <w:rStyle w:val="Hyperlink"/>
                <w:noProof/>
                <w:sz w:val="26"/>
                <w:szCs w:val="26"/>
              </w:rPr>
              <w:t>General</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_Toc149901457 \h </w:instrText>
            </w:r>
            <w:r w:rsidRPr="0072600F">
              <w:rPr>
                <w:noProof/>
                <w:webHidden/>
                <w:sz w:val="26"/>
                <w:szCs w:val="26"/>
              </w:rPr>
              <w:fldChar w:fldCharType="separate"/>
            </w:r>
            <w:r w:rsidR="00C46123">
              <w:rPr>
                <w:noProof/>
                <w:webHidden/>
                <w:sz w:val="26"/>
                <w:szCs w:val="26"/>
              </w:rPr>
              <w:t>- 32 -</w:t>
            </w:r>
            <w:r w:rsidRPr="0072600F">
              <w:rPr>
                <w:noProof/>
                <w:webHidden/>
                <w:sz w:val="26"/>
                <w:szCs w:val="26"/>
              </w:rPr>
              <w:fldChar w:fldCharType="end"/>
            </w:r>
          </w:hyperlink>
        </w:p>
        <w:p w:rsidR="00503D78" w:rsidRPr="0072600F" w14:paraId="0786C10D" w14:textId="77777777">
          <w:pPr>
            <w:pStyle w:val="TOC2"/>
            <w:rPr>
              <w:rFonts w:eastAsiaTheme="minorEastAsia"/>
              <w:noProof/>
              <w:sz w:val="26"/>
              <w:szCs w:val="26"/>
            </w:rPr>
          </w:pPr>
          <w:hyperlink w:anchor="_Toc149901458" w:history="1">
            <w:r w:rsidRPr="0072600F">
              <w:rPr>
                <w:rStyle w:val="Hyperlink"/>
                <w:noProof/>
                <w:sz w:val="26"/>
                <w:szCs w:val="26"/>
              </w:rPr>
              <w:t>13.2</w:t>
            </w:r>
            <w:r w:rsidRPr="0072600F">
              <w:rPr>
                <w:rFonts w:eastAsiaTheme="minorEastAsia"/>
                <w:noProof/>
                <w:sz w:val="26"/>
                <w:szCs w:val="26"/>
              </w:rPr>
              <w:tab/>
            </w:r>
            <w:r w:rsidRPr="0072600F">
              <w:rPr>
                <w:rStyle w:val="Hyperlink"/>
                <w:noProof/>
                <w:sz w:val="26"/>
                <w:szCs w:val="26"/>
              </w:rPr>
              <w:t>Billing and Payment</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_Toc149901458 \h </w:instrText>
            </w:r>
            <w:r w:rsidRPr="0072600F">
              <w:rPr>
                <w:noProof/>
                <w:webHidden/>
                <w:sz w:val="26"/>
                <w:szCs w:val="26"/>
              </w:rPr>
              <w:fldChar w:fldCharType="separate"/>
            </w:r>
            <w:r w:rsidR="00C46123">
              <w:rPr>
                <w:noProof/>
                <w:webHidden/>
                <w:sz w:val="26"/>
                <w:szCs w:val="26"/>
              </w:rPr>
              <w:t>- 33 -</w:t>
            </w:r>
            <w:r w:rsidRPr="0072600F">
              <w:rPr>
                <w:noProof/>
                <w:webHidden/>
                <w:sz w:val="26"/>
                <w:szCs w:val="26"/>
              </w:rPr>
              <w:fldChar w:fldCharType="end"/>
            </w:r>
          </w:hyperlink>
        </w:p>
        <w:p w:rsidR="00503D78" w:rsidRPr="0072600F" w14:paraId="57A8BB8E" w14:textId="77777777">
          <w:pPr>
            <w:pStyle w:val="TOC2"/>
            <w:rPr>
              <w:rFonts w:eastAsiaTheme="minorEastAsia"/>
              <w:noProof/>
              <w:sz w:val="26"/>
              <w:szCs w:val="26"/>
            </w:rPr>
          </w:pPr>
          <w:hyperlink w:anchor="_Toc149901459" w:history="1">
            <w:r w:rsidRPr="0072600F">
              <w:rPr>
                <w:rStyle w:val="Hyperlink"/>
                <w:noProof/>
                <w:sz w:val="26"/>
                <w:szCs w:val="26"/>
              </w:rPr>
              <w:t>13.3</w:t>
            </w:r>
            <w:r w:rsidRPr="0072600F">
              <w:rPr>
                <w:rFonts w:eastAsiaTheme="minorEastAsia"/>
                <w:noProof/>
                <w:sz w:val="26"/>
                <w:szCs w:val="26"/>
              </w:rPr>
              <w:tab/>
            </w:r>
            <w:r w:rsidRPr="0072600F">
              <w:rPr>
                <w:rStyle w:val="Hyperlink"/>
                <w:noProof/>
                <w:sz w:val="26"/>
                <w:szCs w:val="26"/>
              </w:rPr>
              <w:t>Alternative Forms of Notice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_Toc149901459 \h </w:instrText>
            </w:r>
            <w:r w:rsidRPr="0072600F">
              <w:rPr>
                <w:noProof/>
                <w:webHidden/>
                <w:sz w:val="26"/>
                <w:szCs w:val="26"/>
              </w:rPr>
              <w:fldChar w:fldCharType="separate"/>
            </w:r>
            <w:r w:rsidR="00C46123">
              <w:rPr>
                <w:noProof/>
                <w:webHidden/>
                <w:sz w:val="26"/>
                <w:szCs w:val="26"/>
              </w:rPr>
              <w:t>- 33 -</w:t>
            </w:r>
            <w:r w:rsidRPr="0072600F">
              <w:rPr>
                <w:noProof/>
                <w:webHidden/>
                <w:sz w:val="26"/>
                <w:szCs w:val="26"/>
              </w:rPr>
              <w:fldChar w:fldCharType="end"/>
            </w:r>
          </w:hyperlink>
        </w:p>
        <w:p w:rsidR="00503D78" w:rsidRPr="0072600F" w14:paraId="7F301A63" w14:textId="77777777">
          <w:pPr>
            <w:pStyle w:val="TOC2"/>
            <w:rPr>
              <w:rFonts w:eastAsiaTheme="minorEastAsia"/>
              <w:noProof/>
              <w:sz w:val="26"/>
              <w:szCs w:val="26"/>
            </w:rPr>
          </w:pPr>
          <w:hyperlink w:anchor="_Toc149901460" w:history="1">
            <w:r w:rsidRPr="0072600F">
              <w:rPr>
                <w:rStyle w:val="Hyperlink"/>
                <w:noProof/>
                <w:sz w:val="26"/>
                <w:szCs w:val="26"/>
              </w:rPr>
              <w:t>13.4</w:t>
            </w:r>
            <w:r w:rsidRPr="0072600F">
              <w:rPr>
                <w:rFonts w:eastAsiaTheme="minorEastAsia"/>
                <w:noProof/>
                <w:sz w:val="26"/>
                <w:szCs w:val="26"/>
              </w:rPr>
              <w:tab/>
            </w:r>
            <w:r w:rsidRPr="0072600F">
              <w:rPr>
                <w:rStyle w:val="Hyperlink"/>
                <w:noProof/>
                <w:sz w:val="26"/>
                <w:szCs w:val="26"/>
              </w:rPr>
              <w:t>Designated Operating Representative</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_Toc149901460 \h </w:instrText>
            </w:r>
            <w:r w:rsidRPr="0072600F">
              <w:rPr>
                <w:noProof/>
                <w:webHidden/>
                <w:sz w:val="26"/>
                <w:szCs w:val="26"/>
              </w:rPr>
              <w:fldChar w:fldCharType="separate"/>
            </w:r>
            <w:r w:rsidR="00C46123">
              <w:rPr>
                <w:noProof/>
                <w:webHidden/>
                <w:sz w:val="26"/>
                <w:szCs w:val="26"/>
              </w:rPr>
              <w:t>- 34 -</w:t>
            </w:r>
            <w:r w:rsidRPr="0072600F">
              <w:rPr>
                <w:noProof/>
                <w:webHidden/>
                <w:sz w:val="26"/>
                <w:szCs w:val="26"/>
              </w:rPr>
              <w:fldChar w:fldCharType="end"/>
            </w:r>
          </w:hyperlink>
        </w:p>
        <w:p w:rsidR="00503D78" w:rsidRPr="0072600F" w14:paraId="73714611" w14:textId="77777777">
          <w:pPr>
            <w:pStyle w:val="TOC2"/>
            <w:rPr>
              <w:rFonts w:eastAsiaTheme="minorEastAsia"/>
              <w:noProof/>
              <w:sz w:val="26"/>
              <w:szCs w:val="26"/>
            </w:rPr>
          </w:pPr>
          <w:hyperlink w:anchor="_Toc149901461" w:history="1">
            <w:r w:rsidRPr="0072600F">
              <w:rPr>
                <w:rStyle w:val="Hyperlink"/>
                <w:noProof/>
                <w:sz w:val="26"/>
                <w:szCs w:val="26"/>
              </w:rPr>
              <w:t>13.5</w:t>
            </w:r>
            <w:r w:rsidRPr="0072600F">
              <w:rPr>
                <w:rFonts w:eastAsiaTheme="minorEastAsia"/>
                <w:noProof/>
                <w:sz w:val="26"/>
                <w:szCs w:val="26"/>
              </w:rPr>
              <w:tab/>
            </w:r>
            <w:r w:rsidRPr="0072600F">
              <w:rPr>
                <w:rStyle w:val="Hyperlink"/>
                <w:noProof/>
                <w:sz w:val="26"/>
                <w:szCs w:val="26"/>
              </w:rPr>
              <w:t>Changes to the Notice Information</w:t>
            </w:r>
            <w:r w:rsidRPr="0072600F">
              <w:rPr>
                <w:noProof/>
                <w:webHidden/>
                <w:sz w:val="26"/>
                <w:szCs w:val="26"/>
              </w:rPr>
              <w:tab/>
            </w:r>
            <w:r w:rsidRPr="0072600F">
              <w:rPr>
                <w:noProof/>
                <w:webHidden/>
                <w:sz w:val="26"/>
                <w:szCs w:val="26"/>
              </w:rPr>
              <w:fldChar w:fldCharType="begin"/>
            </w:r>
            <w:r w:rsidRPr="0072600F">
              <w:rPr>
                <w:noProof/>
                <w:webHidden/>
                <w:sz w:val="26"/>
                <w:szCs w:val="26"/>
              </w:rPr>
              <w:instrText xml:space="preserve"> PAGEREF _Toc149901461 \h </w:instrText>
            </w:r>
            <w:r w:rsidRPr="0072600F">
              <w:rPr>
                <w:noProof/>
                <w:webHidden/>
                <w:sz w:val="26"/>
                <w:szCs w:val="26"/>
              </w:rPr>
              <w:fldChar w:fldCharType="separate"/>
            </w:r>
            <w:r w:rsidR="00C46123">
              <w:rPr>
                <w:noProof/>
                <w:webHidden/>
                <w:sz w:val="26"/>
                <w:szCs w:val="26"/>
              </w:rPr>
              <w:t>- 35 -</w:t>
            </w:r>
            <w:r w:rsidRPr="0072600F">
              <w:rPr>
                <w:noProof/>
                <w:webHidden/>
                <w:sz w:val="26"/>
                <w:szCs w:val="26"/>
              </w:rPr>
              <w:fldChar w:fldCharType="end"/>
            </w:r>
          </w:hyperlink>
        </w:p>
        <w:p w:rsidR="00503D78" w:rsidRPr="0072600F" w14:paraId="5B99EEFD" w14:textId="77777777">
          <w:pPr>
            <w:pStyle w:val="TOC1"/>
            <w:rPr>
              <w:rFonts w:eastAsiaTheme="minorEastAsia"/>
              <w:sz w:val="26"/>
              <w:szCs w:val="26"/>
            </w:rPr>
          </w:pPr>
          <w:hyperlink w:anchor="_Toc149901462" w:history="1">
            <w:r w:rsidRPr="0072600F">
              <w:rPr>
                <w:rStyle w:val="Hyperlink"/>
                <w:sz w:val="26"/>
                <w:szCs w:val="26"/>
              </w:rPr>
              <w:t>Article 14.  Signatures</w:t>
            </w:r>
            <w:r w:rsidRPr="0072600F">
              <w:rPr>
                <w:webHidden/>
                <w:sz w:val="26"/>
                <w:szCs w:val="26"/>
              </w:rPr>
              <w:tab/>
            </w:r>
            <w:r w:rsidRPr="0072600F">
              <w:rPr>
                <w:webHidden/>
                <w:sz w:val="26"/>
                <w:szCs w:val="26"/>
              </w:rPr>
              <w:fldChar w:fldCharType="begin"/>
            </w:r>
            <w:r w:rsidRPr="0072600F">
              <w:rPr>
                <w:webHidden/>
                <w:sz w:val="26"/>
                <w:szCs w:val="26"/>
              </w:rPr>
              <w:instrText xml:space="preserve"> PAGEREF _Toc149901462 \h </w:instrText>
            </w:r>
            <w:r w:rsidRPr="0072600F">
              <w:rPr>
                <w:webHidden/>
                <w:sz w:val="26"/>
                <w:szCs w:val="26"/>
              </w:rPr>
              <w:fldChar w:fldCharType="separate"/>
            </w:r>
            <w:r w:rsidR="00C46123">
              <w:rPr>
                <w:webHidden/>
                <w:sz w:val="26"/>
                <w:szCs w:val="26"/>
              </w:rPr>
              <w:t>- 36 -</w:t>
            </w:r>
            <w:r w:rsidRPr="0072600F">
              <w:rPr>
                <w:webHidden/>
                <w:sz w:val="26"/>
                <w:szCs w:val="26"/>
              </w:rPr>
              <w:fldChar w:fldCharType="end"/>
            </w:r>
          </w:hyperlink>
        </w:p>
        <w:p w:rsidR="00503D78" w:rsidRPr="0072600F" w14:paraId="3B7240A5" w14:textId="77777777">
          <w:pPr>
            <w:rPr>
              <w:rFonts w:ascii="Times New Roman" w:hAnsi="Times New Roman" w:cs="Times New Roman"/>
              <w:sz w:val="26"/>
              <w:szCs w:val="26"/>
            </w:rPr>
          </w:pPr>
          <w:r w:rsidRPr="0072600F">
            <w:rPr>
              <w:rFonts w:ascii="Times New Roman" w:hAnsi="Times New Roman" w:cs="Times New Roman"/>
              <w:b/>
              <w:bCs/>
              <w:noProof/>
              <w:sz w:val="26"/>
              <w:szCs w:val="26"/>
            </w:rPr>
            <w:fldChar w:fldCharType="end"/>
          </w:r>
        </w:p>
      </w:sdtContent>
    </w:sdt>
    <w:p w:rsidR="00503D78" w:rsidRPr="0072600F" w14:paraId="2926C087" w14:textId="77777777">
      <w:pPr>
        <w:rPr>
          <w:rFonts w:ascii="Times New Roman" w:hAnsi="Times New Roman" w:cs="Times New Roman"/>
          <w:sz w:val="26"/>
          <w:szCs w:val="26"/>
        </w:rPr>
      </w:pPr>
    </w:p>
    <w:p w:rsidR="00503D78" w:rsidRPr="0072600F" w14:paraId="4EB4B290" w14:textId="77777777">
      <w:pPr>
        <w:rPr>
          <w:rFonts w:ascii="Times New Roman" w:hAnsi="Times New Roman" w:cs="Times New Roman"/>
          <w:sz w:val="26"/>
          <w:szCs w:val="26"/>
        </w:rPr>
      </w:pPr>
    </w:p>
    <w:p w:rsidR="0053522B" w:rsidRPr="0072600F" w14:paraId="05332F02" w14:textId="77777777">
      <w:pPr>
        <w:rPr>
          <w:rFonts w:ascii="Times New Roman" w:hAnsi="Times New Roman" w:cs="Times New Roman"/>
          <w:sz w:val="26"/>
          <w:szCs w:val="26"/>
        </w:rPr>
      </w:pPr>
    </w:p>
    <w:p w:rsidR="0053522B" w:rsidRPr="0072600F" w14:paraId="179F1A66" w14:textId="77777777">
      <w:pPr>
        <w:rPr>
          <w:rFonts w:ascii="Times New Roman" w:hAnsi="Times New Roman" w:cs="Times New Roman"/>
          <w:sz w:val="26"/>
          <w:szCs w:val="26"/>
        </w:rPr>
      </w:pPr>
    </w:p>
    <w:p w:rsidR="00503D78" w:rsidRPr="0072600F" w14:paraId="4DC47726" w14:textId="77777777">
      <w:pPr>
        <w:rPr>
          <w:rFonts w:ascii="Times New Roman" w:hAnsi="Times New Roman" w:cs="Times New Roman"/>
          <w:sz w:val="26"/>
          <w:szCs w:val="26"/>
        </w:rPr>
      </w:pPr>
      <w:hyperlink w:anchor="Attachment1" w:history="1">
        <w:r w:rsidRPr="0072600F">
          <w:rPr>
            <w:rStyle w:val="Hyperlink"/>
            <w:rFonts w:ascii="Times New Roman" w:hAnsi="Times New Roman" w:cs="Times New Roman"/>
            <w:sz w:val="26"/>
            <w:szCs w:val="26"/>
          </w:rPr>
          <w:t>Attachment 1</w:t>
        </w:r>
      </w:hyperlink>
      <w:r w:rsidRPr="0072600F">
        <w:rPr>
          <w:rFonts w:ascii="Times New Roman" w:hAnsi="Times New Roman" w:cs="Times New Roman"/>
          <w:sz w:val="26"/>
          <w:szCs w:val="26"/>
        </w:rPr>
        <w:t xml:space="preserve"> – Glossary of Terms</w:t>
      </w:r>
    </w:p>
    <w:p w:rsidR="00503D78" w:rsidRPr="0072600F" w14:paraId="051BBA36" w14:textId="77777777">
      <w:pPr>
        <w:rPr>
          <w:rFonts w:ascii="Times New Roman" w:hAnsi="Times New Roman" w:cs="Times New Roman"/>
          <w:sz w:val="26"/>
          <w:szCs w:val="26"/>
        </w:rPr>
      </w:pPr>
      <w:hyperlink w:anchor="Attachment2" w:history="1">
        <w:r w:rsidRPr="0072600F">
          <w:rPr>
            <w:rStyle w:val="Hyperlink"/>
            <w:rFonts w:ascii="Times New Roman" w:hAnsi="Times New Roman" w:cs="Times New Roman"/>
            <w:sz w:val="26"/>
            <w:szCs w:val="26"/>
          </w:rPr>
          <w:t>Attachment 2</w:t>
        </w:r>
      </w:hyperlink>
      <w:r w:rsidRPr="0072600F">
        <w:rPr>
          <w:rFonts w:ascii="Times New Roman" w:hAnsi="Times New Roman" w:cs="Times New Roman"/>
          <w:sz w:val="26"/>
          <w:szCs w:val="26"/>
        </w:rPr>
        <w:t xml:space="preserve"> – Description and Costs of the Small Generating Facility, Interconnection Facilities, and Metering Equipment</w:t>
      </w:r>
    </w:p>
    <w:p w:rsidR="00503D78" w:rsidRPr="0072600F" w14:paraId="13C34F16" w14:textId="77777777">
      <w:pPr>
        <w:rPr>
          <w:rFonts w:ascii="Times New Roman" w:hAnsi="Times New Roman" w:cs="Times New Roman"/>
          <w:sz w:val="26"/>
          <w:szCs w:val="26"/>
        </w:rPr>
      </w:pPr>
      <w:hyperlink w:anchor="Attachment3" w:history="1">
        <w:r w:rsidRPr="0072600F">
          <w:rPr>
            <w:rStyle w:val="Hyperlink"/>
            <w:rFonts w:ascii="Times New Roman" w:hAnsi="Times New Roman" w:cs="Times New Roman"/>
            <w:sz w:val="26"/>
            <w:szCs w:val="26"/>
          </w:rPr>
          <w:t>Attachment 3</w:t>
        </w:r>
      </w:hyperlink>
      <w:r w:rsidRPr="0072600F">
        <w:rPr>
          <w:rFonts w:ascii="Times New Roman" w:hAnsi="Times New Roman" w:cs="Times New Roman"/>
          <w:sz w:val="26"/>
          <w:szCs w:val="26"/>
        </w:rPr>
        <w:t xml:space="preserve"> – One-line Diagram Depicting the Small Generating Facility, Interconnection Facilities, Metering Equipment, and Upgrades</w:t>
      </w:r>
    </w:p>
    <w:p w:rsidR="00503D78" w:rsidRPr="0072600F" w14:paraId="46BDAB93" w14:textId="77777777">
      <w:pPr>
        <w:rPr>
          <w:rFonts w:ascii="Times New Roman" w:hAnsi="Times New Roman" w:cs="Times New Roman"/>
          <w:sz w:val="26"/>
          <w:szCs w:val="26"/>
        </w:rPr>
      </w:pPr>
      <w:hyperlink w:anchor="Attachment4" w:history="1">
        <w:r w:rsidRPr="0072600F">
          <w:rPr>
            <w:rStyle w:val="Hyperlink"/>
            <w:rFonts w:ascii="Times New Roman" w:hAnsi="Times New Roman" w:cs="Times New Roman"/>
            <w:sz w:val="26"/>
            <w:szCs w:val="26"/>
          </w:rPr>
          <w:t>Attachment 4</w:t>
        </w:r>
      </w:hyperlink>
      <w:r w:rsidRPr="0072600F">
        <w:rPr>
          <w:rFonts w:ascii="Times New Roman" w:hAnsi="Times New Roman" w:cs="Times New Roman"/>
          <w:sz w:val="26"/>
          <w:szCs w:val="26"/>
        </w:rPr>
        <w:t xml:space="preserve"> – Milestones</w:t>
      </w:r>
    </w:p>
    <w:p w:rsidR="00503D78" w:rsidRPr="0072600F" w14:paraId="756C0329" w14:textId="77777777">
      <w:pPr>
        <w:rPr>
          <w:rFonts w:ascii="Times New Roman" w:hAnsi="Times New Roman" w:cs="Times New Roman"/>
          <w:sz w:val="26"/>
          <w:szCs w:val="26"/>
        </w:rPr>
      </w:pPr>
      <w:hyperlink w:anchor="Attachment5" w:history="1">
        <w:r w:rsidRPr="0072600F">
          <w:rPr>
            <w:rStyle w:val="Hyperlink"/>
            <w:rFonts w:ascii="Times New Roman" w:hAnsi="Times New Roman" w:cs="Times New Roman"/>
            <w:sz w:val="26"/>
            <w:szCs w:val="26"/>
          </w:rPr>
          <w:t>Attachment 5</w:t>
        </w:r>
      </w:hyperlink>
      <w:r w:rsidRPr="0072600F">
        <w:rPr>
          <w:rFonts w:ascii="Times New Roman" w:hAnsi="Times New Roman" w:cs="Times New Roman"/>
          <w:sz w:val="26"/>
          <w:szCs w:val="26"/>
        </w:rPr>
        <w:t xml:space="preserve"> – Additional Operating Requirements for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s Transmission System and Affected Systems Needed to Support </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the</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Needs</w:t>
      </w:r>
    </w:p>
    <w:p w:rsidR="00503D78" w:rsidRPr="0072600F" w14:paraId="4BC23727" w14:textId="77777777">
      <w:pPr>
        <w:rPr>
          <w:rFonts w:ascii="Times New Roman" w:hAnsi="Times New Roman" w:cs="Times New Roman"/>
          <w:bCs/>
          <w:sz w:val="26"/>
          <w:szCs w:val="26"/>
        </w:rPr>
      </w:pPr>
      <w:hyperlink w:anchor="Attachment6" w:history="1">
        <w:r w:rsidRPr="0072600F">
          <w:rPr>
            <w:rStyle w:val="Hyperlink"/>
            <w:rFonts w:ascii="Times New Roman" w:hAnsi="Times New Roman" w:cs="Times New Roman"/>
            <w:sz w:val="26"/>
            <w:szCs w:val="26"/>
          </w:rPr>
          <w:t>Attachment 6</w:t>
        </w:r>
      </w:hyperlink>
      <w:r w:rsidRPr="0072600F">
        <w:rPr>
          <w:rFonts w:ascii="Times New Roman" w:hAnsi="Times New Roman" w:cs="Times New Roman"/>
          <w:sz w:val="26"/>
          <w:szCs w:val="26"/>
        </w:rPr>
        <w:t xml:space="preserve"> –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Description of its Upgrades and Best Estimate of Upgrade Costs</w:t>
      </w:r>
    </w:p>
    <w:p w:rsidR="00503D78" w:rsidRPr="0072600F" w14:paraId="74CAA55D" w14:textId="77777777">
      <w:pPr>
        <w:rPr>
          <w:rFonts w:ascii="Times New Roman" w:hAnsi="Times New Roman" w:cs="Times New Roman"/>
          <w:b/>
          <w:bCs/>
          <w:sz w:val="26"/>
          <w:szCs w:val="26"/>
        </w:rPr>
        <w:sectPr>
          <w:footerReference w:type="default" r:id="rId69"/>
          <w:footnotePr>
            <w:numFmt w:val="lowerLetter"/>
          </w:footnotePr>
          <w:endnotePr>
            <w:numFmt w:val="lowerLetter"/>
          </w:endnotePr>
          <w:pgSz w:w="12240" w:h="15840" w:code="1"/>
          <w:pgMar w:top="1440" w:right="1440" w:bottom="1440" w:left="1440" w:header="1440" w:footer="1440" w:gutter="0"/>
          <w:pgNumType w:fmt="lowerRoman" w:start="1"/>
          <w:cols w:space="720"/>
        </w:sectPr>
      </w:pPr>
    </w:p>
    <w:p w:rsidR="00503D78" w:rsidRPr="0072600F" w14:paraId="1D36C498" w14:textId="77777777">
      <w:pPr>
        <w:rPr>
          <w:rFonts w:ascii="Times New Roman" w:hAnsi="Times New Roman" w:cs="Times New Roman"/>
          <w:sz w:val="26"/>
          <w:szCs w:val="26"/>
        </w:rPr>
      </w:pPr>
      <w:r w:rsidRPr="0072600F">
        <w:rPr>
          <w:rFonts w:ascii="Times New Roman" w:hAnsi="Times New Roman" w:cs="Times New Roman"/>
          <w:sz w:val="26"/>
          <w:szCs w:val="26"/>
        </w:rPr>
        <w:t>This Interconnection Agreement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Agreement</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is made and entered into this ________ day of ________________, 20__, by ___________________________________________________</w:t>
      </w:r>
    </w:p>
    <w:p w:rsidR="00503D78" w:rsidRPr="0072600F" w14:paraId="5920AC98"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Transmission Provider</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and _________________________________________________</w:t>
      </w:r>
    </w:p>
    <w:p w:rsidR="00503D78" w:rsidRPr="0072600F" w14:paraId="558A37F5" w14:textId="77777777">
      <w:pPr>
        <w:rPr>
          <w:rFonts w:ascii="Times New Roman" w:hAnsi="Times New Roman" w:cs="Times New Roman"/>
          <w:sz w:val="26"/>
          <w:szCs w:val="26"/>
        </w:rPr>
      </w:pPr>
      <w:r w:rsidRPr="0072600F">
        <w:rPr>
          <w:rFonts w:ascii="Times New Roman" w:hAnsi="Times New Roman" w:cs="Times New Roman"/>
          <w:sz w:val="26"/>
          <w:szCs w:val="26"/>
        </w:rPr>
        <w:t>(</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Interconnection Customer</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each hereinafter sometimes referred to individually as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Party</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or both referred to collectively as the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Parties.</w:t>
      </w:r>
      <w:r w:rsidRPr="0072600F" w:rsidR="00137D5E">
        <w:rPr>
          <w:rFonts w:ascii="Times New Roman" w:hAnsi="Times New Roman" w:cs="Times New Roman"/>
          <w:sz w:val="26"/>
          <w:szCs w:val="26"/>
        </w:rPr>
        <w:t>”</w:t>
      </w:r>
    </w:p>
    <w:p w:rsidR="00503D78" w:rsidRPr="0072600F" w14:paraId="32918BB2" w14:textId="77777777">
      <w:pPr>
        <w:rPr>
          <w:rFonts w:ascii="Times New Roman" w:hAnsi="Times New Roman" w:cs="Times New Roman"/>
          <w:sz w:val="26"/>
          <w:szCs w:val="26"/>
        </w:rPr>
      </w:pPr>
    </w:p>
    <w:p w:rsidR="00503D78" w:rsidRPr="0072600F" w14:paraId="14A8EF67" w14:textId="77777777">
      <w:pPr>
        <w:tabs>
          <w:tab w:val="left" w:pos="5040"/>
        </w:tabs>
        <w:rPr>
          <w:rFonts w:ascii="Times New Roman" w:hAnsi="Times New Roman" w:cs="Times New Roman"/>
          <w:b/>
          <w:bCs/>
          <w:sz w:val="26"/>
          <w:szCs w:val="26"/>
        </w:rPr>
      </w:pPr>
      <w:r w:rsidRPr="0072600F">
        <w:rPr>
          <w:rFonts w:ascii="Times New Roman" w:hAnsi="Times New Roman" w:cs="Times New Roman"/>
          <w:b/>
          <w:bCs/>
          <w:sz w:val="26"/>
          <w:szCs w:val="26"/>
        </w:rPr>
        <w:t>Transmission Provider Information</w:t>
      </w:r>
    </w:p>
    <w:p w:rsidR="00503D78" w:rsidRPr="0072600F" w14:paraId="2FF4FDB0" w14:textId="77777777">
      <w:pPr>
        <w:rPr>
          <w:rFonts w:ascii="Times New Roman" w:hAnsi="Times New Roman" w:cs="Times New Roman"/>
          <w:sz w:val="26"/>
          <w:szCs w:val="26"/>
        </w:rPr>
      </w:pPr>
    </w:p>
    <w:p w:rsidR="00503D78" w:rsidRPr="0072600F" w14:paraId="64B51669" w14:textId="77777777">
      <w:pPr>
        <w:ind w:left="720"/>
        <w:rPr>
          <w:rFonts w:ascii="Times New Roman" w:hAnsi="Times New Roman" w:cs="Times New Roman"/>
          <w:sz w:val="26"/>
          <w:szCs w:val="26"/>
        </w:rPr>
      </w:pPr>
      <w:r w:rsidRPr="0072600F">
        <w:rPr>
          <w:rFonts w:ascii="Times New Roman" w:hAnsi="Times New Roman" w:cs="Times New Roman"/>
          <w:sz w:val="26"/>
          <w:szCs w:val="26"/>
        </w:rPr>
        <w:t>Transmission Provider: ______________________________________________</w:t>
      </w:r>
    </w:p>
    <w:p w:rsidR="00503D78" w:rsidRPr="0072600F" w14:paraId="1229B34F"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_________________________________________________________</w:t>
      </w:r>
    </w:p>
    <w:p w:rsidR="00503D78" w:rsidRPr="0072600F" w14:paraId="64D08629"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2EB7B008"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 ______________ Zip: ______</w:t>
      </w:r>
    </w:p>
    <w:p w:rsidR="00503D78" w:rsidRPr="0072600F" w14:paraId="57E8F447"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1EF02BAD" w14:textId="77777777">
      <w:pPr>
        <w:rPr>
          <w:rFonts w:ascii="Times New Roman" w:hAnsi="Times New Roman" w:cs="Times New Roman"/>
          <w:sz w:val="26"/>
          <w:szCs w:val="26"/>
        </w:rPr>
      </w:pPr>
    </w:p>
    <w:p w:rsidR="00503D78" w:rsidRPr="0072600F" w14:paraId="7EC84431" w14:textId="77777777">
      <w:pPr>
        <w:tabs>
          <w:tab w:val="left" w:pos="5040"/>
        </w:tabs>
        <w:rPr>
          <w:rFonts w:ascii="Times New Roman" w:hAnsi="Times New Roman" w:cs="Times New Roman"/>
          <w:b/>
          <w:bCs/>
          <w:sz w:val="26"/>
          <w:szCs w:val="26"/>
        </w:rPr>
      </w:pPr>
      <w:r w:rsidRPr="0072600F">
        <w:rPr>
          <w:rFonts w:ascii="Times New Roman" w:hAnsi="Times New Roman" w:cs="Times New Roman"/>
          <w:b/>
          <w:bCs/>
          <w:sz w:val="26"/>
          <w:szCs w:val="26"/>
        </w:rPr>
        <w:t>Interconnection Customer Information</w:t>
      </w:r>
    </w:p>
    <w:p w:rsidR="00503D78" w:rsidRPr="0072600F" w14:paraId="63ECFC6B" w14:textId="77777777">
      <w:pPr>
        <w:rPr>
          <w:rFonts w:ascii="Times New Roman" w:hAnsi="Times New Roman" w:cs="Times New Roman"/>
          <w:sz w:val="26"/>
          <w:szCs w:val="26"/>
        </w:rPr>
      </w:pPr>
    </w:p>
    <w:p w:rsidR="00503D78" w:rsidRPr="0072600F" w14:paraId="159C6F03" w14:textId="77777777">
      <w:pPr>
        <w:ind w:left="720"/>
        <w:rPr>
          <w:rFonts w:ascii="Times New Roman" w:hAnsi="Times New Roman" w:cs="Times New Roman"/>
          <w:sz w:val="26"/>
          <w:szCs w:val="26"/>
        </w:rPr>
      </w:pPr>
      <w:r w:rsidRPr="0072600F">
        <w:rPr>
          <w:rFonts w:ascii="Times New Roman" w:hAnsi="Times New Roman" w:cs="Times New Roman"/>
          <w:sz w:val="26"/>
          <w:szCs w:val="26"/>
        </w:rPr>
        <w:t>Interconnection Customer: ____________________________________________</w:t>
      </w:r>
    </w:p>
    <w:p w:rsidR="00503D78" w:rsidRPr="0072600F" w14:paraId="2D5B8D46"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_________________________________________________________</w:t>
      </w:r>
    </w:p>
    <w:p w:rsidR="00503D78" w:rsidRPr="0072600F" w14:paraId="2C477F56"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4DECD5F7"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 ______________ Zip: ______</w:t>
      </w:r>
    </w:p>
    <w:p w:rsidR="00503D78" w:rsidRPr="0072600F" w14:paraId="11D948C3"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57C9271F" w14:textId="77777777">
      <w:pPr>
        <w:rPr>
          <w:rFonts w:ascii="Times New Roman" w:hAnsi="Times New Roman" w:cs="Times New Roman"/>
          <w:sz w:val="26"/>
          <w:szCs w:val="26"/>
        </w:rPr>
      </w:pPr>
    </w:p>
    <w:p w:rsidR="00503D78" w:rsidRPr="0072600F" w14:paraId="5AEEB8A3" w14:textId="77777777">
      <w:pPr>
        <w:rPr>
          <w:rFonts w:ascii="Times New Roman" w:hAnsi="Times New Roman" w:cs="Times New Roman"/>
          <w:sz w:val="26"/>
          <w:szCs w:val="26"/>
        </w:rPr>
      </w:pPr>
      <w:r w:rsidRPr="0072600F">
        <w:rPr>
          <w:rFonts w:ascii="Times New Roman" w:hAnsi="Times New Roman" w:cs="Times New Roman"/>
          <w:sz w:val="26"/>
          <w:szCs w:val="26"/>
        </w:rPr>
        <w:t>Interconnection Customer Application No: _____________</w:t>
      </w:r>
    </w:p>
    <w:p w:rsidR="00503D78" w:rsidRPr="0072600F" w14:paraId="132E2008" w14:textId="77777777">
      <w:pPr>
        <w:rPr>
          <w:rFonts w:ascii="Times New Roman" w:hAnsi="Times New Roman" w:cs="Times New Roman"/>
          <w:sz w:val="26"/>
          <w:szCs w:val="26"/>
        </w:rPr>
      </w:pPr>
    </w:p>
    <w:p w:rsidR="00503D78" w:rsidRPr="0072600F" w14:paraId="6B8F8C13" w14:textId="77777777">
      <w:pPr>
        <w:rPr>
          <w:rFonts w:ascii="Times New Roman" w:hAnsi="Times New Roman" w:cs="Times New Roman"/>
          <w:sz w:val="26"/>
          <w:szCs w:val="26"/>
        </w:rPr>
      </w:pPr>
      <w:r w:rsidRPr="0072600F">
        <w:rPr>
          <w:rFonts w:ascii="Times New Roman" w:hAnsi="Times New Roman" w:cs="Times New Roman"/>
          <w:sz w:val="26"/>
          <w:szCs w:val="26"/>
        </w:rPr>
        <w:t>In consideration of the mutual covenants set forth herein, the Parties agree as follows:</w:t>
      </w:r>
    </w:p>
    <w:p w:rsidR="00503D78" w:rsidRPr="0072600F" w14:paraId="7CFDA571" w14:textId="77777777">
      <w:pPr>
        <w:rPr>
          <w:rFonts w:ascii="Times New Roman" w:hAnsi="Times New Roman" w:cs="Times New Roman"/>
          <w:sz w:val="26"/>
          <w:szCs w:val="26"/>
        </w:rPr>
      </w:pPr>
    </w:p>
    <w:p w:rsidR="004F1050" w:rsidRPr="0072600F" w14:paraId="29C0D9A9" w14:textId="77777777">
      <w:pPr>
        <w:rPr>
          <w:rFonts w:ascii="Times New Roman" w:hAnsi="Times New Roman" w:cs="Times New Roman"/>
          <w:sz w:val="26"/>
          <w:szCs w:val="26"/>
        </w:rPr>
      </w:pPr>
    </w:p>
    <w:p w:rsidR="004F1050" w:rsidRPr="0072600F" w14:paraId="666AFABD" w14:textId="77777777">
      <w:pPr>
        <w:rPr>
          <w:rFonts w:ascii="Times New Roman" w:hAnsi="Times New Roman" w:cs="Times New Roman"/>
          <w:sz w:val="26"/>
          <w:szCs w:val="26"/>
        </w:rPr>
      </w:pPr>
    </w:p>
    <w:p w:rsidR="00503D78" w:rsidRPr="0072600F" w:rsidP="00655846" w14:paraId="31221667" w14:textId="77777777">
      <w:pPr>
        <w:pStyle w:val="Heading2"/>
        <w:rPr>
          <w:b/>
          <w:bCs/>
          <w:sz w:val="26"/>
          <w:szCs w:val="26"/>
        </w:rPr>
      </w:pPr>
      <w:bookmarkStart w:id="715" w:name="_Toc149901333"/>
      <w:r w:rsidRPr="0072600F">
        <w:rPr>
          <w:b/>
          <w:bCs/>
          <w:sz w:val="26"/>
          <w:szCs w:val="26"/>
        </w:rPr>
        <w:t>Article 1.  Scope and Limitations of Agreement</w:t>
      </w:r>
      <w:bookmarkEnd w:id="715"/>
    </w:p>
    <w:p w:rsidR="00503D78" w:rsidRPr="0072600F" w14:paraId="03C23CEC" w14:textId="77777777">
      <w:pPr>
        <w:rPr>
          <w:rFonts w:ascii="Times New Roman" w:hAnsi="Times New Roman" w:cs="Times New Roman"/>
          <w:sz w:val="26"/>
          <w:szCs w:val="26"/>
        </w:rPr>
      </w:pPr>
    </w:p>
    <w:p w:rsidR="00B53E37" w:rsidRPr="0072600F" w14:paraId="4DA7D27F" w14:textId="77777777">
      <w:pPr>
        <w:pStyle w:val="ListParagraph"/>
        <w:numPr>
          <w:ilvl w:val="1"/>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i/>
          <w:szCs w:val="26"/>
        </w:rPr>
        <w:t>Applicability</w:t>
      </w:r>
    </w:p>
    <w:p w:rsidR="00503D78" w:rsidRPr="0072600F" w:rsidP="00A67733" w14:paraId="3A4324C9" w14:textId="77777777">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szCs w:val="26"/>
        </w:rPr>
        <w:t>This Agreement shall be used for all Interconnection Requests submitted under the Small Generator Interconnection Procedures (SGIP) except for those submitted under the 10 kW Inverter Process contained in SGIP Attachment 5.</w:t>
      </w:r>
    </w:p>
    <w:p w:rsidR="00503D78" w:rsidRPr="0072600F" w14:paraId="3CE6F3E8" w14:textId="77777777">
      <w:pPr>
        <w:rPr>
          <w:rFonts w:ascii="Times New Roman" w:hAnsi="Times New Roman" w:cs="Times New Roman"/>
          <w:sz w:val="26"/>
          <w:szCs w:val="26"/>
        </w:rPr>
      </w:pPr>
    </w:p>
    <w:p w:rsidR="00B53E37" w:rsidRPr="0072600F" w14:paraId="0327F0AA" w14:textId="77777777">
      <w:pPr>
        <w:pStyle w:val="ListParagraph"/>
        <w:numPr>
          <w:ilvl w:val="1"/>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i/>
          <w:szCs w:val="26"/>
        </w:rPr>
        <w:t>Purpose</w:t>
      </w:r>
    </w:p>
    <w:p w:rsidR="00503D78" w:rsidRPr="0072600F" w:rsidP="00C37796" w14:paraId="2E485405" w14:textId="77777777">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szCs w:val="26"/>
        </w:rPr>
        <w:t xml:space="preserve">This Agreement governs the terms and conditions under which </w:t>
      </w:r>
      <w:r w:rsidRPr="0072600F" w:rsidR="00710007">
        <w:rPr>
          <w:szCs w:val="26"/>
        </w:rPr>
        <w:t>[</w:t>
      </w:r>
      <w:r w:rsidRPr="0072600F">
        <w:rPr>
          <w:szCs w:val="26"/>
        </w:rPr>
        <w:t>the</w:t>
      </w:r>
      <w:r w:rsidRPr="0072600F" w:rsidR="00710007">
        <w:rPr>
          <w:szCs w:val="26"/>
        </w:rPr>
        <w:t>]</w:t>
      </w:r>
      <w:r w:rsidRPr="0072600F">
        <w:rPr>
          <w:szCs w:val="26"/>
        </w:rPr>
        <w:t xml:space="preserve"> Interconnection Customer’s Small Generating Facility will interconnect with, and operate in parallel with, </w:t>
      </w:r>
      <w:r w:rsidRPr="0072600F" w:rsidR="00137D5E">
        <w:rPr>
          <w:szCs w:val="26"/>
        </w:rPr>
        <w:t>[</w:t>
      </w:r>
      <w:r w:rsidRPr="0072600F">
        <w:rPr>
          <w:szCs w:val="26"/>
        </w:rPr>
        <w:t>the</w:t>
      </w:r>
      <w:r w:rsidRPr="0072600F" w:rsidR="00137D5E">
        <w:rPr>
          <w:szCs w:val="26"/>
        </w:rPr>
        <w:t>]</w:t>
      </w:r>
      <w:r w:rsidRPr="0072600F">
        <w:rPr>
          <w:szCs w:val="26"/>
        </w:rPr>
        <w:t xml:space="preserve"> </w:t>
      </w:r>
      <w:r w:rsidRPr="0072600F" w:rsidR="00BD11B3">
        <w:rPr>
          <w:szCs w:val="26"/>
        </w:rPr>
        <w:t>Transmission Provider’s</w:t>
      </w:r>
      <w:r w:rsidRPr="0072600F">
        <w:rPr>
          <w:szCs w:val="26"/>
        </w:rPr>
        <w:t xml:space="preserve"> Transmission System.</w:t>
      </w:r>
    </w:p>
    <w:p w:rsidR="00503D78" w:rsidRPr="0072600F" w14:paraId="27CC086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B53E37" w:rsidRPr="0072600F" w14:paraId="596A436F" w14:textId="77777777">
      <w:pPr>
        <w:pStyle w:val="ListParagraph"/>
        <w:numPr>
          <w:ilvl w:val="1"/>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i/>
          <w:szCs w:val="26"/>
        </w:rPr>
        <w:t>No Agreement to Purchase or Deliver Power</w:t>
      </w:r>
    </w:p>
    <w:p w:rsidR="00503D78" w:rsidRPr="0072600F" w:rsidP="00C37796" w14:paraId="5CA9DD21" w14:textId="77777777">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szCs w:val="26"/>
        </w:rPr>
        <w:t xml:space="preserve">This Agreement does not constitute an agreement to purchase or deliver </w:t>
      </w:r>
      <w:r w:rsidRPr="0072600F" w:rsidR="00710007">
        <w:rPr>
          <w:szCs w:val="26"/>
        </w:rPr>
        <w:t>[</w:t>
      </w:r>
      <w:r w:rsidRPr="0072600F">
        <w:rPr>
          <w:szCs w:val="26"/>
        </w:rPr>
        <w:t>the</w:t>
      </w:r>
      <w:r w:rsidRPr="0072600F" w:rsidR="00710007">
        <w:rPr>
          <w:szCs w:val="26"/>
        </w:rPr>
        <w:t>]</w:t>
      </w:r>
      <w:r w:rsidRPr="0072600F">
        <w:rPr>
          <w:szCs w:val="26"/>
        </w:rPr>
        <w:t xml:space="preserve"> Interconnection Customer</w:t>
      </w:r>
      <w:r w:rsidRPr="0072600F" w:rsidR="00137D5E">
        <w:rPr>
          <w:szCs w:val="26"/>
        </w:rPr>
        <w:t>’</w:t>
      </w:r>
      <w:r w:rsidRPr="0072600F">
        <w:rPr>
          <w:szCs w:val="26"/>
        </w:rPr>
        <w:t xml:space="preserve">s power.  The purchase or delivery of power and other services that </w:t>
      </w:r>
      <w:r w:rsidRPr="0072600F" w:rsidR="00DC2BC4">
        <w:rPr>
          <w:szCs w:val="26"/>
        </w:rPr>
        <w:t>[</w:t>
      </w:r>
      <w:r w:rsidRPr="0072600F">
        <w:rPr>
          <w:szCs w:val="26"/>
        </w:rPr>
        <w:t>the</w:t>
      </w:r>
      <w:r w:rsidRPr="0072600F" w:rsidR="00C13BF4">
        <w:rPr>
          <w:szCs w:val="26"/>
        </w:rPr>
        <w:t>]</w:t>
      </w:r>
      <w:r w:rsidRPr="0072600F">
        <w:rPr>
          <w:szCs w:val="26"/>
        </w:rPr>
        <w:t xml:space="preserve"> Interconnection Customer may require will be covered under separate agreements, if any.  </w:t>
      </w:r>
      <w:r w:rsidRPr="0072600F" w:rsidR="00C13BF4">
        <w:rPr>
          <w:szCs w:val="26"/>
        </w:rPr>
        <w:t>[</w:t>
      </w:r>
      <w:r w:rsidRPr="0072600F">
        <w:rPr>
          <w:szCs w:val="26"/>
        </w:rPr>
        <w:t>The</w:t>
      </w:r>
      <w:r w:rsidRPr="0072600F" w:rsidR="00C13BF4">
        <w:rPr>
          <w:szCs w:val="26"/>
        </w:rPr>
        <w:t>]</w:t>
      </w:r>
      <w:r w:rsidRPr="0072600F">
        <w:rPr>
          <w:szCs w:val="26"/>
        </w:rPr>
        <w:t xml:space="preserve"> Interconnection Customer will be responsible for separately making all necessary arrangements (including scheduling) for delivery of electricity with the applicable Transmission Provider.</w:t>
      </w:r>
    </w:p>
    <w:p w:rsidR="00503D78" w:rsidRPr="0072600F" w14:paraId="7B9512B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B53E37" w:rsidRPr="0072600F" w14:paraId="20FC5E50" w14:textId="77777777">
      <w:pPr>
        <w:pStyle w:val="ListParagraph"/>
        <w:numPr>
          <w:ilvl w:val="1"/>
          <w:numId w:val="17"/>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i/>
          <w:szCs w:val="26"/>
        </w:rPr>
        <w:t>Limitations</w:t>
      </w:r>
    </w:p>
    <w:p w:rsidR="00503D78" w:rsidRPr="0072600F" w:rsidP="00C37796" w14:paraId="0CBAD68B" w14:textId="77777777">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szCs w:val="26"/>
        </w:rPr>
        <w:t xml:space="preserve">Nothing in this Agreement is intended to affect any other agreement between </w:t>
      </w:r>
      <w:r w:rsidRPr="0072600F" w:rsidR="00137D5E">
        <w:rPr>
          <w:szCs w:val="26"/>
        </w:rPr>
        <w:t>[</w:t>
      </w:r>
      <w:r w:rsidRPr="0072600F">
        <w:rPr>
          <w:szCs w:val="26"/>
        </w:rPr>
        <w:t>the</w:t>
      </w:r>
      <w:r w:rsidRPr="0072600F" w:rsidR="00137D5E">
        <w:rPr>
          <w:szCs w:val="26"/>
        </w:rPr>
        <w:t>]</w:t>
      </w:r>
      <w:r w:rsidRPr="0072600F">
        <w:rPr>
          <w:szCs w:val="26"/>
        </w:rPr>
        <w:t xml:space="preserve"> Transmission Provider and </w:t>
      </w:r>
      <w:r w:rsidRPr="0072600F" w:rsidR="00710007">
        <w:rPr>
          <w:szCs w:val="26"/>
        </w:rPr>
        <w:t>[</w:t>
      </w:r>
      <w:r w:rsidRPr="0072600F">
        <w:rPr>
          <w:szCs w:val="26"/>
        </w:rPr>
        <w:t>the</w:t>
      </w:r>
      <w:r w:rsidRPr="0072600F" w:rsidR="00710007">
        <w:rPr>
          <w:szCs w:val="26"/>
        </w:rPr>
        <w:t>]</w:t>
      </w:r>
      <w:r w:rsidRPr="0072600F">
        <w:rPr>
          <w:szCs w:val="26"/>
        </w:rPr>
        <w:t xml:space="preserve"> Interconnection Customer.</w:t>
      </w:r>
    </w:p>
    <w:p w:rsidR="00503D78" w:rsidRPr="0072600F" w14:paraId="76C53DC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bCs/>
          <w:sz w:val="26"/>
          <w:szCs w:val="26"/>
        </w:rPr>
      </w:pPr>
    </w:p>
    <w:p w:rsidR="00503D78" w:rsidRPr="0072600F" w:rsidP="00137D5E" w14:paraId="07E0E13B" w14:textId="77777777">
      <w:pPr>
        <w:pStyle w:val="TableParagraph"/>
        <w:rPr>
          <w:sz w:val="26"/>
          <w:szCs w:val="26"/>
        </w:rPr>
      </w:pPr>
      <w:bookmarkStart w:id="716" w:name="_Toc149901338"/>
      <w:r w:rsidRPr="0072600F">
        <w:rPr>
          <w:sz w:val="26"/>
          <w:szCs w:val="26"/>
        </w:rPr>
        <w:t>1.5</w:t>
      </w:r>
      <w:r w:rsidRPr="0072600F">
        <w:rPr>
          <w:sz w:val="26"/>
          <w:szCs w:val="26"/>
        </w:rPr>
        <w:tab/>
        <w:t>Responsibilities of the Parties</w:t>
      </w:r>
      <w:bookmarkEnd w:id="716"/>
    </w:p>
    <w:p w:rsidR="00503D78" w:rsidRPr="0072600F" w14:paraId="592D3C5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cs="Times New Roman"/>
          <w:sz w:val="26"/>
          <w:szCs w:val="26"/>
        </w:rPr>
      </w:pPr>
    </w:p>
    <w:p w:rsidR="00503D78" w:rsidRPr="0072600F" w:rsidP="00137D5E" w14:paraId="3771DB3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17" w:name="_Toc149901339"/>
      <w:r w:rsidRPr="0072600F">
        <w:rPr>
          <w:rStyle w:val="Heading3Char"/>
          <w:rFonts w:eastAsiaTheme="minorHAnsi"/>
          <w:sz w:val="26"/>
        </w:rPr>
        <w:t>1.5.1</w:t>
      </w:r>
      <w:bookmarkEnd w:id="717"/>
      <w:r w:rsidRPr="0072600F">
        <w:rPr>
          <w:rFonts w:ascii="Times New Roman" w:hAnsi="Times New Roman" w:cs="Times New Roman"/>
          <w:sz w:val="26"/>
          <w:szCs w:val="26"/>
        </w:rPr>
        <w:tab/>
        <w:t>The Parties shall perform all obligations of this Agreement in accordance with all Applicable Laws and Regulations, Operating Requirements, and Good Utility Practice.</w:t>
      </w:r>
    </w:p>
    <w:p w:rsidR="00503D78" w:rsidRPr="0072600F" w14:paraId="25F454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p>
    <w:p w:rsidR="00503D78" w:rsidRPr="0072600F" w:rsidP="00137D5E" w14:paraId="29606BE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18" w:name="_Toc149901340"/>
      <w:r w:rsidRPr="0072600F">
        <w:rPr>
          <w:rStyle w:val="Heading3Char"/>
          <w:rFonts w:eastAsiaTheme="minorHAnsi"/>
          <w:sz w:val="26"/>
        </w:rPr>
        <w:t>1.5.2</w:t>
      </w:r>
      <w:bookmarkEnd w:id="718"/>
      <w:r w:rsidRPr="0072600F">
        <w:rPr>
          <w:rFonts w:ascii="Times New Roman" w:hAnsi="Times New Roman" w:cs="Times New Roman"/>
          <w:sz w:val="26"/>
          <w:szCs w:val="26"/>
        </w:rPr>
        <w:tab/>
      </w:r>
      <w:r w:rsidRPr="0072600F" w:rsidR="00C13BF4">
        <w:rPr>
          <w:rFonts w:ascii="Times New Roman" w:hAnsi="Times New Roman" w:cs="Times New Roman"/>
          <w:sz w:val="26"/>
          <w:szCs w:val="26"/>
        </w:rPr>
        <w:t>[</w:t>
      </w:r>
      <w:r w:rsidRPr="0072600F">
        <w:rPr>
          <w:rFonts w:ascii="Times New Roman" w:hAnsi="Times New Roman" w:cs="Times New Roman"/>
          <w:sz w:val="26"/>
          <w:szCs w:val="26"/>
        </w:rPr>
        <w:t>The</w:t>
      </w:r>
      <w:r w:rsidRPr="0072600F" w:rsidR="00C13BF4">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p>
    <w:p w:rsidR="00503D78" w:rsidRPr="0072600F" w14:paraId="7319341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p>
    <w:p w:rsidR="00503D78" w:rsidRPr="0072600F" w14:paraId="28F0641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19" w:name="_Toc149901341"/>
      <w:r w:rsidRPr="0072600F">
        <w:rPr>
          <w:rStyle w:val="Heading3Char"/>
          <w:rFonts w:eastAsiaTheme="minorHAnsi"/>
          <w:sz w:val="26"/>
        </w:rPr>
        <w:t>1.5.3</w:t>
      </w:r>
      <w:bookmarkEnd w:id="719"/>
      <w:r w:rsidRPr="0072600F">
        <w:rPr>
          <w:rFonts w:ascii="Times New Roman" w:hAnsi="Times New Roman" w:cs="Times New Roman"/>
          <w:sz w:val="26"/>
          <w:szCs w:val="26"/>
        </w:rPr>
        <w:tab/>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construct, operate, and maintain its Transmission System and Interconnection Facilities in accordance with this Agreement, and with Good Utility Practice.</w:t>
      </w:r>
    </w:p>
    <w:p w:rsidR="00503D78" w:rsidRPr="0072600F" w14:paraId="293DC6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cs="Times New Roman"/>
          <w:sz w:val="26"/>
          <w:szCs w:val="26"/>
        </w:rPr>
      </w:pPr>
    </w:p>
    <w:p w:rsidR="00503D78" w:rsidRPr="0072600F" w14:paraId="41E9F45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20" w:name="_Toc149901342"/>
      <w:r w:rsidRPr="0072600F">
        <w:rPr>
          <w:rStyle w:val="Heading3Char"/>
          <w:rFonts w:eastAsiaTheme="minorHAnsi"/>
          <w:sz w:val="26"/>
        </w:rPr>
        <w:t>1.5.4</w:t>
      </w:r>
      <w:bookmarkEnd w:id="720"/>
      <w:r w:rsidRPr="0072600F">
        <w:rPr>
          <w:rFonts w:ascii="Times New Roman" w:hAnsi="Times New Roman" w:cs="Times New Roman"/>
          <w:sz w:val="26"/>
          <w:szCs w:val="26"/>
        </w:rPr>
        <w:tab/>
      </w:r>
      <w:r w:rsidRPr="0072600F" w:rsidR="00C13BF4">
        <w:rPr>
          <w:rFonts w:ascii="Times New Roman" w:hAnsi="Times New Roman" w:cs="Times New Roman"/>
          <w:sz w:val="26"/>
          <w:szCs w:val="26"/>
        </w:rPr>
        <w:t>[</w:t>
      </w:r>
      <w:r w:rsidRPr="0072600F">
        <w:rPr>
          <w:rFonts w:ascii="Times New Roman" w:hAnsi="Times New Roman" w:cs="Times New Roman"/>
          <w:sz w:val="26"/>
          <w:szCs w:val="26"/>
        </w:rPr>
        <w:t>The</w:t>
      </w:r>
      <w:r w:rsidRPr="0072600F" w:rsidR="00C13BF4">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w:t>
      </w:r>
      <w:r w:rsidRPr="0072600F" w:rsidR="00410154">
        <w:rPr>
          <w:rFonts w:ascii="Times New Roman" w:hAnsi="Times New Roman" w:cs="Times New Roman"/>
          <w:sz w:val="26"/>
          <w:szCs w:val="26"/>
        </w:rPr>
        <w:t>[</w:t>
      </w:r>
      <w:r w:rsidRPr="0072600F">
        <w:rPr>
          <w:rFonts w:ascii="Times New Roman" w:hAnsi="Times New Roman" w:cs="Times New Roman"/>
          <w:sz w:val="26"/>
          <w:szCs w:val="26"/>
        </w:rPr>
        <w:t>The</w:t>
      </w:r>
      <w:r w:rsidRPr="0072600F" w:rsidR="00410154">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agrees to design, install, maintain, and operate its Small Generating Facility so as to reasonably minimize the likelihood of a disturbance adversely affecting or impairing the system or equipment of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any Affected Systems.</w:t>
      </w:r>
    </w:p>
    <w:p w:rsidR="00503D78" w:rsidRPr="0072600F" w14:paraId="4750591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cs="Times New Roman"/>
          <w:sz w:val="26"/>
          <w:szCs w:val="26"/>
        </w:rPr>
      </w:pPr>
    </w:p>
    <w:p w:rsidR="00503D78" w:rsidRPr="0072600F" w14:paraId="7076C83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21" w:name="_Toc149901343"/>
      <w:r w:rsidRPr="0072600F">
        <w:rPr>
          <w:rStyle w:val="Heading3Char"/>
          <w:rFonts w:eastAsiaTheme="minorHAnsi"/>
          <w:sz w:val="26"/>
        </w:rPr>
        <w:t>1.5.5</w:t>
      </w:r>
      <w:bookmarkEnd w:id="721"/>
      <w:r w:rsidRPr="0072600F">
        <w:rPr>
          <w:rFonts w:ascii="Times New Roman" w:hAnsi="Times New Roman" w:cs="Times New Roman"/>
          <w:sz w:val="26"/>
          <w:szCs w:val="26"/>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the</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as appropriate, shall provide Interconnection Facilities that adequately protect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personnel, and other persons from damage and injury.  The allocation of responsibility for the design, installation, operation, maintenance and ownership of Interconnection Facilities shall be delineated in the Attachments to this Agreement.</w:t>
      </w:r>
    </w:p>
    <w:p w:rsidR="00503D78" w:rsidRPr="0072600F" w14:paraId="17EC697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cs="Times New Roman"/>
          <w:sz w:val="26"/>
          <w:szCs w:val="26"/>
        </w:rPr>
      </w:pPr>
    </w:p>
    <w:p w:rsidR="00503D78" w:rsidRPr="0072600F" w14:paraId="639688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22" w:name="_Toc149901344"/>
      <w:r w:rsidRPr="0072600F">
        <w:rPr>
          <w:rStyle w:val="Heading3Char"/>
          <w:rFonts w:eastAsiaTheme="minorHAnsi"/>
          <w:sz w:val="26"/>
        </w:rPr>
        <w:t>1.5.6</w:t>
      </w:r>
      <w:bookmarkEnd w:id="722"/>
      <w:r w:rsidRPr="0072600F">
        <w:rPr>
          <w:rFonts w:ascii="Times New Roman" w:hAnsi="Times New Roman" w:cs="Times New Roman"/>
          <w:sz w:val="26"/>
          <w:szCs w:val="26"/>
        </w:rPr>
        <w:tab/>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coordinate with all Affected Systems to support the interconnection. </w:t>
      </w:r>
    </w:p>
    <w:p w:rsidR="00503D78" w:rsidRPr="0072600F" w14:paraId="20F58B1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p>
    <w:p w:rsidR="00503D78" w:rsidRPr="0072600F" w14:paraId="06E5BFA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723" w:name="_Toc149901345"/>
      <w:r w:rsidRPr="0072600F">
        <w:rPr>
          <w:rStyle w:val="Heading3Char"/>
          <w:rFonts w:eastAsiaTheme="minorHAnsi"/>
          <w:sz w:val="26"/>
        </w:rPr>
        <w:t>1.5.7</w:t>
      </w:r>
      <w:bookmarkEnd w:id="723"/>
      <w:r w:rsidRPr="0072600F">
        <w:rPr>
          <w:rFonts w:ascii="Times New Roman" w:hAnsi="Times New Roman" w:cs="Times New Roman"/>
          <w:sz w:val="26"/>
          <w:szCs w:val="26"/>
        </w:rPr>
        <w:tab/>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ensure “frequency ride through” capability and “voltage ride through” capability of its Small Generating Facility.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enable these capabilities such that its Small Generating Facility shall not disconnect automatically or instantaneously from the system or equipment of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any Affected Systems for a defined under-frequency or over-frequency condition, or an under-voltage or over-voltage condition, as tested pursuant to Section 2.1 of this agreement.  The defined conditions shall be in accordance with Good Utility Practice and consistent with any standards and guidelines that are applied to other generating facilities in the Balancing Authority Area on a comparable basis.  The Small Generating Facility’s protective equipment settings shall comply with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automatic load-shed program.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review the protective equipment settings to confirm compliance with the automatic load-shed program.  The term “ride through” as used herein shall mean the ability of a Small Generating Facility to stay connected to and synchronized with the system or equipment of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any Affected Systems during system disturbances within a range of conditions, in accordance with Good Utility Practice and consistent with any standards and guidelines that are applied to other generating facilities in the Balancing Authority </w:t>
      </w:r>
      <w:r w:rsidRPr="0072600F">
        <w:rPr>
          <w:rFonts w:ascii="Times New Roman" w:hAnsi="Times New Roman" w:cs="Times New Roman"/>
          <w:i/>
          <w:sz w:val="26"/>
          <w:szCs w:val="26"/>
        </w:rPr>
        <w:t>Area</w:t>
      </w:r>
      <w:r w:rsidRPr="0072600F">
        <w:rPr>
          <w:rFonts w:ascii="Times New Roman" w:hAnsi="Times New Roman" w:cs="Times New Roman"/>
          <w:sz w:val="26"/>
          <w:szCs w:val="26"/>
        </w:rPr>
        <w:t xml:space="preserve"> on a comparable basis.  The term “frequency ride through” as used herein shall mean the ability of a Small Generating Facility to stay connected to and synchronized with the system or equipment of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any Affected Systems during system disturbances within a range of under-frequency and over-frequency conditions, in accordance with Good Utility Practice and consistent with any standards and guidelines that are applied to other generating facilities in the Balancing Authority Area on a comparable basis.  The term “voltage ride through” as used herein shall mean the ability of a Small Generating Facility to stay connected to and synchronized with the system or equipment of </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the</w:t>
      </w:r>
      <w:r w:rsidRPr="0072600F" w:rsidR="00137D5E">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any Affected Systems during system disturbances within a range of under-voltage and over-voltage conditions, in accordance with Good Utility Practice and consistent with any standards and guidelines that are applied to other generating facilities in the Balancing Authority Area on a comparable basis.  For abnormal frequency conditions and voltage conditions within the “no trip zone” defined by Reliability Standard PRC-024-3 or successor mandatory ride through Applicable Reliability Standards,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w:t>
      </w:r>
      <w:r w:rsidRPr="0072600F" w:rsidR="007C0739">
        <w:rPr>
          <w:rFonts w:ascii="Times New Roman" w:hAnsi="Times New Roman" w:cs="Times New Roman"/>
          <w:sz w:val="26"/>
          <w:szCs w:val="26"/>
        </w:rPr>
        <w:t xml:space="preserve"> </w:t>
      </w:r>
      <w:r w:rsidRPr="0072600F" w:rsidR="007C0739">
        <w:rPr>
          <w:rFonts w:ascii="Times New Roman" w:hAnsi="Times New Roman" w:cs="Times New Roman"/>
          <w:i/>
          <w:iCs/>
          <w:sz w:val="26"/>
          <w:szCs w:val="26"/>
        </w:rPr>
        <w:t>unless reactive power priority mode is enabled or</w:t>
      </w:r>
      <w:r w:rsidRPr="0072600F">
        <w:rPr>
          <w:rFonts w:ascii="Times New Roman" w:hAnsi="Times New Roman" w:cs="Times New Roman"/>
          <w:sz w:val="26"/>
          <w:szCs w:val="26"/>
        </w:rPr>
        <w:t xml:space="preserve">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p>
    <w:p w:rsidR="00503D78" w:rsidRPr="0072600F" w14:paraId="36F662C1" w14:textId="77777777">
      <w:pPr>
        <w:ind w:left="720" w:hanging="720"/>
        <w:rPr>
          <w:rFonts w:ascii="Times New Roman" w:hAnsi="Times New Roman" w:cs="Times New Roman"/>
          <w:sz w:val="26"/>
          <w:szCs w:val="26"/>
        </w:rPr>
      </w:pPr>
    </w:p>
    <w:p w:rsidR="00503D78" w:rsidRPr="0072600F" w:rsidP="00C0509F" w14:paraId="25374DF9" w14:textId="77777777">
      <w:pPr>
        <w:pStyle w:val="TableParagraph"/>
        <w:rPr>
          <w:sz w:val="26"/>
          <w:szCs w:val="26"/>
        </w:rPr>
      </w:pPr>
      <w:bookmarkStart w:id="724" w:name="_Toc149901346"/>
      <w:r w:rsidRPr="0072600F">
        <w:rPr>
          <w:sz w:val="26"/>
          <w:szCs w:val="26"/>
        </w:rPr>
        <w:t>1.6</w:t>
      </w:r>
      <w:r w:rsidRPr="0072600F">
        <w:rPr>
          <w:sz w:val="26"/>
          <w:szCs w:val="26"/>
        </w:rPr>
        <w:tab/>
        <w:t>Parallel Operation Obligations</w:t>
      </w:r>
      <w:bookmarkEnd w:id="724"/>
    </w:p>
    <w:p w:rsidR="00503D78" w:rsidRPr="0072600F" w14:paraId="55B7045A"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Once the Small Generating Facility has been authorized to commence parallel operation,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abide by all rules and procedures pertaining to the parallel operation of the Small Generating Facility in the applicable Balancing Authority Area, including, but not limited to; 1) the rules and procedures concerning the operation of generation set forth in the Tariff or by the applicable system operator(s) for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and; 2) the Operating Requirements set forth in Attachment 5 of this Agreement.</w:t>
      </w:r>
    </w:p>
    <w:p w:rsidR="00503D78" w:rsidRPr="0072600F" w14:paraId="692EC1B1" w14:textId="77777777">
      <w:pPr>
        <w:rPr>
          <w:rFonts w:ascii="Times New Roman" w:hAnsi="Times New Roman" w:cs="Times New Roman"/>
          <w:sz w:val="26"/>
          <w:szCs w:val="26"/>
        </w:rPr>
      </w:pPr>
    </w:p>
    <w:p w:rsidR="00503D78" w:rsidRPr="0072600F" w:rsidP="00AD4DC4" w14:paraId="41C98AB4" w14:textId="77777777">
      <w:pPr>
        <w:pStyle w:val="TableParagraph"/>
        <w:rPr>
          <w:sz w:val="26"/>
          <w:szCs w:val="26"/>
        </w:rPr>
      </w:pPr>
      <w:bookmarkStart w:id="725" w:name="_Toc149901347"/>
      <w:r w:rsidRPr="0072600F">
        <w:rPr>
          <w:sz w:val="26"/>
          <w:szCs w:val="26"/>
        </w:rPr>
        <w:t>1.7</w:t>
      </w:r>
      <w:r w:rsidRPr="0072600F">
        <w:rPr>
          <w:sz w:val="26"/>
          <w:szCs w:val="26"/>
        </w:rPr>
        <w:tab/>
        <w:t>Metering</w:t>
      </w:r>
      <w:bookmarkEnd w:id="725"/>
    </w:p>
    <w:p w:rsidR="00503D78" w:rsidRPr="0072600F" w14:paraId="6BDAE85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be responsible for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reasonable and necessary cost for the purchase, installation, operation, maintenance, testing, repair, and replacement of metering and data acquisition equipment specified in Attachments 2 and 3 of this Agreement.  </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The</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s metering (and data acquisition, as required) equipment shall conform to applicable industry rules and Operating Requirements.</w:t>
      </w:r>
    </w:p>
    <w:p w:rsidR="00503D78" w:rsidRPr="0072600F" w14:paraId="4810405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p>
    <w:p w:rsidR="00503D78" w:rsidRPr="0072600F" w:rsidP="00AD4DC4" w14:paraId="32818228" w14:textId="77777777">
      <w:pPr>
        <w:pStyle w:val="TableParagraph"/>
        <w:rPr>
          <w:sz w:val="26"/>
          <w:szCs w:val="26"/>
        </w:rPr>
      </w:pPr>
      <w:bookmarkStart w:id="726" w:name="_Toc149901348"/>
      <w:r w:rsidRPr="0072600F">
        <w:rPr>
          <w:sz w:val="26"/>
          <w:szCs w:val="26"/>
        </w:rPr>
        <w:t>1.8</w:t>
      </w:r>
      <w:r w:rsidRPr="0072600F">
        <w:rPr>
          <w:sz w:val="26"/>
          <w:szCs w:val="26"/>
        </w:rPr>
        <w:tab/>
        <w:t>Reactive Power</w:t>
      </w:r>
      <w:bookmarkStart w:id="727" w:name="_Toc53299771"/>
      <w:bookmarkStart w:id="728" w:name="_Toc53373243"/>
      <w:bookmarkStart w:id="729" w:name="_Toc61921319"/>
      <w:bookmarkStart w:id="730" w:name="_Toc65983928"/>
      <w:bookmarkEnd w:id="727"/>
      <w:bookmarkEnd w:id="728"/>
      <w:bookmarkEnd w:id="729"/>
      <w:bookmarkEnd w:id="730"/>
      <w:r w:rsidRPr="0072600F">
        <w:rPr>
          <w:sz w:val="26"/>
          <w:szCs w:val="26"/>
        </w:rPr>
        <w:t xml:space="preserve"> and Primary Frequency Response</w:t>
      </w:r>
      <w:bookmarkEnd w:id="726"/>
    </w:p>
    <w:p w:rsidR="00503D78" w:rsidRPr="0072600F" w14:paraId="2D6AFA9F" w14:textId="77777777">
      <w:pPr>
        <w:rPr>
          <w:rFonts w:ascii="Times New Roman" w:hAnsi="Times New Roman" w:cs="Times New Roman"/>
          <w:sz w:val="26"/>
          <w:szCs w:val="26"/>
        </w:rPr>
      </w:pPr>
    </w:p>
    <w:p w:rsidR="00503D78" w:rsidRPr="0072600F" w:rsidP="00AD4DC4" w14:paraId="7C1D612D" w14:textId="77777777">
      <w:pPr>
        <w:pStyle w:val="TableParagraph"/>
        <w:ind w:firstLine="612"/>
        <w:rPr>
          <w:sz w:val="26"/>
          <w:szCs w:val="26"/>
        </w:rPr>
      </w:pPr>
      <w:bookmarkStart w:id="731" w:name="_Toc149901349"/>
      <w:r w:rsidRPr="0072600F">
        <w:rPr>
          <w:sz w:val="26"/>
          <w:szCs w:val="26"/>
        </w:rPr>
        <w:t>1.8.1</w:t>
      </w:r>
      <w:r w:rsidRPr="0072600F">
        <w:rPr>
          <w:sz w:val="26"/>
          <w:szCs w:val="26"/>
        </w:rPr>
        <w:tab/>
        <w:t>Power Factor Design Criteria</w:t>
      </w:r>
      <w:bookmarkEnd w:id="731"/>
    </w:p>
    <w:p w:rsidR="00503D78" w:rsidRPr="0072600F" w14:paraId="0E25FD20" w14:textId="77777777">
      <w:pPr>
        <w:ind w:left="1440" w:hanging="720"/>
        <w:rPr>
          <w:rFonts w:ascii="Times New Roman" w:hAnsi="Times New Roman" w:cs="Times New Roman"/>
          <w:sz w:val="26"/>
          <w:szCs w:val="26"/>
        </w:rPr>
      </w:pPr>
    </w:p>
    <w:p w:rsidR="00503D78" w:rsidRPr="0072600F" w14:paraId="626C7F2D" w14:textId="77777777">
      <w:pPr>
        <w:ind w:left="2160" w:hanging="720"/>
        <w:rPr>
          <w:rFonts w:ascii="Times New Roman" w:hAnsi="Times New Roman" w:cs="Times New Roman"/>
          <w:sz w:val="26"/>
          <w:szCs w:val="26"/>
        </w:rPr>
      </w:pPr>
      <w:r w:rsidRPr="0072600F">
        <w:rPr>
          <w:rStyle w:val="Heading4Char"/>
          <w:rFonts w:eastAsiaTheme="minorHAnsi"/>
          <w:sz w:val="26"/>
        </w:rPr>
        <w:t>1.8.1.1</w:t>
      </w:r>
      <w:r w:rsidRPr="0072600F">
        <w:rPr>
          <w:rStyle w:val="Heading4Char"/>
          <w:rFonts w:eastAsiaTheme="minorHAnsi"/>
          <w:sz w:val="26"/>
        </w:rPr>
        <w:tab/>
        <w:t>Synchronous Generation.</w:t>
      </w:r>
      <w:r w:rsidRPr="0072600F">
        <w:rPr>
          <w:rFonts w:ascii="Times New Roman" w:hAnsi="Times New Roman" w:cs="Times New Roman"/>
          <w:sz w:val="26"/>
          <w:szCs w:val="26"/>
        </w:rPr>
        <w:t xml:space="preserve">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design its Small Generating Facility to maintain a composite power delivery at continuous rated power output at the Point of Interconnection at a power factor within the range of 0.95 leading to 0.95 lagging, unless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has established different requirements that apply to all similarly situated synchronous generators in the Balancing Authority Area on a comparable basis. </w:t>
      </w:r>
    </w:p>
    <w:p w:rsidR="00503D78" w:rsidRPr="0072600F" w14:paraId="7757D748" w14:textId="77777777">
      <w:pPr>
        <w:ind w:left="2160" w:hanging="720"/>
        <w:rPr>
          <w:rFonts w:ascii="Times New Roman" w:hAnsi="Times New Roman" w:cs="Times New Roman"/>
          <w:sz w:val="26"/>
          <w:szCs w:val="26"/>
        </w:rPr>
      </w:pPr>
    </w:p>
    <w:p w:rsidR="00503D78" w:rsidRPr="0072600F" w14:paraId="7FEAE19C" w14:textId="77777777">
      <w:pPr>
        <w:ind w:left="2160" w:hanging="720"/>
        <w:rPr>
          <w:rFonts w:ascii="Times New Roman" w:hAnsi="Times New Roman" w:cs="Times New Roman"/>
          <w:sz w:val="26"/>
          <w:szCs w:val="26"/>
        </w:rPr>
      </w:pPr>
      <w:r w:rsidRPr="0072600F">
        <w:rPr>
          <w:rStyle w:val="Heading4Char"/>
          <w:rFonts w:eastAsiaTheme="minorHAnsi"/>
          <w:sz w:val="26"/>
        </w:rPr>
        <w:t>1.8.1.2</w:t>
      </w:r>
      <w:r w:rsidRPr="0072600F">
        <w:rPr>
          <w:rStyle w:val="Heading4Char"/>
          <w:rFonts w:eastAsiaTheme="minorHAnsi"/>
          <w:sz w:val="26"/>
        </w:rPr>
        <w:tab/>
        <w:t>Non-Synchronous Generation.</w:t>
      </w:r>
      <w:r w:rsidRPr="0072600F">
        <w:rPr>
          <w:rFonts w:ascii="Times New Roman" w:hAnsi="Times New Roman" w:cs="Times New Roman"/>
          <w:sz w:val="26"/>
          <w:szCs w:val="26"/>
        </w:rPr>
        <w:t xml:space="preserve">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design its Small Generating Facility to maintain a composite power delivery at continuous rated power output at the high-side of the generator substation at a power factor within the range of 0.95 leading to 0.95 lagging, unless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has established a different power factor range that applies to all similarly situated non-synchronous generators in the Balancing Authority Area on a comparable basis.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interconnecting non-synchronous generators that have not yet executed a Facilities Study Agreement as of the effective date of the Final Rule establishing this requirement (Order No. 827).</w:t>
      </w:r>
    </w:p>
    <w:p w:rsidR="00503D78" w:rsidRPr="0072600F" w14:paraId="70DE12A2" w14:textId="77777777">
      <w:pPr>
        <w:ind w:left="2160" w:hanging="1440"/>
        <w:rPr>
          <w:rFonts w:ascii="Times New Roman" w:hAnsi="Times New Roman" w:cs="Times New Roman"/>
          <w:sz w:val="26"/>
          <w:szCs w:val="26"/>
        </w:rPr>
      </w:pPr>
    </w:p>
    <w:p w:rsidR="00503D78" w:rsidRPr="0072600F" w14:paraId="127DBF86" w14:textId="77777777">
      <w:pPr>
        <w:ind w:left="1440" w:hanging="720"/>
        <w:rPr>
          <w:rFonts w:ascii="Times New Roman" w:hAnsi="Times New Roman" w:cs="Times New Roman"/>
          <w:sz w:val="26"/>
          <w:szCs w:val="26"/>
        </w:rPr>
      </w:pPr>
      <w:bookmarkStart w:id="732" w:name="_Toc149901350"/>
      <w:r w:rsidRPr="0072600F">
        <w:rPr>
          <w:rStyle w:val="Heading3Char"/>
          <w:rFonts w:eastAsiaTheme="minorHAnsi"/>
          <w:sz w:val="26"/>
        </w:rPr>
        <w:t>1.8.2</w:t>
      </w:r>
      <w:bookmarkEnd w:id="732"/>
      <w:r w:rsidRPr="0072600F">
        <w:rPr>
          <w:rFonts w:ascii="Times New Roman" w:hAnsi="Times New Roman" w:cs="Times New Roman"/>
          <w:sz w:val="26"/>
          <w:szCs w:val="26"/>
        </w:rPr>
        <w:tab/>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is required to pay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for reactive power that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provides or absorbs from the Small Generating Facility when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requests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operate its Small Generating Facility outside the range specified in Article 1.8.1.  In addition, if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pays its own or affiliated generators for reactive power service within the specified range, it must also pay </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the</w:t>
      </w:r>
      <w:r w:rsidRPr="0072600F" w:rsidR="00F3164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503D78" w:rsidRPr="0072600F" w14:paraId="7D293617" w14:textId="77777777">
      <w:pPr>
        <w:tabs>
          <w:tab w:val="left" w:pos="2565"/>
        </w:tabs>
        <w:ind w:left="2160" w:hanging="1440"/>
        <w:rPr>
          <w:rFonts w:ascii="Times New Roman" w:hAnsi="Times New Roman" w:cs="Times New Roman"/>
          <w:sz w:val="26"/>
          <w:szCs w:val="26"/>
        </w:rPr>
      </w:pPr>
    </w:p>
    <w:p w:rsidR="00503D78" w:rsidRPr="0072600F" w14:paraId="310D1C53" w14:textId="77777777">
      <w:pPr>
        <w:ind w:left="1440" w:hanging="720"/>
        <w:rPr>
          <w:rFonts w:ascii="Times New Roman" w:hAnsi="Times New Roman" w:cs="Times New Roman"/>
          <w:sz w:val="26"/>
          <w:szCs w:val="26"/>
        </w:rPr>
      </w:pPr>
      <w:bookmarkStart w:id="733" w:name="_Toc149901351"/>
      <w:r w:rsidRPr="0072600F">
        <w:rPr>
          <w:rStyle w:val="Heading3Char"/>
          <w:rFonts w:eastAsiaTheme="minorHAnsi"/>
          <w:sz w:val="26"/>
        </w:rPr>
        <w:t>1.8.3</w:t>
      </w:r>
      <w:bookmarkEnd w:id="733"/>
      <w:r w:rsidRPr="0072600F">
        <w:rPr>
          <w:rFonts w:ascii="Times New Roman" w:hAnsi="Times New Roman" w:cs="Times New Roman"/>
          <w:sz w:val="26"/>
          <w:szCs w:val="26"/>
        </w:rPr>
        <w:tab/>
        <w:t xml:space="preserve">Payments shall be in accordance with </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the</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s applicable rate schedule then in effect unless the provision of such service(s) is subject to a regional transmission organization or independent system operator FERC-approved rate schedule.  </w:t>
      </w:r>
      <w:r w:rsidRPr="0072600F">
        <w:rPr>
          <w:rFonts w:ascii="Times New Roman" w:hAnsi="Times New Roman" w:cs="Times New Roman"/>
          <w:color w:val="000000"/>
          <w:sz w:val="26"/>
          <w:szCs w:val="26"/>
        </w:rPr>
        <w:t xml:space="preserve">To the extent that no rate schedule is in effect at the time </w:t>
      </w:r>
      <w:r w:rsidRPr="0072600F" w:rsidR="00F31649">
        <w:rPr>
          <w:rFonts w:ascii="Times New Roman" w:hAnsi="Times New Roman" w:cs="Times New Roman"/>
          <w:color w:val="000000"/>
          <w:sz w:val="26"/>
          <w:szCs w:val="26"/>
        </w:rPr>
        <w:t>[</w:t>
      </w:r>
      <w:r w:rsidRPr="0072600F">
        <w:rPr>
          <w:rFonts w:ascii="Times New Roman" w:hAnsi="Times New Roman" w:cs="Times New Roman"/>
          <w:color w:val="000000"/>
          <w:sz w:val="26"/>
          <w:szCs w:val="26"/>
        </w:rPr>
        <w:t>the</w:t>
      </w:r>
      <w:r w:rsidRPr="0072600F" w:rsidR="00F31649">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Interconnection Customer is required to provide or absorb reactive power under this Agreement, the Parties agree to expeditiously file such rate schedule and agree to support any request for waiver of the Commission</w:t>
      </w:r>
      <w:r w:rsidRPr="0072600F" w:rsidR="004C2BFA">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s prior notice requirement in order to compensate </w:t>
      </w:r>
      <w:r w:rsidRPr="0072600F" w:rsidR="00F31649">
        <w:rPr>
          <w:rFonts w:ascii="Times New Roman" w:hAnsi="Times New Roman" w:cs="Times New Roman"/>
          <w:color w:val="000000"/>
          <w:sz w:val="26"/>
          <w:szCs w:val="26"/>
        </w:rPr>
        <w:t>[</w:t>
      </w:r>
      <w:r w:rsidRPr="0072600F">
        <w:rPr>
          <w:rFonts w:ascii="Times New Roman" w:hAnsi="Times New Roman" w:cs="Times New Roman"/>
          <w:color w:val="000000"/>
          <w:sz w:val="26"/>
          <w:szCs w:val="26"/>
        </w:rPr>
        <w:t>the</w:t>
      </w:r>
      <w:r w:rsidRPr="0072600F" w:rsidR="00F31649">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Interconnection Customer from the time service </w:t>
      </w:r>
      <w:r w:rsidRPr="0072600F">
        <w:rPr>
          <w:rFonts w:ascii="Times New Roman" w:hAnsi="Times New Roman" w:cs="Times New Roman"/>
          <w:sz w:val="26"/>
          <w:szCs w:val="26"/>
        </w:rPr>
        <w:t xml:space="preserve">commenced.  </w:t>
      </w:r>
    </w:p>
    <w:p w:rsidR="00503D78" w:rsidRPr="0072600F" w14:paraId="5F045B51" w14:textId="77777777">
      <w:pPr>
        <w:ind w:left="1440" w:hanging="720"/>
        <w:rPr>
          <w:rFonts w:ascii="Times New Roman" w:hAnsi="Times New Roman" w:cs="Times New Roman"/>
          <w:sz w:val="26"/>
          <w:szCs w:val="26"/>
        </w:rPr>
      </w:pPr>
    </w:p>
    <w:p w:rsidR="00503D78" w:rsidRPr="0072600F" w14:paraId="453010FC" w14:textId="77777777">
      <w:pPr>
        <w:ind w:left="1440" w:hanging="720"/>
        <w:rPr>
          <w:rFonts w:ascii="Times New Roman" w:hAnsi="Times New Roman" w:cs="Times New Roman"/>
          <w:sz w:val="26"/>
          <w:szCs w:val="26"/>
        </w:rPr>
      </w:pPr>
      <w:bookmarkStart w:id="734" w:name="_Toc149901352"/>
      <w:r w:rsidRPr="0072600F">
        <w:rPr>
          <w:rStyle w:val="Heading3Char"/>
          <w:rFonts w:eastAsiaTheme="minorHAnsi"/>
          <w:sz w:val="26"/>
        </w:rPr>
        <w:t xml:space="preserve">1.8.4 </w:t>
      </w:r>
      <w:r w:rsidRPr="0072600F">
        <w:rPr>
          <w:rStyle w:val="Heading3Char"/>
          <w:rFonts w:eastAsiaTheme="minorHAnsi"/>
          <w:sz w:val="26"/>
        </w:rPr>
        <w:tab/>
        <w:t>Primary Frequency Response.</w:t>
      </w:r>
      <w:bookmarkEnd w:id="734"/>
      <w:r w:rsidRPr="0072600F">
        <w:rPr>
          <w:rFonts w:ascii="Times New Roman" w:hAnsi="Times New Roman" w:cs="Times New Roman"/>
          <w:sz w:val="26"/>
          <w:szCs w:val="26"/>
        </w:rPr>
        <w:t xml:space="preserve">  Interconnection Customer shall ensure the primary frequency response capability of its Small Generating Facility by installing, maintaining, and operating a functioning governor or equivalent controls. 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parameters and in the direction needed to correct frequency deviations.  Interconnection Customer is required to install a governor or equivalent controls with the capability of operating:  (1) with a maximum 5 percent droop and ±0.036 Hz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or (2) in accordance with the relevant droop,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and timely and sustained response settings from an approved Electric Reliability Organization reliability standard providing for equivalent or more stringent parameters.  The droop characteristic shall be:  (1) based on the nameplate capacity of the Small Generating Facility, and shall be linear in the range of frequencies between 59 to 61 Hz that are outside of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or (2) based </w:t>
      </w:r>
      <w:r w:rsidRPr="0072600F" w:rsidR="00836AC4">
        <w:rPr>
          <w:rFonts w:ascii="Times New Roman" w:hAnsi="Times New Roman" w:cs="Times New Roman"/>
          <w:i/>
          <w:iCs/>
          <w:sz w:val="26"/>
          <w:szCs w:val="26"/>
        </w:rPr>
        <w:t xml:space="preserve">on </w:t>
      </w:r>
      <w:r w:rsidRPr="0072600F">
        <w:rPr>
          <w:rFonts w:ascii="Times New Roman" w:hAnsi="Times New Roman" w:cs="Times New Roman"/>
          <w:sz w:val="26"/>
          <w:szCs w:val="26"/>
        </w:rPr>
        <w:t xml:space="preserve">an approved Electric Reliability Organization reliability standard providing for an equivalent or more stringent parameter.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shall be: the range of frequencies above and below nominal (60 Hz) in which the governor or equivalent controls is not expected to adjust the Small Generating Facility’s real power output in response to frequency deviations.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shall be implemented:  (1) without a step to the droop curve, that is, once the frequency deviation exceeds the </w:t>
      </w:r>
      <w:r w:rsidRPr="0072600F">
        <w:rPr>
          <w:rFonts w:ascii="Times New Roman" w:hAnsi="Times New Roman" w:cs="Times New Roman"/>
          <w:sz w:val="26"/>
          <w:szCs w:val="26"/>
        </w:rPr>
        <w:t>deadband</w:t>
      </w:r>
      <w:r w:rsidRPr="0072600F">
        <w:rPr>
          <w:rFonts w:ascii="Times New Roman" w:hAnsi="Times New Roman" w:cs="Times New Roman"/>
          <w:sz w:val="26"/>
          <w:szCs w:val="26"/>
        </w:rPr>
        <w:t xml:space="preserve">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deviation; or (2) in accordance with an approved Electric Reliability Organization reliability standard providing for an equivalent or more stringent parameter.  Interconnection Customer shall notify Transmission Provider that the primary frequency response capability of the Small Generating Facility has been tested and confirmed during commissioning.  Once Interconnection Customer has synchronized the Small Generating Facility with the Transmission System, Interconnection Customer shall operate the Small Generating Facility consistent with the provisions specified in Sections 1.8.4.1 and 1.8.4.2 of this Agreement.  The primary frequency response requirements contained herein shall apply to both synchronous and non-synchronous Small Generating Facilities. </w:t>
      </w:r>
    </w:p>
    <w:p w:rsidR="00503D78" w:rsidRPr="0072600F" w14:paraId="6008763A" w14:textId="77777777">
      <w:pPr>
        <w:rPr>
          <w:rFonts w:ascii="Times New Roman" w:hAnsi="Times New Roman" w:cs="Times New Roman"/>
          <w:sz w:val="26"/>
          <w:szCs w:val="26"/>
        </w:rPr>
      </w:pPr>
    </w:p>
    <w:p w:rsidR="00503D78" w:rsidRPr="0072600F" w14:paraId="3FAC7160" w14:textId="77777777">
      <w:pPr>
        <w:pStyle w:val="ListParagraph"/>
        <w:ind w:left="2160" w:hanging="720"/>
        <w:rPr>
          <w:szCs w:val="26"/>
        </w:rPr>
      </w:pPr>
      <w:r w:rsidRPr="0072600F">
        <w:rPr>
          <w:rStyle w:val="Heading4Char"/>
          <w:rFonts w:eastAsiaTheme="minorHAnsi"/>
          <w:sz w:val="26"/>
        </w:rPr>
        <w:t>1.8.4.1</w:t>
      </w:r>
      <w:r w:rsidRPr="0072600F">
        <w:rPr>
          <w:rStyle w:val="Heading4Char"/>
          <w:rFonts w:eastAsiaTheme="minorHAnsi"/>
          <w:sz w:val="26"/>
        </w:rPr>
        <w:tab/>
        <w:t>Governor or Equivalent Controls.</w:t>
      </w:r>
      <w:r w:rsidRPr="0072600F">
        <w:rPr>
          <w:bCs/>
          <w:szCs w:val="26"/>
        </w:rPr>
        <w:t xml:space="preserve">  </w:t>
      </w:r>
      <w:r w:rsidRPr="0072600F">
        <w:rPr>
          <w:szCs w:val="26"/>
        </w:rPr>
        <w:t xml:space="preserve">Whenever the Small Generating Facility is operated in parallel with the Transmission System, Interconnection Customer shall operate the Small Generating Facility with its governor or equivalent controls in service and responsive to frequency.  Interconnection Customer shall:  (1) in coordination with Transmission Provider and/or the relevant Balancing Authority, set the </w:t>
      </w:r>
      <w:r w:rsidRPr="0072600F">
        <w:rPr>
          <w:szCs w:val="26"/>
        </w:rPr>
        <w:t>deadband</w:t>
      </w:r>
      <w:r w:rsidRPr="0072600F">
        <w:rPr>
          <w:szCs w:val="26"/>
        </w:rPr>
        <w:t xml:space="preserve"> parameter to: </w:t>
      </w:r>
      <w:r w:rsidRPr="0072600F" w:rsidR="00BB708E">
        <w:rPr>
          <w:szCs w:val="26"/>
        </w:rPr>
        <w:t xml:space="preserve"> </w:t>
      </w:r>
      <w:r w:rsidRPr="0072600F">
        <w:rPr>
          <w:szCs w:val="26"/>
        </w:rPr>
        <w:t>(1) a maximum of ±0.036 Hz and set the droop parameter to a maximum of 5 percent; or (2) implement the relevant droop</w:t>
      </w:r>
      <w:r w:rsidRPr="0072600F" w:rsidR="004C2BFA">
        <w:rPr>
          <w:szCs w:val="26"/>
        </w:rPr>
        <w:t xml:space="preserve"> </w:t>
      </w:r>
      <w:r w:rsidRPr="0072600F">
        <w:rPr>
          <w:szCs w:val="26"/>
        </w:rPr>
        <w:t xml:space="preserve">and </w:t>
      </w:r>
      <w:r w:rsidRPr="0072600F">
        <w:rPr>
          <w:szCs w:val="26"/>
        </w:rPr>
        <w:t>deadband</w:t>
      </w:r>
      <w:r w:rsidRPr="0072600F">
        <w:rPr>
          <w:szCs w:val="26"/>
        </w:rPr>
        <w:t xml:space="preserve"> settings from an approved Electric Reliability Organization reliability standard that provides for equivalent or more stringent parameters.  Interconnection Customer shall be required to provide the status and settings of the governor or equivalent controls to Transmission Provider and/or the relevant Balancing Authority upon request.  If</w:t>
      </w:r>
      <w:r w:rsidRPr="0072600F">
        <w:rPr>
          <w:bCs/>
          <w:i/>
          <w:iCs/>
          <w:szCs w:val="26"/>
        </w:rPr>
        <w:t xml:space="preserve"> </w:t>
      </w:r>
      <w:r w:rsidRPr="0072600F">
        <w:rPr>
          <w:szCs w:val="26"/>
        </w:rPr>
        <w:t>Interconnection Customer needs to operate the Small Generating Facility with its governor or equivalent controls not in service, Interconnection Customer shall immediately notify Transmission Provider and the relevant Balancing Authority,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  Interconnection Customer shall make Reasonable Efforts to return its governor or equivalent controls into service as soon as practicable.  Interconnection Customer shall make Reasonable Efforts to keep outages of the Small Generating Facility’s governor or equivalent controls to a minimum whenever the Small Generating Facility is operated in parallel with the Transmission System.</w:t>
      </w:r>
    </w:p>
    <w:p w:rsidR="00503D78" w:rsidRPr="0072600F" w14:paraId="558655B4" w14:textId="77777777">
      <w:pPr>
        <w:pStyle w:val="ListParagraph"/>
        <w:ind w:left="2880"/>
        <w:rPr>
          <w:szCs w:val="26"/>
          <w:u w:val="single"/>
        </w:rPr>
      </w:pPr>
    </w:p>
    <w:p w:rsidR="00503D78" w:rsidRPr="0072600F" w14:paraId="1D92AE76" w14:textId="77777777">
      <w:pPr>
        <w:pStyle w:val="ListParagraph"/>
        <w:ind w:left="2160" w:hanging="720"/>
        <w:rPr>
          <w:szCs w:val="26"/>
        </w:rPr>
      </w:pPr>
      <w:r w:rsidRPr="0072600F">
        <w:rPr>
          <w:rStyle w:val="Heading4Char"/>
          <w:rFonts w:eastAsiaTheme="minorHAnsi"/>
          <w:sz w:val="26"/>
        </w:rPr>
        <w:t>1.8.4.2</w:t>
      </w:r>
      <w:r w:rsidRPr="0072600F">
        <w:rPr>
          <w:rStyle w:val="Heading4Char"/>
          <w:rFonts w:eastAsiaTheme="minorHAnsi"/>
          <w:sz w:val="26"/>
        </w:rPr>
        <w:tab/>
        <w:t>Timely and Sustained Response.</w:t>
      </w:r>
      <w:r w:rsidRPr="0072600F">
        <w:rPr>
          <w:bCs/>
          <w:szCs w:val="26"/>
        </w:rPr>
        <w:t xml:space="preserve">  </w:t>
      </w:r>
      <w:r w:rsidRPr="0072600F">
        <w:rPr>
          <w:szCs w:val="26"/>
        </w:rPr>
        <w:t xml:space="preserve">Interconnection Customer shall ensure that the Small Generating Facility’s real power response to sustained frequency deviations outside of the </w:t>
      </w:r>
      <w:r w:rsidRPr="0072600F">
        <w:rPr>
          <w:szCs w:val="26"/>
        </w:rPr>
        <w:t>deadband</w:t>
      </w:r>
      <w:r w:rsidRPr="0072600F">
        <w:rPr>
          <w:szCs w:val="26"/>
        </w:rPr>
        <w:t xml:space="preserve"> setting is automatically provided and shall begin immediately after frequency deviates outside of the </w:t>
      </w:r>
      <w:r w:rsidRPr="0072600F">
        <w:rPr>
          <w:szCs w:val="26"/>
        </w:rPr>
        <w:t>deadband</w:t>
      </w:r>
      <w:r w:rsidRPr="0072600F">
        <w:rPr>
          <w:szCs w:val="26"/>
        </w:rPr>
        <w:t xml:space="preserve">,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w:t>
      </w:r>
      <w:r w:rsidRPr="0072600F">
        <w:rPr>
          <w:szCs w:val="26"/>
        </w:rPr>
        <w:t>deadband</w:t>
      </w:r>
      <w:r w:rsidRPr="0072600F">
        <w:rPr>
          <w:szCs w:val="26"/>
        </w:rPr>
        <w:t xml:space="preserve"> setting of the governor or equivalent controls.  A Commission-approved Reliability Standard with equivalent or more stringent requirements shall supersede the above requirements.</w:t>
      </w:r>
    </w:p>
    <w:p w:rsidR="00503D78" w:rsidRPr="0072600F" w14:paraId="1F3BB711" w14:textId="77777777">
      <w:pPr>
        <w:pStyle w:val="ListParagraph"/>
        <w:rPr>
          <w:b/>
          <w:szCs w:val="26"/>
          <w:u w:val="single"/>
        </w:rPr>
      </w:pPr>
    </w:p>
    <w:p w:rsidR="00503D78" w:rsidRPr="0072600F" w14:paraId="50EAC49E" w14:textId="77777777">
      <w:pPr>
        <w:pStyle w:val="FERCparanumber"/>
        <w:numPr>
          <w:ilvl w:val="0"/>
          <w:numId w:val="0"/>
        </w:numPr>
        <w:ind w:left="2160" w:hanging="720"/>
        <w:rPr>
          <w:sz w:val="26"/>
          <w:szCs w:val="26"/>
        </w:rPr>
      </w:pPr>
      <w:r w:rsidRPr="0072600F">
        <w:rPr>
          <w:rStyle w:val="Heading4Char"/>
          <w:sz w:val="26"/>
        </w:rPr>
        <w:t>1.8.4.3</w:t>
      </w:r>
      <w:r w:rsidRPr="0072600F">
        <w:rPr>
          <w:rStyle w:val="Heading4Char"/>
          <w:sz w:val="26"/>
        </w:rPr>
        <w:tab/>
        <w:t>Exemptions.</w:t>
      </w:r>
      <w:r w:rsidRPr="0072600F">
        <w:rPr>
          <w:sz w:val="26"/>
          <w:szCs w:val="26"/>
        </w:rPr>
        <w:t xml:space="preserve">  Small Generating Facilities that are regulated by the United States Nuclear Regulatory Commission shall be exempt from Sections 1.8.4, 1.8.4.1, and 1.8.4.2 of this Agreement.</w:t>
      </w:r>
      <w:r w:rsidRPr="0072600F">
        <w:rPr>
          <w:sz w:val="26"/>
          <w:szCs w:val="26"/>
        </w:rPr>
        <w:t xml:space="preserve"> </w:t>
      </w:r>
      <w:r w:rsidRPr="0072600F">
        <w:rPr>
          <w:sz w:val="26"/>
          <w:szCs w:val="26"/>
        </w:rPr>
        <w:t xml:space="preserve"> 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w:t>
      </w:r>
      <w:r w:rsidRPr="0072600F">
        <w:rPr>
          <w:sz w:val="26"/>
          <w:szCs w:val="26"/>
        </w:rPr>
        <w:t>deadband</w:t>
      </w:r>
      <w:r w:rsidRPr="0072600F">
        <w:rPr>
          <w:sz w:val="26"/>
          <w:szCs w:val="26"/>
        </w:rPr>
        <w:t xml:space="preserve"> capability requirements specified in Section 1.8.4, but shall be otherwise exempt from the operating requirements in Sections 1.8.4, 1.8.4.1, 1.8.4.2, and 1.8.4.4 of this Agreement.</w:t>
      </w:r>
    </w:p>
    <w:p w:rsidR="00503D78" w:rsidRPr="0072600F" w14:paraId="5985B923" w14:textId="77777777">
      <w:pPr>
        <w:pStyle w:val="FERCparanumber"/>
        <w:numPr>
          <w:ilvl w:val="0"/>
          <w:numId w:val="0"/>
        </w:numPr>
        <w:ind w:left="2880"/>
        <w:rPr>
          <w:sz w:val="26"/>
          <w:szCs w:val="26"/>
          <w:u w:val="single"/>
        </w:rPr>
      </w:pPr>
    </w:p>
    <w:p w:rsidR="00503D78" w:rsidRPr="0072600F" w14:paraId="7A1C6873" w14:textId="77777777">
      <w:pPr>
        <w:pStyle w:val="FERCparanumber"/>
        <w:numPr>
          <w:ilvl w:val="0"/>
          <w:numId w:val="0"/>
        </w:numPr>
        <w:ind w:left="2160" w:hanging="720"/>
        <w:rPr>
          <w:sz w:val="26"/>
          <w:szCs w:val="26"/>
        </w:rPr>
      </w:pPr>
      <w:r w:rsidRPr="0072600F">
        <w:rPr>
          <w:rStyle w:val="Heading4Char"/>
          <w:sz w:val="26"/>
        </w:rPr>
        <w:t>1.8.4.4</w:t>
      </w:r>
      <w:r w:rsidRPr="0072600F">
        <w:rPr>
          <w:rStyle w:val="Heading4Char"/>
          <w:sz w:val="26"/>
        </w:rPr>
        <w:tab/>
        <w:t>Electric Storage Resources.</w:t>
      </w:r>
      <w:r w:rsidRPr="0072600F">
        <w:rPr>
          <w:sz w:val="26"/>
          <w:szCs w:val="26"/>
        </w:rPr>
        <w:t xml:space="preserve">  Interconnection Customer interconnecting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Sections 1.8.4, 1.8.4.1, 1.8.4.2 and 1.8.4.3 of this Agreement.  Attachment 5 shall specify whether the operating range is static or dynamic, and shall consider: </w:t>
      </w:r>
      <w:r w:rsidRPr="0072600F" w:rsidR="00BB708E">
        <w:rPr>
          <w:sz w:val="26"/>
          <w:szCs w:val="26"/>
        </w:rPr>
        <w:t xml:space="preserve"> </w:t>
      </w:r>
      <w:r w:rsidRPr="0072600F">
        <w:rPr>
          <w:sz w:val="26"/>
          <w:szCs w:val="26"/>
        </w:rPr>
        <w:t xml:space="preserve">(1) the expected magnitude of frequency deviations in the interconnection; (2) the expected duration that system frequency will remain outside of the </w:t>
      </w:r>
      <w:r w:rsidRPr="0072600F">
        <w:rPr>
          <w:sz w:val="26"/>
          <w:szCs w:val="26"/>
        </w:rPr>
        <w:t>deadband</w:t>
      </w:r>
      <w:r w:rsidRPr="0072600F">
        <w:rPr>
          <w:sz w:val="26"/>
          <w:szCs w:val="26"/>
        </w:rPr>
        <w:t xml:space="preserve"> parameter in the interconnection; (3) the expected incidence of frequency deviations outside of the </w:t>
      </w:r>
      <w:r w:rsidRPr="0072600F">
        <w:rPr>
          <w:sz w:val="26"/>
          <w:szCs w:val="26"/>
        </w:rPr>
        <w:t>deadband</w:t>
      </w:r>
      <w:r w:rsidRPr="0072600F">
        <w:rPr>
          <w:sz w:val="26"/>
          <w:szCs w:val="26"/>
        </w:rPr>
        <w:t xml:space="preserve"> parameter in the interconnection; (4) the physical capabilities of the electric storage resource; (5) operational limitations of the electric storage resource due to manufacturer specifications; and (6) any other relevant factors agreed to by Transmission Provider and Interconnection Customer, and in consultation with the relevant transmission owner or Balancing Authority as appropriate.  If the operating range is dynamic, then Attachment 5 must establish how frequently the operating range will be reevaluated and the factors that may be considered during its reevaluation.  </w:t>
      </w:r>
    </w:p>
    <w:p w:rsidR="00503D78" w:rsidRPr="0072600F" w14:paraId="2EE003D5" w14:textId="77777777">
      <w:pPr>
        <w:pStyle w:val="FERCparanumber"/>
        <w:numPr>
          <w:ilvl w:val="0"/>
          <w:numId w:val="0"/>
        </w:numPr>
        <w:ind w:left="2160"/>
        <w:rPr>
          <w:sz w:val="26"/>
          <w:szCs w:val="26"/>
        </w:rPr>
      </w:pPr>
    </w:p>
    <w:p w:rsidR="00503D78" w:rsidRPr="0072600F" w14:paraId="62FFC630" w14:textId="77777777">
      <w:pPr>
        <w:pStyle w:val="FERCparanumber"/>
        <w:numPr>
          <w:ilvl w:val="0"/>
          <w:numId w:val="0"/>
        </w:numPr>
        <w:ind w:left="2160"/>
        <w:rPr>
          <w:sz w:val="26"/>
          <w:szCs w:val="26"/>
        </w:rPr>
      </w:pPr>
      <w:r w:rsidRPr="0072600F">
        <w:rPr>
          <w:sz w:val="26"/>
          <w:szCs w:val="26"/>
        </w:rPr>
        <w:t xml:space="preserve">Interconnection Customer’s electric storage resource is required to provide timely and sustained primary frequency response consistent with Section 1.8.4.2 of this Agreement when it is online and dispatched to inject electricity to the Transmission System and/or receive electricity from the Transmission System.  This excludes circumstances when the electric storage resource is not dispatched to inject electricity to the Transmission System and/or dispatched to receive electricity from the Transmission System.  If Interconnection Customer’s electric storage resource is charging at the time of a frequency deviation outside of its </w:t>
      </w:r>
      <w:r w:rsidRPr="0072600F">
        <w:rPr>
          <w:sz w:val="26"/>
          <w:szCs w:val="26"/>
        </w:rPr>
        <w:t>deadband</w:t>
      </w:r>
      <w:r w:rsidRPr="0072600F">
        <w:rPr>
          <w:sz w:val="26"/>
          <w:szCs w:val="26"/>
        </w:rPr>
        <w:t xml:space="preserve">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w:t>
      </w:r>
      <w:r w:rsidRPr="0072600F">
        <w:rPr>
          <w:sz w:val="26"/>
          <w:szCs w:val="26"/>
        </w:rPr>
        <w:t>deadband</w:t>
      </w:r>
      <w:r w:rsidRPr="0072600F">
        <w:rPr>
          <w:sz w:val="26"/>
          <w:szCs w:val="26"/>
        </w:rPr>
        <w:t xml:space="preserve"> settings requires it to do so and it is technically capable of making such a transition.</w:t>
      </w:r>
    </w:p>
    <w:p w:rsidR="00503D78" w:rsidRPr="0072600F" w14:paraId="0963080B" w14:textId="77777777">
      <w:pPr>
        <w:rPr>
          <w:rFonts w:ascii="Times New Roman" w:hAnsi="Times New Roman" w:cs="Times New Roman"/>
          <w:sz w:val="26"/>
          <w:szCs w:val="26"/>
        </w:rPr>
      </w:pPr>
    </w:p>
    <w:p w:rsidR="00503D78" w:rsidRPr="0072600F" w14:paraId="373830F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bookmarkStart w:id="735" w:name="_Toc149901353"/>
      <w:r w:rsidRPr="0072600F">
        <w:rPr>
          <w:rStyle w:val="Heading2Char"/>
          <w:rFonts w:eastAsiaTheme="minorHAnsi"/>
          <w:sz w:val="26"/>
          <w:szCs w:val="26"/>
        </w:rPr>
        <w:t>1.9</w:t>
      </w:r>
      <w:bookmarkEnd w:id="735"/>
      <w:r w:rsidRPr="0072600F">
        <w:rPr>
          <w:rFonts w:ascii="Times New Roman" w:hAnsi="Times New Roman" w:cs="Times New Roman"/>
          <w:sz w:val="26"/>
          <w:szCs w:val="26"/>
        </w:rPr>
        <w:tab/>
        <w:t>Capitalized terms used herein shall have the meanings specified in the Glossary of Terms in Attachment 1 or the body of this Agreement.</w:t>
      </w:r>
    </w:p>
    <w:p w:rsidR="00503D78" w:rsidRPr="0072600F" w14:paraId="01BC2D16" w14:textId="77777777">
      <w:pPr>
        <w:rPr>
          <w:rFonts w:ascii="Times New Roman" w:hAnsi="Times New Roman" w:cs="Times New Roman"/>
          <w:sz w:val="26"/>
          <w:szCs w:val="26"/>
        </w:rPr>
      </w:pPr>
    </w:p>
    <w:p w:rsidR="00503D78" w:rsidRPr="0072600F" w:rsidP="00AD4DC4" w14:paraId="2B1A49EF" w14:textId="77777777">
      <w:pPr>
        <w:pStyle w:val="Heading2"/>
        <w:rPr>
          <w:b/>
          <w:bCs/>
          <w:sz w:val="26"/>
          <w:szCs w:val="26"/>
        </w:rPr>
      </w:pPr>
      <w:bookmarkStart w:id="736" w:name="_Toc149901354"/>
      <w:r w:rsidRPr="0072600F">
        <w:rPr>
          <w:b/>
          <w:bCs/>
          <w:sz w:val="26"/>
          <w:szCs w:val="26"/>
        </w:rPr>
        <w:t>Article 2.  Inspection, Testing, Authorization, and Right of Access</w:t>
      </w:r>
      <w:bookmarkEnd w:id="736"/>
    </w:p>
    <w:p w:rsidR="00503D78" w:rsidRPr="0072600F" w14:paraId="2A931E5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C2BFA" w14:paraId="6900734E" w14:textId="77777777">
      <w:pPr>
        <w:pStyle w:val="TableParagraph"/>
        <w:rPr>
          <w:sz w:val="26"/>
          <w:szCs w:val="26"/>
        </w:rPr>
      </w:pPr>
      <w:bookmarkStart w:id="737" w:name="Generated_Bookmark9"/>
      <w:bookmarkStart w:id="738" w:name="_Toc149901355"/>
      <w:bookmarkEnd w:id="737"/>
      <w:r w:rsidRPr="0072600F">
        <w:rPr>
          <w:sz w:val="26"/>
          <w:szCs w:val="26"/>
        </w:rPr>
        <w:t>2.1</w:t>
      </w:r>
      <w:r w:rsidRPr="0072600F">
        <w:rPr>
          <w:sz w:val="26"/>
          <w:szCs w:val="26"/>
        </w:rPr>
        <w:tab/>
        <w:t>Equipment Testing and Inspection</w:t>
      </w:r>
      <w:bookmarkEnd w:id="738"/>
    </w:p>
    <w:p w:rsidR="00503D78" w:rsidRPr="0072600F" w14:paraId="515466E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C37796" w14:paraId="2DFC978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39" w:name="_Toc149901356"/>
      <w:r w:rsidRPr="0072600F">
        <w:rPr>
          <w:rStyle w:val="Heading3Char"/>
          <w:rFonts w:eastAsiaTheme="minorHAnsi"/>
          <w:sz w:val="26"/>
        </w:rPr>
        <w:t>2.1.1</w:t>
      </w:r>
      <w:bookmarkEnd w:id="739"/>
      <w:r w:rsidRPr="0072600F">
        <w:rPr>
          <w:rFonts w:ascii="Times New Roman" w:hAnsi="Times New Roman" w:cs="Times New Roman"/>
          <w:sz w:val="26"/>
          <w:szCs w:val="26"/>
        </w:rPr>
        <w:tab/>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test and inspect its Small Generating Facility and Interconnection Facilities prior to interconnection.  </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notify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of such activities no fewer than five</w:t>
      </w:r>
      <w:r w:rsidRPr="0072600F" w:rsidR="0056592A">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(5)</w:t>
      </w:r>
      <w:r w:rsidRPr="0072600F">
        <w:rPr>
          <w:rFonts w:ascii="Times New Roman" w:hAnsi="Times New Roman" w:cs="Times New Roman"/>
          <w:sz w:val="26"/>
          <w:szCs w:val="26"/>
        </w:rPr>
        <w:t xml:space="preserve"> Business Days (or as may be agreed to by the Parties) prior to such testing and inspection.  Testing and inspection shall occur on a Business Day.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may, at its own expense, send qualified personnel to the Small Generating Facility site to inspect the interconnection and observe the testing.  </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provide </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 written test report when such testing and inspection is completed.</w:t>
      </w:r>
    </w:p>
    <w:p w:rsidR="00503D78" w:rsidRPr="0072600F" w14:paraId="4E4D767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CC7D44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40" w:name="_Toc149901357"/>
      <w:r w:rsidRPr="0072600F">
        <w:rPr>
          <w:rStyle w:val="Heading3Char"/>
          <w:rFonts w:eastAsiaTheme="minorHAnsi"/>
          <w:sz w:val="26"/>
        </w:rPr>
        <w:t>2.1.2</w:t>
      </w:r>
      <w:bookmarkEnd w:id="740"/>
      <w:r w:rsidRPr="0072600F">
        <w:rPr>
          <w:rFonts w:ascii="Times New Roman" w:hAnsi="Times New Roman" w:cs="Times New Roman"/>
          <w:sz w:val="26"/>
          <w:szCs w:val="26"/>
        </w:rPr>
        <w:tab/>
      </w:r>
      <w:r w:rsidRPr="0072600F" w:rsidR="004C2BFA">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2BF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provide </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written acknowledgment that it has received </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the</w:t>
      </w:r>
      <w:r w:rsidRPr="0072600F" w:rsidR="0071000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 xml:space="preserve">s written test report.  Such written acknowledgment shall not be deemed to be or construed as any representation, assurance, guarantee, or warranty by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of the safety, durability, suitability, or reliability of the Small Generating Facility or any associated control, protective, and safety devices owned or controlled by </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or the quality of power produced by the Small Generating Facility.</w:t>
      </w:r>
    </w:p>
    <w:p w:rsidR="00503D78" w:rsidRPr="0072600F" w:rsidP="397DD82A" w14:paraId="6927A871" w14:textId="77777777">
      <w:pPr>
        <w:tabs>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bookmarkStart w:id="741" w:name="Generated_Bookmark10"/>
      <w:bookmarkEnd w:id="741"/>
    </w:p>
    <w:p w:rsidR="00503D78" w:rsidRPr="0072600F" w:rsidP="00AD4DC4" w14:paraId="3175F289" w14:textId="77777777">
      <w:pPr>
        <w:pStyle w:val="TableParagraph"/>
        <w:rPr>
          <w:sz w:val="26"/>
          <w:szCs w:val="26"/>
        </w:rPr>
      </w:pPr>
      <w:bookmarkStart w:id="742" w:name="_Toc149901358"/>
      <w:r w:rsidRPr="0072600F">
        <w:rPr>
          <w:sz w:val="26"/>
          <w:szCs w:val="26"/>
        </w:rPr>
        <w:t>2.2</w:t>
      </w:r>
      <w:r w:rsidRPr="0072600F">
        <w:rPr>
          <w:sz w:val="26"/>
          <w:szCs w:val="26"/>
        </w:rPr>
        <w:tab/>
        <w:t>Authorization Required Prior to Parallel Operation</w:t>
      </w:r>
      <w:bookmarkEnd w:id="742"/>
    </w:p>
    <w:p w:rsidR="00503D78" w:rsidRPr="0072600F" w14:paraId="14E6327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14:paraId="5E299CCC" w14:textId="77777777">
      <w:pPr>
        <w:ind w:left="1440" w:hanging="720"/>
        <w:rPr>
          <w:rFonts w:ascii="Times New Roman" w:hAnsi="Times New Roman" w:cs="Times New Roman"/>
          <w:sz w:val="26"/>
          <w:szCs w:val="26"/>
        </w:rPr>
      </w:pPr>
      <w:bookmarkStart w:id="743" w:name="_Toc149901359"/>
      <w:r w:rsidRPr="0072600F">
        <w:rPr>
          <w:rStyle w:val="Heading3Char"/>
          <w:rFonts w:eastAsiaTheme="minorHAnsi"/>
          <w:sz w:val="26"/>
        </w:rPr>
        <w:t>2.2.1</w:t>
      </w:r>
      <w:bookmarkEnd w:id="743"/>
      <w:r w:rsidRPr="0072600F">
        <w:rPr>
          <w:rFonts w:ascii="Times New Roman" w:hAnsi="Times New Roman" w:cs="Times New Roman"/>
          <w:sz w:val="26"/>
          <w:szCs w:val="26"/>
        </w:rPr>
        <w:tab/>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use Reasonable Efforts to list applicable parallel operation requirements in Attachment 5 of this Agreement.  Additionally,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notify </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the</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of any changes to these requirements as soon as they are known.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make Reasonable Efforts to cooperate with </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in meeting requirements necessary for </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6E3B80">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commence parallel operations by the in-service date.</w:t>
      </w:r>
    </w:p>
    <w:p w:rsidR="00503D78" w:rsidRPr="0072600F" w14:paraId="7D711B18" w14:textId="77777777">
      <w:pPr>
        <w:rPr>
          <w:rFonts w:ascii="Times New Roman" w:hAnsi="Times New Roman" w:cs="Times New Roman"/>
          <w:sz w:val="26"/>
          <w:szCs w:val="26"/>
        </w:rPr>
      </w:pPr>
    </w:p>
    <w:p w:rsidR="00503D78" w:rsidRPr="0072600F" w14:paraId="77295184" w14:textId="77777777">
      <w:pPr>
        <w:ind w:left="1440" w:hanging="720"/>
        <w:rPr>
          <w:rFonts w:ascii="Times New Roman" w:hAnsi="Times New Roman" w:cs="Times New Roman"/>
          <w:sz w:val="26"/>
          <w:szCs w:val="26"/>
        </w:rPr>
      </w:pPr>
      <w:bookmarkStart w:id="744" w:name="_Toc149901360"/>
      <w:r w:rsidRPr="0072600F">
        <w:rPr>
          <w:rStyle w:val="Heading3Char"/>
          <w:rFonts w:eastAsiaTheme="minorHAnsi"/>
          <w:sz w:val="26"/>
        </w:rPr>
        <w:t>2.2.2</w:t>
      </w:r>
      <w:bookmarkEnd w:id="744"/>
      <w:r w:rsidRPr="0072600F">
        <w:rPr>
          <w:rFonts w:ascii="Times New Roman" w:hAnsi="Times New Roman" w:cs="Times New Roman"/>
          <w:sz w:val="26"/>
          <w:szCs w:val="26"/>
        </w:rPr>
        <w:tab/>
      </w:r>
      <w:r w:rsidRPr="0072600F" w:rsidR="006E3B80">
        <w:rPr>
          <w:rFonts w:ascii="Times New Roman" w:hAnsi="Times New Roman" w:cs="Times New Roman"/>
          <w:sz w:val="26"/>
          <w:szCs w:val="26"/>
        </w:rPr>
        <w:t>[</w:t>
      </w:r>
      <w:r w:rsidRPr="0072600F">
        <w:rPr>
          <w:rFonts w:ascii="Times New Roman" w:hAnsi="Times New Roman" w:cs="Times New Roman"/>
          <w:sz w:val="26"/>
          <w:szCs w:val="26"/>
        </w:rPr>
        <w:t>The</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not operate its Small Generating Facility in parallel with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without prior written authorization of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will provide such authorization once </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the</w:t>
      </w:r>
      <w:r w:rsidRPr="0072600F" w:rsidR="005F73AA">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receives notification that </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the</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has complied with all applicable parallel operation requirements.  Such authorization shall not be unreasonably withheld, conditioned, or delayed.</w:t>
      </w:r>
    </w:p>
    <w:p w:rsidR="00503D78" w:rsidRPr="0072600F" w14:paraId="07292114" w14:textId="77777777">
      <w:pPr>
        <w:rPr>
          <w:rFonts w:ascii="Times New Roman" w:hAnsi="Times New Roman" w:cs="Times New Roman"/>
          <w:sz w:val="26"/>
          <w:szCs w:val="26"/>
        </w:rPr>
      </w:pPr>
    </w:p>
    <w:p w:rsidR="00503D78" w:rsidRPr="0072600F" w:rsidP="00AD4DC4" w14:paraId="4FE6B3F0" w14:textId="77777777">
      <w:pPr>
        <w:pStyle w:val="TableParagraph"/>
        <w:rPr>
          <w:sz w:val="26"/>
          <w:szCs w:val="26"/>
        </w:rPr>
      </w:pPr>
      <w:bookmarkStart w:id="745" w:name="_Toc149901361"/>
      <w:r w:rsidRPr="0072600F">
        <w:rPr>
          <w:sz w:val="26"/>
          <w:szCs w:val="26"/>
        </w:rPr>
        <w:t>2.3</w:t>
      </w:r>
      <w:r w:rsidRPr="0072600F">
        <w:rPr>
          <w:sz w:val="26"/>
          <w:szCs w:val="26"/>
        </w:rPr>
        <w:tab/>
        <w:t>Right of Access</w:t>
      </w:r>
      <w:bookmarkEnd w:id="745"/>
    </w:p>
    <w:p w:rsidR="00503D78" w:rsidRPr="0072600F" w14:paraId="6091D674" w14:textId="77777777">
      <w:pPr>
        <w:ind w:left="720" w:hanging="720"/>
        <w:rPr>
          <w:rFonts w:ascii="Times New Roman" w:hAnsi="Times New Roman" w:cs="Times New Roman"/>
          <w:sz w:val="26"/>
          <w:szCs w:val="26"/>
        </w:rPr>
      </w:pPr>
    </w:p>
    <w:p w:rsidR="00503D78" w:rsidRPr="0072600F" w14:paraId="55DCF8E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46" w:name="_Toc149901362"/>
      <w:r w:rsidRPr="0072600F">
        <w:rPr>
          <w:rStyle w:val="Heading3Char"/>
          <w:rFonts w:eastAsiaTheme="minorHAnsi"/>
          <w:sz w:val="26"/>
        </w:rPr>
        <w:t>2.3.1</w:t>
      </w:r>
      <w:bookmarkEnd w:id="746"/>
      <w:r w:rsidRPr="0072600F">
        <w:rPr>
          <w:rFonts w:ascii="Times New Roman" w:hAnsi="Times New Roman" w:cs="Times New Roman"/>
          <w:sz w:val="26"/>
          <w:szCs w:val="26"/>
        </w:rPr>
        <w:tab/>
        <w:t xml:space="preserve">Upon reasonable notice,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may send a qualified person to the premises of </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the</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w:t>
      </w:r>
      <w:r w:rsidRPr="0072600F" w:rsidR="0056592A">
        <w:rPr>
          <w:rFonts w:ascii="Times New Roman" w:hAnsi="Times New Roman" w:cs="Times New Roman"/>
          <w:i/>
          <w:iCs/>
          <w:sz w:val="26"/>
          <w:szCs w:val="26"/>
        </w:rPr>
        <w:t>(</w:t>
      </w:r>
      <w:r w:rsidRPr="0072600F" w:rsidR="0056592A">
        <w:rPr>
          <w:rFonts w:ascii="Times New Roman" w:hAnsi="Times New Roman" w:cs="Times New Roman"/>
          <w:i/>
          <w:sz w:val="26"/>
          <w:szCs w:val="26"/>
        </w:rPr>
        <w:t>3)</w:t>
      </w:r>
      <w:r w:rsidRPr="0072600F" w:rsidR="0056592A">
        <w:rPr>
          <w:rFonts w:ascii="Times New Roman" w:hAnsi="Times New Roman" w:cs="Times New Roman"/>
          <w:sz w:val="26"/>
          <w:szCs w:val="26"/>
        </w:rPr>
        <w:t xml:space="preserve"> </w:t>
      </w:r>
      <w:r w:rsidRPr="0072600F">
        <w:rPr>
          <w:rFonts w:ascii="Times New Roman" w:hAnsi="Times New Roman" w:cs="Times New Roman"/>
          <w:sz w:val="26"/>
          <w:szCs w:val="26"/>
        </w:rPr>
        <w:t xml:space="preserve">Business Days after initial start-up of the unit.  In addition, </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the</w:t>
      </w:r>
      <w:r w:rsidRPr="0072600F" w:rsidR="008A694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notify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at least five </w:t>
      </w:r>
      <w:r w:rsidRPr="0072600F" w:rsidR="0056592A">
        <w:rPr>
          <w:rFonts w:ascii="Times New Roman" w:hAnsi="Times New Roman" w:cs="Times New Roman"/>
          <w:i/>
          <w:iCs/>
          <w:sz w:val="26"/>
          <w:szCs w:val="26"/>
        </w:rPr>
        <w:t xml:space="preserve">(5) </w:t>
      </w:r>
      <w:r w:rsidRPr="0072600F">
        <w:rPr>
          <w:rFonts w:ascii="Times New Roman" w:hAnsi="Times New Roman" w:cs="Times New Roman"/>
          <w:sz w:val="26"/>
          <w:szCs w:val="26"/>
        </w:rPr>
        <w:t>Business Days prior to conducting any on-site verification testing of the Small Generating Facility.</w:t>
      </w:r>
    </w:p>
    <w:p w:rsidR="00503D78" w:rsidRPr="0072600F" w14:paraId="1946A5AB" w14:textId="77777777">
      <w:pPr>
        <w:jc w:val="both"/>
        <w:rPr>
          <w:rFonts w:ascii="Times New Roman" w:hAnsi="Times New Roman" w:cs="Times New Roman"/>
          <w:sz w:val="26"/>
          <w:szCs w:val="26"/>
        </w:rPr>
      </w:pPr>
    </w:p>
    <w:p w:rsidR="00503D78" w:rsidRPr="0072600F" w14:paraId="464E577B" w14:textId="77777777">
      <w:pPr>
        <w:pStyle w:val="ListParagraph"/>
        <w:numPr>
          <w:ilvl w:val="2"/>
          <w:numId w:val="22"/>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szCs w:val="26"/>
        </w:rPr>
        <w:t xml:space="preserve">Following the initial inspection process described above, at reasonable hours, and upon reasonable notice, or at any time without notice in the event of an emergency or hazardous condition, </w:t>
      </w:r>
      <w:r w:rsidRPr="0072600F" w:rsidR="00313835">
        <w:rPr>
          <w:szCs w:val="26"/>
        </w:rPr>
        <w:t>[</w:t>
      </w:r>
      <w:r w:rsidRPr="0072600F">
        <w:rPr>
          <w:szCs w:val="26"/>
        </w:rPr>
        <w:t>the</w:t>
      </w:r>
      <w:r w:rsidRPr="0072600F" w:rsidR="00313835">
        <w:rPr>
          <w:szCs w:val="26"/>
        </w:rPr>
        <w:t>]</w:t>
      </w:r>
      <w:r w:rsidRPr="0072600F">
        <w:rPr>
          <w:szCs w:val="26"/>
        </w:rPr>
        <w:t xml:space="preserve"> Transmission Provider shall have access to </w:t>
      </w:r>
      <w:r w:rsidRPr="0072600F" w:rsidR="00710007">
        <w:rPr>
          <w:szCs w:val="26"/>
        </w:rPr>
        <w:t>[</w:t>
      </w:r>
      <w:r w:rsidRPr="0072600F">
        <w:rPr>
          <w:szCs w:val="26"/>
        </w:rPr>
        <w:t>the</w:t>
      </w:r>
      <w:r w:rsidRPr="0072600F" w:rsidR="00710007">
        <w:rPr>
          <w:szCs w:val="26"/>
        </w:rPr>
        <w:t>]</w:t>
      </w:r>
      <w:r w:rsidRPr="0072600F">
        <w:rPr>
          <w:szCs w:val="26"/>
        </w:rPr>
        <w:t xml:space="preserve"> Interconnection Customer</w:t>
      </w:r>
      <w:r w:rsidRPr="0072600F" w:rsidR="00313835">
        <w:rPr>
          <w:szCs w:val="26"/>
        </w:rPr>
        <w:t>’</w:t>
      </w:r>
      <w:r w:rsidRPr="0072600F">
        <w:rPr>
          <w:szCs w:val="26"/>
        </w:rPr>
        <w:t>s premises for any reasonable purpose in connection with the performance of the obligations imposed on it by this Agreement or if necessary to meet its legal obligation to provide service to its customers.</w:t>
      </w:r>
    </w:p>
    <w:p w:rsidR="00503D78" w:rsidRPr="0072600F" w14:paraId="467ED2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D91B57" w14:paraId="0A649A7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47" w:name="_Toc149901364"/>
      <w:r w:rsidRPr="0072600F">
        <w:rPr>
          <w:rStyle w:val="Heading3Char"/>
          <w:rFonts w:eastAsiaTheme="minorHAnsi"/>
          <w:sz w:val="26"/>
        </w:rPr>
        <w:t>2.3.3</w:t>
      </w:r>
      <w:bookmarkEnd w:id="747"/>
      <w:r w:rsidRPr="0072600F">
        <w:rPr>
          <w:rFonts w:ascii="Times New Roman" w:hAnsi="Times New Roman" w:cs="Times New Roman"/>
          <w:sz w:val="26"/>
          <w:szCs w:val="26"/>
        </w:rPr>
        <w:tab/>
      </w:r>
      <w:r w:rsidRPr="0072600F">
        <w:rPr>
          <w:rFonts w:ascii="Times New Roman" w:hAnsi="Times New Roman" w:cs="Times New Roman"/>
          <w:sz w:val="26"/>
          <w:szCs w:val="26"/>
        </w:rPr>
        <w:t>Each Party shall be responsible for its own costs associated with following this article.</w:t>
      </w:r>
    </w:p>
    <w:p w:rsidR="00503D78" w:rsidRPr="0072600F" w14:paraId="50860D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bookmarkStart w:id="748" w:name="Generated_Bookmark12"/>
      <w:bookmarkEnd w:id="748"/>
    </w:p>
    <w:p w:rsidR="00503D78" w:rsidRPr="0072600F" w:rsidP="00AD4DC4" w14:paraId="41C7DF98" w14:textId="77777777">
      <w:pPr>
        <w:pStyle w:val="Heading2"/>
        <w:rPr>
          <w:b/>
          <w:bCs/>
          <w:sz w:val="26"/>
          <w:szCs w:val="26"/>
        </w:rPr>
      </w:pPr>
      <w:bookmarkStart w:id="749" w:name="_Toc149901365"/>
      <w:r w:rsidRPr="0072600F">
        <w:rPr>
          <w:b/>
          <w:bCs/>
          <w:sz w:val="26"/>
          <w:szCs w:val="26"/>
        </w:rPr>
        <w:t>Article 3.  Effective Date, Term, Termination, and Disconnection</w:t>
      </w:r>
      <w:bookmarkEnd w:id="749"/>
    </w:p>
    <w:p w:rsidR="00503D78" w:rsidRPr="0072600F" w14:paraId="2BD9AF1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AD4DC4" w14:paraId="591E321C" w14:textId="77777777">
      <w:pPr>
        <w:pStyle w:val="TableParagraph"/>
        <w:rPr>
          <w:sz w:val="26"/>
          <w:szCs w:val="26"/>
        </w:rPr>
      </w:pPr>
      <w:bookmarkStart w:id="750" w:name="Generated_Bookmark13"/>
      <w:bookmarkStart w:id="751" w:name="_Toc149901366"/>
      <w:bookmarkEnd w:id="750"/>
      <w:r w:rsidRPr="0072600F">
        <w:rPr>
          <w:sz w:val="26"/>
          <w:szCs w:val="26"/>
        </w:rPr>
        <w:t>3.1</w:t>
      </w:r>
      <w:r w:rsidRPr="0072600F">
        <w:rPr>
          <w:sz w:val="26"/>
          <w:szCs w:val="26"/>
        </w:rPr>
        <w:tab/>
        <w:t>Effective Date</w:t>
      </w:r>
      <w:bookmarkEnd w:id="751"/>
    </w:p>
    <w:p w:rsidR="00503D78" w:rsidRPr="0072600F" w14:paraId="76753D9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 xml:space="preserve">This Agreement shall become effective upon execution by the Parties subject to acceptance by FERC (if applicable), or if filed unexecuted, upon the date specified by the FERC.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promptly file this Agreement with the FERC upon execution, if required.</w:t>
      </w:r>
    </w:p>
    <w:p w:rsidR="00503D78" w:rsidRPr="0072600F" w14:paraId="0AC835B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AD4DC4" w14:paraId="3DC0F343" w14:textId="77777777">
      <w:pPr>
        <w:pStyle w:val="TableParagraph"/>
        <w:rPr>
          <w:sz w:val="26"/>
          <w:szCs w:val="26"/>
        </w:rPr>
      </w:pPr>
      <w:bookmarkStart w:id="752" w:name="Generated_Bookmark14"/>
      <w:bookmarkStart w:id="753" w:name="_Toc149901367"/>
      <w:bookmarkEnd w:id="752"/>
      <w:r w:rsidRPr="0072600F">
        <w:rPr>
          <w:sz w:val="26"/>
          <w:szCs w:val="26"/>
        </w:rPr>
        <w:t>3.2</w:t>
      </w:r>
      <w:r w:rsidRPr="0072600F">
        <w:rPr>
          <w:sz w:val="26"/>
          <w:szCs w:val="26"/>
        </w:rPr>
        <w:tab/>
        <w:t>Term of Agreement</w:t>
      </w:r>
      <w:bookmarkEnd w:id="753"/>
    </w:p>
    <w:p w:rsidR="00503D78" w:rsidRPr="0072600F" w14:paraId="2E41260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 xml:space="preserve">This Agreement shall become effective on the Effective Date and shall remain in effect for a period of ten years from the Effective Date or such other longer period as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may request and shall be automatically renewed for each successive one-year period thereafter, unless terminated earlier in accordance with article 3.3 of this Agreement.</w:t>
      </w:r>
    </w:p>
    <w:p w:rsidR="00503D78" w:rsidRPr="0072600F" w14:paraId="145BFE4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AD4DC4" w14:paraId="2837DF89" w14:textId="77777777">
      <w:pPr>
        <w:pStyle w:val="TableParagraph"/>
        <w:rPr>
          <w:sz w:val="26"/>
          <w:szCs w:val="26"/>
        </w:rPr>
      </w:pPr>
      <w:bookmarkStart w:id="754" w:name="Generated_Bookmark15"/>
      <w:bookmarkStart w:id="755" w:name="_Toc149901368"/>
      <w:bookmarkEnd w:id="754"/>
      <w:r w:rsidRPr="0072600F">
        <w:rPr>
          <w:sz w:val="26"/>
          <w:szCs w:val="26"/>
        </w:rPr>
        <w:t>3.3</w:t>
      </w:r>
      <w:r w:rsidRPr="0072600F">
        <w:rPr>
          <w:sz w:val="26"/>
          <w:szCs w:val="26"/>
        </w:rPr>
        <w:tab/>
        <w:t>Termination</w:t>
      </w:r>
      <w:bookmarkEnd w:id="755"/>
    </w:p>
    <w:p w:rsidR="00503D78" w:rsidRPr="0072600F" w14:paraId="0287658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503D78" w:rsidRPr="0072600F" w14:paraId="1F4E04C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F1AAE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56" w:name="_Toc149901369"/>
      <w:r w:rsidRPr="0072600F">
        <w:rPr>
          <w:rStyle w:val="Heading3Char"/>
          <w:rFonts w:eastAsiaTheme="minorHAnsi"/>
          <w:sz w:val="26"/>
        </w:rPr>
        <w:t>3.3.1</w:t>
      </w:r>
      <w:bookmarkEnd w:id="756"/>
      <w:r w:rsidRPr="0072600F">
        <w:rPr>
          <w:rFonts w:ascii="Times New Roman" w:hAnsi="Times New Roman" w:cs="Times New Roman"/>
          <w:sz w:val="26"/>
          <w:szCs w:val="26"/>
        </w:rPr>
        <w:tab/>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may terminate this Agreement at any time by giving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t>
      </w:r>
      <w:r w:rsidRPr="0072600F" w:rsidR="0056592A">
        <w:rPr>
          <w:rFonts w:ascii="Times New Roman" w:hAnsi="Times New Roman" w:cs="Times New Roman"/>
          <w:i/>
          <w:iCs/>
          <w:sz w:val="26"/>
          <w:szCs w:val="26"/>
        </w:rPr>
        <w:t>twenty (</w:t>
      </w:r>
      <w:r w:rsidRPr="0072600F">
        <w:rPr>
          <w:rFonts w:ascii="Times New Roman" w:hAnsi="Times New Roman" w:cs="Times New Roman"/>
          <w:sz w:val="26"/>
          <w:szCs w:val="26"/>
        </w:rPr>
        <w:t>20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Business Days written notice.</w:t>
      </w:r>
    </w:p>
    <w:p w:rsidR="00503D78" w:rsidRPr="0072600F" w14:paraId="0D93EC1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p>
    <w:p w:rsidR="00503D78" w:rsidRPr="0072600F" w14:paraId="7ED4C6C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57" w:name="_Toc149901370"/>
      <w:r w:rsidRPr="0072600F">
        <w:rPr>
          <w:rStyle w:val="Heading3Char"/>
          <w:rFonts w:eastAsiaTheme="minorHAnsi"/>
          <w:sz w:val="26"/>
        </w:rPr>
        <w:t>3.3.2</w:t>
      </w:r>
      <w:bookmarkEnd w:id="757"/>
      <w:r w:rsidRPr="0072600F">
        <w:rPr>
          <w:rFonts w:ascii="Times New Roman" w:hAnsi="Times New Roman" w:cs="Times New Roman"/>
          <w:sz w:val="26"/>
          <w:szCs w:val="26"/>
        </w:rPr>
        <w:tab/>
        <w:t>Either Party may terminate this Agreement after Default pursuant to article 7.6.</w:t>
      </w:r>
    </w:p>
    <w:p w:rsidR="00503D78" w:rsidRPr="0072600F" w14:paraId="43DAC8B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p>
    <w:p w:rsidR="00503D78" w:rsidRPr="0072600F" w14:paraId="3B53CBA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58" w:name="_Toc149901371"/>
      <w:r w:rsidRPr="0072600F">
        <w:rPr>
          <w:rStyle w:val="Heading3Char"/>
          <w:rFonts w:eastAsiaTheme="minorHAnsi"/>
          <w:sz w:val="26"/>
        </w:rPr>
        <w:t>3.3.3</w:t>
      </w:r>
      <w:bookmarkEnd w:id="758"/>
      <w:r w:rsidRPr="0072600F">
        <w:rPr>
          <w:rFonts w:ascii="Times New Roman" w:hAnsi="Times New Roman" w:cs="Times New Roman"/>
          <w:sz w:val="26"/>
          <w:szCs w:val="26"/>
        </w:rPr>
        <w:tab/>
        <w:t xml:space="preserve">Upon termination of this Agreement, the Small Generating Facility will be disconnected from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503D78" w:rsidRPr="0072600F" w14:paraId="18B8D36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p>
    <w:p w:rsidR="00503D78" w:rsidRPr="0072600F" w14:paraId="059416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59" w:name="_Toc149901372"/>
      <w:r w:rsidRPr="0072600F">
        <w:rPr>
          <w:rStyle w:val="Heading3Char"/>
          <w:rFonts w:eastAsiaTheme="minorHAnsi"/>
          <w:sz w:val="26"/>
        </w:rPr>
        <w:t>3.3.4</w:t>
      </w:r>
      <w:bookmarkEnd w:id="759"/>
      <w:r w:rsidRPr="0072600F">
        <w:rPr>
          <w:rFonts w:ascii="Times New Roman" w:hAnsi="Times New Roman" w:cs="Times New Roman"/>
          <w:sz w:val="26"/>
          <w:szCs w:val="26"/>
        </w:rPr>
        <w:tab/>
        <w:t>The termination of this Agreement shall not relieve either Party of its liabilities and obligations, owed or continuing at the time of the termination.</w:t>
      </w:r>
    </w:p>
    <w:p w:rsidR="00503D78" w:rsidRPr="0072600F" w14:paraId="1D276A2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p>
    <w:p w:rsidR="00503D78" w:rsidRPr="0072600F" w14:paraId="0C2105A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60" w:name="_Toc149901373"/>
      <w:r w:rsidRPr="0072600F">
        <w:rPr>
          <w:rStyle w:val="Heading3Char"/>
          <w:rFonts w:eastAsiaTheme="minorHAnsi"/>
          <w:sz w:val="26"/>
        </w:rPr>
        <w:t>3.3.5</w:t>
      </w:r>
      <w:bookmarkEnd w:id="760"/>
      <w:r w:rsidRPr="0072600F">
        <w:rPr>
          <w:rFonts w:ascii="Times New Roman" w:hAnsi="Times New Roman" w:cs="Times New Roman"/>
          <w:sz w:val="26"/>
          <w:szCs w:val="26"/>
        </w:rPr>
        <w:tab/>
        <w:t>The provisions of this article shall survive termination or expiration of this Agreement.</w:t>
      </w:r>
    </w:p>
    <w:p w:rsidR="00503D78" w:rsidRPr="0072600F" w14:paraId="69E2D88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657A1D" w14:paraId="3E9A3685" w14:textId="77777777">
      <w:pPr>
        <w:pStyle w:val="TableParagraph"/>
        <w:rPr>
          <w:sz w:val="26"/>
          <w:szCs w:val="26"/>
        </w:rPr>
      </w:pPr>
      <w:bookmarkStart w:id="761" w:name="Generated_Bookmark16"/>
      <w:bookmarkStart w:id="762" w:name="_Toc149901374"/>
      <w:bookmarkEnd w:id="761"/>
      <w:r w:rsidRPr="0072600F">
        <w:rPr>
          <w:sz w:val="26"/>
          <w:szCs w:val="26"/>
        </w:rPr>
        <w:t>3.4</w:t>
      </w:r>
      <w:r w:rsidRPr="0072600F">
        <w:rPr>
          <w:sz w:val="26"/>
          <w:szCs w:val="26"/>
        </w:rPr>
        <w:tab/>
        <w:t>Temporary Disconnection</w:t>
      </w:r>
      <w:bookmarkEnd w:id="762"/>
    </w:p>
    <w:p w:rsidR="00503D78" w:rsidRPr="0072600F" w14:paraId="3D2A66F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Temporary disconnection shall continue only for so long as reasonably necessary under Good Utility Practice.</w:t>
      </w:r>
    </w:p>
    <w:p w:rsidR="00503D78" w:rsidRPr="0072600F" w14:paraId="1EBD7C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6668D71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63" w:name="Generated_Bookmark17"/>
      <w:bookmarkStart w:id="764" w:name="_Toc149901375"/>
      <w:bookmarkEnd w:id="763"/>
      <w:r w:rsidRPr="0072600F">
        <w:rPr>
          <w:rStyle w:val="Heading3Char"/>
          <w:rFonts w:eastAsiaTheme="minorHAnsi"/>
          <w:sz w:val="26"/>
        </w:rPr>
        <w:t>3.4.1</w:t>
      </w:r>
      <w:r w:rsidRPr="0072600F">
        <w:rPr>
          <w:rStyle w:val="Heading3Char"/>
          <w:rFonts w:eastAsiaTheme="minorHAnsi"/>
          <w:sz w:val="26"/>
        </w:rPr>
        <w:tab/>
        <w:t>Emergency Conditions</w:t>
      </w:r>
      <w:bookmarkEnd w:id="764"/>
      <w:r w:rsidRPr="0072600F">
        <w:rPr>
          <w:rFonts w:ascii="Times New Roman" w:hAnsi="Times New Roman" w:cs="Times New Roman"/>
          <w:sz w:val="26"/>
          <w:szCs w:val="26"/>
        </w:rPr>
        <w:t xml:space="preserve">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Emergency Condition</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shall mean a condition or situation:  (1) that in the judgment of the Party making the claim is imminently likely to endanger life or property; or (2) that, in the case of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is imminently likely (as determined in a non-discriminatory manner) to cause a material adverse effect on the security of, or damage to the Transmission System,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or the Transmission Systems of others to which the Transmission System is directly connected; or (3) that, in the case of </w:t>
      </w:r>
      <w:r w:rsidRPr="0072600F" w:rsidR="00F70DB6">
        <w:rPr>
          <w:rFonts w:ascii="Times New Roman" w:hAnsi="Times New Roman" w:cs="Times New Roman"/>
          <w:sz w:val="26"/>
          <w:szCs w:val="26"/>
        </w:rPr>
        <w:t>[</w:t>
      </w:r>
      <w:r w:rsidRPr="0072600F">
        <w:rPr>
          <w:rFonts w:ascii="Times New Roman" w:hAnsi="Times New Roman" w:cs="Times New Roman"/>
          <w:sz w:val="26"/>
          <w:szCs w:val="26"/>
        </w:rPr>
        <w:t>the</w:t>
      </w:r>
      <w:r w:rsidRPr="0072600F" w:rsidR="00F70DB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is imminently likely (as determined in a non-discriminatory manner) to cause a material adverse effect on the security of, or damage to, the Small Generating Facility or </w:t>
      </w:r>
      <w:r w:rsidRPr="0072600F" w:rsidR="00F70DB6">
        <w:rPr>
          <w:rFonts w:ascii="Times New Roman" w:hAnsi="Times New Roman" w:cs="Times New Roman"/>
          <w:sz w:val="26"/>
          <w:szCs w:val="26"/>
        </w:rPr>
        <w:t>[</w:t>
      </w:r>
      <w:r w:rsidRPr="0072600F">
        <w:rPr>
          <w:rFonts w:ascii="Times New Roman" w:hAnsi="Times New Roman" w:cs="Times New Roman"/>
          <w:sz w:val="26"/>
          <w:szCs w:val="26"/>
        </w:rPr>
        <w:t>the</w:t>
      </w:r>
      <w:r w:rsidRPr="0072600F" w:rsidR="00F70DB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s Interconnection Facilities.  Under Emergency Conditions,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may immediately suspend interconnection service and temporarily disconnect the Small Generating Facility.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notify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promptly when it becomes aware of an Emergency Condition that may reasonably be expected to affect </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operation of the Small Generating Facility.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notify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promptly when it becomes aware of an Emergency Condition that may reasonably be expected to affect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or any Affected Systems.  To the extent information is known, the notification shall describe the Emergency Condition, the extent of the damage or deficiency, the expected effect on the operation of both Parties</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facilities and operations, its anticipated duration, and the necessary corrective action.</w:t>
      </w:r>
    </w:p>
    <w:p w:rsidR="00503D78" w:rsidRPr="0072600F" w14:paraId="5F0FEC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rsidP="0046260C" w14:paraId="00F50E6B" w14:textId="77777777">
      <w:pPr>
        <w:pStyle w:val="TableParagraph"/>
        <w:ind w:firstLine="612"/>
        <w:rPr>
          <w:sz w:val="26"/>
          <w:szCs w:val="26"/>
        </w:rPr>
      </w:pPr>
      <w:bookmarkStart w:id="765" w:name="Generated_Bookmark18"/>
      <w:bookmarkStart w:id="766" w:name="_Toc149901376"/>
      <w:bookmarkEnd w:id="765"/>
      <w:r w:rsidRPr="0072600F">
        <w:rPr>
          <w:sz w:val="26"/>
          <w:szCs w:val="26"/>
        </w:rPr>
        <w:t>3.4.2</w:t>
      </w:r>
      <w:r w:rsidRPr="0072600F">
        <w:rPr>
          <w:sz w:val="26"/>
          <w:szCs w:val="26"/>
        </w:rPr>
        <w:tab/>
        <w:t>Routine Maintenance, Construction, and Repair</w:t>
      </w:r>
      <w:bookmarkEnd w:id="766"/>
    </w:p>
    <w:p w:rsidR="00503D78" w:rsidRPr="0072600F" w14:paraId="5436C80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may interrupt interconnection service or curtail the output of the Small Generating Facility and temporarily disconnect the Small Generating Facility from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when necessary for routine maintenance, construction, and repairs on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provide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 five</w:t>
      </w:r>
      <w:r w:rsidRPr="0072600F" w:rsidR="0056592A">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(5)</w:t>
      </w:r>
      <w:r w:rsidRPr="0072600F">
        <w:rPr>
          <w:rFonts w:ascii="Times New Roman" w:hAnsi="Times New Roman" w:cs="Times New Roman"/>
          <w:sz w:val="26"/>
          <w:szCs w:val="26"/>
        </w:rPr>
        <w:t xml:space="preserve"> Business </w:t>
      </w:r>
      <w:r w:rsidRPr="0072600F">
        <w:rPr>
          <w:rFonts w:ascii="Times New Roman" w:hAnsi="Times New Roman" w:cs="Times New Roman"/>
          <w:sz w:val="26"/>
          <w:szCs w:val="26"/>
        </w:rPr>
        <w:t>Days notice</w:t>
      </w:r>
      <w:r w:rsidRPr="0072600F">
        <w:rPr>
          <w:rFonts w:ascii="Times New Roman" w:hAnsi="Times New Roman" w:cs="Times New Roman"/>
          <w:sz w:val="26"/>
          <w:szCs w:val="26"/>
        </w:rPr>
        <w:t xml:space="preserve"> prior to such interruption.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use Reasonable Efforts to coordinate such reduction or temporary disconnection with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503D78" w:rsidRPr="0072600F" w14:paraId="54A3C3D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299D604F" w14:textId="77777777">
      <w:pPr>
        <w:pStyle w:val="TableParagraph"/>
        <w:ind w:firstLine="612"/>
        <w:rPr>
          <w:sz w:val="26"/>
          <w:szCs w:val="26"/>
        </w:rPr>
      </w:pPr>
      <w:bookmarkStart w:id="767" w:name="Generated_Bookmark19"/>
      <w:bookmarkStart w:id="768" w:name="_Toc149901377"/>
      <w:bookmarkEnd w:id="767"/>
      <w:r w:rsidRPr="0072600F">
        <w:rPr>
          <w:sz w:val="26"/>
          <w:szCs w:val="26"/>
        </w:rPr>
        <w:t>3.4.3</w:t>
      </w:r>
      <w:r w:rsidRPr="0072600F">
        <w:rPr>
          <w:sz w:val="26"/>
          <w:szCs w:val="26"/>
        </w:rPr>
        <w:tab/>
        <w:t>Forced Outages</w:t>
      </w:r>
      <w:bookmarkEnd w:id="768"/>
    </w:p>
    <w:p w:rsidR="00503D78" w:rsidRPr="0072600F" w14:paraId="15846F9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cs="Times New Roman"/>
          <w:sz w:val="26"/>
          <w:szCs w:val="26"/>
        </w:rPr>
      </w:pPr>
      <w:r w:rsidRPr="0072600F">
        <w:rPr>
          <w:rFonts w:ascii="Times New Roman" w:hAnsi="Times New Roman" w:cs="Times New Roman"/>
          <w:sz w:val="26"/>
          <w:szCs w:val="26"/>
        </w:rPr>
        <w:t xml:space="preserve">During any forced outage,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may suspend interconnection service to effect immediate repairs on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use Reasonable Efforts to provide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 prior notice.  If prior notice is not given,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upon request, provide </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the</w:t>
      </w:r>
      <w:r w:rsidRPr="0072600F" w:rsidR="002D17A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written documentation after the fact explaining the circumstances of the disconnection.</w:t>
      </w:r>
    </w:p>
    <w:p w:rsidR="00503D78" w:rsidRPr="0072600F" w14:paraId="14B908B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198FEB56" w14:textId="77777777">
      <w:pPr>
        <w:pStyle w:val="TableParagraph"/>
        <w:ind w:firstLine="612"/>
        <w:rPr>
          <w:sz w:val="26"/>
          <w:szCs w:val="26"/>
        </w:rPr>
      </w:pPr>
      <w:bookmarkStart w:id="769" w:name="Generated_Bookmark20"/>
      <w:bookmarkStart w:id="770" w:name="_Toc149901378"/>
      <w:bookmarkEnd w:id="769"/>
      <w:r w:rsidRPr="0072600F">
        <w:rPr>
          <w:sz w:val="26"/>
          <w:szCs w:val="26"/>
        </w:rPr>
        <w:t>3.4.4</w:t>
      </w:r>
      <w:r w:rsidRPr="0072600F">
        <w:rPr>
          <w:sz w:val="26"/>
          <w:szCs w:val="26"/>
        </w:rPr>
        <w:tab/>
        <w:t>Adverse Operating Effects</w:t>
      </w:r>
      <w:bookmarkEnd w:id="770"/>
    </w:p>
    <w:p w:rsidR="00503D78" w:rsidRPr="0072600F" w14:paraId="4144051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notify </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the</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or Affected Systems.  Supporting documentation used to reach the decision to disconnect shall be provided to </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the</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upon request.  If, after notice, </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the</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fails to remedy the adverse operating effect within a reasonable time,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may disconnect the Small Generating Facility.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provide </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the</w:t>
      </w:r>
      <w:r w:rsidRPr="0072600F" w:rsidR="005C4927">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 five Business Day notice of such disconnection, unless the provisions of article 3.4.1 apply.</w:t>
      </w:r>
    </w:p>
    <w:p w:rsidR="00503D78" w:rsidRPr="0072600F" w14:paraId="6983AB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7B441DED" w14:textId="77777777">
      <w:pPr>
        <w:pStyle w:val="TableParagraph"/>
        <w:ind w:firstLine="612"/>
        <w:rPr>
          <w:sz w:val="26"/>
          <w:szCs w:val="26"/>
        </w:rPr>
      </w:pPr>
      <w:bookmarkStart w:id="771" w:name="Generated_Bookmark21"/>
      <w:bookmarkStart w:id="772" w:name="_Toc149901379"/>
      <w:bookmarkEnd w:id="771"/>
      <w:r w:rsidRPr="0072600F">
        <w:rPr>
          <w:sz w:val="26"/>
          <w:szCs w:val="26"/>
        </w:rPr>
        <w:t>3.4.5</w:t>
      </w:r>
      <w:r w:rsidRPr="0072600F">
        <w:rPr>
          <w:sz w:val="26"/>
          <w:szCs w:val="26"/>
        </w:rPr>
        <w:tab/>
        <w:t>Modification of the Small Generating Facility</w:t>
      </w:r>
      <w:bookmarkEnd w:id="772"/>
    </w:p>
    <w:p w:rsidR="00503D78" w:rsidRPr="0072600F" w14:paraId="7F3D01C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cs="Times New Roman"/>
          <w:sz w:val="26"/>
          <w:szCs w:val="26"/>
        </w:rPr>
      </w:pPr>
      <w:r w:rsidRPr="0072600F">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Pr>
          <w:rFonts w:ascii="Times New Roman" w:hAnsi="Times New Roman" w:cs="Times New Roman"/>
          <w:sz w:val="26"/>
          <w:szCs w:val="26"/>
        </w:rPr>
        <w:t xml:space="preserve">Interconnection Customer must receive written authorization from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before making any change to the Small Generating Facility that may have a material impact on the safety or reliability of the Transmission System.  Such authorization shall not be unreasonably withheld.  Modifications shall be done in accordance with Good Utility Practice.  If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makes such modification without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prior written authorization, the latter shall have the right to temporarily disconnect the Small Generating Facility.</w:t>
      </w:r>
    </w:p>
    <w:p w:rsidR="00503D78" w:rsidRPr="0072600F" w14:paraId="627968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66B0041D" w14:textId="77777777">
      <w:pPr>
        <w:pStyle w:val="TableParagraph"/>
        <w:ind w:firstLine="612"/>
        <w:rPr>
          <w:sz w:val="26"/>
          <w:szCs w:val="26"/>
        </w:rPr>
      </w:pPr>
      <w:bookmarkStart w:id="773" w:name="Generated_Bookmark22"/>
      <w:bookmarkStart w:id="774" w:name="_Toc149901380"/>
      <w:bookmarkEnd w:id="773"/>
      <w:r w:rsidRPr="0072600F">
        <w:rPr>
          <w:sz w:val="26"/>
          <w:szCs w:val="26"/>
        </w:rPr>
        <w:t>3.4.6</w:t>
      </w:r>
      <w:r w:rsidRPr="0072600F">
        <w:rPr>
          <w:sz w:val="26"/>
          <w:szCs w:val="26"/>
        </w:rPr>
        <w:tab/>
        <w:t>Reconnection</w:t>
      </w:r>
      <w:bookmarkEnd w:id="774"/>
    </w:p>
    <w:p w:rsidR="00503D78" w:rsidRPr="0072600F" w14:paraId="099AB0A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cs="Times New Roman"/>
          <w:sz w:val="26"/>
          <w:szCs w:val="26"/>
        </w:rPr>
      </w:pPr>
      <w:r w:rsidRPr="0072600F">
        <w:rPr>
          <w:rFonts w:ascii="Times New Roman" w:hAnsi="Times New Roman" w:cs="Times New Roman"/>
          <w:sz w:val="26"/>
          <w:szCs w:val="26"/>
        </w:rPr>
        <w:t xml:space="preserve">The Parties shall cooperate with each other to restore the Small Generating Facility, Interconnection Facilities, and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to their normal operating state as soon as reasonably practicable following a temporary disconnection.</w:t>
      </w:r>
    </w:p>
    <w:p w:rsidR="00503D78" w:rsidRPr="0072600F" w14:paraId="0E7750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1264B946" w14:textId="77777777">
      <w:pPr>
        <w:pStyle w:val="Heading2"/>
        <w:rPr>
          <w:b/>
          <w:bCs/>
          <w:sz w:val="26"/>
          <w:szCs w:val="26"/>
        </w:rPr>
      </w:pPr>
      <w:bookmarkStart w:id="775" w:name="Generated_Bookmark23"/>
      <w:bookmarkStart w:id="776" w:name="_Toc149901381"/>
      <w:bookmarkEnd w:id="775"/>
      <w:r w:rsidRPr="0072600F">
        <w:rPr>
          <w:b/>
          <w:bCs/>
          <w:sz w:val="26"/>
          <w:szCs w:val="26"/>
        </w:rPr>
        <w:t>Article 4.  Cost Responsibility for Interconnection Facilities and Distribution Upgrades</w:t>
      </w:r>
      <w:bookmarkEnd w:id="776"/>
    </w:p>
    <w:p w:rsidR="00503D78" w:rsidRPr="0072600F" w14:paraId="3D24674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389A04A0" w14:textId="77777777">
      <w:pPr>
        <w:pStyle w:val="TableParagraph"/>
        <w:rPr>
          <w:sz w:val="26"/>
          <w:szCs w:val="26"/>
        </w:rPr>
      </w:pPr>
      <w:bookmarkStart w:id="777" w:name="Generated_Bookmark25"/>
      <w:bookmarkStart w:id="778" w:name="_Toc149901382"/>
      <w:bookmarkEnd w:id="777"/>
      <w:r w:rsidRPr="0072600F">
        <w:rPr>
          <w:sz w:val="26"/>
          <w:szCs w:val="26"/>
        </w:rPr>
        <w:t>4.1</w:t>
      </w:r>
      <w:r w:rsidRPr="0072600F">
        <w:rPr>
          <w:sz w:val="26"/>
          <w:szCs w:val="26"/>
        </w:rPr>
        <w:tab/>
        <w:t>Interconnection Facilities</w:t>
      </w:r>
      <w:bookmarkEnd w:id="778"/>
    </w:p>
    <w:p w:rsidR="00503D78" w:rsidRPr="0072600F" w14:paraId="07B04A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85FE1" w14:paraId="11161CC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79" w:name="_Toc149901383"/>
      <w:r w:rsidRPr="0072600F">
        <w:rPr>
          <w:rStyle w:val="Heading3Char"/>
          <w:rFonts w:eastAsiaTheme="minorHAnsi"/>
          <w:sz w:val="26"/>
        </w:rPr>
        <w:t>4.1.1</w:t>
      </w:r>
      <w:bookmarkEnd w:id="779"/>
      <w:r w:rsidRPr="0072600F">
        <w:rPr>
          <w:rFonts w:ascii="Times New Roman" w:hAnsi="Times New Roman" w:cs="Times New Roman"/>
          <w:sz w:val="26"/>
          <w:szCs w:val="26"/>
        </w:rPr>
        <w:tab/>
      </w:r>
      <w:r w:rsidRPr="0072600F" w:rsidR="00AC7C1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C7C1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pay for the cost of the Interconnection Facilities itemized in Attachment 2 of this Agreement.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such other entities, and </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the</w:t>
      </w:r>
      <w:r w:rsidRPr="0072600F" w:rsidR="0031383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p>
    <w:p w:rsidR="00503D78" w:rsidRPr="0072600F" w14:paraId="185AFDC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5C56119" w14:textId="77777777">
      <w:pPr>
        <w:ind w:left="1440" w:hanging="720"/>
        <w:rPr>
          <w:rFonts w:ascii="Times New Roman" w:hAnsi="Times New Roman" w:cs="Times New Roman"/>
          <w:sz w:val="26"/>
          <w:szCs w:val="26"/>
        </w:rPr>
      </w:pPr>
      <w:bookmarkStart w:id="780" w:name="_Toc149901384"/>
      <w:r w:rsidRPr="0072600F">
        <w:rPr>
          <w:rStyle w:val="Heading3Char"/>
          <w:rFonts w:eastAsiaTheme="minorHAnsi"/>
          <w:sz w:val="26"/>
        </w:rPr>
        <w:t>4.1.2</w:t>
      </w:r>
      <w:bookmarkEnd w:id="780"/>
      <w:r w:rsidRPr="0072600F">
        <w:rPr>
          <w:rFonts w:ascii="Times New Roman" w:hAnsi="Times New Roman" w:cs="Times New Roman"/>
          <w:sz w:val="26"/>
          <w:szCs w:val="26"/>
        </w:rPr>
        <w:tab/>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be responsible for its share of all reasonable expenses, including overheads, associated with (1) owning, operating, maintaining, repairing, and replacing its own Interconnection Facilities, and (2) operating, maintaining, repairing, and replacing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w:t>
      </w:r>
    </w:p>
    <w:p w:rsidR="00503D78" w:rsidRPr="0072600F" w14:paraId="302AFE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85FE1" w14:paraId="7C794A20" w14:textId="77777777">
      <w:pPr>
        <w:pStyle w:val="TableParagraph"/>
        <w:rPr>
          <w:sz w:val="26"/>
          <w:szCs w:val="26"/>
        </w:rPr>
      </w:pPr>
      <w:bookmarkStart w:id="781" w:name="_Toc149901385"/>
      <w:r w:rsidRPr="0072600F">
        <w:rPr>
          <w:sz w:val="26"/>
          <w:szCs w:val="26"/>
        </w:rPr>
        <w:t>4.2</w:t>
      </w:r>
      <w:r w:rsidRPr="0072600F">
        <w:rPr>
          <w:sz w:val="26"/>
          <w:szCs w:val="26"/>
        </w:rPr>
        <w:tab/>
        <w:t>Distribution Upgrades</w:t>
      </w:r>
      <w:bookmarkEnd w:id="781"/>
    </w:p>
    <w:p w:rsidR="00503D78" w:rsidRPr="0072600F" w14:paraId="541DA390" w14:textId="77777777">
      <w:pPr>
        <w:ind w:left="72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design, procure, construct, install, and own the Distribution Upgrades described in Attachment 6 of this Agreement.  If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agree, </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may construct Distribution Upgrades that are located on land owned by </w:t>
      </w:r>
      <w:r w:rsidRPr="0072600F" w:rsidR="00664DB1">
        <w:rPr>
          <w:rFonts w:ascii="Times New Roman" w:hAnsi="Times New Roman" w:cs="Times New Roman"/>
          <w:sz w:val="26"/>
          <w:szCs w:val="26"/>
        </w:rPr>
        <w:t>[</w:t>
      </w:r>
      <w:r w:rsidRPr="0072600F">
        <w:rPr>
          <w:rFonts w:ascii="Times New Roman" w:hAnsi="Times New Roman" w:cs="Times New Roman"/>
          <w:sz w:val="26"/>
          <w:szCs w:val="26"/>
        </w:rPr>
        <w:t>the</w:t>
      </w:r>
      <w:r w:rsidRPr="0072600F" w:rsidR="00664DB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The actual cost of the Distribution Upgrades, including overheads, shall be directly assigned to </w:t>
      </w:r>
      <w:r w:rsidRPr="0072600F" w:rsidR="00664DB1">
        <w:rPr>
          <w:rFonts w:ascii="Times New Roman" w:hAnsi="Times New Roman" w:cs="Times New Roman"/>
          <w:sz w:val="26"/>
          <w:szCs w:val="26"/>
        </w:rPr>
        <w:t>[</w:t>
      </w:r>
      <w:r w:rsidRPr="0072600F">
        <w:rPr>
          <w:rFonts w:ascii="Times New Roman" w:hAnsi="Times New Roman" w:cs="Times New Roman"/>
          <w:sz w:val="26"/>
          <w:szCs w:val="26"/>
        </w:rPr>
        <w:t>the</w:t>
      </w:r>
      <w:r w:rsidRPr="0072600F" w:rsidR="00664DB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503D78" w:rsidRPr="0072600F" w14:paraId="1018A1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1BFAA10D" w14:textId="77777777">
      <w:pPr>
        <w:pStyle w:val="Heading2"/>
        <w:rPr>
          <w:b/>
          <w:bCs/>
          <w:sz w:val="26"/>
          <w:szCs w:val="26"/>
        </w:rPr>
      </w:pPr>
      <w:bookmarkStart w:id="782" w:name="_Toc149901386"/>
      <w:r w:rsidRPr="0072600F">
        <w:rPr>
          <w:b/>
          <w:bCs/>
          <w:sz w:val="26"/>
          <w:szCs w:val="26"/>
        </w:rPr>
        <w:t>Article 5.  Cost Responsibility for Network Upgrades</w:t>
      </w:r>
      <w:bookmarkEnd w:id="782"/>
    </w:p>
    <w:p w:rsidR="00503D78" w:rsidRPr="0072600F" w14:paraId="790128B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85FE1" w14:paraId="3C84E3A1" w14:textId="77777777">
      <w:pPr>
        <w:pStyle w:val="TableParagraph"/>
        <w:rPr>
          <w:sz w:val="26"/>
          <w:szCs w:val="26"/>
        </w:rPr>
      </w:pPr>
      <w:bookmarkStart w:id="783" w:name="_Toc149901387"/>
      <w:r w:rsidRPr="0072600F">
        <w:rPr>
          <w:sz w:val="26"/>
          <w:szCs w:val="26"/>
        </w:rPr>
        <w:t>5.1</w:t>
      </w:r>
      <w:r w:rsidRPr="0072600F">
        <w:rPr>
          <w:sz w:val="26"/>
          <w:szCs w:val="26"/>
        </w:rPr>
        <w:tab/>
        <w:t>Applicability</w:t>
      </w:r>
      <w:bookmarkEnd w:id="783"/>
    </w:p>
    <w:p w:rsidR="00503D78" w:rsidRPr="0072600F" w14:paraId="511D72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No portion of this article 5 shall apply unless the interconnection of the Small Generating Facility requires Network Upgrades.</w:t>
      </w:r>
    </w:p>
    <w:p w:rsidR="00503D78" w:rsidRPr="0072600F" w14:paraId="71CAF29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bookmarkStart w:id="784" w:name="Generated_Bookmark26"/>
      <w:bookmarkEnd w:id="784"/>
    </w:p>
    <w:p w:rsidR="00503D78" w:rsidRPr="0072600F" w:rsidP="00085FE1" w14:paraId="11C9D1A5" w14:textId="77777777">
      <w:pPr>
        <w:pStyle w:val="TableParagraph"/>
        <w:rPr>
          <w:sz w:val="26"/>
          <w:szCs w:val="26"/>
        </w:rPr>
      </w:pPr>
      <w:bookmarkStart w:id="785" w:name="_Toc149901388"/>
      <w:r w:rsidRPr="0072600F">
        <w:rPr>
          <w:sz w:val="26"/>
          <w:szCs w:val="26"/>
        </w:rPr>
        <w:t>5.2</w:t>
      </w:r>
      <w:r w:rsidRPr="0072600F">
        <w:rPr>
          <w:sz w:val="26"/>
          <w:szCs w:val="26"/>
        </w:rPr>
        <w:tab/>
        <w:t>Network Upgrades</w:t>
      </w:r>
      <w:bookmarkEnd w:id="785"/>
    </w:p>
    <w:p w:rsidR="00503D78" w:rsidRPr="0072600F" w14:paraId="067C56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the Transmission Owner shall design, procure, construct, install, and own the Network Upgrades described in Attachment 6 of this Agreement.  If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agree, </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may construct Network Upgrades that are located on land owned by </w:t>
      </w:r>
      <w:r w:rsidRPr="0072600F" w:rsidR="00664DB1">
        <w:rPr>
          <w:rFonts w:ascii="Times New Roman" w:hAnsi="Times New Roman" w:cs="Times New Roman"/>
          <w:sz w:val="26"/>
          <w:szCs w:val="26"/>
        </w:rPr>
        <w:t>[</w:t>
      </w:r>
      <w:r w:rsidRPr="0072600F">
        <w:rPr>
          <w:rFonts w:ascii="Times New Roman" w:hAnsi="Times New Roman" w:cs="Times New Roman"/>
          <w:sz w:val="26"/>
          <w:szCs w:val="26"/>
        </w:rPr>
        <w:t>the</w:t>
      </w:r>
      <w:r w:rsidRPr="0072600F" w:rsidR="00664DB1">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Unless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elects to pay for Network Upgrades, the actual cost of the Network Upgrades, including overheads, shall be borne initially by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503D78" w:rsidRPr="0072600F" w14:paraId="6B0A538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D91B57" w14:paraId="063333CB" w14:textId="77777777">
      <w:pPr>
        <w:pStyle w:val="TableParagraph"/>
        <w:ind w:left="1440"/>
        <w:rPr>
          <w:sz w:val="26"/>
          <w:szCs w:val="26"/>
        </w:rPr>
      </w:pPr>
      <w:bookmarkStart w:id="786" w:name="_Toc149901389"/>
      <w:r w:rsidRPr="0072600F">
        <w:rPr>
          <w:sz w:val="26"/>
          <w:szCs w:val="26"/>
        </w:rPr>
        <w:t>5.2.1</w:t>
      </w:r>
      <w:r w:rsidRPr="0072600F">
        <w:rPr>
          <w:sz w:val="26"/>
          <w:szCs w:val="26"/>
        </w:rPr>
        <w:tab/>
        <w:t>Repayment of Amounts Advanced for Network Upgrades</w:t>
      </w:r>
      <w:bookmarkEnd w:id="786"/>
    </w:p>
    <w:p w:rsidR="00503D78" w:rsidRPr="0072600F" w14:paraId="7556ACD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be entitled to a cash repayment, equal to the total amount paid to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Affected System operator, if any, for Network Upgrades, including any tax gross-up or other tax-related payments associated with the Network Upgrades, and not otherwise refunded to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be paid to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on a dollar-for-dollar basis for the non-usage sensitive portion of transmission charges, as payments are made under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Tariff and Affected System</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 xml:space="preserve">s Tariff for transmission services with respect to the Small Generating Facility.  Any repayment shall include interest calculated in accordance with the methodology set forth in FERC’s regulations at 18 C.F.R. § 35.19a(a)(2)(iii) from the date of any payment for Network Upgrades through the date on which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receives a repayment of such payment pursuant to this subparagraph.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may assign such repayment rights to any person.</w:t>
      </w:r>
    </w:p>
    <w:p w:rsidR="00503D78" w:rsidRPr="0072600F" w14:paraId="19309F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85FE1" w14:paraId="79508B2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cs="Times New Roman"/>
          <w:sz w:val="26"/>
          <w:szCs w:val="26"/>
        </w:rPr>
      </w:pPr>
      <w:r w:rsidRPr="0072600F">
        <w:rPr>
          <w:rStyle w:val="Heading4Char"/>
          <w:rFonts w:eastAsiaTheme="minorHAnsi"/>
          <w:sz w:val="26"/>
        </w:rPr>
        <w:t>5.2.1.1</w:t>
      </w:r>
      <w:r w:rsidRPr="0072600F">
        <w:rPr>
          <w:rFonts w:ascii="Times New Roman" w:hAnsi="Times New Roman" w:cs="Times New Roman"/>
          <w:sz w:val="26"/>
          <w:szCs w:val="26"/>
        </w:rPr>
        <w:tab/>
        <w:t xml:space="preserve">Notwithstanding the foregoing,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any applicable Affected System operators may adopt any alternative payment schedule that is mutually agreeable so long as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said Affected System operators take one of the following actions no later than five years from the Commercial Operation Date:  (1) return to </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any amounts advanced for Network Upgrades not previously repaid, or (2) declare in writing that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any applicable Affected System operators will continue to provide payments to </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the</w:t>
      </w:r>
      <w:r w:rsidRPr="0072600F" w:rsidR="0093139C">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on a dollar-for-dollar basis for the non-usage sensitive portion of transmission charges, or develop an alternative schedule that is mutually agreeable and provides for the return of all amounts advanced for Network Upgrades not previously repaid; however, full reimbursement shall not extend beyond twenty (20) years from the commercial operation date.</w:t>
      </w:r>
    </w:p>
    <w:p w:rsidR="00503D78" w:rsidRPr="0072600F" w14:paraId="21F754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Times New Roman" w:hAnsi="Times New Roman" w:cs="Times New Roman"/>
          <w:sz w:val="26"/>
          <w:szCs w:val="26"/>
        </w:rPr>
      </w:pPr>
    </w:p>
    <w:p w:rsidR="00503D78" w:rsidRPr="0072600F" w:rsidP="00085FE1" w14:paraId="2869CE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cs="Times New Roman"/>
          <w:sz w:val="26"/>
          <w:szCs w:val="26"/>
        </w:rPr>
      </w:pPr>
      <w:r w:rsidRPr="0072600F">
        <w:rPr>
          <w:rStyle w:val="Heading4Char"/>
          <w:rFonts w:eastAsiaTheme="minorHAnsi"/>
          <w:sz w:val="26"/>
        </w:rPr>
        <w:t>5.2.1.2</w:t>
      </w:r>
      <w:r w:rsidRPr="0072600F">
        <w:rPr>
          <w:rFonts w:ascii="Times New Roman" w:hAnsi="Times New Roman" w:cs="Times New Roman"/>
          <w:sz w:val="26"/>
          <w:szCs w:val="26"/>
        </w:rPr>
        <w:tab/>
        <w:t xml:space="preserve">If the Small Generating Facility fails to achieve commercial operation, but it or another generating facility is later constructed and requires use of the Network Upgrades, </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the</w:t>
      </w:r>
      <w:r w:rsidRPr="0072600F" w:rsidR="00A9071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Affected System operator shall at that time reimburse </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the</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for the amounts advanced for the Network Upgrades.  Before any such reimbursement can occur,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or the entity that ultimately constructs the generating facility, if different, is responsible for identifying the entity to which reimbursement must be made.</w:t>
      </w:r>
    </w:p>
    <w:p w:rsidR="00503D78" w:rsidRPr="0072600F" w14:paraId="7E2913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sz w:val="26"/>
          <w:szCs w:val="26"/>
        </w:rPr>
      </w:pPr>
    </w:p>
    <w:p w:rsidR="00503D78" w:rsidRPr="0072600F" w:rsidP="00085FE1" w14:paraId="08E523ED" w14:textId="77777777">
      <w:pPr>
        <w:pStyle w:val="TableParagraph"/>
        <w:rPr>
          <w:sz w:val="26"/>
          <w:szCs w:val="26"/>
        </w:rPr>
      </w:pPr>
      <w:bookmarkStart w:id="787" w:name="_Toc149901390"/>
      <w:r w:rsidRPr="0072600F">
        <w:rPr>
          <w:sz w:val="26"/>
          <w:szCs w:val="26"/>
        </w:rPr>
        <w:t>5.3</w:t>
      </w:r>
      <w:r w:rsidRPr="0072600F">
        <w:rPr>
          <w:sz w:val="26"/>
          <w:szCs w:val="26"/>
        </w:rPr>
        <w:tab/>
        <w:t>Special Provisions for Affected Systems</w:t>
      </w:r>
      <w:bookmarkEnd w:id="787"/>
    </w:p>
    <w:p w:rsidR="00503D78" w:rsidRPr="0072600F" w14:paraId="599FFE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 xml:space="preserve">Unless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provides, under this Agreement, for the repayment of amounts advanced to any applicable Affected System operators for Network Upgrades,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and Affected System operator shall enter into an agreement that provides for such repayment.  The agreement shall specify the terms governing payments to be made by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to Affected System operator as well as the repayment by Affected System operator.</w:t>
      </w:r>
    </w:p>
    <w:p w:rsidR="00503D78" w:rsidRPr="0072600F" w14:paraId="69F7736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85FE1" w14:paraId="5512E9E5" w14:textId="77777777">
      <w:pPr>
        <w:pStyle w:val="TableParagraph"/>
        <w:rPr>
          <w:sz w:val="26"/>
          <w:szCs w:val="26"/>
        </w:rPr>
      </w:pPr>
      <w:bookmarkStart w:id="788" w:name="_Toc149901391"/>
      <w:r w:rsidRPr="0072600F">
        <w:rPr>
          <w:sz w:val="26"/>
          <w:szCs w:val="26"/>
        </w:rPr>
        <w:t>5.4</w:t>
      </w:r>
      <w:r w:rsidRPr="0072600F">
        <w:rPr>
          <w:sz w:val="26"/>
          <w:szCs w:val="26"/>
        </w:rPr>
        <w:tab/>
        <w:t>Rights Under Other Agreements</w:t>
      </w:r>
      <w:bookmarkEnd w:id="788"/>
    </w:p>
    <w:p w:rsidR="00503D78" w:rsidRPr="0072600F" w14:paraId="51A3C7D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 xml:space="preserve">Notwithstanding any other provision of this Agreement, nothing herein shall be construed as relinquishing or foreclosing any rights, including but not limited to firm transmission rights, capacity rights, transmission congestion rights, or transmission credits, that </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the</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bookmarkStart w:id="789" w:name="Generated_Bookmark27"/>
      <w:bookmarkEnd w:id="789"/>
    </w:p>
    <w:p w:rsidR="00503D78" w:rsidRPr="0072600F" w14:paraId="133742A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bookmarkStart w:id="790" w:name="Generated_Bookmark30"/>
      <w:bookmarkEnd w:id="790"/>
    </w:p>
    <w:p w:rsidR="00503D78" w:rsidRPr="0072600F" w:rsidP="0046260C" w14:paraId="4A05B513" w14:textId="77777777">
      <w:pPr>
        <w:pStyle w:val="Heading2"/>
        <w:rPr>
          <w:b/>
          <w:bCs/>
          <w:sz w:val="26"/>
          <w:szCs w:val="26"/>
        </w:rPr>
      </w:pPr>
      <w:bookmarkStart w:id="791" w:name="_Toc149901392"/>
      <w:r w:rsidRPr="0072600F">
        <w:rPr>
          <w:b/>
          <w:bCs/>
          <w:sz w:val="26"/>
          <w:szCs w:val="26"/>
        </w:rPr>
        <w:t>Article 6.  Billing, Payment, Milestones, and Financial Security</w:t>
      </w:r>
      <w:bookmarkEnd w:id="791"/>
    </w:p>
    <w:p w:rsidR="00503D78" w:rsidRPr="0072600F" w14:paraId="580065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2248AA03" w14:textId="77777777">
      <w:pPr>
        <w:pStyle w:val="TableParagraph"/>
        <w:rPr>
          <w:sz w:val="26"/>
          <w:szCs w:val="26"/>
        </w:rPr>
      </w:pPr>
      <w:bookmarkStart w:id="792" w:name="_Toc149901393"/>
      <w:r w:rsidRPr="0072600F">
        <w:rPr>
          <w:sz w:val="26"/>
          <w:szCs w:val="26"/>
        </w:rPr>
        <w:t>6.1</w:t>
      </w:r>
      <w:r w:rsidRPr="0072600F">
        <w:rPr>
          <w:sz w:val="26"/>
          <w:szCs w:val="26"/>
        </w:rPr>
        <w:tab/>
        <w:t>Billing and Payment Procedures and Final Accounting</w:t>
      </w:r>
      <w:bookmarkStart w:id="793" w:name="Generated_Bookmark34"/>
      <w:bookmarkEnd w:id="792"/>
      <w:bookmarkEnd w:id="793"/>
    </w:p>
    <w:p w:rsidR="00503D78" w:rsidRPr="0072600F" w14:paraId="58AEEF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4A2B083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94" w:name="_Toc149901394"/>
      <w:r w:rsidRPr="0072600F">
        <w:rPr>
          <w:rStyle w:val="Heading3Char"/>
          <w:rFonts w:eastAsiaTheme="minorHAnsi"/>
          <w:sz w:val="26"/>
        </w:rPr>
        <w:t>6.1.1</w:t>
      </w:r>
      <w:bookmarkEnd w:id="794"/>
      <w:r w:rsidRPr="0072600F">
        <w:rPr>
          <w:rFonts w:ascii="Times New Roman" w:hAnsi="Times New Roman" w:cs="Times New Roman"/>
          <w:sz w:val="26"/>
          <w:szCs w:val="26"/>
        </w:rPr>
        <w:tab/>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bill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for the design, engineering, construction, and procurement costs of Interconnection Facilities and Upgrades contemplated by this Agreement on a monthly basis, or as otherwise agreed by the Parties.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pay each bill within</w:t>
      </w:r>
      <w:r w:rsidRPr="0072600F" w:rsidR="0056592A">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thirty</w:t>
      </w:r>
      <w:r w:rsidRPr="0072600F">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30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c</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C</w:t>
      </w:r>
      <w:r w:rsidRPr="0072600F">
        <w:rPr>
          <w:rFonts w:ascii="Times New Roman" w:hAnsi="Times New Roman" w:cs="Times New Roman"/>
          <w:sz w:val="26"/>
          <w:szCs w:val="26"/>
        </w:rPr>
        <w:t xml:space="preserve">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ays of receipt, or as otherwise agreed to by the Parties.</w:t>
      </w:r>
    </w:p>
    <w:p w:rsidR="00503D78" w:rsidRPr="0072600F" w14:paraId="6FE615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95" w:name="Generated_Bookmark35"/>
      <w:bookmarkEnd w:id="795"/>
    </w:p>
    <w:p w:rsidR="00503D78" w:rsidRPr="0072600F" w14:paraId="68D1817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796" w:name="_Toc149901395"/>
      <w:r w:rsidRPr="0072600F">
        <w:rPr>
          <w:rStyle w:val="Heading3Char"/>
          <w:rFonts w:eastAsiaTheme="minorHAnsi"/>
          <w:sz w:val="26"/>
        </w:rPr>
        <w:t>6.1.2</w:t>
      </w:r>
      <w:bookmarkEnd w:id="796"/>
      <w:r w:rsidRPr="0072600F">
        <w:rPr>
          <w:rFonts w:ascii="Times New Roman" w:hAnsi="Times New Roman" w:cs="Times New Roman"/>
          <w:sz w:val="26"/>
          <w:szCs w:val="26"/>
        </w:rPr>
        <w:tab/>
        <w:t xml:space="preserve">Within three months of completing the construction and installation of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and/or Upgrades described in the Attachments to this Agreement,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provide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with a final accounting report of any difference between (1)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cost responsibility for the actual cost of such facilities or Upgrades, and (2)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previous aggregate payments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for such facilities or Upgrades.  If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cost responsibility exceeds its previous aggregate payments,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invoice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for the amount due and </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the</w:t>
      </w:r>
      <w:r w:rsidRPr="0072600F" w:rsidR="004C18B9">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make payment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within </w:t>
      </w:r>
      <w:r w:rsidRPr="0072600F" w:rsidR="0056592A">
        <w:rPr>
          <w:rFonts w:ascii="Times New Roman" w:hAnsi="Times New Roman" w:cs="Times New Roman"/>
          <w:i/>
          <w:iCs/>
          <w:sz w:val="26"/>
          <w:szCs w:val="26"/>
        </w:rPr>
        <w:t>thirty (</w:t>
      </w:r>
      <w:r w:rsidRPr="0072600F">
        <w:rPr>
          <w:rFonts w:ascii="Times New Roman" w:hAnsi="Times New Roman" w:cs="Times New Roman"/>
          <w:sz w:val="26"/>
          <w:szCs w:val="26"/>
        </w:rPr>
        <w:t>30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c</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C</w:t>
      </w:r>
      <w:r w:rsidRPr="0072600F">
        <w:rPr>
          <w:rFonts w:ascii="Times New Roman" w:hAnsi="Times New Roman" w:cs="Times New Roman"/>
          <w:sz w:val="26"/>
          <w:szCs w:val="26"/>
        </w:rPr>
        <w:t xml:space="preserve">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 xml:space="preserve">ays.  If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previous aggregate payments exceed its cost responsibility under this Agreement,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refund to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an amount equal to the difference within </w:t>
      </w:r>
      <w:r w:rsidRPr="0072600F" w:rsidR="0056592A">
        <w:rPr>
          <w:rFonts w:ascii="Times New Roman" w:hAnsi="Times New Roman" w:cs="Times New Roman"/>
          <w:i/>
          <w:iCs/>
          <w:sz w:val="26"/>
          <w:szCs w:val="26"/>
        </w:rPr>
        <w:t>thirty (</w:t>
      </w:r>
      <w:r w:rsidRPr="0072600F">
        <w:rPr>
          <w:rFonts w:ascii="Times New Roman" w:hAnsi="Times New Roman" w:cs="Times New Roman"/>
          <w:sz w:val="26"/>
          <w:szCs w:val="26"/>
        </w:rPr>
        <w:t>30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c</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C</w:t>
      </w:r>
      <w:r w:rsidRPr="0072600F">
        <w:rPr>
          <w:rFonts w:ascii="Times New Roman" w:hAnsi="Times New Roman" w:cs="Times New Roman"/>
          <w:sz w:val="26"/>
          <w:szCs w:val="26"/>
        </w:rPr>
        <w:t xml:space="preserve">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ays of the final accounting report.</w:t>
      </w:r>
    </w:p>
    <w:p w:rsidR="00503D78" w:rsidRPr="0072600F" w14:paraId="486198E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63341030" w14:textId="77777777">
      <w:pPr>
        <w:pStyle w:val="TableParagraph"/>
        <w:rPr>
          <w:sz w:val="26"/>
          <w:szCs w:val="26"/>
        </w:rPr>
      </w:pPr>
      <w:bookmarkStart w:id="797" w:name="_Toc149901396"/>
      <w:r w:rsidRPr="0072600F">
        <w:rPr>
          <w:sz w:val="26"/>
          <w:szCs w:val="26"/>
        </w:rPr>
        <w:t>6.2</w:t>
      </w:r>
      <w:r w:rsidRPr="0072600F">
        <w:rPr>
          <w:sz w:val="26"/>
          <w:szCs w:val="26"/>
        </w:rPr>
        <w:tab/>
        <w:t>Milestones</w:t>
      </w:r>
      <w:bookmarkEnd w:id="797"/>
    </w:p>
    <w:p w:rsidR="00503D78" w:rsidRPr="0072600F" w14:paraId="5F5DF0B4" w14:textId="77777777">
      <w:pPr>
        <w:ind w:left="720"/>
        <w:rPr>
          <w:rFonts w:ascii="Times New Roman" w:hAnsi="Times New Roman" w:cs="Times New Roman"/>
          <w:sz w:val="26"/>
          <w:szCs w:val="26"/>
        </w:rPr>
      </w:pPr>
      <w:r w:rsidRPr="0072600F">
        <w:rPr>
          <w:rFonts w:ascii="Times New Roman" w:hAnsi="Times New Roman" w:cs="Times New Roman"/>
          <w:sz w:val="26"/>
          <w:szCs w:val="26"/>
        </w:rPr>
        <w:t>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Party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
    <w:p w:rsidR="00503D78" w:rsidRPr="0072600F" w14:paraId="31E81F7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310C6F5A" w14:textId="77777777">
      <w:pPr>
        <w:pStyle w:val="TableParagraph"/>
        <w:rPr>
          <w:sz w:val="26"/>
          <w:szCs w:val="26"/>
        </w:rPr>
      </w:pPr>
      <w:bookmarkStart w:id="798" w:name="Generated_Bookmark31"/>
      <w:bookmarkStart w:id="799" w:name="_Toc149901397"/>
      <w:bookmarkEnd w:id="798"/>
      <w:r w:rsidRPr="0072600F">
        <w:rPr>
          <w:sz w:val="26"/>
          <w:szCs w:val="26"/>
        </w:rPr>
        <w:t>6.3</w:t>
      </w:r>
      <w:r w:rsidRPr="0072600F">
        <w:rPr>
          <w:sz w:val="26"/>
          <w:szCs w:val="26"/>
        </w:rPr>
        <w:tab/>
        <w:t>Financial Security Arrangements</w:t>
      </w:r>
      <w:bookmarkEnd w:id="799"/>
    </w:p>
    <w:p w:rsidR="00503D78" w:rsidRPr="0072600F" w14:paraId="451895F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At least</w:t>
      </w:r>
      <w:r w:rsidRPr="0072600F" w:rsidR="0056592A">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twenty</w:t>
      </w:r>
      <w:r w:rsidRPr="0072600F">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20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Business Days prior to the commencement of the design, procurement, installation, or construction of a discrete portion of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Upgrades,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provide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at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option, a guarantee, a surety bond, letter of credit or other form of security that is reasonably acceptable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is consistent with the Uniform Commercial Code of the jurisdiction where the Point of Interconnection is located.  Such security for payment shall be in an amount sufficient to cover the costs for constructing, designing, procuring, and installing the applicable portion of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Upgrades and shall be reduced on a dollar-for-dollar basis for payments made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under this Agreement during its term.  In addition:</w:t>
      </w:r>
    </w:p>
    <w:p w:rsidR="00503D78" w:rsidRPr="0072600F" w14:paraId="5B3E803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7C8D8F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cs="Times New Roman"/>
          <w:sz w:val="26"/>
          <w:szCs w:val="26"/>
        </w:rPr>
      </w:pPr>
      <w:bookmarkStart w:id="800" w:name="_Toc149901398"/>
      <w:r w:rsidRPr="0072600F">
        <w:rPr>
          <w:rStyle w:val="Heading3Char"/>
          <w:rFonts w:eastAsiaTheme="minorHAnsi"/>
          <w:sz w:val="26"/>
        </w:rPr>
        <w:t>6.3.1</w:t>
      </w:r>
      <w:bookmarkEnd w:id="800"/>
      <w:r w:rsidRPr="0072600F">
        <w:rPr>
          <w:rFonts w:ascii="Times New Roman" w:hAnsi="Times New Roman" w:cs="Times New Roman"/>
          <w:sz w:val="26"/>
          <w:szCs w:val="26"/>
        </w:rPr>
        <w:tab/>
        <w:t xml:space="preserve">The guarantee must be made by an entity that meets the creditworthiness requirements of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and contain terms and conditions that guarantee payment of any amount that may be due from </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the</w:t>
      </w:r>
      <w:r w:rsidRPr="0072600F" w:rsidR="00CB463D">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up to an agreed-to maximum amount.</w:t>
      </w:r>
    </w:p>
    <w:p w:rsidR="00503D78" w:rsidRPr="0072600F" w14:paraId="3F38CE5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151433E" w14:textId="77777777">
      <w:pPr>
        <w:pStyle w:val="ListParagraph"/>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6"/>
        </w:rPr>
      </w:pPr>
      <w:r w:rsidRPr="0072600F">
        <w:rPr>
          <w:szCs w:val="26"/>
        </w:rPr>
        <w:t xml:space="preserve">The letter of credit or surety bond must be issued by a financial institution or insurer reasonably acceptable to </w:t>
      </w:r>
      <w:r w:rsidRPr="0072600F" w:rsidR="00C465B5">
        <w:rPr>
          <w:szCs w:val="26"/>
        </w:rPr>
        <w:t>[</w:t>
      </w:r>
      <w:r w:rsidRPr="0072600F">
        <w:rPr>
          <w:szCs w:val="26"/>
        </w:rPr>
        <w:t>the</w:t>
      </w:r>
      <w:r w:rsidRPr="0072600F" w:rsidR="00C465B5">
        <w:rPr>
          <w:szCs w:val="26"/>
        </w:rPr>
        <w:t>]</w:t>
      </w:r>
      <w:r w:rsidRPr="0072600F">
        <w:rPr>
          <w:szCs w:val="26"/>
        </w:rPr>
        <w:t xml:space="preserve"> Transmission Provider and must specify a reasonable expiration date.</w:t>
      </w:r>
    </w:p>
    <w:p w:rsidR="00387462" w:rsidRPr="0072600F" w:rsidP="00D91B57" w14:paraId="258D4E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38FFFE50" w14:textId="77777777">
      <w:pPr>
        <w:pStyle w:val="Heading2"/>
        <w:ind w:left="0" w:firstLine="0"/>
        <w:rPr>
          <w:b/>
          <w:bCs/>
          <w:sz w:val="26"/>
          <w:szCs w:val="26"/>
        </w:rPr>
      </w:pPr>
      <w:bookmarkStart w:id="801" w:name="Generated_Bookmark32"/>
      <w:bookmarkStart w:id="802" w:name="Generated_Bookmark33"/>
      <w:bookmarkStart w:id="803" w:name="_Toc149901400"/>
      <w:bookmarkEnd w:id="801"/>
      <w:bookmarkEnd w:id="802"/>
      <w:r w:rsidRPr="0072600F">
        <w:rPr>
          <w:b/>
          <w:bCs/>
          <w:sz w:val="26"/>
          <w:szCs w:val="26"/>
        </w:rPr>
        <w:t>Article 7.  Assignment, Liability, Indemnity, Force Majeure, Consequential Damages, and Default</w:t>
      </w:r>
      <w:bookmarkEnd w:id="803"/>
    </w:p>
    <w:p w:rsidR="00503D78" w:rsidRPr="0072600F" w14:paraId="4FCC1B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643CEE89" w14:textId="77777777">
      <w:pPr>
        <w:pStyle w:val="TableParagraph"/>
        <w:rPr>
          <w:sz w:val="26"/>
          <w:szCs w:val="26"/>
        </w:rPr>
      </w:pPr>
      <w:bookmarkStart w:id="804" w:name="_Toc149901401"/>
      <w:r w:rsidRPr="0072600F">
        <w:rPr>
          <w:sz w:val="26"/>
          <w:szCs w:val="26"/>
        </w:rPr>
        <w:t>7.1</w:t>
      </w:r>
      <w:r w:rsidRPr="0072600F">
        <w:rPr>
          <w:sz w:val="26"/>
          <w:szCs w:val="26"/>
        </w:rPr>
        <w:tab/>
        <w:t>Assignment</w:t>
      </w:r>
      <w:bookmarkEnd w:id="804"/>
    </w:p>
    <w:p w:rsidR="00503D78" w:rsidRPr="0072600F" w14:paraId="1097EAA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 xml:space="preserve">This Agreement may be assigned by either Party upon </w:t>
      </w:r>
      <w:r w:rsidRPr="0072600F" w:rsidR="0056592A">
        <w:rPr>
          <w:rFonts w:ascii="Times New Roman" w:hAnsi="Times New Roman" w:cs="Times New Roman"/>
          <w:i/>
          <w:iCs/>
          <w:sz w:val="26"/>
          <w:szCs w:val="26"/>
        </w:rPr>
        <w:t>fifteen (</w:t>
      </w:r>
      <w:r w:rsidRPr="0072600F">
        <w:rPr>
          <w:rFonts w:ascii="Times New Roman" w:hAnsi="Times New Roman" w:cs="Times New Roman"/>
          <w:sz w:val="26"/>
          <w:szCs w:val="26"/>
        </w:rPr>
        <w:t>15</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Business Days prior written notice and opportunity to object by the other Party; provided that:</w:t>
      </w:r>
    </w:p>
    <w:p w:rsidR="00503D78" w:rsidRPr="0072600F" w14:paraId="2F116C7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4A7C12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05" w:name="_Toc149901402"/>
      <w:r w:rsidRPr="0072600F">
        <w:rPr>
          <w:rStyle w:val="Heading3Char"/>
          <w:rFonts w:eastAsiaTheme="minorHAnsi"/>
          <w:sz w:val="26"/>
        </w:rPr>
        <w:t>7.1.1</w:t>
      </w:r>
      <w:bookmarkEnd w:id="805"/>
      <w:r w:rsidRPr="0072600F">
        <w:rPr>
          <w:rFonts w:ascii="Times New Roman" w:hAnsi="Times New Roman" w:cs="Times New Roman"/>
          <w:b/>
          <w:sz w:val="26"/>
          <w:szCs w:val="26"/>
        </w:rPr>
        <w:tab/>
      </w:r>
      <w:r w:rsidRPr="0072600F">
        <w:rPr>
          <w:rFonts w:ascii="Times New Roman" w:hAnsi="Times New Roman" w:cs="Times New Roman"/>
          <w:sz w:val="26"/>
          <w:szCs w:val="26"/>
        </w:rPr>
        <w:t xml:space="preserve">Either Party may assign this Agreement without the consent of the other Party to any affiliate of the assigning Party with an equal or greater credit rating and with the legal authority and operational ability to satisfy the obligations of the assigning Party under this Agreement, provided that </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the</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promptly notifies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of any such assignment;</w:t>
      </w:r>
    </w:p>
    <w:p w:rsidR="00503D78" w:rsidRPr="0072600F" w14:paraId="14E1E52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14:paraId="3920C8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06" w:name="_Toc149901403"/>
      <w:r w:rsidRPr="0072600F">
        <w:rPr>
          <w:rStyle w:val="Heading3Char"/>
          <w:rFonts w:eastAsiaTheme="minorHAnsi"/>
          <w:sz w:val="26"/>
        </w:rPr>
        <w:t>7.1.2</w:t>
      </w:r>
      <w:bookmarkEnd w:id="806"/>
      <w:r w:rsidRPr="0072600F">
        <w:rPr>
          <w:rFonts w:ascii="Times New Roman" w:hAnsi="Times New Roman" w:cs="Times New Roman"/>
          <w:sz w:val="26"/>
          <w:szCs w:val="26"/>
        </w:rPr>
        <w:tab/>
      </w:r>
      <w:r w:rsidRPr="0072600F" w:rsidR="003011EB">
        <w:rPr>
          <w:rFonts w:ascii="Times New Roman" w:hAnsi="Times New Roman" w:cs="Times New Roman"/>
          <w:sz w:val="26"/>
          <w:szCs w:val="26"/>
        </w:rPr>
        <w:t>[</w:t>
      </w:r>
      <w:r w:rsidRPr="0072600F">
        <w:rPr>
          <w:rFonts w:ascii="Times New Roman" w:hAnsi="Times New Roman" w:cs="Times New Roman"/>
          <w:sz w:val="26"/>
          <w:szCs w:val="26"/>
        </w:rPr>
        <w:t>The</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have the right to assign this Agreement, without the consent of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for collateral security purposes to aid in providing financing for the Small Generating Facility, provided that </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the</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will promptly notify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of any such assignment.</w:t>
      </w:r>
    </w:p>
    <w:p w:rsidR="00503D78" w:rsidRPr="0072600F" w14:paraId="39C382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14:paraId="1C787D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07" w:name="_Toc149901404"/>
      <w:r w:rsidRPr="0072600F">
        <w:rPr>
          <w:rStyle w:val="Heading3Char"/>
          <w:rFonts w:eastAsiaTheme="minorHAnsi"/>
          <w:sz w:val="26"/>
        </w:rPr>
        <w:t>7.1.3</w:t>
      </w:r>
      <w:bookmarkEnd w:id="807"/>
      <w:r w:rsidRPr="0072600F">
        <w:rPr>
          <w:rFonts w:ascii="Times New Roman" w:hAnsi="Times New Roman" w:cs="Times New Roman"/>
          <w:sz w:val="26"/>
          <w:szCs w:val="26"/>
        </w:rPr>
        <w:tab/>
        <w:t xml:space="preserve">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the</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Where required, consent to assignment will not be unreasonably withheld, conditioned or delayed.</w:t>
      </w:r>
    </w:p>
    <w:p w:rsidR="00503D78" w:rsidRPr="0072600F" w14:paraId="557B93AC" w14:textId="77777777">
      <w:pPr>
        <w:ind w:left="720" w:hanging="720"/>
        <w:rPr>
          <w:rFonts w:ascii="Times New Roman" w:hAnsi="Times New Roman" w:cs="Times New Roman"/>
          <w:sz w:val="26"/>
          <w:szCs w:val="26"/>
        </w:rPr>
      </w:pPr>
    </w:p>
    <w:p w:rsidR="00503D78" w:rsidRPr="0072600F" w:rsidP="0046260C" w14:paraId="00DCFE30" w14:textId="77777777">
      <w:pPr>
        <w:pStyle w:val="TableParagraph"/>
        <w:rPr>
          <w:sz w:val="26"/>
          <w:szCs w:val="26"/>
        </w:rPr>
      </w:pPr>
      <w:bookmarkStart w:id="808" w:name="_Toc149901405"/>
      <w:r w:rsidRPr="0072600F">
        <w:rPr>
          <w:sz w:val="26"/>
          <w:szCs w:val="26"/>
        </w:rPr>
        <w:t>7.2</w:t>
      </w:r>
      <w:r w:rsidRPr="0072600F">
        <w:rPr>
          <w:sz w:val="26"/>
          <w:szCs w:val="26"/>
        </w:rPr>
        <w:tab/>
        <w:t>Limitation of Liability</w:t>
      </w:r>
      <w:bookmarkEnd w:id="808"/>
    </w:p>
    <w:p w:rsidR="00503D78" w:rsidRPr="0072600F" w14:paraId="39101C9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special, consequential, or punitive damages, except as authorized by this Agreement.</w:t>
      </w:r>
    </w:p>
    <w:p w:rsidR="00503D78" w:rsidRPr="0072600F" w14:paraId="3A261D62" w14:textId="77777777">
      <w:pPr>
        <w:ind w:left="720" w:hanging="720"/>
        <w:rPr>
          <w:rFonts w:ascii="Times New Roman" w:hAnsi="Times New Roman" w:cs="Times New Roman"/>
          <w:bCs/>
          <w:sz w:val="26"/>
          <w:szCs w:val="26"/>
        </w:rPr>
      </w:pPr>
    </w:p>
    <w:p w:rsidR="00503D78" w:rsidRPr="0072600F" w:rsidP="0046260C" w14:paraId="63420AF2" w14:textId="77777777">
      <w:pPr>
        <w:pStyle w:val="TableParagraph"/>
        <w:rPr>
          <w:sz w:val="26"/>
          <w:szCs w:val="26"/>
        </w:rPr>
      </w:pPr>
      <w:bookmarkStart w:id="809" w:name="_Toc149901406"/>
      <w:r w:rsidRPr="0072600F">
        <w:rPr>
          <w:sz w:val="26"/>
          <w:szCs w:val="26"/>
        </w:rPr>
        <w:t>7.3</w:t>
      </w:r>
      <w:r w:rsidRPr="0072600F">
        <w:rPr>
          <w:sz w:val="26"/>
          <w:szCs w:val="26"/>
        </w:rPr>
        <w:tab/>
        <w:t>Indemnity</w:t>
      </w:r>
      <w:bookmarkEnd w:id="809"/>
    </w:p>
    <w:p w:rsidR="00503D78" w:rsidRPr="0072600F" w14:paraId="77AAD7A7" w14:textId="77777777">
      <w:pPr>
        <w:ind w:left="720" w:hanging="720"/>
        <w:rPr>
          <w:rFonts w:ascii="Times New Roman" w:hAnsi="Times New Roman" w:cs="Times New Roman"/>
          <w:bCs/>
          <w:sz w:val="26"/>
          <w:szCs w:val="26"/>
        </w:rPr>
      </w:pPr>
    </w:p>
    <w:p w:rsidR="00503D78" w:rsidRPr="0072600F" w14:paraId="70201787" w14:textId="77777777">
      <w:pPr>
        <w:ind w:left="1440" w:hanging="720"/>
        <w:rPr>
          <w:rFonts w:ascii="Times New Roman" w:hAnsi="Times New Roman" w:cs="Times New Roman"/>
          <w:sz w:val="26"/>
          <w:szCs w:val="26"/>
        </w:rPr>
      </w:pPr>
      <w:bookmarkStart w:id="810" w:name="_Toc149901407"/>
      <w:r w:rsidRPr="0072600F">
        <w:rPr>
          <w:rStyle w:val="Heading3Char"/>
          <w:rFonts w:eastAsiaTheme="minorHAnsi"/>
          <w:sz w:val="26"/>
        </w:rPr>
        <w:t>7.3.1</w:t>
      </w:r>
      <w:bookmarkEnd w:id="810"/>
      <w:r w:rsidRPr="0072600F">
        <w:rPr>
          <w:rFonts w:ascii="Times New Roman" w:hAnsi="Times New Roman" w:cs="Times New Roman"/>
          <w:bCs/>
          <w:sz w:val="26"/>
          <w:szCs w:val="26"/>
        </w:rPr>
        <w:tab/>
        <w:t>This provision protects each Party from liability incurred to third parties as a result of carrying out the provisions of this Agreement.  Liability under this provision is exempt from the general limitations on liability found in article 7.2.</w:t>
      </w:r>
    </w:p>
    <w:p w:rsidR="00503D78" w:rsidRPr="0072600F" w14:paraId="1A338B9C" w14:textId="77777777">
      <w:pPr>
        <w:tabs>
          <w:tab w:val="left" w:pos="720"/>
        </w:tabs>
        <w:ind w:hanging="720"/>
        <w:rPr>
          <w:rFonts w:ascii="Times New Roman" w:hAnsi="Times New Roman" w:cs="Times New Roman"/>
          <w:sz w:val="26"/>
          <w:szCs w:val="26"/>
        </w:rPr>
      </w:pPr>
    </w:p>
    <w:p w:rsidR="00503D78" w:rsidRPr="0072600F" w14:paraId="467F92FF" w14:textId="77777777">
      <w:pPr>
        <w:ind w:left="1440" w:hanging="720"/>
        <w:rPr>
          <w:rFonts w:ascii="Times New Roman" w:hAnsi="Times New Roman" w:cs="Times New Roman"/>
          <w:sz w:val="26"/>
          <w:szCs w:val="26"/>
        </w:rPr>
      </w:pPr>
      <w:bookmarkStart w:id="811" w:name="_Toc149901408"/>
      <w:r w:rsidRPr="0072600F">
        <w:rPr>
          <w:rStyle w:val="Heading3Char"/>
          <w:rFonts w:eastAsiaTheme="minorHAnsi"/>
          <w:sz w:val="26"/>
        </w:rPr>
        <w:t>7.3.2</w:t>
      </w:r>
      <w:bookmarkEnd w:id="811"/>
      <w:r w:rsidRPr="0072600F">
        <w:rPr>
          <w:rFonts w:ascii="Times New Roman" w:hAnsi="Times New Roman" w:cs="Times New Roman"/>
          <w:sz w:val="26"/>
          <w:szCs w:val="26"/>
        </w:rPr>
        <w:tab/>
        <w:t xml:space="preserve">The Parties shall at all </w:t>
      </w:r>
      <w:r w:rsidRPr="0072600F">
        <w:rPr>
          <w:rFonts w:ascii="Times New Roman" w:hAnsi="Times New Roman" w:cs="Times New Roman"/>
          <w:bCs/>
          <w:sz w:val="26"/>
          <w:szCs w:val="26"/>
        </w:rPr>
        <w:t>times</w:t>
      </w:r>
      <w:r w:rsidRPr="0072600F">
        <w:rPr>
          <w:rFonts w:ascii="Times New Roman" w:hAnsi="Times New Roman" w:cs="Times New Roman"/>
          <w:sz w:val="26"/>
          <w:szCs w:val="26"/>
        </w:rPr>
        <w:t xml:space="preserve"> indemnify, defend, and hold the other Party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 action or failure to meet its obligations under this Agreement on behalf of the indemnifying Party, except in cases of gross negligence or intentional wrongdoing by the indemnified Party.</w:t>
      </w:r>
    </w:p>
    <w:p w:rsidR="00503D78" w:rsidRPr="0072600F" w14:paraId="27372ABD" w14:textId="77777777">
      <w:pPr>
        <w:rPr>
          <w:rFonts w:ascii="Times New Roman" w:hAnsi="Times New Roman" w:cs="Times New Roman"/>
          <w:sz w:val="26"/>
          <w:szCs w:val="26"/>
        </w:rPr>
      </w:pPr>
    </w:p>
    <w:p w:rsidR="00503D78" w:rsidRPr="0072600F" w14:paraId="0A6F4FEF" w14:textId="77777777">
      <w:pPr>
        <w:ind w:left="1440" w:hanging="720"/>
        <w:rPr>
          <w:rFonts w:ascii="Times New Roman" w:hAnsi="Times New Roman" w:cs="Times New Roman"/>
          <w:bCs/>
          <w:sz w:val="26"/>
          <w:szCs w:val="26"/>
        </w:rPr>
      </w:pPr>
      <w:bookmarkStart w:id="812" w:name="_Toc149901409"/>
      <w:r w:rsidRPr="0072600F">
        <w:rPr>
          <w:rStyle w:val="Heading3Char"/>
          <w:rFonts w:eastAsiaTheme="minorHAnsi"/>
          <w:sz w:val="26"/>
        </w:rPr>
        <w:t>7.3.3</w:t>
      </w:r>
      <w:bookmarkEnd w:id="812"/>
      <w:r w:rsidRPr="0072600F">
        <w:rPr>
          <w:rFonts w:ascii="Times New Roman" w:hAnsi="Times New Roman" w:cs="Times New Roman"/>
          <w:bCs/>
          <w:sz w:val="26"/>
          <w:szCs w:val="26"/>
        </w:rPr>
        <w:tab/>
      </w:r>
      <w:r w:rsidRPr="0072600F">
        <w:rPr>
          <w:rFonts w:ascii="Times New Roman" w:hAnsi="Times New Roman" w:cs="Times New Roman"/>
          <w:sz w:val="26"/>
          <w:szCs w:val="26"/>
        </w:rPr>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 Party contest, settle or consent to the entry of any judgment with respect to, or pay in full, such claim.</w:t>
      </w:r>
    </w:p>
    <w:p w:rsidR="00503D78" w:rsidRPr="0072600F" w14:paraId="6B5A2AEF" w14:textId="77777777">
      <w:pPr>
        <w:rPr>
          <w:rFonts w:ascii="Times New Roman" w:hAnsi="Times New Roman" w:cs="Times New Roman"/>
          <w:sz w:val="26"/>
          <w:szCs w:val="26"/>
        </w:rPr>
      </w:pPr>
    </w:p>
    <w:p w:rsidR="00503D78" w:rsidRPr="0072600F" w14:paraId="7D2E0BFB" w14:textId="77777777">
      <w:pPr>
        <w:ind w:left="1440" w:hanging="720"/>
        <w:rPr>
          <w:rFonts w:ascii="Times New Roman" w:hAnsi="Times New Roman" w:cs="Times New Roman"/>
          <w:sz w:val="26"/>
          <w:szCs w:val="26"/>
        </w:rPr>
      </w:pPr>
      <w:bookmarkStart w:id="813" w:name="_Toc149901410"/>
      <w:r w:rsidRPr="0072600F">
        <w:rPr>
          <w:rStyle w:val="Heading3Char"/>
          <w:rFonts w:eastAsiaTheme="minorHAnsi"/>
          <w:sz w:val="26"/>
        </w:rPr>
        <w:t>7.3.4</w:t>
      </w:r>
      <w:bookmarkEnd w:id="813"/>
      <w:r w:rsidRPr="0072600F">
        <w:rPr>
          <w:rFonts w:ascii="Times New Roman" w:hAnsi="Times New Roman" w:cs="Times New Roman"/>
          <w:sz w:val="26"/>
          <w:szCs w:val="26"/>
        </w:rPr>
        <w:tab/>
      </w:r>
      <w:r w:rsidRPr="0072600F">
        <w:rPr>
          <w:rFonts w:ascii="Times New Roman" w:hAnsi="Times New Roman" w:cs="Times New Roman"/>
          <w:bCs/>
          <w:sz w:val="26"/>
          <w:szCs w:val="26"/>
        </w:rPr>
        <w:t>If a</w:t>
      </w:r>
      <w:r w:rsidRPr="0072600F">
        <w:rPr>
          <w:rFonts w:ascii="Times New Roman" w:hAnsi="Times New Roman" w:cs="Times New Roman"/>
          <w:sz w:val="26"/>
          <w:szCs w:val="26"/>
        </w:rPr>
        <w:t>n indemnifying party is obligated to indemnify and hold any indemnified person harmless under this article, the amount owing to the indemnified person shall be the amount of such indemnified person's actual loss, net of any insurance or other recovery.</w:t>
      </w:r>
    </w:p>
    <w:p w:rsidR="00503D78" w:rsidRPr="0072600F" w14:paraId="6A8E9172" w14:textId="77777777">
      <w:pPr>
        <w:rPr>
          <w:rFonts w:ascii="Times New Roman" w:hAnsi="Times New Roman" w:cs="Times New Roman"/>
          <w:sz w:val="26"/>
          <w:szCs w:val="26"/>
        </w:rPr>
      </w:pPr>
    </w:p>
    <w:p w:rsidR="00503D78" w:rsidRPr="0072600F" w14:paraId="7A6EA697" w14:textId="77777777">
      <w:pPr>
        <w:ind w:left="1440" w:hanging="720"/>
        <w:rPr>
          <w:rFonts w:ascii="Times New Roman" w:hAnsi="Times New Roman" w:cs="Times New Roman"/>
          <w:sz w:val="26"/>
          <w:szCs w:val="26"/>
        </w:rPr>
      </w:pPr>
      <w:bookmarkStart w:id="814" w:name="_Toc149901411"/>
      <w:r w:rsidRPr="0072600F">
        <w:rPr>
          <w:rStyle w:val="Heading3Char"/>
          <w:rFonts w:eastAsiaTheme="minorHAnsi"/>
          <w:sz w:val="26"/>
        </w:rPr>
        <w:t>7.3.5</w:t>
      </w:r>
      <w:bookmarkEnd w:id="814"/>
      <w:r w:rsidRPr="0072600F">
        <w:rPr>
          <w:rFonts w:ascii="Times New Roman" w:hAnsi="Times New Roman" w:cs="Times New Roman"/>
          <w:sz w:val="26"/>
          <w:szCs w:val="26"/>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p>
    <w:p w:rsidR="00503D78" w:rsidRPr="0072600F" w14:paraId="01F9E9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6B7D4DD1" w14:textId="77777777">
      <w:pPr>
        <w:pStyle w:val="TableParagraph"/>
        <w:rPr>
          <w:sz w:val="26"/>
          <w:szCs w:val="26"/>
        </w:rPr>
      </w:pPr>
      <w:bookmarkStart w:id="815" w:name="_Toc149901412"/>
      <w:r w:rsidRPr="0072600F">
        <w:rPr>
          <w:sz w:val="26"/>
          <w:szCs w:val="26"/>
        </w:rPr>
        <w:t>7.4</w:t>
      </w:r>
      <w:r w:rsidRPr="0072600F">
        <w:rPr>
          <w:sz w:val="26"/>
          <w:szCs w:val="26"/>
        </w:rPr>
        <w:tab/>
        <w:t>Consequential Damages</w:t>
      </w:r>
      <w:bookmarkEnd w:id="815"/>
    </w:p>
    <w:p w:rsidR="00503D78" w:rsidRPr="0072600F" w14:paraId="411F4C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Other than as expressly provided for in this Agreement, neither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w:t>
      </w:r>
    </w:p>
    <w:p w:rsidR="00503D78" w:rsidRPr="0072600F" w14:paraId="68D436C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rsidP="0046260C" w14:paraId="3045C270" w14:textId="77777777">
      <w:pPr>
        <w:pStyle w:val="TableParagraph"/>
        <w:rPr>
          <w:sz w:val="26"/>
          <w:szCs w:val="26"/>
        </w:rPr>
      </w:pPr>
      <w:bookmarkStart w:id="816" w:name="Generated_Bookmark50"/>
      <w:bookmarkStart w:id="817" w:name="_Toc149901413"/>
      <w:bookmarkEnd w:id="816"/>
      <w:r w:rsidRPr="0072600F">
        <w:rPr>
          <w:sz w:val="26"/>
          <w:szCs w:val="26"/>
        </w:rPr>
        <w:t>7.5</w:t>
      </w:r>
      <w:r w:rsidRPr="0072600F">
        <w:rPr>
          <w:sz w:val="26"/>
          <w:szCs w:val="26"/>
        </w:rPr>
        <w:tab/>
        <w:t>Force Majeure</w:t>
      </w:r>
      <w:bookmarkStart w:id="818" w:name="OLE_LINK1"/>
      <w:bookmarkEnd w:id="817"/>
    </w:p>
    <w:p w:rsidR="00503D78" w:rsidRPr="0072600F" w14:paraId="7F41163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EFEC39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19" w:name="_Toc149901414"/>
      <w:r w:rsidRPr="0072600F">
        <w:rPr>
          <w:rStyle w:val="Heading3Char"/>
          <w:rFonts w:eastAsiaTheme="minorHAnsi"/>
          <w:sz w:val="26"/>
        </w:rPr>
        <w:t>7.5.1</w:t>
      </w:r>
      <w:bookmarkEnd w:id="819"/>
      <w:r w:rsidRPr="0072600F">
        <w:rPr>
          <w:rFonts w:ascii="Times New Roman" w:hAnsi="Times New Roman" w:cs="Times New Roman"/>
          <w:sz w:val="26"/>
          <w:szCs w:val="26"/>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p>
    <w:p w:rsidR="00503D78" w:rsidRPr="0072600F" w14:paraId="0EA1DF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p>
    <w:p w:rsidR="00503D78" w:rsidRPr="0072600F" w14:paraId="72FCB10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20" w:name="_Toc149901415"/>
      <w:r w:rsidRPr="0072600F">
        <w:rPr>
          <w:rStyle w:val="Heading3Char"/>
          <w:rFonts w:eastAsiaTheme="minorHAnsi"/>
          <w:sz w:val="26"/>
        </w:rPr>
        <w:t>7.5.2</w:t>
      </w:r>
      <w:bookmarkEnd w:id="820"/>
      <w:r w:rsidRPr="0072600F">
        <w:rPr>
          <w:rFonts w:ascii="Times New Roman" w:hAnsi="Times New Roman" w:cs="Times New Roman"/>
          <w:sz w:val="26"/>
          <w:szCs w:val="26"/>
        </w:rPr>
        <w:tab/>
        <w:t>If a Force Majeure Event prevents a Party from fulfilling any obligations under this Agreement, the Party affected by the Force Majeure Event (Affected Party) shall promptly notify the other Party,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Party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bookmarkEnd w:id="818"/>
    <w:p w:rsidR="00503D78" w:rsidRPr="0072600F" w14:paraId="631FF29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5BA9984A" w14:textId="77777777">
      <w:pPr>
        <w:pStyle w:val="TableParagraph"/>
        <w:rPr>
          <w:sz w:val="26"/>
          <w:szCs w:val="26"/>
        </w:rPr>
      </w:pPr>
      <w:bookmarkStart w:id="821" w:name="_Toc149901416"/>
      <w:r w:rsidRPr="0072600F">
        <w:rPr>
          <w:sz w:val="26"/>
          <w:szCs w:val="26"/>
        </w:rPr>
        <w:t>7.6</w:t>
      </w:r>
      <w:r w:rsidRPr="0072600F">
        <w:rPr>
          <w:sz w:val="26"/>
          <w:szCs w:val="26"/>
        </w:rPr>
        <w:tab/>
        <w:t>Default</w:t>
      </w:r>
      <w:bookmarkEnd w:id="821"/>
    </w:p>
    <w:p w:rsidR="00503D78" w:rsidRPr="0072600F" w14:paraId="1444332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14:paraId="176AA0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22" w:name="_Toc149901417"/>
      <w:r w:rsidRPr="0072600F">
        <w:rPr>
          <w:rStyle w:val="Heading3Char"/>
          <w:rFonts w:eastAsiaTheme="minorHAnsi"/>
          <w:sz w:val="26"/>
        </w:rPr>
        <w:t>7.6.1</w:t>
      </w:r>
      <w:bookmarkEnd w:id="822"/>
      <w:r w:rsidRPr="0072600F">
        <w:rPr>
          <w:rFonts w:ascii="Times New Roman" w:hAnsi="Times New Roman" w:cs="Times New Roman"/>
          <w:sz w:val="26"/>
          <w:szCs w:val="26"/>
        </w:rPr>
        <w:tab/>
        <w:t xml:space="preserve">No Default shall exist where such failure to discharge an obligation (other than the payment of money) is the result of a Force Majeure Event as defined in this Agreement or the result of an act or omission of the other Party.  Upon a Default, the non-defaulting Party shall give written notice of such Default to the defaulting Party.  Except as provided in article 7.6.2, the defaulting Party shall have </w:t>
      </w:r>
      <w:r w:rsidRPr="0072600F" w:rsidR="0056592A">
        <w:rPr>
          <w:rFonts w:ascii="Times New Roman" w:hAnsi="Times New Roman" w:cs="Times New Roman"/>
          <w:i/>
          <w:iCs/>
          <w:sz w:val="26"/>
          <w:szCs w:val="26"/>
        </w:rPr>
        <w:t>sixty (</w:t>
      </w:r>
      <w:r w:rsidRPr="0072600F">
        <w:rPr>
          <w:rFonts w:ascii="Times New Roman" w:hAnsi="Times New Roman" w:cs="Times New Roman"/>
          <w:sz w:val="26"/>
          <w:szCs w:val="26"/>
        </w:rPr>
        <w:t>60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c</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C</w:t>
      </w:r>
      <w:r w:rsidRPr="0072600F">
        <w:rPr>
          <w:rFonts w:ascii="Times New Roman" w:hAnsi="Times New Roman" w:cs="Times New Roman"/>
          <w:sz w:val="26"/>
          <w:szCs w:val="26"/>
        </w:rPr>
        <w:t xml:space="preserve">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 xml:space="preserve">ays from receipt of the Default notice within which to cure such Default; provided however, if such Default is not capable of cure within </w:t>
      </w:r>
      <w:r w:rsidRPr="0072600F" w:rsidR="0056592A">
        <w:rPr>
          <w:rFonts w:ascii="Times New Roman" w:hAnsi="Times New Roman" w:cs="Times New Roman"/>
          <w:i/>
          <w:iCs/>
          <w:sz w:val="26"/>
          <w:szCs w:val="26"/>
        </w:rPr>
        <w:t>sixty (</w:t>
      </w:r>
      <w:r w:rsidRPr="0072600F">
        <w:rPr>
          <w:rFonts w:ascii="Times New Roman" w:hAnsi="Times New Roman" w:cs="Times New Roman"/>
          <w:sz w:val="26"/>
          <w:szCs w:val="26"/>
        </w:rPr>
        <w:t>60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c</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C</w:t>
      </w:r>
      <w:r w:rsidRPr="0072600F">
        <w:rPr>
          <w:rFonts w:ascii="Times New Roman" w:hAnsi="Times New Roman" w:cs="Times New Roman"/>
          <w:sz w:val="26"/>
          <w:szCs w:val="26"/>
        </w:rPr>
        <w:t xml:space="preserve">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 xml:space="preserve">ays, the defaulting Party shall commence such cure within </w:t>
      </w:r>
      <w:r w:rsidRPr="0072600F" w:rsidR="0056592A">
        <w:rPr>
          <w:rFonts w:ascii="Times New Roman" w:hAnsi="Times New Roman" w:cs="Times New Roman"/>
          <w:i/>
          <w:iCs/>
          <w:sz w:val="26"/>
          <w:szCs w:val="26"/>
        </w:rPr>
        <w:t>twenty (</w:t>
      </w:r>
      <w:r w:rsidRPr="0072600F">
        <w:rPr>
          <w:rFonts w:ascii="Times New Roman" w:hAnsi="Times New Roman" w:cs="Times New Roman"/>
          <w:sz w:val="26"/>
          <w:szCs w:val="26"/>
        </w:rPr>
        <w:t>20</w:t>
      </w:r>
      <w:r w:rsidRPr="0072600F" w:rsidR="0056592A">
        <w:rPr>
          <w:rFonts w:ascii="Times New Roman" w:hAnsi="Times New Roman" w:cs="Times New Roman"/>
          <w:i/>
          <w:iCs/>
          <w:sz w:val="26"/>
          <w:szCs w:val="26"/>
        </w:rPr>
        <w:t>)</w:t>
      </w:r>
      <w:r w:rsidRPr="0072600F">
        <w:rPr>
          <w:rFonts w:ascii="Times New Roman" w:hAnsi="Times New Roman" w:cs="Times New Roman"/>
          <w:sz w:val="26"/>
          <w:szCs w:val="26"/>
        </w:rPr>
        <w:t xml:space="preserve">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c</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C</w:t>
      </w:r>
      <w:r w:rsidRPr="0072600F">
        <w:rPr>
          <w:rFonts w:ascii="Times New Roman" w:hAnsi="Times New Roman" w:cs="Times New Roman"/>
          <w:sz w:val="26"/>
          <w:szCs w:val="26"/>
        </w:rPr>
        <w:t xml:space="preserve">alendar </w:t>
      </w:r>
      <w:r w:rsidRPr="0072600F" w:rsidR="0056592A">
        <w:rPr>
          <w:rFonts w:ascii="Times New Roman" w:hAnsi="Times New Roman" w:cs="Times New Roman"/>
          <w:sz w:val="26"/>
          <w:szCs w:val="26"/>
        </w:rPr>
        <w:t>[</w:t>
      </w:r>
      <w:r w:rsidRPr="0072600F">
        <w:rPr>
          <w:rFonts w:ascii="Times New Roman" w:hAnsi="Times New Roman" w:cs="Times New Roman"/>
          <w:sz w:val="26"/>
          <w:szCs w:val="26"/>
        </w:rPr>
        <w:t>d</w:t>
      </w:r>
      <w:r w:rsidRPr="0072600F" w:rsidR="0056592A">
        <w:rPr>
          <w:rFonts w:ascii="Times New Roman" w:hAnsi="Times New Roman" w:cs="Times New Roman"/>
          <w:sz w:val="26"/>
          <w:szCs w:val="26"/>
        </w:rPr>
        <w:t>]</w:t>
      </w:r>
      <w:r w:rsidRPr="0072600F" w:rsidR="0056592A">
        <w:rPr>
          <w:rFonts w:ascii="Times New Roman" w:hAnsi="Times New Roman" w:cs="Times New Roman"/>
          <w:i/>
          <w:iCs/>
          <w:sz w:val="26"/>
          <w:szCs w:val="26"/>
        </w:rPr>
        <w:t>D</w:t>
      </w:r>
      <w:r w:rsidRPr="0072600F">
        <w:rPr>
          <w:rFonts w:ascii="Times New Roman" w:hAnsi="Times New Roman" w:cs="Times New Roman"/>
          <w:sz w:val="26"/>
          <w:szCs w:val="26"/>
        </w:rPr>
        <w:t>ays after notice and continuously and diligently complete such cure within six months from receipt of the Default notice; and, if cured within such time, the Default specified in such notice shall cease to exist.</w:t>
      </w:r>
    </w:p>
    <w:p w:rsidR="00503D78" w:rsidRPr="0072600F" w14:paraId="70AB99E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23D1B6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23" w:name="_Toc149901418"/>
      <w:r w:rsidRPr="0072600F">
        <w:rPr>
          <w:rStyle w:val="Heading3Char"/>
          <w:rFonts w:eastAsiaTheme="minorHAnsi"/>
          <w:sz w:val="26"/>
        </w:rPr>
        <w:t>7.6.2</w:t>
      </w:r>
      <w:bookmarkEnd w:id="823"/>
      <w:r w:rsidRPr="0072600F">
        <w:rPr>
          <w:rFonts w:ascii="Times New Roman" w:hAnsi="Times New Roman" w:cs="Times New Roman"/>
          <w:sz w:val="26"/>
          <w:szCs w:val="26"/>
        </w:rPr>
        <w:tab/>
        <w:t>If a Default is not cured as provided in this article, or if a Default is not capable of being cured within the period provided for herein, the non-defaulting Party shall have the right to terminate this Agreement by written notice at any time until cure occurs, and be relieved of any further obligation hereunder and, whether or not that Party terminates this Agreement, to recover from the defaulting Party all amounts due hereunder, plus all other damages and remedies to which it is entitled at law or in equity.  The provisions of this article will survive termination of this Agreement.</w:t>
      </w:r>
    </w:p>
    <w:p w:rsidR="00503D78" w:rsidRPr="0072600F" w14:paraId="7D50ED1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24A4B825" w14:textId="77777777">
      <w:pPr>
        <w:pStyle w:val="Heading2"/>
        <w:rPr>
          <w:b/>
          <w:bCs/>
          <w:sz w:val="26"/>
          <w:szCs w:val="26"/>
        </w:rPr>
      </w:pPr>
      <w:bookmarkStart w:id="824" w:name="_Toc149901419"/>
      <w:r w:rsidRPr="0072600F">
        <w:rPr>
          <w:b/>
          <w:bCs/>
          <w:sz w:val="26"/>
          <w:szCs w:val="26"/>
        </w:rPr>
        <w:t>Article 8.  Insurance</w:t>
      </w:r>
      <w:bookmarkEnd w:id="824"/>
    </w:p>
    <w:p w:rsidR="00503D78" w:rsidRPr="0072600F" w14:paraId="5E3928C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1DD2843" w14:textId="77777777">
      <w:pPr>
        <w:ind w:left="720" w:hanging="720"/>
        <w:rPr>
          <w:rFonts w:ascii="Times New Roman" w:hAnsi="Times New Roman" w:cs="Times New Roman"/>
          <w:sz w:val="26"/>
          <w:szCs w:val="26"/>
        </w:rPr>
      </w:pPr>
      <w:bookmarkStart w:id="825" w:name="_Toc149901420"/>
      <w:r w:rsidRPr="0072600F">
        <w:rPr>
          <w:rStyle w:val="Heading2Char"/>
          <w:rFonts w:eastAsiaTheme="minorHAnsi"/>
          <w:sz w:val="26"/>
          <w:szCs w:val="26"/>
        </w:rPr>
        <w:t>8.1</w:t>
      </w:r>
      <w:bookmarkEnd w:id="825"/>
      <w:r w:rsidRPr="0072600F">
        <w:rPr>
          <w:rFonts w:ascii="Times New Roman" w:hAnsi="Times New Roman" w:cs="Times New Roman"/>
          <w:bCs/>
          <w:sz w:val="26"/>
          <w:szCs w:val="26"/>
        </w:rPr>
        <w:tab/>
      </w:r>
      <w:r w:rsidRPr="0072600F" w:rsidR="003011EB">
        <w:rPr>
          <w:rFonts w:ascii="Times New Roman" w:hAnsi="Times New Roman" w:cs="Times New Roman"/>
          <w:bCs/>
          <w:sz w:val="26"/>
          <w:szCs w:val="26"/>
        </w:rPr>
        <w:t>[</w:t>
      </w:r>
      <w:r w:rsidRPr="0072600F">
        <w:rPr>
          <w:rFonts w:ascii="Times New Roman" w:hAnsi="Times New Roman" w:cs="Times New Roman"/>
          <w:bCs/>
          <w:sz w:val="26"/>
          <w:szCs w:val="26"/>
        </w:rPr>
        <w:t>The</w:t>
      </w:r>
      <w:r w:rsidRPr="0072600F" w:rsidR="00A44B22">
        <w:rPr>
          <w:rFonts w:ascii="Times New Roman" w:hAnsi="Times New Roman" w:cs="Times New Roman"/>
          <w:bCs/>
          <w:sz w:val="26"/>
          <w:szCs w:val="26"/>
        </w:rPr>
        <w:t>]</w:t>
      </w:r>
      <w:r w:rsidRPr="0072600F">
        <w:rPr>
          <w:rFonts w:ascii="Times New Roman" w:hAnsi="Times New Roman" w:cs="Times New Roman"/>
          <w:bCs/>
          <w:sz w:val="26"/>
          <w:szCs w:val="26"/>
        </w:rPr>
        <w:t xml:space="preserve"> </w:t>
      </w:r>
      <w:r w:rsidRPr="0072600F">
        <w:rPr>
          <w:rFonts w:ascii="Times New Roman" w:hAnsi="Times New Roman" w:cs="Times New Roman"/>
          <w:sz w:val="26"/>
          <w:szCs w:val="26"/>
        </w:rPr>
        <w:t xml:space="preserve">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except that </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show proof of insurance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no later than ten </w:t>
      </w:r>
      <w:r w:rsidRPr="0072600F" w:rsidR="0056592A">
        <w:rPr>
          <w:rFonts w:ascii="Times New Roman" w:hAnsi="Times New Roman" w:cs="Times New Roman"/>
          <w:i/>
          <w:iCs/>
          <w:sz w:val="26"/>
          <w:szCs w:val="26"/>
        </w:rPr>
        <w:t xml:space="preserve">(10) </w:t>
      </w:r>
      <w:r w:rsidRPr="0072600F">
        <w:rPr>
          <w:rFonts w:ascii="Times New Roman" w:hAnsi="Times New Roman" w:cs="Times New Roman"/>
          <w:sz w:val="26"/>
          <w:szCs w:val="26"/>
        </w:rPr>
        <w:t>Business Days prior to the anticipated commercial operation date.  An Interconnection Customer of sufficient credit-worthiness may propose to self-insure for such liabilities, and such a proposal shall not be unreasonably rejected.</w:t>
      </w:r>
    </w:p>
    <w:p w:rsidR="00503D78" w:rsidRPr="0072600F" w14:paraId="2C5E7C5D" w14:textId="77777777">
      <w:pPr>
        <w:rPr>
          <w:rFonts w:ascii="Times New Roman" w:hAnsi="Times New Roman" w:cs="Times New Roman"/>
          <w:sz w:val="26"/>
          <w:szCs w:val="26"/>
        </w:rPr>
      </w:pPr>
    </w:p>
    <w:p w:rsidR="00503D78" w:rsidRPr="0072600F" w14:paraId="3FD5D673" w14:textId="77777777">
      <w:pPr>
        <w:ind w:left="720" w:hanging="720"/>
        <w:rPr>
          <w:rFonts w:ascii="Times New Roman" w:hAnsi="Times New Roman" w:cs="Times New Roman"/>
          <w:sz w:val="26"/>
          <w:szCs w:val="26"/>
        </w:rPr>
      </w:pPr>
      <w:bookmarkStart w:id="826" w:name="_Toc149901421"/>
      <w:r w:rsidRPr="0072600F">
        <w:rPr>
          <w:rStyle w:val="Heading2Char"/>
          <w:rFonts w:eastAsiaTheme="minorHAnsi"/>
          <w:sz w:val="26"/>
          <w:szCs w:val="26"/>
        </w:rPr>
        <w:t>8.2</w:t>
      </w:r>
      <w:bookmarkEnd w:id="826"/>
      <w:r w:rsidRPr="0072600F">
        <w:rPr>
          <w:rFonts w:ascii="Times New Roman" w:hAnsi="Times New Roman" w:cs="Times New Roman"/>
          <w:sz w:val="26"/>
          <w:szCs w:val="26"/>
        </w:rPr>
        <w:tab/>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agrees to maintain general liability insurance or self-insurance consistent with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commercial practice.  </w:t>
      </w:r>
      <w:r w:rsidRPr="0072600F">
        <w:rPr>
          <w:rFonts w:ascii="Times New Roman" w:hAnsi="Times New Roman" w:cs="Times New Roman"/>
          <w:color w:val="000000"/>
          <w:sz w:val="26"/>
          <w:szCs w:val="26"/>
        </w:rPr>
        <w:t xml:space="preserve">Such insurance or self-insurance shall not exclude coverage for </w:t>
      </w:r>
      <w:r w:rsidRPr="0072600F" w:rsidR="00C465B5">
        <w:rPr>
          <w:rFonts w:ascii="Times New Roman" w:hAnsi="Times New Roman" w:cs="Times New Roman"/>
          <w:color w:val="000000"/>
          <w:sz w:val="26"/>
          <w:szCs w:val="26"/>
        </w:rPr>
        <w:t>[</w:t>
      </w:r>
      <w:r w:rsidRPr="0072600F">
        <w:rPr>
          <w:rFonts w:ascii="Times New Roman" w:hAnsi="Times New Roman" w:cs="Times New Roman"/>
          <w:color w:val="000000"/>
          <w:sz w:val="26"/>
          <w:szCs w:val="26"/>
        </w:rPr>
        <w:t>the</w:t>
      </w:r>
      <w:r w:rsidRPr="0072600F" w:rsidR="00C465B5">
        <w:rPr>
          <w:rFonts w:ascii="Times New Roman" w:hAnsi="Times New Roman" w:cs="Times New Roman"/>
          <w:color w:val="000000"/>
          <w:sz w:val="26"/>
          <w:szCs w:val="26"/>
        </w:rPr>
        <w:t>]</w:t>
      </w:r>
      <w:r w:rsidRPr="0072600F">
        <w:rPr>
          <w:rFonts w:ascii="Times New Roman" w:hAnsi="Times New Roman" w:cs="Times New Roman"/>
          <w:color w:val="000000"/>
          <w:sz w:val="26"/>
          <w:szCs w:val="26"/>
        </w:rPr>
        <w:t xml:space="preserve"> </w:t>
      </w:r>
      <w:r w:rsidRPr="0072600F" w:rsidR="00BD11B3">
        <w:rPr>
          <w:rFonts w:ascii="Times New Roman" w:hAnsi="Times New Roman" w:cs="Times New Roman"/>
          <w:color w:val="000000"/>
          <w:sz w:val="26"/>
          <w:szCs w:val="26"/>
        </w:rPr>
        <w:t>Transmission Provider’s</w:t>
      </w:r>
      <w:r w:rsidRPr="0072600F">
        <w:rPr>
          <w:rFonts w:ascii="Times New Roman" w:hAnsi="Times New Roman" w:cs="Times New Roman"/>
          <w:color w:val="000000"/>
          <w:sz w:val="26"/>
          <w:szCs w:val="26"/>
        </w:rPr>
        <w:t xml:space="preserve"> liabilities undertaken pursuant to this Agreement.</w:t>
      </w:r>
    </w:p>
    <w:p w:rsidR="00503D78" w:rsidRPr="0072600F" w14:paraId="0990CB61" w14:textId="77777777">
      <w:pPr>
        <w:jc w:val="both"/>
        <w:rPr>
          <w:rFonts w:ascii="Times New Roman" w:hAnsi="Times New Roman" w:cs="Times New Roman"/>
          <w:sz w:val="26"/>
          <w:szCs w:val="26"/>
        </w:rPr>
      </w:pPr>
    </w:p>
    <w:p w:rsidR="00503D78" w:rsidRPr="0072600F" w14:paraId="12D6F44D" w14:textId="77777777">
      <w:pPr>
        <w:ind w:left="720" w:hanging="720"/>
        <w:rPr>
          <w:rFonts w:ascii="Times New Roman" w:hAnsi="Times New Roman" w:cs="Times New Roman"/>
          <w:sz w:val="26"/>
          <w:szCs w:val="26"/>
        </w:rPr>
      </w:pPr>
      <w:bookmarkStart w:id="827" w:name="_Toc149901422"/>
      <w:r w:rsidRPr="0072600F">
        <w:rPr>
          <w:rStyle w:val="Heading2Char"/>
          <w:rFonts w:eastAsiaTheme="minorHAnsi"/>
          <w:sz w:val="26"/>
          <w:szCs w:val="26"/>
        </w:rPr>
        <w:t>8.3</w:t>
      </w:r>
      <w:bookmarkEnd w:id="827"/>
      <w:r w:rsidRPr="0072600F">
        <w:rPr>
          <w:rFonts w:ascii="Times New Roman" w:hAnsi="Times New Roman" w:cs="Times New Roman"/>
          <w:sz w:val="26"/>
          <w:szCs w:val="26"/>
        </w:rPr>
        <w:tab/>
        <w:t xml:space="preserve">The Parties further agree to notify each other whenever an accident or incident occurs resulting in any injuries or </w:t>
      </w:r>
      <w:r w:rsidRPr="0072600F">
        <w:rPr>
          <w:rFonts w:ascii="Times New Roman" w:hAnsi="Times New Roman" w:cs="Times New Roman"/>
          <w:color w:val="000000"/>
          <w:sz w:val="26"/>
          <w:szCs w:val="26"/>
        </w:rPr>
        <w:t>damages</w:t>
      </w:r>
      <w:r w:rsidRPr="0072600F">
        <w:rPr>
          <w:rFonts w:ascii="Times New Roman" w:hAnsi="Times New Roman" w:cs="Times New Roman"/>
          <w:sz w:val="26"/>
          <w:szCs w:val="26"/>
        </w:rPr>
        <w:t xml:space="preserve"> that are included within the scope of coverage of such insurance, whether or not such coverage is sought.</w:t>
      </w:r>
    </w:p>
    <w:p w:rsidR="00503D78" w:rsidRPr="0072600F" w14:paraId="5B66D9F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13C45763" w14:textId="77777777">
      <w:pPr>
        <w:pStyle w:val="Heading2"/>
        <w:rPr>
          <w:b/>
          <w:bCs/>
          <w:sz w:val="26"/>
          <w:szCs w:val="26"/>
        </w:rPr>
      </w:pPr>
      <w:bookmarkStart w:id="828" w:name="_Toc149901423"/>
      <w:r w:rsidRPr="0072600F">
        <w:rPr>
          <w:b/>
          <w:bCs/>
          <w:sz w:val="26"/>
          <w:szCs w:val="26"/>
        </w:rPr>
        <w:t xml:space="preserve">Article </w:t>
      </w:r>
      <w:bookmarkStart w:id="829" w:name="Generated_Bookmark57"/>
      <w:bookmarkEnd w:id="829"/>
      <w:r w:rsidRPr="0072600F">
        <w:rPr>
          <w:b/>
          <w:bCs/>
          <w:sz w:val="26"/>
          <w:szCs w:val="26"/>
        </w:rPr>
        <w:t>9.  Confidentiality</w:t>
      </w:r>
      <w:bookmarkEnd w:id="828"/>
    </w:p>
    <w:p w:rsidR="00503D78" w:rsidRPr="0072600F" w14:paraId="6E591A1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6B4B2691" w14:textId="77777777">
      <w:pPr>
        <w:ind w:left="720" w:hanging="720"/>
        <w:rPr>
          <w:rFonts w:ascii="Times New Roman" w:hAnsi="Times New Roman" w:cs="Times New Roman"/>
          <w:sz w:val="26"/>
          <w:szCs w:val="26"/>
        </w:rPr>
      </w:pPr>
      <w:bookmarkStart w:id="830" w:name="Generated_Bookmark58"/>
      <w:bookmarkStart w:id="831" w:name="_Toc149901424"/>
      <w:bookmarkEnd w:id="830"/>
      <w:r w:rsidRPr="0072600F">
        <w:rPr>
          <w:rStyle w:val="Heading2Char"/>
          <w:rFonts w:eastAsiaTheme="minorHAnsi"/>
          <w:sz w:val="26"/>
          <w:szCs w:val="26"/>
        </w:rPr>
        <w:t>9.1</w:t>
      </w:r>
      <w:bookmarkEnd w:id="831"/>
      <w:r w:rsidRPr="0072600F">
        <w:rPr>
          <w:rFonts w:ascii="Times New Roman" w:hAnsi="Times New Roman" w:cs="Times New Roman"/>
          <w:sz w:val="26"/>
          <w:szCs w:val="26"/>
        </w:rPr>
        <w:tab/>
        <w:t>Confidential Information shall mean any confidential and/or proprietary information provided by one Party to the other Party that is clearly marked or otherwise designated "Confidential."  For purposes of this Agreement all design, operating specifications</w:t>
      </w:r>
      <w:r w:rsidRPr="0072600F">
        <w:rPr>
          <w:rFonts w:ascii="Times New Roman" w:hAnsi="Times New Roman" w:cs="Times New Roman"/>
          <w:i/>
          <w:sz w:val="26"/>
          <w:szCs w:val="26"/>
        </w:rPr>
        <w:t>,</w:t>
      </w:r>
      <w:r w:rsidRPr="0072600F">
        <w:rPr>
          <w:rFonts w:ascii="Times New Roman" w:hAnsi="Times New Roman" w:cs="Times New Roman"/>
          <w:sz w:val="26"/>
          <w:szCs w:val="26"/>
        </w:rPr>
        <w:t xml:space="preserve"> and metering data provided by </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be deemed Confidential Information regardless of whether it is clearly marked or otherwise designated as such.</w:t>
      </w:r>
    </w:p>
    <w:p w:rsidR="00503D78" w:rsidRPr="0072600F" w14:paraId="3D1381A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cs="Times New Roman"/>
          <w:sz w:val="26"/>
          <w:szCs w:val="26"/>
        </w:rPr>
      </w:pPr>
    </w:p>
    <w:p w:rsidR="00503D78" w:rsidRPr="0072600F" w14:paraId="3062FDE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rPr>
          <w:rFonts w:ascii="Times New Roman" w:hAnsi="Times New Roman" w:cs="Times New Roman"/>
          <w:sz w:val="26"/>
          <w:szCs w:val="26"/>
        </w:rPr>
      </w:pPr>
      <w:bookmarkStart w:id="832" w:name="_Toc149901425"/>
      <w:r w:rsidRPr="0072600F">
        <w:rPr>
          <w:rStyle w:val="Heading2Char"/>
          <w:rFonts w:eastAsiaTheme="minorHAnsi"/>
          <w:sz w:val="26"/>
          <w:szCs w:val="26"/>
        </w:rPr>
        <w:t>9.2</w:t>
      </w:r>
      <w:bookmarkEnd w:id="832"/>
      <w:r w:rsidRPr="0072600F">
        <w:rPr>
          <w:rFonts w:ascii="Times New Roman" w:hAnsi="Times New Roman" w:cs="Times New Roman"/>
          <w:sz w:val="26"/>
          <w:szCs w:val="26"/>
        </w:rP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p>
    <w:p w:rsidR="00503D78" w:rsidRPr="0072600F" w14:paraId="60B34CE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rPr>
          <w:rFonts w:ascii="Times New Roman" w:hAnsi="Times New Roman" w:cs="Times New Roman"/>
          <w:sz w:val="26"/>
          <w:szCs w:val="26"/>
        </w:rPr>
      </w:pPr>
    </w:p>
    <w:p w:rsidR="00503D78" w:rsidRPr="0072600F" w14:paraId="599A066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833" w:name="_Toc149901426"/>
      <w:r w:rsidRPr="0072600F">
        <w:rPr>
          <w:rStyle w:val="Heading3Char"/>
          <w:rFonts w:eastAsiaTheme="minorHAnsi"/>
          <w:sz w:val="26"/>
        </w:rPr>
        <w:t>9.2.1</w:t>
      </w:r>
      <w:bookmarkEnd w:id="833"/>
      <w:r w:rsidRPr="0072600F">
        <w:rPr>
          <w:rFonts w:ascii="Times New Roman" w:hAnsi="Times New Roman" w:cs="Times New Roman"/>
          <w:sz w:val="26"/>
          <w:szCs w:val="26"/>
        </w:rPr>
        <w:tab/>
        <w:t>Each Party shall employ at least the same standard of care to protect Confidential Information obtained from the other Party as it employs to protect its own Confidential Information.</w:t>
      </w:r>
    </w:p>
    <w:p w:rsidR="00503D78" w:rsidRPr="0072600F" w14:paraId="04F5222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p>
    <w:p w:rsidR="00503D78" w:rsidRPr="0072600F" w14:paraId="4B2CA9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Times New Roman" w:hAnsi="Times New Roman" w:cs="Times New Roman"/>
          <w:sz w:val="26"/>
          <w:szCs w:val="26"/>
        </w:rPr>
      </w:pPr>
      <w:bookmarkStart w:id="834" w:name="_Toc149901427"/>
      <w:r w:rsidRPr="0072600F">
        <w:rPr>
          <w:rStyle w:val="Heading3Char"/>
          <w:rFonts w:eastAsiaTheme="minorHAnsi"/>
          <w:sz w:val="26"/>
        </w:rPr>
        <w:t>9.2.2</w:t>
      </w:r>
      <w:bookmarkEnd w:id="834"/>
      <w:r w:rsidRPr="0072600F">
        <w:rPr>
          <w:rFonts w:ascii="Times New Roman" w:hAnsi="Times New Roman" w:cs="Times New Roman"/>
          <w:sz w:val="26"/>
          <w:szCs w:val="26"/>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Start w:id="835" w:name="a__"/>
      <w:bookmarkStart w:id="836" w:name="a_A"/>
      <w:bookmarkStart w:id="837" w:name="a_B"/>
      <w:bookmarkStart w:id="838" w:name="a_C"/>
      <w:bookmarkStart w:id="839" w:name="a_D"/>
      <w:bookmarkStart w:id="840" w:name="a_E"/>
      <w:bookmarkStart w:id="841" w:name="a_F"/>
      <w:bookmarkEnd w:id="835"/>
      <w:bookmarkEnd w:id="836"/>
      <w:bookmarkEnd w:id="837"/>
      <w:bookmarkEnd w:id="838"/>
      <w:bookmarkEnd w:id="839"/>
      <w:bookmarkEnd w:id="840"/>
      <w:bookmarkEnd w:id="841"/>
    </w:p>
    <w:p w:rsidR="00503D78" w:rsidRPr="0072600F" w14:paraId="0B756A4D" w14:textId="77777777">
      <w:pPr>
        <w:rPr>
          <w:rFonts w:ascii="Times New Roman" w:hAnsi="Times New Roman" w:cs="Times New Roman"/>
          <w:sz w:val="26"/>
          <w:szCs w:val="26"/>
        </w:rPr>
      </w:pPr>
    </w:p>
    <w:p w:rsidR="00503D78" w:rsidRPr="0072600F" w14:paraId="327BBE67" w14:textId="77777777">
      <w:pPr>
        <w:ind w:left="720" w:hanging="720"/>
        <w:rPr>
          <w:rFonts w:ascii="Times New Roman" w:hAnsi="Times New Roman" w:cs="Times New Roman"/>
          <w:sz w:val="26"/>
          <w:szCs w:val="26"/>
        </w:rPr>
      </w:pPr>
      <w:bookmarkStart w:id="842" w:name="_Toc149901428"/>
      <w:r w:rsidRPr="0072600F">
        <w:rPr>
          <w:rStyle w:val="Heading2Char"/>
          <w:rFonts w:eastAsiaTheme="minorHAnsi"/>
          <w:sz w:val="26"/>
          <w:szCs w:val="26"/>
        </w:rPr>
        <w:t>9.3</w:t>
      </w:r>
      <w:bookmarkEnd w:id="842"/>
      <w:r w:rsidRPr="0072600F">
        <w:rPr>
          <w:rFonts w:ascii="Times New Roman" w:hAnsi="Times New Roman" w:cs="Times New Roman"/>
          <w:sz w:val="26"/>
          <w:szCs w:val="26"/>
        </w:rPr>
        <w:tab/>
        <w:t>Notwithstanding anything in this article to the contrary, and pursuant to 18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Party to this Agreement prior to the release of the Confidential Information to FERC.  The Party shall notify the other Party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rsidR="00503D78" w:rsidRPr="0072600F" w14:paraId="504432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6348FAB2" w14:textId="77777777">
      <w:pPr>
        <w:pStyle w:val="Heading2"/>
        <w:rPr>
          <w:b/>
          <w:bCs/>
          <w:sz w:val="26"/>
          <w:szCs w:val="26"/>
        </w:rPr>
      </w:pPr>
      <w:bookmarkStart w:id="843" w:name="Generated_Bookmark71"/>
      <w:bookmarkStart w:id="844" w:name="_Toc149901429"/>
      <w:bookmarkEnd w:id="843"/>
      <w:r w:rsidRPr="0072600F">
        <w:rPr>
          <w:b/>
          <w:bCs/>
          <w:sz w:val="26"/>
          <w:szCs w:val="26"/>
        </w:rPr>
        <w:t>Article 10.  Disputes</w:t>
      </w:r>
      <w:bookmarkEnd w:id="844"/>
    </w:p>
    <w:p w:rsidR="00503D78" w:rsidRPr="0072600F" w14:paraId="01C66E0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3477196B" w14:textId="77777777">
      <w:pPr>
        <w:ind w:left="720" w:hanging="720"/>
        <w:rPr>
          <w:rFonts w:ascii="Times New Roman" w:hAnsi="Times New Roman" w:cs="Times New Roman"/>
          <w:sz w:val="26"/>
          <w:szCs w:val="26"/>
        </w:rPr>
      </w:pPr>
      <w:bookmarkStart w:id="845" w:name="_Toc149901430"/>
      <w:r w:rsidRPr="0072600F">
        <w:rPr>
          <w:rStyle w:val="Heading2Char"/>
          <w:rFonts w:eastAsiaTheme="minorHAnsi"/>
          <w:sz w:val="26"/>
          <w:szCs w:val="26"/>
        </w:rPr>
        <w:t>10.1</w:t>
      </w:r>
      <w:bookmarkEnd w:id="845"/>
      <w:r w:rsidRPr="0072600F">
        <w:rPr>
          <w:rFonts w:ascii="Times New Roman" w:hAnsi="Times New Roman" w:cs="Times New Roman"/>
          <w:sz w:val="26"/>
          <w:szCs w:val="26"/>
        </w:rPr>
        <w:tab/>
        <w:t>The Parties agree to attempt to resolve all disputes arising out of the interconnection process according to the provisions of this article.</w:t>
      </w:r>
    </w:p>
    <w:p w:rsidR="00503D78" w:rsidRPr="0072600F" w14:paraId="5816FDC8" w14:textId="77777777">
      <w:pPr>
        <w:rPr>
          <w:rFonts w:ascii="Times New Roman" w:hAnsi="Times New Roman" w:cs="Times New Roman"/>
          <w:sz w:val="26"/>
          <w:szCs w:val="26"/>
        </w:rPr>
      </w:pPr>
    </w:p>
    <w:p w:rsidR="00503D78" w:rsidRPr="0072600F" w14:paraId="0512BF52" w14:textId="77777777">
      <w:pPr>
        <w:ind w:left="720" w:hanging="720"/>
        <w:rPr>
          <w:rFonts w:ascii="Times New Roman" w:hAnsi="Times New Roman" w:cs="Times New Roman"/>
          <w:sz w:val="26"/>
          <w:szCs w:val="26"/>
        </w:rPr>
      </w:pPr>
      <w:bookmarkStart w:id="846" w:name="_Toc149901431"/>
      <w:r w:rsidRPr="0072600F">
        <w:rPr>
          <w:rStyle w:val="Heading2Char"/>
          <w:rFonts w:eastAsiaTheme="minorHAnsi"/>
          <w:sz w:val="26"/>
          <w:szCs w:val="26"/>
        </w:rPr>
        <w:t>10.2</w:t>
      </w:r>
      <w:bookmarkEnd w:id="846"/>
      <w:r w:rsidRPr="0072600F">
        <w:rPr>
          <w:rFonts w:ascii="Times New Roman" w:hAnsi="Times New Roman" w:cs="Times New Roman"/>
          <w:sz w:val="26"/>
          <w:szCs w:val="26"/>
        </w:rPr>
        <w:tab/>
        <w:t>In the event of a dispute, either Party shall provide the other Party with a written Notice of Dispute.  Such Notice shall describe in detail the nature of the dispute.</w:t>
      </w:r>
    </w:p>
    <w:p w:rsidR="00503D78" w:rsidRPr="0072600F" w14:paraId="3B426237" w14:textId="77777777">
      <w:pPr>
        <w:rPr>
          <w:rFonts w:ascii="Times New Roman" w:hAnsi="Times New Roman" w:cs="Times New Roman"/>
          <w:sz w:val="26"/>
          <w:szCs w:val="26"/>
        </w:rPr>
      </w:pPr>
    </w:p>
    <w:p w:rsidR="00503D78" w:rsidRPr="0072600F" w14:paraId="7CBE9F02" w14:textId="77777777">
      <w:pPr>
        <w:ind w:left="720" w:hanging="720"/>
        <w:rPr>
          <w:rFonts w:ascii="Times New Roman" w:hAnsi="Times New Roman" w:cs="Times New Roman"/>
          <w:sz w:val="26"/>
          <w:szCs w:val="26"/>
        </w:rPr>
      </w:pPr>
      <w:bookmarkStart w:id="847" w:name="_Toc149901432"/>
      <w:r w:rsidRPr="0072600F">
        <w:rPr>
          <w:rStyle w:val="Heading2Char"/>
          <w:rFonts w:eastAsiaTheme="minorHAnsi"/>
          <w:sz w:val="26"/>
          <w:szCs w:val="26"/>
        </w:rPr>
        <w:t>10.3</w:t>
      </w:r>
      <w:bookmarkEnd w:id="847"/>
      <w:r w:rsidRPr="0072600F">
        <w:rPr>
          <w:rFonts w:ascii="Times New Roman" w:hAnsi="Times New Roman" w:cs="Times New Roman"/>
          <w:sz w:val="26"/>
          <w:szCs w:val="26"/>
        </w:rPr>
        <w:tab/>
        <w:t xml:space="preserve">If the dispute has not been resolved within two </w:t>
      </w:r>
      <w:r w:rsidRPr="0072600F" w:rsidR="0056592A">
        <w:rPr>
          <w:rFonts w:ascii="Times New Roman" w:hAnsi="Times New Roman" w:cs="Times New Roman"/>
          <w:i/>
          <w:iCs/>
          <w:sz w:val="26"/>
          <w:szCs w:val="26"/>
        </w:rPr>
        <w:t xml:space="preserve">(2) </w:t>
      </w:r>
      <w:r w:rsidRPr="0072600F">
        <w:rPr>
          <w:rFonts w:ascii="Times New Roman" w:hAnsi="Times New Roman" w:cs="Times New Roman"/>
          <w:sz w:val="26"/>
          <w:szCs w:val="26"/>
        </w:rPr>
        <w:t>Business Days after receipt of the Notice, either Party may contact FERC's Dispute Resolution Service (DRS) for assistance in resolving the dispute.</w:t>
      </w:r>
    </w:p>
    <w:p w:rsidR="00503D78" w:rsidRPr="0072600F" w14:paraId="37E7176C" w14:textId="77777777">
      <w:pPr>
        <w:rPr>
          <w:rFonts w:ascii="Times New Roman" w:hAnsi="Times New Roman" w:cs="Times New Roman"/>
          <w:sz w:val="26"/>
          <w:szCs w:val="26"/>
        </w:rPr>
      </w:pPr>
    </w:p>
    <w:p w:rsidR="00503D78" w:rsidRPr="0072600F" w14:paraId="377A6247" w14:textId="77777777">
      <w:pPr>
        <w:ind w:left="720" w:hanging="720"/>
        <w:rPr>
          <w:rFonts w:ascii="Times New Roman" w:hAnsi="Times New Roman" w:cs="Times New Roman"/>
          <w:sz w:val="26"/>
          <w:szCs w:val="26"/>
        </w:rPr>
      </w:pPr>
      <w:bookmarkStart w:id="848" w:name="_Toc149901433"/>
      <w:r w:rsidRPr="0072600F">
        <w:rPr>
          <w:rStyle w:val="Heading2Char"/>
          <w:rFonts w:eastAsiaTheme="minorHAnsi"/>
          <w:sz w:val="26"/>
          <w:szCs w:val="26"/>
        </w:rPr>
        <w:t>10.4</w:t>
      </w:r>
      <w:bookmarkEnd w:id="848"/>
      <w:r w:rsidRPr="0072600F">
        <w:rPr>
          <w:rFonts w:ascii="Times New Roman" w:hAnsi="Times New Roman" w:cs="Times New Roman"/>
          <w:sz w:val="26"/>
          <w:szCs w:val="26"/>
        </w:rPr>
        <w:tab/>
        <w:t>The DRS will assist the Parties in either resolving their dispute or in selecting an appropriate dispute resolution venue (</w:t>
      </w:r>
      <w:r w:rsidRPr="0072600F">
        <w:rPr>
          <w:rFonts w:ascii="Times New Roman" w:hAnsi="Times New Roman" w:cs="Times New Roman"/>
          <w:sz w:val="26"/>
          <w:szCs w:val="26"/>
          <w:u w:val="single"/>
        </w:rPr>
        <w:t>e.g.</w:t>
      </w:r>
      <w:r w:rsidRPr="0072600F">
        <w:rPr>
          <w:rFonts w:ascii="Times New Roman" w:hAnsi="Times New Roman" w:cs="Times New Roman"/>
          <w:sz w:val="26"/>
          <w:szCs w:val="26"/>
        </w:rPr>
        <w:t xml:space="preserve">, mediation, settlement judge, early neutral evaluation, or technical expert) to assist the Parties in resolving their dispute.  DRS can be reached at 1-877-337-2237 or via the internet at </w:t>
      </w:r>
      <w:hyperlink r:id="rId54" w:history="1">
        <w:r w:rsidRPr="0072600F">
          <w:rPr>
            <w:rStyle w:val="Hyperlink"/>
            <w:rFonts w:ascii="Times New Roman" w:hAnsi="Times New Roman" w:cs="Times New Roman"/>
            <w:sz w:val="26"/>
            <w:szCs w:val="26"/>
          </w:rPr>
          <w:t>http://www.ferc.gov/legal/adr.asp</w:t>
        </w:r>
      </w:hyperlink>
      <w:r w:rsidRPr="0072600F">
        <w:rPr>
          <w:rFonts w:ascii="Times New Roman" w:hAnsi="Times New Roman" w:cs="Times New Roman"/>
          <w:sz w:val="26"/>
          <w:szCs w:val="26"/>
        </w:rPr>
        <w:t>.</w:t>
      </w:r>
    </w:p>
    <w:p w:rsidR="00503D78" w:rsidRPr="0072600F" w14:paraId="6D1901AD" w14:textId="77777777">
      <w:pPr>
        <w:rPr>
          <w:rFonts w:ascii="Times New Roman" w:hAnsi="Times New Roman" w:cs="Times New Roman"/>
          <w:sz w:val="26"/>
          <w:szCs w:val="26"/>
        </w:rPr>
      </w:pPr>
    </w:p>
    <w:p w:rsidR="00503D78" w:rsidRPr="0072600F" w14:paraId="7362396A" w14:textId="77777777">
      <w:pPr>
        <w:ind w:left="720" w:hanging="720"/>
        <w:rPr>
          <w:rFonts w:ascii="Times New Roman" w:hAnsi="Times New Roman" w:cs="Times New Roman"/>
          <w:color w:val="000000"/>
          <w:sz w:val="26"/>
          <w:szCs w:val="26"/>
        </w:rPr>
      </w:pPr>
      <w:bookmarkStart w:id="849" w:name="_Toc149901434"/>
      <w:r w:rsidRPr="0072600F">
        <w:rPr>
          <w:rStyle w:val="Heading2Char"/>
          <w:rFonts w:eastAsiaTheme="minorHAnsi"/>
          <w:sz w:val="26"/>
          <w:szCs w:val="26"/>
        </w:rPr>
        <w:t>10.5</w:t>
      </w:r>
      <w:bookmarkEnd w:id="849"/>
      <w:r w:rsidRPr="0072600F">
        <w:rPr>
          <w:rFonts w:ascii="Times New Roman" w:hAnsi="Times New Roman" w:cs="Times New Roman"/>
          <w:color w:val="000000"/>
          <w:sz w:val="26"/>
          <w:szCs w:val="26"/>
        </w:rPr>
        <w:tab/>
        <w:t>Each Party agrees to conduct all negotiations in good faith and will be responsible for one-half of any costs paid to neutral third-parties.</w:t>
      </w:r>
    </w:p>
    <w:p w:rsidR="00503D78" w:rsidRPr="0072600F" w14:paraId="1A41832F" w14:textId="77777777">
      <w:pPr>
        <w:rPr>
          <w:rFonts w:ascii="Times New Roman" w:hAnsi="Times New Roman" w:cs="Times New Roman"/>
          <w:color w:val="000000"/>
          <w:sz w:val="26"/>
          <w:szCs w:val="26"/>
        </w:rPr>
      </w:pPr>
    </w:p>
    <w:p w:rsidR="00503D78" w:rsidRPr="0072600F" w14:paraId="5E52564C" w14:textId="77777777">
      <w:pPr>
        <w:ind w:left="720" w:hanging="720"/>
        <w:rPr>
          <w:rFonts w:ascii="Times New Roman" w:hAnsi="Times New Roman" w:cs="Times New Roman"/>
          <w:color w:val="000000"/>
          <w:sz w:val="26"/>
          <w:szCs w:val="26"/>
        </w:rPr>
      </w:pPr>
      <w:bookmarkStart w:id="850" w:name="_Toc149901435"/>
      <w:r w:rsidRPr="0072600F">
        <w:rPr>
          <w:rStyle w:val="Heading2Char"/>
          <w:rFonts w:eastAsiaTheme="minorHAnsi"/>
          <w:sz w:val="26"/>
          <w:szCs w:val="26"/>
        </w:rPr>
        <w:t>10.6</w:t>
      </w:r>
      <w:bookmarkEnd w:id="850"/>
      <w:r w:rsidRPr="0072600F">
        <w:rPr>
          <w:rFonts w:ascii="Times New Roman" w:hAnsi="Times New Roman" w:cs="Times New Roman"/>
          <w:color w:val="000000"/>
          <w:sz w:val="26"/>
          <w:szCs w:val="26"/>
        </w:rPr>
        <w:tab/>
        <w:t xml:space="preserve">If neither Party elects to seek assistance from the DRS, or if the attempted dispute resolution fails, </w:t>
      </w:r>
      <w:r w:rsidRPr="0072600F">
        <w:rPr>
          <w:rFonts w:ascii="Times New Roman" w:hAnsi="Times New Roman" w:cs="Times New Roman"/>
          <w:sz w:val="26"/>
          <w:szCs w:val="26"/>
        </w:rPr>
        <w:t>then either Party may exercise whatever rights and remedies it may have in equity or law consistent with the terms of this Agreement.</w:t>
      </w:r>
    </w:p>
    <w:p w:rsidR="00503D78" w:rsidRPr="0072600F" w14:paraId="17C592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1195F47E" w14:textId="77777777">
      <w:pPr>
        <w:pStyle w:val="Heading2"/>
        <w:rPr>
          <w:b/>
          <w:bCs/>
          <w:sz w:val="26"/>
          <w:szCs w:val="26"/>
        </w:rPr>
      </w:pPr>
      <w:bookmarkStart w:id="851" w:name="_Toc149901436"/>
      <w:r w:rsidRPr="0072600F">
        <w:rPr>
          <w:b/>
          <w:bCs/>
          <w:sz w:val="26"/>
          <w:szCs w:val="26"/>
        </w:rPr>
        <w:t>Article 11.  Taxes</w:t>
      </w:r>
      <w:bookmarkEnd w:id="851"/>
    </w:p>
    <w:p w:rsidR="00503D78" w:rsidRPr="0072600F" w14:paraId="40D13162" w14:textId="77777777">
      <w:pPr>
        <w:rPr>
          <w:rFonts w:ascii="Times New Roman" w:hAnsi="Times New Roman" w:cs="Times New Roman"/>
          <w:sz w:val="26"/>
          <w:szCs w:val="26"/>
        </w:rPr>
      </w:pPr>
    </w:p>
    <w:p w:rsidR="00503D78" w:rsidRPr="0072600F" w14:paraId="34604B81" w14:textId="77777777">
      <w:pPr>
        <w:ind w:left="720" w:hanging="720"/>
        <w:rPr>
          <w:rFonts w:ascii="Times New Roman" w:hAnsi="Times New Roman" w:cs="Times New Roman"/>
          <w:bCs/>
          <w:sz w:val="26"/>
          <w:szCs w:val="26"/>
        </w:rPr>
      </w:pPr>
      <w:bookmarkStart w:id="852" w:name="_Toc149901437"/>
      <w:r w:rsidRPr="0072600F">
        <w:rPr>
          <w:rStyle w:val="Heading2Char"/>
          <w:rFonts w:eastAsiaTheme="minorHAnsi"/>
          <w:sz w:val="26"/>
          <w:szCs w:val="26"/>
        </w:rPr>
        <w:t>11.1</w:t>
      </w:r>
      <w:bookmarkEnd w:id="852"/>
      <w:r w:rsidRPr="0072600F">
        <w:rPr>
          <w:rFonts w:ascii="Times New Roman" w:hAnsi="Times New Roman" w:cs="Times New Roman"/>
          <w:bCs/>
          <w:sz w:val="26"/>
          <w:szCs w:val="26"/>
        </w:rPr>
        <w:tab/>
        <w:t>The Parties agree to follow all applicable tax laws and regulations, consistent with FERC policy and Internal Revenue Service requirements.</w:t>
      </w:r>
    </w:p>
    <w:p w:rsidR="00503D78" w:rsidRPr="0072600F" w14:paraId="6D3D519A" w14:textId="77777777">
      <w:pPr>
        <w:ind w:left="720" w:hanging="720"/>
        <w:rPr>
          <w:rFonts w:ascii="Times New Roman" w:hAnsi="Times New Roman" w:cs="Times New Roman"/>
          <w:bCs/>
          <w:sz w:val="26"/>
          <w:szCs w:val="26"/>
        </w:rPr>
      </w:pPr>
    </w:p>
    <w:p w:rsidR="00503D78" w:rsidRPr="0072600F" w14:paraId="6470748F" w14:textId="77777777">
      <w:pPr>
        <w:ind w:left="720" w:hanging="720"/>
        <w:rPr>
          <w:rFonts w:ascii="Times New Roman" w:hAnsi="Times New Roman" w:cs="Times New Roman"/>
          <w:sz w:val="26"/>
          <w:szCs w:val="26"/>
        </w:rPr>
      </w:pPr>
      <w:bookmarkStart w:id="853" w:name="_Toc149901438"/>
      <w:r w:rsidRPr="0072600F">
        <w:rPr>
          <w:rStyle w:val="Heading2Char"/>
          <w:rFonts w:eastAsiaTheme="minorHAnsi"/>
          <w:sz w:val="26"/>
          <w:szCs w:val="26"/>
        </w:rPr>
        <w:t>11.2</w:t>
      </w:r>
      <w:bookmarkEnd w:id="853"/>
      <w:r w:rsidRPr="0072600F">
        <w:rPr>
          <w:rFonts w:ascii="Times New Roman" w:hAnsi="Times New Roman" w:cs="Times New Roman"/>
          <w:sz w:val="26"/>
          <w:szCs w:val="26"/>
        </w:rPr>
        <w:tab/>
        <w:t xml:space="preserve">Each Party shall cooperate with the other to maintain the other Party's tax status.  Nothing in this Agreement is intended to adversely affect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tax exempt status with respect to the issuance of bonds including, but not limited to, local furnishing bonds.</w:t>
      </w:r>
    </w:p>
    <w:p w:rsidR="00503D78" w:rsidRPr="0072600F" w14:paraId="4934764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7CAA63F2" w14:textId="77777777">
      <w:pPr>
        <w:pStyle w:val="Heading2"/>
        <w:rPr>
          <w:b/>
          <w:bCs/>
          <w:sz w:val="26"/>
          <w:szCs w:val="26"/>
        </w:rPr>
      </w:pPr>
      <w:bookmarkStart w:id="854" w:name="Generated_Bookmark36"/>
      <w:bookmarkStart w:id="855" w:name="_Toc149901439"/>
      <w:bookmarkEnd w:id="854"/>
      <w:r w:rsidRPr="0072600F">
        <w:rPr>
          <w:b/>
          <w:bCs/>
          <w:sz w:val="26"/>
          <w:szCs w:val="26"/>
        </w:rPr>
        <w:t>Article 12.  Miscellaneous</w:t>
      </w:r>
      <w:bookmarkEnd w:id="855"/>
    </w:p>
    <w:p w:rsidR="00503D78" w:rsidRPr="0072600F" w14:paraId="2FC939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6260C" w14:paraId="55A30302" w14:textId="77777777">
      <w:pPr>
        <w:pStyle w:val="TableParagraph"/>
        <w:rPr>
          <w:sz w:val="26"/>
          <w:szCs w:val="26"/>
        </w:rPr>
      </w:pPr>
      <w:bookmarkStart w:id="856" w:name="Generated_Bookmark37"/>
      <w:bookmarkStart w:id="857" w:name="_Toc149901440"/>
      <w:bookmarkEnd w:id="856"/>
      <w:r w:rsidRPr="0072600F">
        <w:rPr>
          <w:sz w:val="26"/>
          <w:szCs w:val="26"/>
        </w:rPr>
        <w:t>12.1</w:t>
      </w:r>
      <w:r w:rsidRPr="0072600F">
        <w:rPr>
          <w:sz w:val="26"/>
          <w:szCs w:val="26"/>
        </w:rPr>
        <w:tab/>
        <w:t>Governing Law, Regulatory Authority, and Rules</w:t>
      </w:r>
      <w:bookmarkEnd w:id="857"/>
    </w:p>
    <w:p w:rsidR="00503D78" w:rsidRPr="0072600F" w14:paraId="69B73C2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503D78" w:rsidRPr="0072600F" w14:paraId="358B17C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341D14CD" w14:textId="77777777">
      <w:pPr>
        <w:pStyle w:val="TableParagraph"/>
        <w:rPr>
          <w:sz w:val="26"/>
          <w:szCs w:val="26"/>
        </w:rPr>
      </w:pPr>
      <w:bookmarkStart w:id="858" w:name="Generated_Bookmark38"/>
      <w:bookmarkStart w:id="859" w:name="_Toc149901441"/>
      <w:bookmarkEnd w:id="858"/>
      <w:r w:rsidRPr="0072600F">
        <w:rPr>
          <w:sz w:val="26"/>
          <w:szCs w:val="26"/>
        </w:rPr>
        <w:t>12.2</w:t>
      </w:r>
      <w:r w:rsidRPr="0072600F">
        <w:rPr>
          <w:sz w:val="26"/>
          <w:szCs w:val="26"/>
        </w:rPr>
        <w:tab/>
        <w:t>Amendment</w:t>
      </w:r>
      <w:bookmarkEnd w:id="859"/>
    </w:p>
    <w:p w:rsidR="00503D78" w:rsidRPr="0072600F" w14:paraId="5AB3C39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 xml:space="preserve">The Parties may amend this Agreement by a written instrument duly executed by both Parties, </w:t>
      </w:r>
      <w:r w:rsidRPr="0072600F">
        <w:rPr>
          <w:rFonts w:ascii="Times New Roman" w:hAnsi="Times New Roman" w:cs="Times New Roman"/>
          <w:sz w:val="26"/>
          <w:szCs w:val="26"/>
        </w:rPr>
        <w:t>or</w:t>
      </w:r>
      <w:r w:rsidRPr="0072600F">
        <w:rPr>
          <w:rFonts w:ascii="Times New Roman" w:hAnsi="Times New Roman" w:cs="Times New Roman"/>
          <w:sz w:val="26"/>
          <w:szCs w:val="26"/>
        </w:rPr>
        <w:t xml:space="preserve"> under article 12.12 of this Agreement.</w:t>
      </w:r>
    </w:p>
    <w:p w:rsidR="00503D78" w:rsidRPr="0072600F" w14:paraId="3D62ED1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172D7906" w14:textId="77777777">
      <w:pPr>
        <w:pStyle w:val="TableParagraph"/>
        <w:rPr>
          <w:sz w:val="26"/>
          <w:szCs w:val="26"/>
        </w:rPr>
      </w:pPr>
      <w:bookmarkStart w:id="860" w:name="Generated_Bookmark39"/>
      <w:bookmarkStart w:id="861" w:name="_Toc149901442"/>
      <w:bookmarkEnd w:id="860"/>
      <w:r w:rsidRPr="0072600F">
        <w:rPr>
          <w:sz w:val="26"/>
          <w:szCs w:val="26"/>
        </w:rPr>
        <w:t>12.3</w:t>
      </w:r>
      <w:r w:rsidRPr="0072600F">
        <w:rPr>
          <w:sz w:val="26"/>
          <w:szCs w:val="26"/>
        </w:rPr>
        <w:tab/>
        <w:t>No Third-Party Beneficiaries</w:t>
      </w:r>
      <w:bookmarkEnd w:id="861"/>
    </w:p>
    <w:p w:rsidR="00503D78" w:rsidRPr="0072600F" w14:paraId="4688987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rsidR="00503D78" w:rsidRPr="0072600F" w14:paraId="014E23C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2DBEC675" w14:textId="77777777">
      <w:pPr>
        <w:pStyle w:val="TableParagraph"/>
        <w:rPr>
          <w:sz w:val="26"/>
          <w:szCs w:val="26"/>
        </w:rPr>
      </w:pPr>
      <w:bookmarkStart w:id="862" w:name="Generated_Bookmark40"/>
      <w:bookmarkStart w:id="863" w:name="_Toc149901443"/>
      <w:bookmarkEnd w:id="862"/>
      <w:r w:rsidRPr="0072600F">
        <w:rPr>
          <w:sz w:val="26"/>
          <w:szCs w:val="26"/>
        </w:rPr>
        <w:t>12.4</w:t>
      </w:r>
      <w:r w:rsidRPr="0072600F">
        <w:rPr>
          <w:sz w:val="26"/>
          <w:szCs w:val="26"/>
        </w:rPr>
        <w:tab/>
        <w:t>Waiver</w:t>
      </w:r>
      <w:bookmarkEnd w:id="863"/>
    </w:p>
    <w:p w:rsidR="00503D78" w:rsidRPr="0072600F" w14:paraId="0AD04F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4849EB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64" w:name="_Toc149901444"/>
      <w:r w:rsidRPr="0072600F">
        <w:rPr>
          <w:rStyle w:val="Heading3Char"/>
          <w:rFonts w:eastAsiaTheme="minorHAnsi"/>
          <w:sz w:val="26"/>
        </w:rPr>
        <w:t>12.4.1</w:t>
      </w:r>
      <w:bookmarkEnd w:id="864"/>
      <w:r w:rsidRPr="0072600F">
        <w:rPr>
          <w:rFonts w:ascii="Times New Roman" w:hAnsi="Times New Roman" w:cs="Times New Roman"/>
          <w:sz w:val="26"/>
          <w:szCs w:val="26"/>
        </w:rPr>
        <w:tab/>
        <w:t>The failure of a Party to this Agreement to insist, on any occasion, upon strict performance of any provision of this Agreement will not be considered a waiver of any obligation, right, or duty of, or imposed upon, such Party.</w:t>
      </w:r>
    </w:p>
    <w:p w:rsidR="00503D78" w:rsidRPr="0072600F" w14:paraId="1EC8DF6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1B30493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cs="Times New Roman"/>
          <w:sz w:val="26"/>
          <w:szCs w:val="26"/>
        </w:rPr>
      </w:pPr>
      <w:bookmarkStart w:id="865" w:name="_Toc149901445"/>
      <w:r w:rsidRPr="0072600F">
        <w:rPr>
          <w:rStyle w:val="Heading3Char"/>
          <w:rFonts w:eastAsiaTheme="minorHAnsi"/>
          <w:sz w:val="26"/>
        </w:rPr>
        <w:t>12.4.2</w:t>
      </w:r>
      <w:bookmarkEnd w:id="865"/>
      <w:r w:rsidRPr="0072600F">
        <w:rPr>
          <w:rFonts w:ascii="Times New Roman" w:hAnsi="Times New Roman" w:cs="Times New Roman"/>
          <w:sz w:val="26"/>
          <w:szCs w:val="26"/>
        </w:rPr>
        <w:tab/>
        <w:t xml:space="preserve">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the</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legal rights to obtain an interconnection from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Any waiver of this Agreement shall, if requested, be provided in writing.</w:t>
      </w:r>
    </w:p>
    <w:p w:rsidR="00503D78" w:rsidRPr="0072600F" w14:paraId="26759D0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bookmarkStart w:id="866" w:name="Generated_Bookmark41"/>
      <w:bookmarkEnd w:id="866"/>
    </w:p>
    <w:p w:rsidR="00503D78" w:rsidRPr="0072600F" w:rsidP="000941DA" w14:paraId="09169594" w14:textId="77777777">
      <w:pPr>
        <w:pStyle w:val="TableParagraph"/>
        <w:rPr>
          <w:sz w:val="26"/>
          <w:szCs w:val="26"/>
        </w:rPr>
      </w:pPr>
      <w:bookmarkStart w:id="867" w:name="Generated_Bookmark42"/>
      <w:bookmarkStart w:id="868" w:name="_Toc149901446"/>
      <w:bookmarkEnd w:id="867"/>
      <w:r w:rsidRPr="0072600F">
        <w:rPr>
          <w:sz w:val="26"/>
          <w:szCs w:val="26"/>
        </w:rPr>
        <w:t>12.5</w:t>
      </w:r>
      <w:r w:rsidRPr="0072600F">
        <w:rPr>
          <w:sz w:val="26"/>
          <w:szCs w:val="26"/>
        </w:rPr>
        <w:tab/>
        <w:t>Entire Agreement</w:t>
      </w:r>
      <w:bookmarkEnd w:id="868"/>
    </w:p>
    <w:p w:rsidR="00503D78" w:rsidRPr="0072600F" w14:paraId="4274F56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503D78" w:rsidRPr="0072600F" w14:paraId="1BF84C5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1F945A41" w14:textId="77777777">
      <w:pPr>
        <w:pStyle w:val="TableParagraph"/>
        <w:rPr>
          <w:sz w:val="26"/>
          <w:szCs w:val="26"/>
        </w:rPr>
      </w:pPr>
      <w:bookmarkStart w:id="869" w:name="_Toc149901447"/>
      <w:r w:rsidRPr="0072600F">
        <w:rPr>
          <w:sz w:val="26"/>
          <w:szCs w:val="26"/>
        </w:rPr>
        <w:t>12.6</w:t>
      </w:r>
      <w:r w:rsidRPr="0072600F">
        <w:rPr>
          <w:sz w:val="26"/>
          <w:szCs w:val="26"/>
        </w:rPr>
        <w:tab/>
        <w:t>Multiple Counterparts</w:t>
      </w:r>
      <w:bookmarkEnd w:id="869"/>
    </w:p>
    <w:p w:rsidR="00503D78" w:rsidRPr="0072600F" w14:paraId="1957242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This Agreement may be executed in two or more counterparts, each of which is deemed an original but all constitute one and the same instrument.</w:t>
      </w:r>
    </w:p>
    <w:p w:rsidR="00503D78" w:rsidRPr="0072600F" w14:paraId="3F12393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3929DF67" w14:textId="77777777">
      <w:pPr>
        <w:pStyle w:val="TableParagraph"/>
        <w:rPr>
          <w:sz w:val="26"/>
          <w:szCs w:val="26"/>
        </w:rPr>
      </w:pPr>
      <w:bookmarkStart w:id="870" w:name="Generated_Bookmark45"/>
      <w:bookmarkStart w:id="871" w:name="_Toc149901448"/>
      <w:bookmarkEnd w:id="870"/>
      <w:r w:rsidRPr="0072600F">
        <w:rPr>
          <w:sz w:val="26"/>
          <w:szCs w:val="26"/>
        </w:rPr>
        <w:t>12.7</w:t>
      </w:r>
      <w:r w:rsidRPr="0072600F">
        <w:rPr>
          <w:sz w:val="26"/>
          <w:szCs w:val="26"/>
        </w:rPr>
        <w:tab/>
        <w:t>No Partnership</w:t>
      </w:r>
      <w:bookmarkEnd w:id="871"/>
    </w:p>
    <w:p w:rsidR="00503D78" w:rsidRPr="0072600F" w14:paraId="166C45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w:t>
      </w:r>
    </w:p>
    <w:p w:rsidR="00503D78" w:rsidRPr="0072600F" w14:paraId="52C1FCA4" w14:textId="77777777">
      <w:pPr>
        <w:ind w:left="720" w:hanging="720"/>
        <w:jc w:val="both"/>
        <w:rPr>
          <w:rFonts w:ascii="Times New Roman" w:hAnsi="Times New Roman" w:cs="Times New Roman"/>
          <w:sz w:val="26"/>
          <w:szCs w:val="26"/>
        </w:rPr>
      </w:pPr>
      <w:bookmarkStart w:id="872" w:name="Generated_Bookmark46"/>
      <w:bookmarkEnd w:id="872"/>
    </w:p>
    <w:p w:rsidR="00503D78" w:rsidRPr="0072600F" w:rsidP="000941DA" w14:paraId="7705FDFC" w14:textId="77777777">
      <w:pPr>
        <w:pStyle w:val="TableParagraph"/>
        <w:rPr>
          <w:sz w:val="26"/>
          <w:szCs w:val="26"/>
        </w:rPr>
      </w:pPr>
      <w:bookmarkStart w:id="873" w:name="Generated_Bookmark47"/>
      <w:bookmarkStart w:id="874" w:name="_Toc149901449"/>
      <w:bookmarkEnd w:id="873"/>
      <w:r w:rsidRPr="0072600F">
        <w:rPr>
          <w:sz w:val="26"/>
          <w:szCs w:val="26"/>
        </w:rPr>
        <w:t>12.8</w:t>
      </w:r>
      <w:r w:rsidRPr="0072600F">
        <w:rPr>
          <w:sz w:val="26"/>
          <w:szCs w:val="26"/>
        </w:rPr>
        <w:tab/>
        <w:t>Severability</w:t>
      </w:r>
      <w:bookmarkEnd w:id="874"/>
    </w:p>
    <w:p w:rsidR="00503D78" w:rsidRPr="0072600F" w14:paraId="3BEDA7A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503D78" w:rsidRPr="0072600F" w14:paraId="27459C4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3489AEEE" w14:textId="77777777">
      <w:pPr>
        <w:pStyle w:val="TableParagraph"/>
        <w:rPr>
          <w:sz w:val="26"/>
          <w:szCs w:val="26"/>
        </w:rPr>
      </w:pPr>
      <w:bookmarkStart w:id="875" w:name="Generated_Bookmark48"/>
      <w:bookmarkStart w:id="876" w:name="_Toc149901450"/>
      <w:bookmarkEnd w:id="875"/>
      <w:r w:rsidRPr="0072600F">
        <w:rPr>
          <w:sz w:val="26"/>
          <w:szCs w:val="26"/>
        </w:rPr>
        <w:t>12.9</w:t>
      </w:r>
      <w:r w:rsidRPr="0072600F">
        <w:rPr>
          <w:sz w:val="26"/>
          <w:szCs w:val="26"/>
        </w:rPr>
        <w:tab/>
        <w:t>Security Arrangements</w:t>
      </w:r>
      <w:bookmarkEnd w:id="876"/>
    </w:p>
    <w:p w:rsidR="00503D78" w:rsidRPr="0072600F" w14:paraId="2108B77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503D78" w:rsidRPr="0072600F" w14:paraId="6672B2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5938F47C" w14:textId="77777777">
      <w:pPr>
        <w:pStyle w:val="TableParagraph"/>
        <w:rPr>
          <w:sz w:val="26"/>
          <w:szCs w:val="26"/>
        </w:rPr>
      </w:pPr>
      <w:bookmarkStart w:id="877" w:name="Generated_Bookmark51"/>
      <w:bookmarkStart w:id="878" w:name="_Toc149901451"/>
      <w:bookmarkEnd w:id="877"/>
      <w:r w:rsidRPr="0072600F">
        <w:rPr>
          <w:sz w:val="26"/>
          <w:szCs w:val="26"/>
        </w:rPr>
        <w:t>12.10</w:t>
      </w:r>
      <w:r w:rsidRPr="0072600F">
        <w:rPr>
          <w:sz w:val="26"/>
          <w:szCs w:val="26"/>
        </w:rPr>
        <w:tab/>
        <w:t>Environmental Releases</w:t>
      </w:r>
      <w:bookmarkEnd w:id="878"/>
    </w:p>
    <w:p w:rsidR="00503D78" w:rsidRPr="0072600F" w14:paraId="79081F6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Each Party shall notify the other Party,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  The notifying Party shall (1) provide the notice as soon as practicable, provided such Party makes a good faith effort to provide the notice no later than 24 hours after such Party becomes aware of the occurrence, and (2) promptly furnish to the other Party copies of any publicly available reports filed with any governmental authorities addressing such events.</w:t>
      </w:r>
    </w:p>
    <w:p w:rsidR="00503D78" w:rsidRPr="0072600F" w14:paraId="47A96A8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0941DA" w14:paraId="49690BEB" w14:textId="77777777">
      <w:pPr>
        <w:pStyle w:val="TableParagraph"/>
        <w:rPr>
          <w:sz w:val="26"/>
          <w:szCs w:val="26"/>
        </w:rPr>
      </w:pPr>
      <w:bookmarkStart w:id="879" w:name="_Toc149901452"/>
      <w:r w:rsidRPr="0072600F">
        <w:rPr>
          <w:sz w:val="26"/>
          <w:szCs w:val="26"/>
        </w:rPr>
        <w:t>12.11</w:t>
      </w:r>
      <w:r w:rsidRPr="0072600F">
        <w:rPr>
          <w:sz w:val="26"/>
          <w:szCs w:val="26"/>
        </w:rPr>
        <w:tab/>
        <w:t>Subcontractors</w:t>
      </w:r>
      <w:bookmarkEnd w:id="879"/>
    </w:p>
    <w:p w:rsidR="00503D78" w:rsidRPr="0072600F" w14:paraId="5DFB23C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 for the performance of such subcontractor.</w:t>
      </w:r>
    </w:p>
    <w:p w:rsidR="00503D78" w:rsidRPr="0072600F" w14:paraId="0697F78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F001AB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cs="Times New Roman"/>
          <w:sz w:val="26"/>
          <w:szCs w:val="26"/>
        </w:rPr>
      </w:pPr>
      <w:bookmarkStart w:id="880" w:name="_Toc149901453"/>
      <w:r w:rsidRPr="0072600F">
        <w:rPr>
          <w:rStyle w:val="Heading3Char"/>
          <w:rFonts w:eastAsiaTheme="minorHAnsi"/>
          <w:sz w:val="26"/>
        </w:rPr>
        <w:t>12.11.1</w:t>
      </w:r>
      <w:bookmarkEnd w:id="880"/>
      <w:r w:rsidRPr="0072600F">
        <w:rPr>
          <w:rFonts w:ascii="Times New Roman" w:hAnsi="Times New Roman" w:cs="Times New Roman"/>
          <w:sz w:val="26"/>
          <w:szCs w:val="26"/>
        </w:rPr>
        <w:tab/>
        <w:t xml:space="preserve">The creation of any subcontract relationship shall not relieve the hiring Party of any of its obligations under this Agreement.  The hiring Party shall be fully responsible to the other Party for the acts or omissions of any subcontractor the hiring Party hires as if no subcontract had been made; provided, however, that in no event shall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be liable for the actions or inactions of </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or its subcontractors with respect to obligations of </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under this Agreement.  Any applicable obligation imposed by this Agreement upon the hiring Party shall be equally binding upon, and shall be construed as having application to, any subcontractor of such Party.</w:t>
      </w:r>
    </w:p>
    <w:p w:rsidR="00503D78" w:rsidRPr="0072600F" w14:paraId="120E819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18DD81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cs="Times New Roman"/>
          <w:sz w:val="26"/>
          <w:szCs w:val="26"/>
        </w:rPr>
      </w:pPr>
      <w:bookmarkStart w:id="881" w:name="_Toc149901454"/>
      <w:r w:rsidRPr="0072600F">
        <w:rPr>
          <w:rStyle w:val="Heading3Char"/>
          <w:rFonts w:eastAsiaTheme="minorHAnsi"/>
          <w:sz w:val="26"/>
        </w:rPr>
        <w:t>12.11.2</w:t>
      </w:r>
      <w:bookmarkEnd w:id="881"/>
      <w:r w:rsidRPr="0072600F">
        <w:rPr>
          <w:rFonts w:ascii="Times New Roman" w:hAnsi="Times New Roman" w:cs="Times New Roman"/>
          <w:sz w:val="26"/>
          <w:szCs w:val="26"/>
        </w:rPr>
        <w:tab/>
        <w:t>The obligations under this article will not be limited in any way by any limitation of subcontractor’s insurance.</w:t>
      </w:r>
    </w:p>
    <w:p w:rsidR="00503D78" w:rsidRPr="0072600F" w14:paraId="49A7D59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bookmarkStart w:id="882" w:name="Generated_Bookmark55"/>
      <w:bookmarkEnd w:id="882"/>
    </w:p>
    <w:p w:rsidR="00503D78" w:rsidRPr="0072600F" w:rsidP="006C4A5A" w14:paraId="46B965D5" w14:textId="77777777">
      <w:pPr>
        <w:pStyle w:val="TableParagraph"/>
        <w:rPr>
          <w:sz w:val="26"/>
          <w:szCs w:val="26"/>
        </w:rPr>
      </w:pPr>
      <w:bookmarkStart w:id="883" w:name="Generated_Bookmark56"/>
      <w:bookmarkStart w:id="884" w:name="_Toc149901455"/>
      <w:bookmarkEnd w:id="883"/>
      <w:r w:rsidRPr="0072600F">
        <w:rPr>
          <w:sz w:val="26"/>
          <w:szCs w:val="26"/>
        </w:rPr>
        <w:t>12.12</w:t>
      </w:r>
      <w:r w:rsidRPr="0072600F">
        <w:rPr>
          <w:sz w:val="26"/>
          <w:szCs w:val="26"/>
        </w:rPr>
        <w:tab/>
        <w:t>Reservation of Rights</w:t>
      </w:r>
      <w:bookmarkEnd w:id="884"/>
    </w:p>
    <w:p w:rsidR="00503D78" w:rsidRPr="0072600F" w14:paraId="518478C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the</w:t>
      </w:r>
      <w:r w:rsidRPr="0072600F" w:rsidR="00A44B22">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shall have the right to make a unilateral filing with FERC to modify this Agreement under any applicable provision of the Federal Power Act and FERC's rules and regulations; provided that each Party shall have the right to protest any such filing by the 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 </w:t>
      </w:r>
    </w:p>
    <w:p w:rsidR="00503D78" w:rsidRPr="0072600F" w14:paraId="6219CF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6C4A5A" w14:paraId="133EC721" w14:textId="77777777">
      <w:pPr>
        <w:pStyle w:val="Heading2"/>
        <w:rPr>
          <w:b/>
          <w:bCs/>
          <w:sz w:val="26"/>
          <w:szCs w:val="26"/>
        </w:rPr>
      </w:pPr>
      <w:bookmarkStart w:id="885" w:name="_Toc149901456"/>
      <w:r w:rsidRPr="0072600F">
        <w:rPr>
          <w:b/>
          <w:bCs/>
          <w:sz w:val="26"/>
          <w:szCs w:val="26"/>
        </w:rPr>
        <w:t>Article 13.  Notices</w:t>
      </w:r>
      <w:bookmarkEnd w:id="885"/>
    </w:p>
    <w:p w:rsidR="00503D78" w:rsidRPr="0072600F" w14:paraId="6A69F1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6C4A5A" w14:paraId="7D65F4F6" w14:textId="77777777">
      <w:pPr>
        <w:pStyle w:val="TableParagraph"/>
        <w:rPr>
          <w:sz w:val="26"/>
          <w:szCs w:val="26"/>
        </w:rPr>
      </w:pPr>
      <w:bookmarkStart w:id="886" w:name="Generated_Bookmark43"/>
      <w:bookmarkStart w:id="887" w:name="_Toc149901457"/>
      <w:bookmarkEnd w:id="886"/>
      <w:r w:rsidRPr="0072600F">
        <w:rPr>
          <w:sz w:val="26"/>
          <w:szCs w:val="26"/>
        </w:rPr>
        <w:t>13.1</w:t>
      </w:r>
      <w:r w:rsidRPr="0072600F">
        <w:rPr>
          <w:sz w:val="26"/>
          <w:szCs w:val="26"/>
        </w:rPr>
        <w:tab/>
        <w:t>General</w:t>
      </w:r>
      <w:bookmarkEnd w:id="887"/>
    </w:p>
    <w:p w:rsidR="00503D78" w:rsidRPr="0072600F" w14:paraId="4B7369AB" w14:textId="77777777">
      <w:pPr>
        <w:ind w:left="720"/>
        <w:rPr>
          <w:rFonts w:ascii="Times New Roman" w:hAnsi="Times New Roman" w:cs="Times New Roman"/>
          <w:sz w:val="26"/>
          <w:szCs w:val="26"/>
        </w:rPr>
      </w:pPr>
      <w:r w:rsidRPr="0072600F">
        <w:rPr>
          <w:rFonts w:ascii="Times New Roman" w:hAnsi="Times New Roman" w:cs="Times New Roman"/>
          <w:sz w:val="26"/>
          <w:szCs w:val="26"/>
        </w:rP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503D78" w:rsidRPr="0072600F" w14:paraId="25A998F8" w14:textId="77777777">
      <w:pPr>
        <w:rPr>
          <w:rFonts w:ascii="Times New Roman" w:hAnsi="Times New Roman" w:cs="Times New Roman"/>
          <w:sz w:val="26"/>
          <w:szCs w:val="26"/>
        </w:rPr>
      </w:pPr>
    </w:p>
    <w:p w:rsidR="00503D78" w:rsidRPr="0072600F" w14:paraId="765E1F62"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If to </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the</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503D78" w:rsidRPr="0072600F" w14:paraId="13E6E2C6"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Interconnection Customer: ____________________________________________</w:t>
      </w:r>
    </w:p>
    <w:p w:rsidR="00503D78" w:rsidRPr="0072600F" w14:paraId="1B967643"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7643A1E2"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1BA64820"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5529B230"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3BA5CEFA" w14:textId="77777777">
      <w:pPr>
        <w:ind w:left="720"/>
        <w:rPr>
          <w:rFonts w:ascii="Times New Roman" w:hAnsi="Times New Roman" w:cs="Times New Roman"/>
          <w:sz w:val="26"/>
          <w:szCs w:val="26"/>
        </w:rPr>
      </w:pPr>
    </w:p>
    <w:p w:rsidR="00503D78" w:rsidRPr="0072600F" w14:paraId="63022A1B"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If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p>
    <w:p w:rsidR="00503D78" w:rsidRPr="0072600F" w14:paraId="65162D1E"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Transmission Provider: _____________________________________________</w:t>
      </w:r>
    </w:p>
    <w:p w:rsidR="00503D78" w:rsidRPr="0072600F" w14:paraId="1ECDB38A"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546D6E3A"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052A90A6"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4CFBE128"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75F9A5D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E0EB0" w14:paraId="055C92BC" w14:textId="77777777">
      <w:pPr>
        <w:pStyle w:val="TableParagraph"/>
        <w:rPr>
          <w:sz w:val="26"/>
          <w:szCs w:val="26"/>
        </w:rPr>
      </w:pPr>
      <w:bookmarkStart w:id="888" w:name="_Toc149901458"/>
      <w:r w:rsidRPr="0072600F">
        <w:rPr>
          <w:sz w:val="26"/>
          <w:szCs w:val="26"/>
        </w:rPr>
        <w:t>13.2</w:t>
      </w:r>
      <w:r w:rsidRPr="0072600F">
        <w:rPr>
          <w:sz w:val="26"/>
          <w:szCs w:val="26"/>
        </w:rPr>
        <w:tab/>
        <w:t>Billing and Payment</w:t>
      </w:r>
      <w:bookmarkEnd w:id="888"/>
    </w:p>
    <w:p w:rsidR="00503D78" w:rsidRPr="0072600F" w14:paraId="4B75F7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Billings and payments shall be sent to the addresses set out below:</w:t>
      </w:r>
    </w:p>
    <w:p w:rsidR="00503D78" w:rsidRPr="0072600F" w14:paraId="07A70A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p>
    <w:p w:rsidR="00503D78" w:rsidRPr="0072600F" w14:paraId="2E566338" w14:textId="77777777">
      <w:pPr>
        <w:ind w:left="720"/>
        <w:rPr>
          <w:rFonts w:ascii="Times New Roman" w:hAnsi="Times New Roman" w:cs="Times New Roman"/>
          <w:sz w:val="26"/>
          <w:szCs w:val="26"/>
        </w:rPr>
      </w:pPr>
      <w:r w:rsidRPr="0072600F">
        <w:rPr>
          <w:rFonts w:ascii="Times New Roman" w:hAnsi="Times New Roman" w:cs="Times New Roman"/>
          <w:sz w:val="26"/>
          <w:szCs w:val="26"/>
        </w:rPr>
        <w:t>Interconnection Customer: ____________________________________________</w:t>
      </w:r>
    </w:p>
    <w:p w:rsidR="00503D78" w:rsidRPr="0072600F" w14:paraId="432921C7"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1C019F3E"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0546E019"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0B0FD901" w14:textId="77777777">
      <w:pPr>
        <w:rPr>
          <w:rFonts w:ascii="Times New Roman" w:hAnsi="Times New Roman" w:cs="Times New Roman"/>
          <w:sz w:val="26"/>
          <w:szCs w:val="26"/>
        </w:rPr>
      </w:pPr>
    </w:p>
    <w:p w:rsidR="00503D78" w:rsidRPr="0072600F" w14:paraId="7A04BE7F"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Transmission Provider: _____________________________________________</w:t>
      </w:r>
    </w:p>
    <w:p w:rsidR="00503D78" w:rsidRPr="0072600F" w14:paraId="230D04C0"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457C01E8"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4161F80C"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6675CB3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E0EB0" w14:paraId="5002A5B2" w14:textId="77777777">
      <w:pPr>
        <w:pStyle w:val="TableParagraph"/>
        <w:rPr>
          <w:sz w:val="26"/>
          <w:szCs w:val="26"/>
        </w:rPr>
      </w:pPr>
      <w:bookmarkStart w:id="889" w:name="_Toc149901459"/>
      <w:r w:rsidRPr="0072600F">
        <w:rPr>
          <w:sz w:val="26"/>
          <w:szCs w:val="26"/>
        </w:rPr>
        <w:t>13.3</w:t>
      </w:r>
      <w:r w:rsidRPr="0072600F">
        <w:rPr>
          <w:sz w:val="26"/>
          <w:szCs w:val="26"/>
        </w:rPr>
        <w:tab/>
        <w:t>Alternative Forms of Notice</w:t>
      </w:r>
      <w:bookmarkEnd w:id="889"/>
    </w:p>
    <w:p w:rsidR="00503D78" w:rsidRPr="0072600F" w14:paraId="109B82E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Any notice or request required or permitted to be given by either Party to the other and not required by this Agreement to be given in writing may be so given by telephone, facsimile or e-mail to the telephone numbers and e-mail addresses set out below:</w:t>
      </w:r>
    </w:p>
    <w:p w:rsidR="00503D78" w:rsidRPr="0072600F" w14:paraId="38F94D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4F2D7D8A" w14:textId="77777777">
      <w:pPr>
        <w:ind w:left="720"/>
        <w:rPr>
          <w:rFonts w:ascii="Times New Roman" w:hAnsi="Times New Roman" w:cs="Times New Roman"/>
          <w:sz w:val="26"/>
          <w:szCs w:val="26"/>
        </w:rPr>
      </w:pPr>
      <w:r w:rsidRPr="0072600F">
        <w:rPr>
          <w:rFonts w:ascii="Times New Roman" w:hAnsi="Times New Roman" w:cs="Times New Roman"/>
          <w:sz w:val="26"/>
          <w:szCs w:val="26"/>
        </w:rPr>
        <w:t xml:space="preserve">If to </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the</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p>
    <w:p w:rsidR="00503D78" w:rsidRPr="0072600F" w14:paraId="1F35F7F1" w14:textId="77777777">
      <w:pPr>
        <w:rPr>
          <w:rFonts w:ascii="Times New Roman" w:hAnsi="Times New Roman" w:cs="Times New Roman"/>
          <w:sz w:val="26"/>
          <w:szCs w:val="26"/>
        </w:rPr>
      </w:pPr>
    </w:p>
    <w:p w:rsidR="00503D78" w:rsidRPr="0072600F" w14:paraId="7475A619"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Interconnection Customer: ____________________________________________</w:t>
      </w:r>
    </w:p>
    <w:p w:rsidR="00503D78" w:rsidRPr="0072600F" w14:paraId="60720D35"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12719B79"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2B66360B"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0B34099C"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66614F54" w14:textId="77777777">
      <w:pPr>
        <w:rPr>
          <w:rFonts w:ascii="Times New Roman" w:hAnsi="Times New Roman" w:cs="Times New Roman"/>
          <w:sz w:val="26"/>
          <w:szCs w:val="26"/>
        </w:rPr>
      </w:pPr>
    </w:p>
    <w:p w:rsidR="00503D78" w:rsidRPr="0072600F" w14:paraId="3E2D496B"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 xml:space="preserve">If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p>
    <w:p w:rsidR="00503D78" w:rsidRPr="0072600F" w14:paraId="6A666A08" w14:textId="77777777">
      <w:pPr>
        <w:rPr>
          <w:rFonts w:ascii="Times New Roman" w:hAnsi="Times New Roman" w:cs="Times New Roman"/>
          <w:sz w:val="26"/>
          <w:szCs w:val="26"/>
        </w:rPr>
      </w:pPr>
    </w:p>
    <w:p w:rsidR="00503D78" w:rsidRPr="0072600F" w14:paraId="75FE9EC7"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Transmission Provider: _____________________________________________</w:t>
      </w:r>
    </w:p>
    <w:p w:rsidR="00503D78" w:rsidRPr="0072600F" w14:paraId="441E2B62"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54732871"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60E348B9"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0A69BA9A"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15284DC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E0EB0" w14:paraId="463DC9F4" w14:textId="77777777">
      <w:pPr>
        <w:pStyle w:val="TableParagraph"/>
        <w:rPr>
          <w:sz w:val="26"/>
          <w:szCs w:val="26"/>
        </w:rPr>
      </w:pPr>
      <w:bookmarkStart w:id="890" w:name="_Toc149901460"/>
      <w:r w:rsidRPr="0072600F">
        <w:rPr>
          <w:sz w:val="26"/>
          <w:szCs w:val="26"/>
        </w:rPr>
        <w:t>13.4</w:t>
      </w:r>
      <w:r w:rsidRPr="0072600F">
        <w:rPr>
          <w:sz w:val="26"/>
          <w:szCs w:val="26"/>
        </w:rPr>
        <w:tab/>
        <w:t>Designated Operating Representative</w:t>
      </w:r>
      <w:bookmarkEnd w:id="890"/>
    </w:p>
    <w:p w:rsidR="00503D78" w:rsidRPr="0072600F" w14:paraId="4B7961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503D78" w:rsidRPr="0072600F" w14:paraId="0AA2CB4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p>
    <w:p w:rsidR="00503D78" w:rsidRPr="0072600F" w14:paraId="225D5DAD"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Interconnection Customer’s Operating Representative:</w:t>
      </w:r>
    </w:p>
    <w:p w:rsidR="00503D78" w:rsidRPr="0072600F" w14:paraId="72DF8B7D" w14:textId="77777777">
      <w:pPr>
        <w:rPr>
          <w:rFonts w:ascii="Times New Roman" w:hAnsi="Times New Roman" w:cs="Times New Roman"/>
          <w:sz w:val="26"/>
          <w:szCs w:val="26"/>
        </w:rPr>
      </w:pPr>
    </w:p>
    <w:p w:rsidR="00503D78" w:rsidRPr="0072600F" w14:paraId="04F72BDB"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Interconnection Customer: ____________________________________________</w:t>
      </w:r>
    </w:p>
    <w:p w:rsidR="00503D78" w:rsidRPr="0072600F" w14:paraId="195A2456"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3230BE6D"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13062482"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6DB33896"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0F8EB686" w14:textId="77777777">
      <w:pPr>
        <w:rPr>
          <w:rFonts w:ascii="Times New Roman" w:hAnsi="Times New Roman" w:cs="Times New Roman"/>
          <w:sz w:val="26"/>
          <w:szCs w:val="26"/>
        </w:rPr>
      </w:pPr>
    </w:p>
    <w:p w:rsidR="00503D78" w:rsidRPr="0072600F" w14:paraId="70FCF909" w14:textId="77777777">
      <w:pPr>
        <w:ind w:firstLine="720"/>
        <w:rPr>
          <w:rFonts w:ascii="Times New Roman" w:hAnsi="Times New Roman" w:cs="Times New Roman"/>
          <w:sz w:val="26"/>
          <w:szCs w:val="26"/>
        </w:rPr>
      </w:pPr>
      <w:r w:rsidRPr="0072600F">
        <w:rPr>
          <w:rFonts w:ascii="Times New Roman" w:hAnsi="Times New Roman" w:cs="Times New Roman"/>
          <w:sz w:val="26"/>
          <w:szCs w:val="26"/>
        </w:rPr>
        <w:t>Transmission Provider’s Operating Representative:</w:t>
      </w:r>
    </w:p>
    <w:p w:rsidR="00503D78" w:rsidRPr="0072600F" w14:paraId="33EABD9D" w14:textId="77777777">
      <w:pPr>
        <w:rPr>
          <w:rFonts w:ascii="Times New Roman" w:hAnsi="Times New Roman" w:cs="Times New Roman"/>
          <w:sz w:val="26"/>
          <w:szCs w:val="26"/>
        </w:rPr>
      </w:pPr>
    </w:p>
    <w:p w:rsidR="00503D78" w:rsidRPr="0072600F" w14:paraId="4F7906E0"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Transmission Provider: _____________________________________________</w:t>
      </w:r>
    </w:p>
    <w:p w:rsidR="00503D78" w:rsidRPr="0072600F" w14:paraId="7109AD38"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Attention: _________________________________</w:t>
      </w:r>
    </w:p>
    <w:p w:rsidR="00503D78" w:rsidRPr="0072600F" w14:paraId="1B472220"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Address: __________________________________________________________</w:t>
      </w:r>
    </w:p>
    <w:p w:rsidR="00503D78" w:rsidRPr="0072600F" w14:paraId="12F4E4F1"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City: _______________________________ State:______________ Zip:_______</w:t>
      </w:r>
    </w:p>
    <w:p w:rsidR="00503D78" w:rsidRPr="0072600F" w14:paraId="57FFB7AF" w14:textId="77777777">
      <w:pPr>
        <w:ind w:left="720" w:firstLine="720"/>
        <w:rPr>
          <w:rFonts w:ascii="Times New Roman" w:hAnsi="Times New Roman" w:cs="Times New Roman"/>
          <w:sz w:val="26"/>
          <w:szCs w:val="26"/>
        </w:rPr>
      </w:pPr>
      <w:r w:rsidRPr="0072600F">
        <w:rPr>
          <w:rFonts w:ascii="Times New Roman" w:hAnsi="Times New Roman" w:cs="Times New Roman"/>
          <w:sz w:val="26"/>
          <w:szCs w:val="26"/>
        </w:rPr>
        <w:t>Phone: ________________       Fax: _________________</w:t>
      </w:r>
    </w:p>
    <w:p w:rsidR="00503D78" w:rsidRPr="0072600F" w14:paraId="08368F0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p>
    <w:p w:rsidR="00503D78" w:rsidRPr="0072600F" w14:paraId="3019492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p>
    <w:p w:rsidR="00503D78" w:rsidRPr="0072600F" w:rsidP="004E0EB0" w14:paraId="5517EF3A" w14:textId="77777777">
      <w:pPr>
        <w:pStyle w:val="TableParagraph"/>
        <w:rPr>
          <w:sz w:val="26"/>
          <w:szCs w:val="26"/>
        </w:rPr>
      </w:pPr>
      <w:bookmarkStart w:id="891" w:name="_Toc149901461"/>
      <w:r w:rsidRPr="0072600F">
        <w:rPr>
          <w:sz w:val="26"/>
          <w:szCs w:val="26"/>
        </w:rPr>
        <w:t>13.5</w:t>
      </w:r>
      <w:r w:rsidRPr="0072600F">
        <w:rPr>
          <w:sz w:val="26"/>
          <w:szCs w:val="26"/>
        </w:rPr>
        <w:tab/>
        <w:t>Changes to the Notice Information</w:t>
      </w:r>
      <w:bookmarkEnd w:id="891"/>
    </w:p>
    <w:p w:rsidR="00503D78" w:rsidRPr="0072600F" w14:paraId="1241554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sz w:val="26"/>
          <w:szCs w:val="26"/>
        </w:rPr>
      </w:pPr>
      <w:r w:rsidRPr="0072600F">
        <w:rPr>
          <w:rFonts w:ascii="Times New Roman" w:hAnsi="Times New Roman" w:cs="Times New Roman"/>
          <w:sz w:val="26"/>
          <w:szCs w:val="26"/>
        </w:rPr>
        <w:t>Either Party may change this information by giving five</w:t>
      </w:r>
      <w:r w:rsidRPr="0072600F" w:rsidR="0056592A">
        <w:rPr>
          <w:rFonts w:ascii="Times New Roman" w:hAnsi="Times New Roman" w:cs="Times New Roman"/>
          <w:sz w:val="26"/>
          <w:szCs w:val="26"/>
        </w:rPr>
        <w:t xml:space="preserve"> </w:t>
      </w:r>
      <w:r w:rsidRPr="0072600F" w:rsidR="0056592A">
        <w:rPr>
          <w:rFonts w:ascii="Times New Roman" w:hAnsi="Times New Roman" w:cs="Times New Roman"/>
          <w:i/>
          <w:iCs/>
          <w:sz w:val="26"/>
          <w:szCs w:val="26"/>
        </w:rPr>
        <w:t>(5)</w:t>
      </w:r>
      <w:r w:rsidRPr="0072600F">
        <w:rPr>
          <w:rFonts w:ascii="Times New Roman" w:hAnsi="Times New Roman" w:cs="Times New Roman"/>
          <w:sz w:val="26"/>
          <w:szCs w:val="26"/>
        </w:rPr>
        <w:t xml:space="preserve"> Business Days written notice prior to the effective date of the change.</w:t>
      </w:r>
    </w:p>
    <w:p w:rsidR="00503D78" w:rsidRPr="0072600F" w14:paraId="6F71F43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bookmarkStart w:id="892" w:name="Generated_Bookmark44"/>
      <w:bookmarkStart w:id="893" w:name="Generated_Bookmark52"/>
      <w:bookmarkStart w:id="894" w:name="Generated_Bookmark53"/>
      <w:bookmarkStart w:id="895" w:name="Generated_Bookmark54"/>
      <w:bookmarkStart w:id="896" w:name="Generated_Bookmark59"/>
      <w:bookmarkStart w:id="897" w:name="Generated_Bookmark60"/>
      <w:bookmarkStart w:id="898" w:name="Generated_Bookmark61"/>
      <w:bookmarkStart w:id="899" w:name="Generated_Bookmark62"/>
      <w:bookmarkStart w:id="900" w:name="Generated_Bookmark63"/>
      <w:bookmarkStart w:id="901" w:name="Generated_Bookmark64"/>
      <w:bookmarkStart w:id="902" w:name="Generated_Bookmark65"/>
      <w:bookmarkStart w:id="903" w:name="Generated_Bookmark66"/>
      <w:bookmarkStart w:id="904" w:name="Generated_Bookmark67"/>
      <w:bookmarkStart w:id="905" w:name="Generated_Bookmark68"/>
      <w:bookmarkStart w:id="906" w:name="Generated_Bookmark69"/>
      <w:bookmarkStart w:id="907" w:name="Generated_Bookmark70"/>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503D78" w:rsidRPr="0072600F" w14:paraId="01B1BC6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rsidP="004E0EB0" w14:paraId="1A9511FC" w14:textId="77777777">
      <w:pPr>
        <w:pStyle w:val="Heading2"/>
        <w:rPr>
          <w:b/>
          <w:bCs/>
          <w:sz w:val="26"/>
          <w:szCs w:val="26"/>
        </w:rPr>
      </w:pPr>
      <w:bookmarkStart w:id="908" w:name="Generated_Bookmark76"/>
      <w:bookmarkStart w:id="909" w:name="_Toc149901462"/>
      <w:bookmarkEnd w:id="908"/>
      <w:r w:rsidRPr="0072600F">
        <w:rPr>
          <w:b/>
          <w:bCs/>
          <w:sz w:val="26"/>
          <w:szCs w:val="26"/>
        </w:rPr>
        <w:t>Article 14.  Signatures</w:t>
      </w:r>
      <w:bookmarkEnd w:id="909"/>
    </w:p>
    <w:p w:rsidR="00503D78" w:rsidRPr="0072600F" w14:paraId="63DFB9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18D1DE4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IN WITNESS WHEREOF, the Parties have caused this Agreement to be executed by their respective duly authorized representatives.</w:t>
      </w:r>
    </w:p>
    <w:p w:rsidR="00503D78" w:rsidRPr="0072600F" w14:paraId="46484A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E6FC58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u w:val="single"/>
        </w:rPr>
        <w:t xml:space="preserve">For </w:t>
      </w:r>
      <w:r w:rsidRPr="0072600F" w:rsidR="00C465B5">
        <w:rPr>
          <w:rFonts w:ascii="Times New Roman" w:hAnsi="Times New Roman" w:cs="Times New Roman"/>
          <w:sz w:val="26"/>
          <w:szCs w:val="26"/>
          <w:u w:val="single"/>
        </w:rPr>
        <w:t>[</w:t>
      </w:r>
      <w:r w:rsidRPr="0072600F">
        <w:rPr>
          <w:rFonts w:ascii="Times New Roman" w:hAnsi="Times New Roman" w:cs="Times New Roman"/>
          <w:sz w:val="26"/>
          <w:szCs w:val="26"/>
          <w:u w:val="single"/>
        </w:rPr>
        <w:t>the</w:t>
      </w:r>
      <w:r w:rsidRPr="0072600F" w:rsidR="00C465B5">
        <w:rPr>
          <w:rFonts w:ascii="Times New Roman" w:hAnsi="Times New Roman" w:cs="Times New Roman"/>
          <w:sz w:val="26"/>
          <w:szCs w:val="26"/>
          <w:u w:val="single"/>
        </w:rPr>
        <w:t>]</w:t>
      </w:r>
      <w:r w:rsidRPr="0072600F">
        <w:rPr>
          <w:rFonts w:ascii="Times New Roman" w:hAnsi="Times New Roman" w:cs="Times New Roman"/>
          <w:sz w:val="26"/>
          <w:szCs w:val="26"/>
          <w:u w:val="single"/>
        </w:rPr>
        <w:t xml:space="preserve"> Transmission Provider</w:t>
      </w:r>
    </w:p>
    <w:p w:rsidR="00503D78" w:rsidRPr="0072600F" w14:paraId="00F9E54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DDD735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39F94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r w:rsidRPr="0072600F">
        <w:rPr>
          <w:rFonts w:ascii="Times New Roman" w:hAnsi="Times New Roman" w:cs="Times New Roman"/>
          <w:sz w:val="26"/>
          <w:szCs w:val="26"/>
        </w:rPr>
        <w:t>Name:</w:t>
      </w:r>
      <w:r w:rsidRPr="0072600F">
        <w:rPr>
          <w:rFonts w:ascii="Times New Roman" w:hAnsi="Times New Roman" w:cs="Times New Roman"/>
          <w:sz w:val="26"/>
          <w:szCs w:val="26"/>
        </w:rPr>
        <w:tab/>
        <w:t>___________________________________________</w:t>
      </w:r>
    </w:p>
    <w:p w:rsidR="00503D78" w:rsidRPr="0072600F" w14:paraId="1C1D200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2463A08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___________________________________________</w:t>
      </w:r>
    </w:p>
    <w:p w:rsidR="00503D78" w:rsidRPr="0072600F" w14:paraId="1D1218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A3AF51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t>___________________</w:t>
      </w:r>
    </w:p>
    <w:p w:rsidR="00503D78" w:rsidRPr="0072600F" w14:paraId="22DA1F0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24E54EA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C0606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u w:val="single"/>
        </w:rPr>
        <w:t xml:space="preserve">For </w:t>
      </w:r>
      <w:r w:rsidRPr="0072600F" w:rsidR="008B7CE6">
        <w:rPr>
          <w:rFonts w:ascii="Times New Roman" w:hAnsi="Times New Roman" w:cs="Times New Roman"/>
          <w:sz w:val="26"/>
          <w:szCs w:val="26"/>
          <w:u w:val="single"/>
        </w:rPr>
        <w:t>[</w:t>
      </w:r>
      <w:r w:rsidRPr="0072600F">
        <w:rPr>
          <w:rFonts w:ascii="Times New Roman" w:hAnsi="Times New Roman" w:cs="Times New Roman"/>
          <w:sz w:val="26"/>
          <w:szCs w:val="26"/>
          <w:u w:val="single"/>
        </w:rPr>
        <w:t>the</w:t>
      </w:r>
      <w:r w:rsidRPr="0072600F" w:rsidR="008B7CE6">
        <w:rPr>
          <w:rFonts w:ascii="Times New Roman" w:hAnsi="Times New Roman" w:cs="Times New Roman"/>
          <w:sz w:val="26"/>
          <w:szCs w:val="26"/>
          <w:u w:val="single"/>
        </w:rPr>
        <w:t>]</w:t>
      </w:r>
      <w:r w:rsidRPr="0072600F">
        <w:rPr>
          <w:rFonts w:ascii="Times New Roman" w:hAnsi="Times New Roman" w:cs="Times New Roman"/>
          <w:sz w:val="26"/>
          <w:szCs w:val="26"/>
          <w:u w:val="single"/>
        </w:rPr>
        <w:t xml:space="preserve"> Interconnection Customer</w:t>
      </w:r>
    </w:p>
    <w:p w:rsidR="00503D78" w:rsidRPr="0072600F" w14:paraId="5E20F87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31E94F4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E93A41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r w:rsidRPr="0072600F">
        <w:rPr>
          <w:rFonts w:ascii="Times New Roman" w:hAnsi="Times New Roman" w:cs="Times New Roman"/>
          <w:sz w:val="26"/>
          <w:szCs w:val="26"/>
        </w:rPr>
        <w:t>Name:</w:t>
      </w:r>
      <w:r w:rsidRPr="0072600F">
        <w:rPr>
          <w:rFonts w:ascii="Times New Roman" w:hAnsi="Times New Roman" w:cs="Times New Roman"/>
          <w:sz w:val="26"/>
          <w:szCs w:val="26"/>
        </w:rPr>
        <w:tab/>
        <w:t>___________________________________________</w:t>
      </w:r>
    </w:p>
    <w:p w:rsidR="00503D78" w:rsidRPr="0072600F" w14:paraId="610B213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306BF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sz w:val="26"/>
          <w:szCs w:val="26"/>
        </w:rPr>
      </w:pPr>
      <w:r w:rsidRPr="0072600F">
        <w:rPr>
          <w:rFonts w:ascii="Times New Roman" w:hAnsi="Times New Roman" w:cs="Times New Roman"/>
          <w:sz w:val="26"/>
          <w:szCs w:val="26"/>
        </w:rPr>
        <w:t>Title:</w:t>
      </w:r>
      <w:r w:rsidRPr="0072600F">
        <w:rPr>
          <w:rFonts w:ascii="Times New Roman" w:hAnsi="Times New Roman" w:cs="Times New Roman"/>
          <w:sz w:val="26"/>
          <w:szCs w:val="26"/>
        </w:rPr>
        <w:tab/>
        <w:t>___________________________________________</w:t>
      </w:r>
    </w:p>
    <w:p w:rsidR="00503D78" w:rsidRPr="0072600F" w14:paraId="34F087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A809C9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r w:rsidRPr="0072600F">
        <w:rPr>
          <w:rFonts w:ascii="Times New Roman" w:hAnsi="Times New Roman" w:cs="Times New Roman"/>
          <w:sz w:val="26"/>
          <w:szCs w:val="26"/>
        </w:rPr>
        <w:t>Date:</w:t>
      </w:r>
      <w:r w:rsidRPr="0072600F">
        <w:rPr>
          <w:rFonts w:ascii="Times New Roman" w:hAnsi="Times New Roman" w:cs="Times New Roman"/>
          <w:sz w:val="26"/>
          <w:szCs w:val="26"/>
        </w:rPr>
        <w:tab/>
        <w:t>___________________</w:t>
      </w:r>
    </w:p>
    <w:p w:rsidR="00503D78" w:rsidRPr="0072600F" w14:paraId="0303C8D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pPr>
    </w:p>
    <w:p w:rsidR="00503D78" w:rsidRPr="0072600F" w14:paraId="433B8E6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sectPr>
          <w:footerReference w:type="default" r:id="rId70"/>
          <w:footnotePr>
            <w:numFmt w:val="lowerLetter"/>
          </w:footnotePr>
          <w:endnotePr>
            <w:numFmt w:val="lowerLetter"/>
          </w:endnotePr>
          <w:pgSz w:w="12240" w:h="15840" w:code="1"/>
          <w:pgMar w:top="1440" w:right="1440" w:bottom="1440" w:left="1440" w:header="1440" w:footer="1440" w:gutter="0"/>
          <w:pgNumType w:fmt="numberInDash" w:start="1"/>
          <w:cols w:space="720"/>
        </w:sectPr>
      </w:pPr>
    </w:p>
    <w:p w:rsidR="00503D78" w:rsidRPr="0072600F" w14:paraId="5ED20F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rFonts w:ascii="Times New Roman" w:hAnsi="Times New Roman" w:cs="Times New Roman"/>
          <w:b/>
          <w:sz w:val="26"/>
          <w:szCs w:val="26"/>
        </w:rPr>
      </w:pPr>
      <w:bookmarkStart w:id="910" w:name="Attachment1"/>
      <w:r w:rsidRPr="0072600F">
        <w:rPr>
          <w:rFonts w:ascii="Times New Roman" w:hAnsi="Times New Roman" w:cs="Times New Roman"/>
          <w:b/>
          <w:sz w:val="26"/>
          <w:szCs w:val="26"/>
        </w:rPr>
        <w:t>Attachment 1</w:t>
      </w:r>
      <w:bookmarkEnd w:id="910"/>
    </w:p>
    <w:p w:rsidR="00503D78" w:rsidRPr="0072600F" w14:paraId="3BAE960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Times New Roman" w:hAnsi="Times New Roman" w:cs="Times New Roman"/>
          <w:sz w:val="26"/>
          <w:szCs w:val="26"/>
        </w:rPr>
      </w:pPr>
    </w:p>
    <w:p w:rsidR="00503D78" w:rsidRPr="0072600F" w14:paraId="33BDDAF7" w14:textId="77777777">
      <w:pPr>
        <w:jc w:val="center"/>
        <w:rPr>
          <w:rFonts w:ascii="Times New Roman" w:hAnsi="Times New Roman" w:cs="Times New Roman"/>
          <w:sz w:val="26"/>
          <w:szCs w:val="26"/>
        </w:rPr>
      </w:pPr>
      <w:r w:rsidRPr="0072600F">
        <w:rPr>
          <w:rFonts w:ascii="Times New Roman" w:hAnsi="Times New Roman" w:cs="Times New Roman"/>
          <w:b/>
          <w:sz w:val="26"/>
          <w:szCs w:val="26"/>
        </w:rPr>
        <w:t>Glossary of Terms</w:t>
      </w:r>
    </w:p>
    <w:p w:rsidR="00503D78" w:rsidRPr="0072600F" w14:paraId="15860276" w14:textId="77777777">
      <w:pPr>
        <w:rPr>
          <w:rFonts w:ascii="Times New Roman" w:hAnsi="Times New Roman" w:cs="Times New Roman"/>
          <w:sz w:val="26"/>
          <w:szCs w:val="26"/>
        </w:rPr>
      </w:pPr>
    </w:p>
    <w:p w:rsidR="00503D78" w:rsidRPr="0072600F" w14:paraId="51191C58" w14:textId="77777777">
      <w:pPr>
        <w:rPr>
          <w:rFonts w:ascii="Times New Roman" w:hAnsi="Times New Roman" w:cs="Times New Roman"/>
          <w:sz w:val="26"/>
          <w:szCs w:val="26"/>
        </w:rPr>
      </w:pPr>
      <w:r w:rsidRPr="0072600F">
        <w:rPr>
          <w:rFonts w:ascii="Times New Roman" w:hAnsi="Times New Roman" w:cs="Times New Roman"/>
          <w:b/>
          <w:sz w:val="26"/>
          <w:szCs w:val="26"/>
        </w:rPr>
        <w:t xml:space="preserve">Affected System – </w:t>
      </w:r>
      <w:r w:rsidRPr="0072600F">
        <w:rPr>
          <w:rFonts w:ascii="Times New Roman" w:hAnsi="Times New Roman" w:cs="Times New Roman"/>
          <w:sz w:val="26"/>
          <w:szCs w:val="26"/>
        </w:rPr>
        <w:t xml:space="preserve">An electric system other than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that may be affected by the proposed interconnection.</w:t>
      </w:r>
    </w:p>
    <w:p w:rsidR="00921773" w:rsidRPr="0072600F" w14:paraId="4B612DA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Applicable Laws and Regulations</w:t>
      </w:r>
      <w:r w:rsidRPr="0072600F">
        <w:rPr>
          <w:rFonts w:ascii="Times New Roman" w:hAnsi="Times New Roman" w:cs="Times New Roman"/>
          <w:sz w:val="26"/>
          <w:szCs w:val="26"/>
        </w:rPr>
        <w:t xml:space="preserve"> – All duly promulgated applicable federal, state and local laws, regulations, rules, ordinances, codes, decrees, judgments, directives, or judicial or administrative orders, permits and other duly authorized actions of any Governmental Authority.</w:t>
      </w:r>
    </w:p>
    <w:p w:rsidR="00170AEF" w:rsidRPr="0072600F" w14:paraId="6A20C5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i/>
          <w:sz w:val="26"/>
          <w:szCs w:val="26"/>
        </w:rPr>
      </w:pPr>
      <w:r w:rsidRPr="0072600F">
        <w:rPr>
          <w:rFonts w:ascii="Times New Roman" w:hAnsi="Times New Roman" w:cs="Times New Roman"/>
          <w:b/>
          <w:bCs/>
          <w:i/>
          <w:iCs/>
          <w:sz w:val="26"/>
          <w:szCs w:val="26"/>
        </w:rPr>
        <w:t>App</w:t>
      </w:r>
      <w:r w:rsidRPr="0072600F" w:rsidR="002F0ABC">
        <w:rPr>
          <w:rFonts w:ascii="Times New Roman" w:hAnsi="Times New Roman" w:cs="Times New Roman"/>
          <w:b/>
          <w:bCs/>
          <w:i/>
          <w:iCs/>
          <w:sz w:val="26"/>
          <w:szCs w:val="26"/>
        </w:rPr>
        <w:t>licable Reliability Standards</w:t>
      </w:r>
      <w:r w:rsidRPr="0072600F" w:rsidR="002F0ABC">
        <w:rPr>
          <w:rFonts w:ascii="Times New Roman" w:hAnsi="Times New Roman" w:cs="Times New Roman"/>
          <w:i/>
          <w:iCs/>
          <w:sz w:val="26"/>
          <w:szCs w:val="26"/>
        </w:rPr>
        <w:t xml:space="preserve"> - </w:t>
      </w:r>
      <w:r w:rsidRPr="0072600F" w:rsidR="008314CB">
        <w:rPr>
          <w:rFonts w:ascii="Times New Roman" w:hAnsi="Times New Roman" w:cs="Times New Roman"/>
          <w:i/>
          <w:iCs/>
          <w:sz w:val="26"/>
          <w:szCs w:val="26"/>
        </w:rPr>
        <w:t>T</w:t>
      </w:r>
      <w:r w:rsidRPr="0072600F" w:rsidR="009D2A27">
        <w:rPr>
          <w:rFonts w:ascii="Times New Roman" w:hAnsi="Times New Roman" w:cs="Times New Roman"/>
          <w:i/>
          <w:sz w:val="26"/>
          <w:szCs w:val="26"/>
        </w:rPr>
        <w:t>he requirements and guidelines of the Electric Reliability Organization and the Balancing Authority Area of the Transmission System to which the Generating Facility is directly interconnected.</w:t>
      </w:r>
    </w:p>
    <w:p w:rsidR="00503D78" w:rsidRPr="0072600F" w14:paraId="06578953" w14:textId="77777777">
      <w:pPr>
        <w:rPr>
          <w:rFonts w:ascii="Times New Roman" w:hAnsi="Times New Roman" w:cs="Times New Roman"/>
          <w:bCs/>
          <w:snapToGrid w:val="0"/>
          <w:color w:val="000000"/>
          <w:sz w:val="26"/>
          <w:szCs w:val="26"/>
        </w:rPr>
      </w:pPr>
      <w:r w:rsidRPr="0072600F">
        <w:rPr>
          <w:rFonts w:ascii="Times New Roman" w:hAnsi="Times New Roman" w:cs="Times New Roman"/>
          <w:b/>
          <w:snapToGrid w:val="0"/>
          <w:color w:val="000000"/>
          <w:sz w:val="26"/>
          <w:szCs w:val="26"/>
        </w:rPr>
        <w:t>Balancing Authority</w:t>
      </w:r>
      <w:r w:rsidRPr="0072600F">
        <w:rPr>
          <w:rFonts w:ascii="Times New Roman" w:hAnsi="Times New Roman" w:cs="Times New Roman"/>
          <w:bCs/>
          <w:snapToGrid w:val="0"/>
          <w:color w:val="000000"/>
          <w:sz w:val="26"/>
          <w:szCs w:val="26"/>
        </w:rPr>
        <w:t xml:space="preserve"> </w:t>
      </w:r>
      <w:r w:rsidRPr="0072600F" w:rsidR="006662B3">
        <w:rPr>
          <w:rFonts w:ascii="Times New Roman" w:hAnsi="Times New Roman" w:cs="Times New Roman"/>
          <w:bCs/>
          <w:snapToGrid w:val="0"/>
          <w:color w:val="000000"/>
          <w:sz w:val="26"/>
          <w:szCs w:val="26"/>
        </w:rPr>
        <w:t>[</w:t>
      </w:r>
      <w:r w:rsidRPr="0072600F">
        <w:rPr>
          <w:rFonts w:ascii="Times New Roman" w:hAnsi="Times New Roman" w:cs="Times New Roman"/>
          <w:bCs/>
          <w:snapToGrid w:val="0"/>
          <w:color w:val="000000"/>
          <w:sz w:val="26"/>
          <w:szCs w:val="26"/>
        </w:rPr>
        <w:t>shall mean</w:t>
      </w:r>
      <w:r w:rsidRPr="0072600F" w:rsidR="006662B3">
        <w:rPr>
          <w:rFonts w:ascii="Times New Roman" w:hAnsi="Times New Roman" w:cs="Times New Roman"/>
          <w:bCs/>
          <w:snapToGrid w:val="0"/>
          <w:color w:val="000000"/>
          <w:sz w:val="26"/>
          <w:szCs w:val="26"/>
        </w:rPr>
        <w:t xml:space="preserve">] </w:t>
      </w:r>
      <w:r w:rsidRPr="0072600F" w:rsidR="006662B3">
        <w:rPr>
          <w:rFonts w:ascii="Times New Roman" w:hAnsi="Times New Roman" w:cs="Times New Roman"/>
          <w:bCs/>
          <w:i/>
          <w:iCs/>
          <w:snapToGrid w:val="0"/>
          <w:color w:val="000000"/>
          <w:sz w:val="26"/>
          <w:szCs w:val="26"/>
        </w:rPr>
        <w:t xml:space="preserve">– </w:t>
      </w:r>
      <w:r w:rsidRPr="0072600F" w:rsidR="003C02B8">
        <w:rPr>
          <w:rFonts w:ascii="Times New Roman" w:hAnsi="Times New Roman" w:cs="Times New Roman"/>
          <w:snapToGrid w:val="0"/>
          <w:color w:val="000000"/>
          <w:sz w:val="26"/>
          <w:szCs w:val="26"/>
        </w:rPr>
        <w:t>[</w:t>
      </w:r>
      <w:r w:rsidRPr="0072600F">
        <w:rPr>
          <w:rFonts w:ascii="Times New Roman" w:hAnsi="Times New Roman" w:cs="Times New Roman"/>
          <w:bCs/>
          <w:snapToGrid w:val="0"/>
          <w:color w:val="000000"/>
          <w:sz w:val="26"/>
          <w:szCs w:val="26"/>
        </w:rPr>
        <w:t>a</w:t>
      </w:r>
      <w:r w:rsidRPr="0072600F" w:rsidR="003C02B8">
        <w:rPr>
          <w:rFonts w:ascii="Times New Roman" w:hAnsi="Times New Roman" w:cs="Times New Roman"/>
          <w:bCs/>
          <w:snapToGrid w:val="0"/>
          <w:color w:val="000000"/>
          <w:sz w:val="26"/>
          <w:szCs w:val="26"/>
        </w:rPr>
        <w:t>]</w:t>
      </w:r>
      <w:r w:rsidRPr="0072600F" w:rsidR="003C02B8">
        <w:rPr>
          <w:rFonts w:ascii="Times New Roman" w:hAnsi="Times New Roman" w:cs="Times New Roman"/>
          <w:bCs/>
          <w:i/>
          <w:iCs/>
          <w:snapToGrid w:val="0"/>
          <w:color w:val="000000"/>
          <w:sz w:val="26"/>
          <w:szCs w:val="26"/>
        </w:rPr>
        <w:t>A</w:t>
      </w:r>
      <w:r w:rsidRPr="0072600F">
        <w:rPr>
          <w:rFonts w:ascii="Times New Roman" w:hAnsi="Times New Roman" w:cs="Times New Roman"/>
          <w:bCs/>
          <w:snapToGrid w:val="0"/>
          <w:color w:val="000000"/>
          <w:sz w:val="26"/>
          <w:szCs w:val="26"/>
        </w:rPr>
        <w:t>n entity that integrates resource plans ahead of time, maintains demand and resource balance within a Balancing Authority Area, and supports interconnection frequency in real time.</w:t>
      </w:r>
    </w:p>
    <w:p w:rsidR="00503D78" w:rsidRPr="0072600F" w14:paraId="673BDA8A" w14:textId="77777777">
      <w:pPr>
        <w:rPr>
          <w:rFonts w:ascii="Times New Roman" w:hAnsi="Times New Roman" w:cs="Times New Roman"/>
          <w:bCs/>
          <w:snapToGrid w:val="0"/>
          <w:color w:val="000000"/>
          <w:sz w:val="26"/>
          <w:szCs w:val="26"/>
        </w:rPr>
      </w:pPr>
      <w:r w:rsidRPr="0072600F">
        <w:rPr>
          <w:rFonts w:ascii="Times New Roman" w:hAnsi="Times New Roman" w:cs="Times New Roman"/>
          <w:b/>
          <w:snapToGrid w:val="0"/>
          <w:color w:val="000000"/>
          <w:sz w:val="26"/>
          <w:szCs w:val="26"/>
        </w:rPr>
        <w:t>Balancing Authority Area</w:t>
      </w:r>
      <w:r w:rsidRPr="0072600F">
        <w:rPr>
          <w:rFonts w:ascii="Times New Roman" w:hAnsi="Times New Roman" w:cs="Times New Roman"/>
          <w:bCs/>
          <w:snapToGrid w:val="0"/>
          <w:color w:val="000000"/>
          <w:sz w:val="26"/>
          <w:szCs w:val="26"/>
        </w:rPr>
        <w:t xml:space="preserve"> </w:t>
      </w:r>
      <w:r w:rsidRPr="0072600F" w:rsidR="006662B3">
        <w:rPr>
          <w:rFonts w:ascii="Times New Roman" w:hAnsi="Times New Roman" w:cs="Times New Roman"/>
          <w:bCs/>
          <w:snapToGrid w:val="0"/>
          <w:color w:val="000000"/>
          <w:sz w:val="26"/>
          <w:szCs w:val="26"/>
        </w:rPr>
        <w:t>[</w:t>
      </w:r>
      <w:r w:rsidRPr="0072600F">
        <w:rPr>
          <w:rFonts w:ascii="Times New Roman" w:hAnsi="Times New Roman" w:cs="Times New Roman"/>
          <w:bCs/>
          <w:snapToGrid w:val="0"/>
          <w:color w:val="000000"/>
          <w:sz w:val="26"/>
          <w:szCs w:val="26"/>
        </w:rPr>
        <w:t>shall mean</w:t>
      </w:r>
      <w:r w:rsidRPr="0072600F" w:rsidR="006662B3">
        <w:rPr>
          <w:rFonts w:ascii="Times New Roman" w:hAnsi="Times New Roman" w:cs="Times New Roman"/>
          <w:bCs/>
          <w:snapToGrid w:val="0"/>
          <w:color w:val="000000"/>
          <w:sz w:val="26"/>
          <w:szCs w:val="26"/>
        </w:rPr>
        <w:t>]</w:t>
      </w:r>
      <w:r w:rsidRPr="0072600F">
        <w:rPr>
          <w:rFonts w:ascii="Times New Roman" w:hAnsi="Times New Roman" w:cs="Times New Roman"/>
          <w:bCs/>
          <w:snapToGrid w:val="0"/>
          <w:color w:val="000000"/>
          <w:sz w:val="26"/>
          <w:szCs w:val="26"/>
        </w:rPr>
        <w:t xml:space="preserve"> </w:t>
      </w:r>
      <w:r w:rsidRPr="0072600F" w:rsidR="006662B3">
        <w:rPr>
          <w:rFonts w:ascii="Times New Roman" w:hAnsi="Times New Roman" w:cs="Times New Roman"/>
          <w:bCs/>
          <w:i/>
          <w:iCs/>
          <w:snapToGrid w:val="0"/>
          <w:color w:val="000000"/>
          <w:sz w:val="26"/>
          <w:szCs w:val="26"/>
        </w:rPr>
        <w:t xml:space="preserve">– </w:t>
      </w:r>
      <w:r w:rsidRPr="0072600F" w:rsidR="003C02B8">
        <w:rPr>
          <w:rFonts w:ascii="Times New Roman" w:hAnsi="Times New Roman" w:cs="Times New Roman"/>
          <w:bCs/>
          <w:snapToGrid w:val="0"/>
          <w:color w:val="000000"/>
          <w:sz w:val="26"/>
          <w:szCs w:val="26"/>
        </w:rPr>
        <w:t>[</w:t>
      </w:r>
      <w:r w:rsidRPr="0072600F">
        <w:rPr>
          <w:rFonts w:ascii="Times New Roman" w:hAnsi="Times New Roman" w:cs="Times New Roman"/>
          <w:bCs/>
          <w:snapToGrid w:val="0"/>
          <w:color w:val="000000"/>
          <w:sz w:val="26"/>
          <w:szCs w:val="26"/>
        </w:rPr>
        <w:t>t</w:t>
      </w:r>
      <w:r w:rsidRPr="0072600F" w:rsidR="0013371E">
        <w:rPr>
          <w:rFonts w:ascii="Times New Roman" w:hAnsi="Times New Roman" w:cs="Times New Roman"/>
          <w:bCs/>
          <w:snapToGrid w:val="0"/>
          <w:color w:val="000000"/>
          <w:sz w:val="26"/>
          <w:szCs w:val="26"/>
        </w:rPr>
        <w:t>]</w:t>
      </w:r>
      <w:r w:rsidRPr="0072600F" w:rsidR="0013371E">
        <w:rPr>
          <w:rFonts w:ascii="Times New Roman" w:hAnsi="Times New Roman" w:cs="Times New Roman"/>
          <w:bCs/>
          <w:i/>
          <w:iCs/>
          <w:snapToGrid w:val="0"/>
          <w:color w:val="000000"/>
          <w:sz w:val="26"/>
          <w:szCs w:val="26"/>
        </w:rPr>
        <w:t>T</w:t>
      </w:r>
      <w:r w:rsidRPr="0072600F">
        <w:rPr>
          <w:rFonts w:ascii="Times New Roman" w:hAnsi="Times New Roman" w:cs="Times New Roman"/>
          <w:bCs/>
          <w:snapToGrid w:val="0"/>
          <w:color w:val="000000"/>
          <w:sz w:val="26"/>
          <w:szCs w:val="26"/>
        </w:rPr>
        <w:t>he collection of generation, transmission, and loads within the metered boundaries of the Balancing Authority.  The Balancing Authority maintains load-resource balance within this area.</w:t>
      </w:r>
    </w:p>
    <w:p w:rsidR="00503D78" w:rsidRPr="0072600F" w14:paraId="7E3BD278" w14:textId="77777777">
      <w:pPr>
        <w:rPr>
          <w:rFonts w:ascii="Times New Roman" w:hAnsi="Times New Roman" w:cs="Times New Roman"/>
          <w:snapToGrid w:val="0"/>
          <w:color w:val="000000"/>
          <w:sz w:val="26"/>
          <w:szCs w:val="26"/>
        </w:rPr>
      </w:pPr>
      <w:r w:rsidRPr="0072600F">
        <w:rPr>
          <w:rFonts w:ascii="Times New Roman" w:hAnsi="Times New Roman" w:cs="Times New Roman"/>
          <w:b/>
          <w:snapToGrid w:val="0"/>
          <w:color w:val="000000"/>
          <w:sz w:val="26"/>
          <w:szCs w:val="26"/>
        </w:rPr>
        <w:t xml:space="preserve">Business Day – </w:t>
      </w:r>
      <w:r w:rsidRPr="0072600F">
        <w:rPr>
          <w:rFonts w:ascii="Times New Roman" w:hAnsi="Times New Roman" w:cs="Times New Roman"/>
          <w:snapToGrid w:val="0"/>
          <w:color w:val="000000"/>
          <w:sz w:val="26"/>
          <w:szCs w:val="26"/>
        </w:rPr>
        <w:t>Monday through Friday, excluding Federal Holidays.</w:t>
      </w:r>
    </w:p>
    <w:p w:rsidR="00503D78" w:rsidRPr="0072600F" w14:paraId="58064CD7" w14:textId="77777777">
      <w:pPr>
        <w:rPr>
          <w:rFonts w:ascii="Times New Roman" w:hAnsi="Times New Roman" w:cs="Times New Roman"/>
          <w:sz w:val="26"/>
          <w:szCs w:val="26"/>
        </w:rPr>
      </w:pPr>
      <w:r w:rsidRPr="0072600F">
        <w:rPr>
          <w:rFonts w:ascii="Times New Roman" w:hAnsi="Times New Roman" w:cs="Times New Roman"/>
          <w:b/>
          <w:sz w:val="26"/>
          <w:szCs w:val="26"/>
        </w:rPr>
        <w:t>Default</w:t>
      </w:r>
      <w:r w:rsidRPr="0072600F">
        <w:rPr>
          <w:rFonts w:ascii="Times New Roman" w:hAnsi="Times New Roman" w:cs="Times New Roman"/>
          <w:sz w:val="26"/>
          <w:szCs w:val="26"/>
        </w:rPr>
        <w:t xml:space="preserve"> – The failure of a breaching Party to cure its breach under the Small Generator Interconnection Agreement.</w:t>
      </w:r>
    </w:p>
    <w:p w:rsidR="00503D78" w:rsidRPr="0072600F" w14:paraId="04BEA8B4" w14:textId="77777777">
      <w:pPr>
        <w:rPr>
          <w:rFonts w:ascii="Times New Roman" w:hAnsi="Times New Roman" w:cs="Times New Roman"/>
          <w:sz w:val="26"/>
          <w:szCs w:val="26"/>
        </w:rPr>
      </w:pPr>
      <w:r w:rsidRPr="0072600F">
        <w:rPr>
          <w:rFonts w:ascii="Times New Roman" w:hAnsi="Times New Roman" w:cs="Times New Roman"/>
          <w:b/>
          <w:sz w:val="26"/>
          <w:szCs w:val="26"/>
        </w:rPr>
        <w:t>Distribution System</w:t>
      </w:r>
      <w:r w:rsidRPr="0072600F">
        <w:rPr>
          <w:rFonts w:ascii="Times New Roman" w:hAnsi="Times New Roman" w:cs="Times New Roman"/>
          <w:sz w:val="26"/>
          <w:szCs w:val="26"/>
        </w:rPr>
        <w:t xml:space="preserve"> –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facilities and equipment used to transmit electricity to ultimate usage points such as homes and industries directly from nearby generators or from interchanges with higher voltage transmission networks which transport bulk power over longer distances.  The voltage levels at which Distribution Systems operate differ among areas.</w:t>
      </w:r>
    </w:p>
    <w:p w:rsidR="00503D78" w:rsidRPr="0072600F" w14:paraId="215AB7A4" w14:textId="77777777">
      <w:pPr>
        <w:rPr>
          <w:rFonts w:ascii="Times New Roman" w:hAnsi="Times New Roman" w:cs="Times New Roman"/>
          <w:sz w:val="26"/>
          <w:szCs w:val="26"/>
        </w:rPr>
      </w:pPr>
      <w:r w:rsidRPr="0072600F">
        <w:rPr>
          <w:rFonts w:ascii="Times New Roman" w:hAnsi="Times New Roman" w:cs="Times New Roman"/>
          <w:b/>
          <w:sz w:val="26"/>
          <w:szCs w:val="26"/>
        </w:rPr>
        <w:t>Distribution Upgrades</w:t>
      </w:r>
      <w:r w:rsidRPr="0072600F">
        <w:rPr>
          <w:rFonts w:ascii="Times New Roman" w:hAnsi="Times New Roman" w:cs="Times New Roman"/>
          <w:sz w:val="26"/>
          <w:szCs w:val="26"/>
        </w:rPr>
        <w:t xml:space="preserve"> – The additions, modifications, and upgrades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Distribution System at or beyond the Point of Interconnection to facilitate interconnection of the Small Generating Facility and render the transmission service necessary to effect </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the</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s wholesale sale of electricity in interstate commerce.  Distribution Upgrades do not include Interconnection Facilities.</w:t>
      </w:r>
    </w:p>
    <w:p w:rsidR="00503D78" w:rsidRPr="0072600F" w14:paraId="3043D58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Good Utility Practice</w:t>
      </w:r>
      <w:r w:rsidRPr="0072600F">
        <w:rPr>
          <w:rFonts w:ascii="Times New Roman" w:hAnsi="Times New Roman" w:cs="Times New Roman"/>
          <w:sz w:val="26"/>
          <w:szCs w:val="26"/>
        </w:rP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503D78" w:rsidRPr="0072600F" w14:paraId="3563C32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Governmental Authority</w:t>
      </w:r>
      <w:r w:rsidRPr="0072600F">
        <w:rPr>
          <w:rFonts w:ascii="Times New Roman" w:hAnsi="Times New Roman" w:cs="Times New Roman"/>
          <w:sz w:val="26"/>
          <w:szCs w:val="26"/>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the</w:t>
      </w:r>
      <w:r w:rsidRPr="0072600F" w:rsidR="008B7CE6">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the Interconnection Provider, or any Affiliate thereof.</w:t>
      </w:r>
    </w:p>
    <w:p w:rsidR="00503D78" w:rsidRPr="0072600F" w14:paraId="4F41CB70" w14:textId="77777777">
      <w:pPr>
        <w:rPr>
          <w:rFonts w:ascii="Times New Roman" w:hAnsi="Times New Roman" w:cs="Times New Roman"/>
          <w:sz w:val="26"/>
          <w:szCs w:val="26"/>
        </w:rPr>
      </w:pPr>
      <w:r w:rsidRPr="0072600F">
        <w:rPr>
          <w:rFonts w:ascii="Times New Roman" w:hAnsi="Times New Roman" w:cs="Times New Roman"/>
          <w:b/>
          <w:sz w:val="26"/>
          <w:szCs w:val="26"/>
        </w:rPr>
        <w:t>Interconnection Customer</w:t>
      </w:r>
      <w:r w:rsidRPr="0072600F">
        <w:rPr>
          <w:rFonts w:ascii="Times New Roman" w:hAnsi="Times New Roman" w:cs="Times New Roman"/>
          <w:sz w:val="26"/>
          <w:szCs w:val="26"/>
        </w:rPr>
        <w:t xml:space="preserve"> – Any entity, including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the Transmission Owner or any of the affiliates or subsidiaries of either, that proposes to interconnect its Small Generating Facility with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503D78" w:rsidRPr="0072600F" w14:paraId="2A266A98" w14:textId="77777777">
      <w:pPr>
        <w:rPr>
          <w:rFonts w:ascii="Times New Roman" w:hAnsi="Times New Roman" w:cs="Times New Roman"/>
          <w:sz w:val="26"/>
          <w:szCs w:val="26"/>
        </w:rPr>
      </w:pPr>
      <w:r w:rsidRPr="0072600F">
        <w:rPr>
          <w:rFonts w:ascii="Times New Roman" w:hAnsi="Times New Roman" w:cs="Times New Roman"/>
          <w:b/>
          <w:sz w:val="26"/>
          <w:szCs w:val="26"/>
        </w:rPr>
        <w:t>Interconnection Facilities</w:t>
      </w:r>
      <w:r w:rsidRPr="0072600F">
        <w:rPr>
          <w:rFonts w:ascii="Times New Roman" w:hAnsi="Times New Roman" w:cs="Times New Roman"/>
          <w:sz w:val="26"/>
          <w:szCs w:val="26"/>
        </w:rPr>
        <w:t xml:space="preserve"> –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Interconnection Facilities and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Interconnection Facilities are sole use facilities and shall not include Distribution Upgrades or Network Upgrades. </w:t>
      </w:r>
    </w:p>
    <w:p w:rsidR="00503D78" w:rsidRPr="0072600F" w14:paraId="1ED41A12" w14:textId="77777777">
      <w:pPr>
        <w:rPr>
          <w:rFonts w:ascii="Times New Roman" w:hAnsi="Times New Roman" w:cs="Times New Roman"/>
          <w:sz w:val="26"/>
          <w:szCs w:val="26"/>
        </w:rPr>
      </w:pPr>
      <w:r w:rsidRPr="0072600F">
        <w:rPr>
          <w:rFonts w:ascii="Times New Roman" w:hAnsi="Times New Roman" w:cs="Times New Roman"/>
          <w:b/>
          <w:sz w:val="26"/>
          <w:szCs w:val="26"/>
        </w:rPr>
        <w:t>Interconnection Request</w:t>
      </w:r>
      <w:r w:rsidRPr="0072600F">
        <w:rPr>
          <w:rFonts w:ascii="Times New Roman" w:hAnsi="Times New Roman" w:cs="Times New Roman"/>
          <w:sz w:val="26"/>
          <w:szCs w:val="26"/>
        </w:rPr>
        <w:t xml:space="preserve"> –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request, in accordance with the Tariff, to interconnect a new Small Generating Facility, or to increase the capacity of, or make a Material Modification to the operating characteristics of, an existing Small Generating Facility that is interconnected with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Transmission System.</w:t>
      </w:r>
    </w:p>
    <w:p w:rsidR="00503D78" w:rsidRPr="0072600F" w14:paraId="49F8D7A4" w14:textId="77777777">
      <w:pPr>
        <w:rPr>
          <w:rFonts w:ascii="Times New Roman" w:hAnsi="Times New Roman" w:cs="Times New Roman"/>
          <w:sz w:val="26"/>
          <w:szCs w:val="26"/>
        </w:rPr>
      </w:pPr>
      <w:r w:rsidRPr="0072600F">
        <w:rPr>
          <w:rFonts w:ascii="Times New Roman" w:hAnsi="Times New Roman" w:cs="Times New Roman"/>
          <w:b/>
          <w:sz w:val="26"/>
          <w:szCs w:val="26"/>
        </w:rPr>
        <w:t>Material Modification</w:t>
      </w:r>
      <w:r w:rsidRPr="0072600F">
        <w:rPr>
          <w:rFonts w:ascii="Times New Roman" w:hAnsi="Times New Roman" w:cs="Times New Roman"/>
          <w:sz w:val="26"/>
          <w:szCs w:val="26"/>
        </w:rPr>
        <w:t xml:space="preserve"> – A modification that has a material impact on the cost or timing of any Interconnection Request with a later queue priority date.</w:t>
      </w:r>
    </w:p>
    <w:p w:rsidR="00503D78" w:rsidRPr="0072600F" w14:paraId="6A7583C5" w14:textId="77777777">
      <w:pPr>
        <w:rPr>
          <w:rFonts w:ascii="Times New Roman" w:hAnsi="Times New Roman" w:cs="Times New Roman"/>
          <w:sz w:val="26"/>
          <w:szCs w:val="26"/>
        </w:rPr>
      </w:pPr>
      <w:r w:rsidRPr="0072600F">
        <w:rPr>
          <w:rFonts w:ascii="Times New Roman" w:hAnsi="Times New Roman" w:cs="Times New Roman"/>
          <w:b/>
          <w:sz w:val="26"/>
          <w:szCs w:val="26"/>
        </w:rPr>
        <w:t>Network Upgrades</w:t>
      </w:r>
      <w:r w:rsidRPr="0072600F">
        <w:rPr>
          <w:rFonts w:ascii="Times New Roman" w:hAnsi="Times New Roman" w:cs="Times New Roman"/>
          <w:sz w:val="26"/>
          <w:szCs w:val="26"/>
        </w:rPr>
        <w:t xml:space="preserve"> – Additions, modifications, and upgrades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required at or beyond the point at which the Small Generating Facility interconnects with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r w:rsidRPr="0072600F">
        <w:rPr>
          <w:rFonts w:ascii="Times New Roman" w:hAnsi="Times New Roman" w:cs="Times New Roman"/>
          <w:sz w:val="26"/>
          <w:szCs w:val="26"/>
        </w:rPr>
        <w:t>’s Transmission System</w:t>
      </w:r>
      <w:r w:rsidRPr="0072600F">
        <w:rPr>
          <w:rFonts w:ascii="Times New Roman" w:hAnsi="Times New Roman" w:cs="Times New Roman"/>
          <w:sz w:val="26"/>
          <w:szCs w:val="26"/>
        </w:rPr>
        <w:t xml:space="preserve"> to accommodate the interconnection of the Small Generating Facility with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Provider’s Transmission System.  Network Upgrades do not include Distribution Upgrades.</w:t>
      </w:r>
    </w:p>
    <w:p w:rsidR="00503D78" w:rsidRPr="0072600F" w14:paraId="394D0A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Operating Requirements</w:t>
      </w:r>
      <w:r w:rsidRPr="0072600F">
        <w:rPr>
          <w:rFonts w:ascii="Times New Roman" w:hAnsi="Times New Roman" w:cs="Times New Roman"/>
          <w:sz w:val="26"/>
          <w:szCs w:val="26"/>
        </w:rPr>
        <w:t xml:space="preserve"> – Any operating and technical requirements that may be applicable due to Regional Transmission Organization, Independent System Operator, Balancing Authority Area, or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requirements, including those set forth in the Small Generator Interconnection Agreement.</w:t>
      </w:r>
    </w:p>
    <w:p w:rsidR="00503D78" w:rsidRPr="0072600F" w14:paraId="5B9B02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Party or Parties</w:t>
      </w:r>
      <w:r w:rsidRPr="0072600F">
        <w:rPr>
          <w:rFonts w:ascii="Times New Roman" w:hAnsi="Times New Roman" w:cs="Times New Roman"/>
          <w:sz w:val="26"/>
          <w:szCs w:val="26"/>
        </w:rPr>
        <w:t xml:space="preserve"> –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Transmission Owner, Interconnection Customer or any combination of the above.</w:t>
      </w:r>
    </w:p>
    <w:p w:rsidR="00503D78" w:rsidRPr="0072600F" w14:paraId="64C2111E" w14:textId="77777777">
      <w:pPr>
        <w:rPr>
          <w:rFonts w:ascii="Times New Roman" w:hAnsi="Times New Roman" w:cs="Times New Roman"/>
          <w:sz w:val="26"/>
          <w:szCs w:val="26"/>
        </w:rPr>
      </w:pPr>
      <w:r w:rsidRPr="0072600F">
        <w:rPr>
          <w:rFonts w:ascii="Times New Roman" w:hAnsi="Times New Roman" w:cs="Times New Roman"/>
          <w:b/>
          <w:sz w:val="26"/>
          <w:szCs w:val="26"/>
        </w:rPr>
        <w:t>Point of Interconnection</w:t>
      </w:r>
      <w:r w:rsidRPr="0072600F">
        <w:rPr>
          <w:rFonts w:ascii="Times New Roman" w:hAnsi="Times New Roman" w:cs="Times New Roman"/>
          <w:sz w:val="26"/>
          <w:szCs w:val="26"/>
        </w:rPr>
        <w:t xml:space="preserve"> – The point where the Interconnection Facilities connect with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503D78" w:rsidRPr="0072600F" w14:paraId="0417922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Reasonable Efforts</w:t>
      </w:r>
      <w:r w:rsidRPr="0072600F">
        <w:rPr>
          <w:rFonts w:ascii="Times New Roman" w:hAnsi="Times New Roman" w:cs="Times New Roman"/>
          <w:sz w:val="26"/>
          <w:szCs w:val="26"/>
        </w:rPr>
        <w:t xml:space="preserve"> – With respect to an action required to be attempted or taken by a Party under the Small Generator Interconnection Agreement, efforts that are timely and consistent with</w:t>
      </w:r>
      <w:r w:rsidRPr="0072600F">
        <w:rPr>
          <w:rFonts w:ascii="Times New Roman" w:hAnsi="Times New Roman" w:cs="Times New Roman"/>
          <w:sz w:val="26"/>
          <w:szCs w:val="26"/>
        </w:rPr>
        <w:t xml:space="preserve"> </w:t>
      </w:r>
      <w:r w:rsidRPr="0072600F">
        <w:rPr>
          <w:rFonts w:ascii="Times New Roman" w:hAnsi="Times New Roman" w:cs="Times New Roman"/>
          <w:sz w:val="26"/>
          <w:szCs w:val="26"/>
        </w:rPr>
        <w:t>Good Utility Practice and are otherwise substantially equivalent to those a Party would use to protect its own interests.</w:t>
      </w:r>
    </w:p>
    <w:p w:rsidR="00503D78" w:rsidRPr="0072600F" w14:paraId="174F9FDE" w14:textId="77777777">
      <w:pPr>
        <w:rPr>
          <w:rFonts w:ascii="Times New Roman" w:hAnsi="Times New Roman" w:cs="Times New Roman"/>
          <w:sz w:val="26"/>
          <w:szCs w:val="26"/>
        </w:rPr>
      </w:pPr>
      <w:r w:rsidRPr="0072600F">
        <w:rPr>
          <w:rFonts w:ascii="Times New Roman" w:hAnsi="Times New Roman" w:cs="Times New Roman"/>
          <w:b/>
          <w:sz w:val="26"/>
          <w:szCs w:val="26"/>
        </w:rPr>
        <w:t xml:space="preserve">Small Generating Facility </w:t>
      </w:r>
      <w:r w:rsidRPr="0072600F">
        <w:rPr>
          <w:rFonts w:ascii="Times New Roman" w:hAnsi="Times New Roman" w:cs="Times New Roman"/>
          <w:sz w:val="26"/>
          <w:szCs w:val="26"/>
        </w:rPr>
        <w:t xml:space="preserve">–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device for the production and/or storage for later injection of electricity identified in the Interconnection Request, but shall not include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Customer's Interconnection Facilities.</w:t>
      </w:r>
    </w:p>
    <w:p w:rsidR="00503D78" w:rsidRPr="0072600F" w14:paraId="64B4C11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b/>
          <w:sz w:val="26"/>
          <w:szCs w:val="26"/>
        </w:rPr>
        <w:t>Tariff</w:t>
      </w:r>
      <w:r w:rsidRPr="0072600F">
        <w:rPr>
          <w:rFonts w:ascii="Times New Roman" w:hAnsi="Times New Roman" w:cs="Times New Roman"/>
          <w:sz w:val="26"/>
          <w:szCs w:val="26"/>
        </w:rPr>
        <w:t xml:space="preserve"> –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Affected System's Tariff through which open access transmission service and Interconnection Service are offered, as filed with the FERC, and as amended or supplemented from time to time, or any successor tariff.</w:t>
      </w:r>
    </w:p>
    <w:p w:rsidR="00503D78" w:rsidRPr="0072600F" w14:paraId="056181F4" w14:textId="77777777">
      <w:pPr>
        <w:tabs>
          <w:tab w:val="left" w:pos="360"/>
        </w:tabs>
        <w:rPr>
          <w:rFonts w:ascii="Times New Roman" w:hAnsi="Times New Roman" w:cs="Times New Roman"/>
          <w:sz w:val="26"/>
          <w:szCs w:val="26"/>
        </w:rPr>
      </w:pPr>
      <w:r w:rsidRPr="0072600F">
        <w:rPr>
          <w:rFonts w:ascii="Times New Roman" w:hAnsi="Times New Roman" w:cs="Times New Roman"/>
          <w:b/>
          <w:sz w:val="26"/>
          <w:szCs w:val="26"/>
        </w:rPr>
        <w:t>Transmission Owner</w:t>
      </w:r>
      <w:r w:rsidRPr="0072600F">
        <w:rPr>
          <w:rFonts w:ascii="Times New Roman" w:hAnsi="Times New Roman" w:cs="Times New Roman"/>
          <w:sz w:val="26"/>
          <w:szCs w:val="26"/>
        </w:rPr>
        <w:t xml:space="preserve"> – The entity that owns, leases or otherwise possesses an interest in the portion of the Transmission System at the Point of Interconnection and may be a Party to the Small Generator Interconnection Agreement to the extent necessary.</w:t>
      </w:r>
    </w:p>
    <w:p w:rsidR="00503D78" w:rsidRPr="0072600F" w14:paraId="08C33041" w14:textId="77777777">
      <w:pPr>
        <w:rPr>
          <w:rFonts w:ascii="Times New Roman" w:hAnsi="Times New Roman" w:cs="Times New Roman"/>
          <w:sz w:val="26"/>
          <w:szCs w:val="26"/>
        </w:rPr>
      </w:pPr>
      <w:r w:rsidRPr="0072600F">
        <w:rPr>
          <w:rFonts w:ascii="Times New Roman" w:hAnsi="Times New Roman" w:cs="Times New Roman"/>
          <w:b/>
          <w:sz w:val="26"/>
          <w:szCs w:val="26"/>
        </w:rPr>
        <w:t>Transmission Provider</w:t>
      </w:r>
      <w:r w:rsidRPr="0072600F">
        <w:rPr>
          <w:rFonts w:ascii="Times New Roman" w:hAnsi="Times New Roman" w:cs="Times New Roman"/>
          <w:sz w:val="26"/>
          <w:szCs w:val="26"/>
        </w:rPr>
        <w:t xml:space="preserve"> – The public utility (or its designated agent) that owns, controls, or operates transmission or distribution facilities used for the transmission of electricity in interstate commerce and provides transmission service under the Tariff.  The term Transmission Provider should be read to include the Transmission Owner when the Transmission Owner is separate from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w:t>
      </w:r>
    </w:p>
    <w:p w:rsidR="00503D78" w:rsidRPr="0072600F" w14:paraId="431EF372" w14:textId="77777777">
      <w:pPr>
        <w:rPr>
          <w:rFonts w:ascii="Times New Roman" w:hAnsi="Times New Roman" w:cs="Times New Roman"/>
          <w:sz w:val="26"/>
          <w:szCs w:val="26"/>
        </w:rPr>
      </w:pPr>
      <w:r w:rsidRPr="0072600F">
        <w:rPr>
          <w:rFonts w:ascii="Times New Roman" w:hAnsi="Times New Roman" w:cs="Times New Roman"/>
          <w:b/>
          <w:sz w:val="26"/>
          <w:szCs w:val="26"/>
        </w:rPr>
        <w:t>Transmission System</w:t>
      </w:r>
      <w:r w:rsidRPr="0072600F">
        <w:rPr>
          <w:rFonts w:ascii="Times New Roman" w:hAnsi="Times New Roman" w:cs="Times New Roman"/>
          <w:sz w:val="26"/>
          <w:szCs w:val="26"/>
        </w:rPr>
        <w:t xml:space="preserve"> – The facilities owned, controlled or operated by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the Transmission Owner that are used to provide transmission service under the Tariff.</w:t>
      </w:r>
    </w:p>
    <w:p w:rsidR="00503D78" w:rsidRPr="0072600F" w14:paraId="156E4158" w14:textId="77777777">
      <w:pPr>
        <w:rPr>
          <w:rFonts w:ascii="Times New Roman" w:hAnsi="Times New Roman" w:cs="Times New Roman"/>
          <w:b/>
          <w:sz w:val="26"/>
          <w:szCs w:val="26"/>
        </w:rPr>
      </w:pPr>
      <w:r w:rsidRPr="0072600F">
        <w:rPr>
          <w:rFonts w:ascii="Times New Roman" w:hAnsi="Times New Roman" w:cs="Times New Roman"/>
          <w:b/>
          <w:sz w:val="26"/>
          <w:szCs w:val="26"/>
        </w:rPr>
        <w:t>Upgrades</w:t>
      </w:r>
      <w:r w:rsidRPr="0072600F">
        <w:rPr>
          <w:rFonts w:ascii="Times New Roman" w:hAnsi="Times New Roman" w:cs="Times New Roman"/>
          <w:sz w:val="26"/>
          <w:szCs w:val="26"/>
        </w:rPr>
        <w:t xml:space="preserve"> – The required additions and modifications to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 at or beyond the Point of Interconnection.  Upgrades may be Network Upgrades or Distribution Upgrades.  Upgrades do not include Interconnection Facilities.</w:t>
      </w:r>
    </w:p>
    <w:p w:rsidR="00503D78" w:rsidRPr="0072600F" w14:paraId="41CD9A2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6"/>
          <w:szCs w:val="26"/>
        </w:rPr>
        <w:sectPr>
          <w:footerReference w:type="default" r:id="rId71"/>
          <w:pgSz w:w="12240" w:h="15840"/>
          <w:pgMar w:top="1440" w:right="1440" w:bottom="1440" w:left="1440" w:header="720" w:footer="720" w:gutter="0"/>
          <w:pgNumType w:start="1"/>
          <w:cols w:space="720"/>
          <w:docGrid w:linePitch="360"/>
        </w:sectPr>
      </w:pPr>
    </w:p>
    <w:p w:rsidR="00503D78" w:rsidRPr="0072600F" w14:paraId="079F5AB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right"/>
        <w:rPr>
          <w:rFonts w:ascii="Times New Roman" w:hAnsi="Times New Roman" w:cs="Times New Roman"/>
          <w:b/>
          <w:sz w:val="26"/>
          <w:szCs w:val="26"/>
        </w:rPr>
      </w:pPr>
      <w:bookmarkStart w:id="911" w:name="Attachment2"/>
      <w:r w:rsidRPr="0072600F">
        <w:rPr>
          <w:rFonts w:ascii="Times New Roman" w:hAnsi="Times New Roman" w:cs="Times New Roman"/>
          <w:b/>
          <w:sz w:val="26"/>
          <w:szCs w:val="26"/>
        </w:rPr>
        <w:t>Attachment 2</w:t>
      </w:r>
      <w:bookmarkEnd w:id="911"/>
    </w:p>
    <w:p w:rsidR="00503D78" w:rsidRPr="0072600F" w14:paraId="076870E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p>
    <w:p w:rsidR="00503D78" w:rsidRPr="0072600F" w14:paraId="4CBF43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Description and Costs of the Small Generating Facility,</w:t>
      </w:r>
    </w:p>
    <w:p w:rsidR="00503D78" w:rsidRPr="0072600F" w14:paraId="6088995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Interconnection Facilities, and Metering Equipment</w:t>
      </w:r>
    </w:p>
    <w:p w:rsidR="00503D78" w:rsidRPr="0072600F" w14:paraId="736F3B7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0D48A85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376F956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r w:rsidRPr="0072600F">
        <w:rPr>
          <w:rFonts w:ascii="Times New Roman" w:hAnsi="Times New Roman" w:cs="Times New Roman"/>
          <w:sz w:val="26"/>
          <w:szCs w:val="26"/>
        </w:rPr>
        <w:t xml:space="preserve">Equipment, including the Small Generating Facility, Interconnection Facilities, and metering equipment shall be itemized and identified as being owned by </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the</w:t>
      </w:r>
      <w:r w:rsidRPr="0072600F" w:rsidR="005D678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or the Transmission Owner.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503D78" w:rsidRPr="0072600F" w14:paraId="4EC2A0C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r w:rsidRPr="0072600F">
        <w:rPr>
          <w:rFonts w:ascii="Times New Roman" w:hAnsi="Times New Roman" w:cs="Times New Roman"/>
          <w:b/>
          <w:sz w:val="26"/>
          <w:szCs w:val="26"/>
        </w:rPr>
        <w:br w:type="page"/>
      </w:r>
      <w:bookmarkStart w:id="912" w:name="Attachment3"/>
      <w:r w:rsidRPr="0072600F">
        <w:rPr>
          <w:rFonts w:ascii="Times New Roman" w:hAnsi="Times New Roman" w:cs="Times New Roman"/>
          <w:b/>
          <w:sz w:val="26"/>
          <w:szCs w:val="26"/>
        </w:rPr>
        <w:t>Attachment 3</w:t>
      </w:r>
      <w:bookmarkEnd w:id="912"/>
    </w:p>
    <w:p w:rsidR="00503D78" w:rsidRPr="0072600F" w14:paraId="1B9EB36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p>
    <w:p w:rsidR="00503D78" w:rsidRPr="0072600F" w14:paraId="325570B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One-line Diagram Depicting the Small Generating Facility, Interconnection</w:t>
      </w:r>
    </w:p>
    <w:p w:rsidR="00503D78" w:rsidRPr="0072600F" w14:paraId="12D16DA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Facilities, Metering Equipment, and Upgrades</w:t>
      </w:r>
    </w:p>
    <w:p w:rsidR="00503D78" w:rsidRPr="0072600F" w14:paraId="0768655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r w:rsidRPr="0072600F">
        <w:rPr>
          <w:rFonts w:ascii="Times New Roman" w:hAnsi="Times New Roman" w:cs="Times New Roman"/>
          <w:b/>
          <w:sz w:val="26"/>
          <w:szCs w:val="26"/>
        </w:rPr>
        <w:br w:type="page"/>
      </w:r>
      <w:bookmarkStart w:id="913" w:name="Attachment4"/>
      <w:r w:rsidRPr="0072600F">
        <w:rPr>
          <w:rFonts w:ascii="Times New Roman" w:hAnsi="Times New Roman" w:cs="Times New Roman"/>
          <w:b/>
          <w:sz w:val="26"/>
          <w:szCs w:val="26"/>
        </w:rPr>
        <w:t>Attachment 4</w:t>
      </w:r>
      <w:bookmarkEnd w:id="913"/>
    </w:p>
    <w:p w:rsidR="00503D78" w:rsidRPr="0072600F" w14:paraId="4B0504B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p>
    <w:p w:rsidR="00503D78" w:rsidRPr="0072600F" w14:paraId="1A91A95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Milestones</w:t>
      </w:r>
    </w:p>
    <w:p w:rsidR="00503D78" w:rsidRPr="0072600F" w14:paraId="611AE49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5FC081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77379C8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cs="Times New Roman"/>
          <w:sz w:val="26"/>
          <w:szCs w:val="26"/>
        </w:rPr>
      </w:pPr>
      <w:r w:rsidRPr="0072600F">
        <w:rPr>
          <w:rFonts w:ascii="Times New Roman" w:hAnsi="Times New Roman" w:cs="Times New Roman"/>
          <w:sz w:val="26"/>
          <w:szCs w:val="26"/>
        </w:rPr>
        <w:t>In-Service Date:</w:t>
      </w:r>
      <w:r w:rsidRPr="0072600F">
        <w:rPr>
          <w:rFonts w:ascii="Times New Roman" w:hAnsi="Times New Roman" w:cs="Times New Roman"/>
          <w:sz w:val="26"/>
          <w:szCs w:val="26"/>
        </w:rPr>
        <w:tab/>
        <w:t>___________________</w:t>
      </w:r>
    </w:p>
    <w:p w:rsidR="00503D78" w:rsidRPr="0072600F" w14:paraId="2B7C9C6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66888EC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Critical milestones and responsibility as agreed to by the Parties:</w:t>
      </w:r>
    </w:p>
    <w:p w:rsidR="00503D78" w:rsidRPr="0072600F" w14:paraId="1FD967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266FD4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Times New Roman" w:hAnsi="Times New Roman" w:cs="Times New Roman"/>
          <w:sz w:val="26"/>
          <w:szCs w:val="26"/>
        </w:rPr>
      </w:pP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sz w:val="26"/>
          <w:szCs w:val="26"/>
        </w:rPr>
        <w:t>Milestone/Date</w:t>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sz w:val="26"/>
          <w:szCs w:val="26"/>
        </w:rPr>
        <w:tab/>
      </w:r>
      <w:r w:rsidRPr="0072600F">
        <w:rPr>
          <w:rFonts w:ascii="Times New Roman" w:hAnsi="Times New Roman" w:cs="Times New Roman"/>
          <w:b/>
          <w:sz w:val="26"/>
          <w:szCs w:val="26"/>
        </w:rPr>
        <w:t>Responsible Party</w:t>
      </w:r>
    </w:p>
    <w:p w:rsidR="00503D78" w:rsidRPr="0072600F" w14:paraId="740F008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E9336C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(1)</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70A9F3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42E2A85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(2)</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0C60E4D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C3851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(3)</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179A2D0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10BD531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(4)</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4A283C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4990FA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(5)</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7EFAE8F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AC911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(6)</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0EC04BE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22C51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(7)</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794370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2B48DCC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(8)</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254B82A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CE04D3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(9)</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23FFC75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268F5EE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(10)</w:t>
      </w:r>
      <w:r w:rsidRPr="0072600F">
        <w:rPr>
          <w:rFonts w:ascii="Times New Roman" w:hAnsi="Times New Roman" w:cs="Times New Roman"/>
          <w:sz w:val="26"/>
          <w:szCs w:val="26"/>
        </w:rPr>
        <w:tab/>
        <w:t>_______________________________________</w:t>
      </w:r>
      <w:r w:rsidRPr="0072600F">
        <w:rPr>
          <w:rFonts w:ascii="Times New Roman" w:hAnsi="Times New Roman" w:cs="Times New Roman"/>
          <w:sz w:val="26"/>
          <w:szCs w:val="26"/>
        </w:rPr>
        <w:tab/>
        <w:t>______________________</w:t>
      </w:r>
    </w:p>
    <w:p w:rsidR="00503D78" w:rsidRPr="0072600F" w14:paraId="6539696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668DCD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6916E70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2EA967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Agreed to by:</w:t>
      </w:r>
    </w:p>
    <w:p w:rsidR="00503D78" w:rsidRPr="0072600F" w14:paraId="33F4C50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5036D55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 xml:space="preserve">For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Provider__________________________  Date______________</w:t>
      </w:r>
    </w:p>
    <w:p w:rsidR="00503D78" w:rsidRPr="0072600F" w14:paraId="62A2340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03B1F15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 xml:space="preserve">For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Transmission Owner (If Applicable) ______________________ Date_____________</w:t>
      </w:r>
    </w:p>
    <w:p w:rsidR="00503D78" w:rsidRPr="0072600F" w14:paraId="5C8379E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3AE9809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 xml:space="preserve">For </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the</w:t>
      </w:r>
      <w:r w:rsidRPr="0072600F" w:rsidR="00C465B5">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Customer________________________  Date______________</w:t>
      </w:r>
    </w:p>
    <w:p w:rsidR="00503D78" w:rsidRPr="0072600F" w14:paraId="2AF6241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r w:rsidRPr="0072600F">
        <w:rPr>
          <w:rFonts w:ascii="Times New Roman" w:hAnsi="Times New Roman" w:cs="Times New Roman"/>
          <w:sz w:val="26"/>
          <w:szCs w:val="26"/>
        </w:rPr>
        <w:br w:type="page"/>
      </w:r>
      <w:bookmarkStart w:id="914" w:name="Attachment5"/>
      <w:r w:rsidRPr="0072600F">
        <w:rPr>
          <w:rFonts w:ascii="Times New Roman" w:hAnsi="Times New Roman" w:cs="Times New Roman"/>
          <w:b/>
          <w:sz w:val="26"/>
          <w:szCs w:val="26"/>
        </w:rPr>
        <w:t>Attachment 5</w:t>
      </w:r>
      <w:bookmarkEnd w:id="914"/>
    </w:p>
    <w:p w:rsidR="00503D78" w:rsidRPr="0072600F" w14:paraId="3FD3C2B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p>
    <w:p w:rsidR="00503D78" w:rsidRPr="0072600F" w14:paraId="39E225C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 xml:space="preserve">Additional Operating Requirements for </w:t>
      </w:r>
      <w:r w:rsidRPr="0072600F" w:rsidR="00C465B5">
        <w:rPr>
          <w:rFonts w:ascii="Times New Roman" w:hAnsi="Times New Roman" w:cs="Times New Roman"/>
          <w:b/>
          <w:sz w:val="26"/>
          <w:szCs w:val="26"/>
        </w:rPr>
        <w:t>[</w:t>
      </w:r>
      <w:r w:rsidRPr="0072600F">
        <w:rPr>
          <w:rFonts w:ascii="Times New Roman" w:hAnsi="Times New Roman" w:cs="Times New Roman"/>
          <w:b/>
          <w:sz w:val="26"/>
          <w:szCs w:val="26"/>
        </w:rPr>
        <w:t>the</w:t>
      </w:r>
      <w:r w:rsidRPr="0072600F" w:rsidR="00C465B5">
        <w:rPr>
          <w:rFonts w:ascii="Times New Roman" w:hAnsi="Times New Roman" w:cs="Times New Roman"/>
          <w:b/>
          <w:sz w:val="26"/>
          <w:szCs w:val="26"/>
        </w:rPr>
        <w:t>]</w:t>
      </w:r>
      <w:r w:rsidRPr="0072600F">
        <w:rPr>
          <w:rFonts w:ascii="Times New Roman" w:hAnsi="Times New Roman" w:cs="Times New Roman"/>
          <w:b/>
          <w:sz w:val="26"/>
          <w:szCs w:val="26"/>
        </w:rPr>
        <w:t xml:space="preserve"> Transmission Provider</w:t>
      </w:r>
      <w:r w:rsidRPr="0072600F" w:rsidR="00BD11B3">
        <w:rPr>
          <w:rFonts w:ascii="Times New Roman" w:hAnsi="Times New Roman" w:cs="Times New Roman"/>
          <w:b/>
          <w:sz w:val="26"/>
          <w:szCs w:val="26"/>
        </w:rPr>
        <w:t>’</w:t>
      </w:r>
      <w:r w:rsidRPr="0072600F">
        <w:rPr>
          <w:rFonts w:ascii="Times New Roman" w:hAnsi="Times New Roman" w:cs="Times New Roman"/>
          <w:b/>
          <w:sz w:val="26"/>
          <w:szCs w:val="26"/>
        </w:rPr>
        <w:t>s</w:t>
      </w:r>
    </w:p>
    <w:p w:rsidR="00503D78" w:rsidRPr="0072600F" w14:paraId="33CFEC5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Transmission System and Affected Systems Needed to Support</w:t>
      </w:r>
    </w:p>
    <w:p w:rsidR="00503D78" w:rsidRPr="0072600F" w14:paraId="4AAB27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w:t>
      </w:r>
      <w:r w:rsidRPr="0072600F">
        <w:rPr>
          <w:rFonts w:ascii="Times New Roman" w:hAnsi="Times New Roman" w:cs="Times New Roman"/>
          <w:b/>
          <w:sz w:val="26"/>
          <w:szCs w:val="26"/>
        </w:rPr>
        <w:t>the</w:t>
      </w:r>
      <w:r w:rsidRPr="0072600F">
        <w:rPr>
          <w:rFonts w:ascii="Times New Roman" w:hAnsi="Times New Roman" w:cs="Times New Roman"/>
          <w:b/>
          <w:sz w:val="26"/>
          <w:szCs w:val="26"/>
        </w:rPr>
        <w:t>]</w:t>
      </w:r>
      <w:r w:rsidRPr="0072600F">
        <w:rPr>
          <w:rFonts w:ascii="Times New Roman" w:hAnsi="Times New Roman" w:cs="Times New Roman"/>
          <w:b/>
          <w:sz w:val="26"/>
          <w:szCs w:val="26"/>
        </w:rPr>
        <w:t xml:space="preserve"> Interconnection Customer's Needs</w:t>
      </w:r>
    </w:p>
    <w:p w:rsidR="00503D78" w:rsidRPr="0072600F" w14:paraId="230C3FC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27F6694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3331183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7D7BC16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0FB6DC0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7523526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671D282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also provide requirements that must be met by </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the</w:t>
      </w:r>
      <w:r w:rsidRPr="0072600F" w:rsidR="003011EB">
        <w:rPr>
          <w:rFonts w:ascii="Times New Roman" w:hAnsi="Times New Roman" w:cs="Times New Roman"/>
          <w:sz w:val="26"/>
          <w:szCs w:val="26"/>
        </w:rPr>
        <w:t>]</w:t>
      </w:r>
      <w:r w:rsidRPr="0072600F">
        <w:rPr>
          <w:rFonts w:ascii="Times New Roman" w:hAnsi="Times New Roman" w:cs="Times New Roman"/>
          <w:sz w:val="26"/>
          <w:szCs w:val="26"/>
        </w:rPr>
        <w:t xml:space="preserve"> Interconnection Customer prior to initiating parallel operation with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w:t>
      </w:r>
      <w:r w:rsidRPr="0072600F" w:rsidR="00BD11B3">
        <w:rPr>
          <w:rFonts w:ascii="Times New Roman" w:hAnsi="Times New Roman" w:cs="Times New Roman"/>
          <w:sz w:val="26"/>
          <w:szCs w:val="26"/>
        </w:rPr>
        <w:t>Transmission Provider’s</w:t>
      </w:r>
      <w:r w:rsidRPr="0072600F">
        <w:rPr>
          <w:rFonts w:ascii="Times New Roman" w:hAnsi="Times New Roman" w:cs="Times New Roman"/>
          <w:sz w:val="26"/>
          <w:szCs w:val="26"/>
        </w:rPr>
        <w:t xml:space="preserve"> Transmission System.</w:t>
      </w:r>
    </w:p>
    <w:p w:rsidR="00503D78" w:rsidRPr="0072600F" w14:paraId="649A98B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19E18CE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6"/>
          <w:szCs w:val="26"/>
        </w:rPr>
      </w:pPr>
      <w:r w:rsidRPr="0072600F">
        <w:rPr>
          <w:rFonts w:ascii="Times New Roman" w:hAnsi="Times New Roman" w:cs="Times New Roman"/>
          <w:sz w:val="26"/>
          <w:szCs w:val="26"/>
        </w:rPr>
        <w:br w:type="page"/>
      </w:r>
      <w:bookmarkStart w:id="915" w:name="Attachment6"/>
      <w:r w:rsidRPr="0072600F">
        <w:rPr>
          <w:rFonts w:ascii="Times New Roman" w:hAnsi="Times New Roman" w:cs="Times New Roman"/>
          <w:b/>
          <w:sz w:val="26"/>
          <w:szCs w:val="26"/>
        </w:rPr>
        <w:t>Attachment 6</w:t>
      </w:r>
      <w:bookmarkEnd w:id="915"/>
    </w:p>
    <w:p w:rsidR="00503D78" w:rsidRPr="0072600F" w14:paraId="7CE868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7AF3EDE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6"/>
          <w:szCs w:val="26"/>
        </w:rPr>
      </w:pPr>
      <w:r w:rsidRPr="0072600F">
        <w:rPr>
          <w:rFonts w:ascii="Times New Roman" w:hAnsi="Times New Roman" w:cs="Times New Roman"/>
          <w:b/>
          <w:sz w:val="26"/>
          <w:szCs w:val="26"/>
        </w:rPr>
        <w:t>Transmission Provider</w:t>
      </w:r>
      <w:r w:rsidRPr="0072600F" w:rsidR="00BD11B3">
        <w:rPr>
          <w:rFonts w:ascii="Times New Roman" w:hAnsi="Times New Roman" w:cs="Times New Roman"/>
          <w:b/>
          <w:sz w:val="26"/>
          <w:szCs w:val="26"/>
        </w:rPr>
        <w:t>’</w:t>
      </w:r>
      <w:r w:rsidRPr="0072600F">
        <w:rPr>
          <w:rFonts w:ascii="Times New Roman" w:hAnsi="Times New Roman" w:cs="Times New Roman"/>
          <w:b/>
          <w:sz w:val="26"/>
          <w:szCs w:val="26"/>
        </w:rPr>
        <w:t>s Description of its Upgrades</w:t>
      </w:r>
    </w:p>
    <w:p w:rsidR="00503D78" w:rsidRPr="0072600F" w14:paraId="7AFBDAB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6"/>
          <w:szCs w:val="26"/>
        </w:rPr>
      </w:pPr>
      <w:r w:rsidRPr="0072600F">
        <w:rPr>
          <w:rFonts w:ascii="Times New Roman" w:hAnsi="Times New Roman" w:cs="Times New Roman"/>
          <w:b/>
          <w:sz w:val="26"/>
          <w:szCs w:val="26"/>
        </w:rPr>
        <w:t>and Best Estimate of Upgrade Costs</w:t>
      </w:r>
    </w:p>
    <w:p w:rsidR="00503D78" w:rsidRPr="0072600F" w14:paraId="2B037AA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3F85F59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112CA62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p>
    <w:p w:rsidR="00503D78" w:rsidRPr="0072600F" w14:paraId="78EE4A3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68A2982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6"/>
          <w:szCs w:val="26"/>
        </w:rPr>
      </w:pPr>
    </w:p>
    <w:p w:rsidR="00503D78" w:rsidRPr="0072600F" w14:paraId="40B38DB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6"/>
          <w:szCs w:val="26"/>
        </w:rPr>
      </w:pP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describe Upgrades and provide an itemized best estimate of the cost, including overheads, of the Upgrades and annual operation and maintenance expenses associated with such Upgrades.  </w:t>
      </w:r>
      <w:r w:rsidRPr="0072600F">
        <w:rPr>
          <w:rFonts w:ascii="Times New Roman" w:hAnsi="Times New Roman" w:cs="Times New Roman"/>
          <w:sz w:val="26"/>
          <w:szCs w:val="26"/>
        </w:rPr>
        <w:t>[</w:t>
      </w:r>
      <w:r w:rsidRPr="0072600F">
        <w:rPr>
          <w:rFonts w:ascii="Times New Roman" w:hAnsi="Times New Roman" w:cs="Times New Roman"/>
          <w:sz w:val="26"/>
          <w:szCs w:val="26"/>
        </w:rPr>
        <w:t>The</w:t>
      </w:r>
      <w:r w:rsidRPr="0072600F">
        <w:rPr>
          <w:rFonts w:ascii="Times New Roman" w:hAnsi="Times New Roman" w:cs="Times New Roman"/>
          <w:sz w:val="26"/>
          <w:szCs w:val="26"/>
        </w:rPr>
        <w:t>]</w:t>
      </w:r>
      <w:r w:rsidRPr="0072600F">
        <w:rPr>
          <w:rFonts w:ascii="Times New Roman" w:hAnsi="Times New Roman" w:cs="Times New Roman"/>
          <w:sz w:val="26"/>
          <w:szCs w:val="26"/>
        </w:rPr>
        <w:t xml:space="preserve"> Transmission Provider shall functionalize Upgrade costs and annual expenses as either transmission or distribution related.</w:t>
      </w:r>
    </w:p>
    <w:p w:rsidR="00503D78" w:rsidRPr="0072600F" w14:paraId="434FBFBA" w14:textId="77777777">
      <w:pPr>
        <w:rPr>
          <w:rFonts w:ascii="Times New Roman" w:hAnsi="Times New Roman" w:cs="Times New Roman"/>
          <w:sz w:val="26"/>
          <w:szCs w:val="26"/>
        </w:rPr>
      </w:pPr>
    </w:p>
    <w:p w:rsidR="00503D78" w:rsidRPr="0072600F" w14:paraId="657B292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cs="Times New Roman"/>
          <w:b/>
          <w:sz w:val="26"/>
          <w:szCs w:val="26"/>
        </w:rPr>
      </w:pPr>
    </w:p>
    <w:p w:rsidR="00F3594B" w:rsidRPr="0072600F" w:rsidP="00F3594B" w14:paraId="40E663D5" w14:textId="77777777">
      <w:pPr>
        <w:rPr>
          <w:rFonts w:ascii="Times New Roman" w:hAnsi="Times New Roman" w:cs="Times New Roman"/>
          <w:sz w:val="26"/>
          <w:szCs w:val="26"/>
        </w:rPr>
      </w:pPr>
    </w:p>
    <w:p w:rsidR="00911580" w:rsidRPr="0072600F" w14:paraId="6190B1BA" w14:textId="77777777">
      <w:pPr>
        <w:tabs>
          <w:tab w:val="left" w:pos="2800"/>
        </w:tabs>
        <w:rPr>
          <w:rFonts w:ascii="Times New Roman" w:hAnsi="Times New Roman" w:cs="Times New Roman"/>
          <w:sz w:val="26"/>
          <w:szCs w:val="26"/>
        </w:rPr>
      </w:pPr>
    </w:p>
    <w:p w:rsidR="009B2286" w14:paraId="06FF1420" w14:textId="77777777">
      <w:pPr>
        <w:rPr>
          <w:rFonts w:ascii="Times New Roman" w:hAnsi="Times New Roman" w:cs="Times New Roman"/>
          <w:sz w:val="26"/>
          <w:szCs w:val="26"/>
        </w:rPr>
        <w:sectPr>
          <w:footerReference w:type="default" r:id="rId72"/>
          <w:pgSz w:w="12240" w:h="15840"/>
          <w:pgMar w:top="1440" w:right="1440" w:bottom="1440" w:left="1440" w:header="1440" w:footer="1440" w:gutter="0"/>
          <w:pgNumType w:fmt="numberInDash" w:start="1"/>
          <w:cols w:space="720"/>
          <w:noEndnote/>
        </w:sectPr>
      </w:pPr>
    </w:p>
    <w:bookmarkStart w:id="916" w:name="_Hlk101321169"/>
    <w:p w:rsidR="009B2286" w:rsidRPr="006B02A7" w:rsidP="006B02A7" w14:paraId="02B3C427" w14:textId="77777777">
      <w:pPr>
        <w:spacing w:after="0" w:line="240" w:lineRule="auto"/>
        <w:jc w:val="center"/>
        <w:rPr>
          <w:rFonts w:ascii="Times New Roman" w:hAnsi="Times New Roman" w:cs="Times New Roman"/>
          <w:sz w:val="26"/>
          <w:szCs w:val="26"/>
        </w:rPr>
      </w:pPr>
      <w:r w:rsidRPr="006B02A7">
        <w:rPr>
          <w:rFonts w:ascii="Times New Roman" w:hAnsi="Times New Roman" w:cs="Times New Roman"/>
          <w:b/>
          <w:sz w:val="26"/>
          <w:szCs w:val="26"/>
        </w:rPr>
        <w:fldChar w:fldCharType="begin"/>
      </w:r>
      <w:r w:rsidRPr="006B02A7">
        <w:rPr>
          <w:rFonts w:ascii="Times New Roman" w:hAnsi="Times New Roman" w:cs="Times New Roman"/>
          <w:b/>
          <w:sz w:val="26"/>
          <w:szCs w:val="26"/>
        </w:rPr>
        <w:instrText xml:space="preserve"> MACROBUTTON  AcceptAllChangesInDoc </w:instrText>
      </w:r>
      <w:r w:rsidRPr="006B02A7">
        <w:rPr>
          <w:rFonts w:ascii="Times New Roman" w:hAnsi="Times New Roman" w:cs="Times New Roman"/>
          <w:b/>
          <w:sz w:val="26"/>
          <w:szCs w:val="26"/>
        </w:rPr>
        <w:fldChar w:fldCharType="end"/>
      </w:r>
      <w:r w:rsidRPr="006B02A7" w:rsidR="006B02A7">
        <w:rPr>
          <w:rFonts w:ascii="Times New Roman" w:hAnsi="Times New Roman" w:cs="Times New Roman"/>
          <w:sz w:val="26"/>
          <w:szCs w:val="26"/>
        </w:rPr>
        <w:t>UNITED STATES OF AMERICA</w:t>
      </w:r>
    </w:p>
    <w:p w:rsidR="006B02A7" w:rsidP="006B02A7" w14:paraId="4578CC4E" w14:textId="77777777">
      <w:pPr>
        <w:spacing w:after="0" w:line="240" w:lineRule="auto"/>
        <w:jc w:val="center"/>
        <w:rPr>
          <w:rFonts w:ascii="Times New Roman" w:hAnsi="Times New Roman" w:cs="Times New Roman"/>
          <w:sz w:val="26"/>
          <w:szCs w:val="26"/>
        </w:rPr>
      </w:pPr>
      <w:r w:rsidRPr="006B02A7">
        <w:rPr>
          <w:rFonts w:ascii="Times New Roman" w:hAnsi="Times New Roman" w:cs="Times New Roman"/>
          <w:sz w:val="26"/>
          <w:szCs w:val="26"/>
        </w:rPr>
        <w:t>FEDERAL ENERGY REGULATORY COMMISSION</w:t>
      </w:r>
    </w:p>
    <w:p w:rsidR="009B2286" w:rsidRPr="006B02A7" w:rsidP="009B139F" w14:paraId="4642B8C2" w14:textId="77777777">
      <w:pPr>
        <w:rPr>
          <w:rFonts w:ascii="Times New Roman" w:hAnsi="Times New Roman" w:cs="Times New Roman"/>
          <w:sz w:val="26"/>
          <w:szCs w:val="26"/>
        </w:rPr>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32"/>
        <w:gridCol w:w="1535"/>
        <w:gridCol w:w="1893"/>
      </w:tblGrid>
      <w:tr w14:paraId="420EE632" w14:textId="77777777" w:rsidTr="007554F4">
        <w:tblPrEx>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c>
          <w:tcPr>
            <w:tcW w:w="5932" w:type="dxa"/>
            <w:shd w:val="clear" w:color="auto" w:fill="auto"/>
          </w:tcPr>
          <w:p w:rsidR="009B2286" w:rsidRPr="006B02A7" w:rsidP="007554F4" w14:paraId="08B6D4F4" w14:textId="77777777">
            <w:pPr>
              <w:rPr>
                <w:rFonts w:eastAsiaTheme="minorHAnsi"/>
                <w:sz w:val="26"/>
                <w:szCs w:val="26"/>
              </w:rPr>
            </w:pPr>
            <w:r w:rsidRPr="006B02A7">
              <w:rPr>
                <w:sz w:val="26"/>
                <w:szCs w:val="26"/>
              </w:rPr>
              <w:t>Improvements to Generator Interconnection Procedures and Agreements</w:t>
            </w:r>
          </w:p>
        </w:tc>
        <w:tc>
          <w:tcPr>
            <w:tcW w:w="1535" w:type="dxa"/>
            <w:shd w:val="clear" w:color="auto" w:fill="auto"/>
          </w:tcPr>
          <w:p w:rsidR="009B2286" w:rsidRPr="006B02A7" w:rsidP="007554F4" w14:paraId="69144C63" w14:textId="77777777">
            <w:pPr>
              <w:jc w:val="right"/>
              <w:rPr>
                <w:rFonts w:eastAsiaTheme="minorHAnsi"/>
                <w:sz w:val="26"/>
                <w:szCs w:val="26"/>
              </w:rPr>
            </w:pPr>
            <w:r w:rsidRPr="006B02A7">
              <w:rPr>
                <w:sz w:val="26"/>
                <w:szCs w:val="26"/>
              </w:rPr>
              <w:t>Docket No.</w:t>
            </w:r>
          </w:p>
        </w:tc>
        <w:tc>
          <w:tcPr>
            <w:tcW w:w="1893" w:type="dxa"/>
            <w:shd w:val="clear" w:color="auto" w:fill="auto"/>
            <w:tcMar>
              <w:left w:w="144" w:type="dxa"/>
            </w:tcMar>
          </w:tcPr>
          <w:p w:rsidR="009B2286" w:rsidRPr="006B02A7" w:rsidP="007554F4" w14:paraId="4AC35133" w14:textId="77777777">
            <w:pPr>
              <w:rPr>
                <w:rFonts w:eastAsiaTheme="minorHAnsi"/>
                <w:sz w:val="26"/>
                <w:szCs w:val="26"/>
              </w:rPr>
            </w:pPr>
            <w:r w:rsidRPr="006B02A7">
              <w:rPr>
                <w:sz w:val="26"/>
                <w:szCs w:val="26"/>
              </w:rPr>
              <w:t>RM22-14-001</w:t>
            </w:r>
          </w:p>
        </w:tc>
      </w:tr>
    </w:tbl>
    <w:p w:rsidR="009B2286" w:rsidRPr="00894D06" w:rsidP="009B139F" w14:paraId="50A1EFBE" w14:textId="77777777">
      <w:pPr>
        <w:rPr>
          <w:szCs w:val="26"/>
        </w:rPr>
      </w:pPr>
    </w:p>
    <w:p w:rsidR="009B2286" w:rsidRPr="006B02A7" w:rsidP="009B139F" w14:paraId="6F773538" w14:textId="77777777">
      <w:pPr>
        <w:jc w:val="center"/>
        <w:rPr>
          <w:rFonts w:ascii="Times New Roman" w:hAnsi="Times New Roman" w:cs="Times New Roman"/>
          <w:sz w:val="26"/>
          <w:szCs w:val="26"/>
        </w:rPr>
      </w:pPr>
      <w:r w:rsidRPr="006B02A7">
        <w:rPr>
          <w:rFonts w:ascii="Times New Roman" w:hAnsi="Times New Roman" w:cs="Times New Roman"/>
          <w:sz w:val="26"/>
          <w:szCs w:val="26"/>
        </w:rPr>
        <w:t xml:space="preserve">(Issued </w:t>
      </w:r>
      <w:r w:rsidRPr="006B02A7">
        <w:rPr>
          <w:rFonts w:ascii="Times New Roman" w:hAnsi="Times New Roman" w:cs="Times New Roman"/>
          <w:sz w:val="26"/>
          <w:szCs w:val="26"/>
        </w:rPr>
        <w:fldChar w:fldCharType="begin"/>
      </w:r>
      <w:r w:rsidRPr="006B02A7">
        <w:rPr>
          <w:rFonts w:ascii="Times New Roman" w:hAnsi="Times New Roman" w:cs="Times New Roman"/>
          <w:sz w:val="26"/>
          <w:szCs w:val="26"/>
        </w:rPr>
        <w:instrText xml:space="preserve"> MACROBUTTON  AcceptAllChangesInDoc </w:instrText>
      </w:r>
      <w:r w:rsidRPr="006B02A7">
        <w:rPr>
          <w:rFonts w:ascii="Times New Roman" w:hAnsi="Times New Roman" w:cs="Times New Roman"/>
          <w:sz w:val="26"/>
          <w:szCs w:val="26"/>
        </w:rPr>
        <w:fldChar w:fldCharType="end"/>
      </w:r>
      <w:r w:rsidRPr="006B02A7">
        <w:rPr>
          <w:rFonts w:ascii="Times New Roman" w:hAnsi="Times New Roman" w:cs="Times New Roman"/>
          <w:sz w:val="26"/>
          <w:szCs w:val="26"/>
        </w:rPr>
        <w:t>March 21, 2024)</w:t>
      </w:r>
    </w:p>
    <w:p w:rsidR="009B2286" w:rsidRPr="006B02A7" w:rsidP="009B139F" w14:paraId="4B41A672" w14:textId="77777777">
      <w:pPr>
        <w:rPr>
          <w:rFonts w:ascii="Times New Roman" w:hAnsi="Times New Roman" w:cs="Times New Roman"/>
          <w:bCs/>
          <w:sz w:val="26"/>
          <w:szCs w:val="26"/>
        </w:rPr>
      </w:pPr>
      <w:bookmarkStart w:id="917" w:name="Commissioner"/>
      <w:bookmarkEnd w:id="917"/>
      <w:r w:rsidRPr="006B02A7">
        <w:rPr>
          <w:rFonts w:ascii="Times New Roman" w:hAnsi="Times New Roman" w:cs="Times New Roman"/>
          <w:bCs/>
          <w:sz w:val="26"/>
          <w:szCs w:val="26"/>
        </w:rPr>
        <w:t xml:space="preserve">CHRISTIE, Commissioner, </w:t>
      </w:r>
      <w:r w:rsidRPr="006B02A7">
        <w:rPr>
          <w:rFonts w:ascii="Times New Roman" w:hAnsi="Times New Roman" w:cs="Times New Roman"/>
          <w:bCs/>
          <w:i/>
          <w:sz w:val="26"/>
          <w:szCs w:val="26"/>
        </w:rPr>
        <w:t>concurring</w:t>
      </w:r>
      <w:r w:rsidRPr="006B02A7">
        <w:rPr>
          <w:rFonts w:ascii="Times New Roman" w:hAnsi="Times New Roman" w:cs="Times New Roman"/>
          <w:bCs/>
          <w:sz w:val="26"/>
          <w:szCs w:val="26"/>
        </w:rPr>
        <w:t xml:space="preserve">: </w:t>
      </w:r>
      <w:bookmarkStart w:id="918" w:name="Action1"/>
      <w:bookmarkEnd w:id="918"/>
    </w:p>
    <w:p w:rsidR="009B2286" w:rsidRPr="00894D06" w:rsidP="007F034F" w14:paraId="309B3C0E" w14:textId="77777777">
      <w:pPr>
        <w:rPr>
          <w:bCs/>
          <w:szCs w:val="26"/>
        </w:rPr>
      </w:pPr>
    </w:p>
    <w:p w:rsidR="009B2286" w:rsidRPr="006B02A7" w:rsidP="006B02A7" w14:paraId="4E5BBA5B" w14:textId="77777777">
      <w:pPr>
        <w:pStyle w:val="FERCparanumber"/>
        <w:widowControl/>
        <w:numPr>
          <w:ilvl w:val="0"/>
          <w:numId w:val="28"/>
        </w:numPr>
        <w:autoSpaceDE/>
        <w:autoSpaceDN/>
        <w:adjustRightInd/>
        <w:spacing w:after="240"/>
        <w:rPr>
          <w:sz w:val="26"/>
          <w:szCs w:val="26"/>
        </w:rPr>
      </w:pPr>
      <w:r w:rsidRPr="006B02A7">
        <w:rPr>
          <w:sz w:val="26"/>
          <w:szCs w:val="26"/>
        </w:rPr>
        <w:t>I concur with Order No. 2023-A,</w:t>
      </w:r>
      <w:r>
        <w:rPr>
          <w:rStyle w:val="FootnoteReference"/>
        </w:rPr>
        <w:footnoteReference w:id="1229"/>
      </w:r>
      <w:r w:rsidRPr="006B02A7">
        <w:rPr>
          <w:sz w:val="26"/>
          <w:szCs w:val="26"/>
        </w:rPr>
        <w:t xml:space="preserve"> which largely sustains the findings and determinations of its predecessor, Order No. 2023.  I write separately to highlight two issues in the order, which I previously discussed in my concurrence to Order No. 2023.</w:t>
      </w:r>
      <w:r>
        <w:rPr>
          <w:rStyle w:val="FootnoteReference"/>
        </w:rPr>
        <w:footnoteReference w:id="1230"/>
      </w:r>
      <w:r w:rsidRPr="006B02A7">
        <w:rPr>
          <w:sz w:val="26"/>
          <w:szCs w:val="26"/>
        </w:rPr>
        <w:t xml:space="preserve"> </w:t>
      </w:r>
    </w:p>
    <w:p w:rsidR="009B2286" w:rsidRPr="006B02A7" w:rsidP="006B02A7" w14:paraId="300903A9" w14:textId="77777777">
      <w:pPr>
        <w:pStyle w:val="AppendixHeader"/>
        <w:keepNext/>
        <w:keepLines/>
        <w:widowControl/>
        <w:numPr>
          <w:ilvl w:val="0"/>
          <w:numId w:val="29"/>
        </w:numPr>
        <w:autoSpaceDE/>
        <w:autoSpaceDN/>
        <w:adjustRightInd/>
        <w:spacing w:after="260"/>
      </w:pPr>
      <w:r w:rsidRPr="006B02A7">
        <w:t>Enumerated Alternative Transmission Technologies (Section II.E.2.a.iii)</w:t>
      </w:r>
    </w:p>
    <w:p w:rsidR="009B2286" w:rsidRPr="006B02A7" w:rsidP="006B02A7" w14:paraId="64DE32A0"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Order No. 2023-A sustains the determination in Order No. 2023 that transmission providers have the sole discretion in determining whether to use an alternative transmission technology, or grid-enhancing technology (GET), in the interconnection process.  As I explained in my concurrence to Order No. 2023:</w:t>
      </w:r>
    </w:p>
    <w:p w:rsidR="006B02A7" w:rsidP="006B02A7" w14:paraId="3B4901DC" w14:textId="77777777">
      <w:pPr>
        <w:pStyle w:val="FERCparanumber"/>
        <w:numPr>
          <w:ilvl w:val="0"/>
          <w:numId w:val="0"/>
        </w:numPr>
        <w:spacing w:after="240"/>
        <w:ind w:left="1440" w:right="1440"/>
        <w:rPr>
          <w:sz w:val="26"/>
          <w:szCs w:val="26"/>
        </w:rPr>
      </w:pPr>
      <w:r w:rsidRPr="006B02A7">
        <w:rPr>
          <w:sz w:val="26"/>
          <w:szCs w:val="26"/>
        </w:rPr>
        <w:t xml:space="preserve">A GET may hold the potential of squeezing more juice – literally – out of the existing transmission grid.  By increasing the capacity of the existing grid, a GET could reduce or even eliminate the need for the future construction of new </w:t>
      </w:r>
    </w:p>
    <w:p w:rsidR="006B02A7" w:rsidP="006B02A7" w14:paraId="7AD937AD" w14:textId="77777777">
      <w:pPr>
        <w:pStyle w:val="FERCparanumber"/>
        <w:numPr>
          <w:ilvl w:val="0"/>
          <w:numId w:val="0"/>
        </w:numPr>
        <w:spacing w:after="240"/>
        <w:ind w:left="1440" w:right="1440"/>
        <w:rPr>
          <w:sz w:val="26"/>
          <w:szCs w:val="26"/>
        </w:rPr>
      </w:pPr>
    </w:p>
    <w:p w:rsidR="009B2286" w:rsidRPr="006B02A7" w:rsidP="006B02A7" w14:paraId="7A39D11E" w14:textId="77777777">
      <w:pPr>
        <w:pStyle w:val="FERCparanumber"/>
        <w:numPr>
          <w:ilvl w:val="0"/>
          <w:numId w:val="0"/>
        </w:numPr>
        <w:spacing w:after="240"/>
        <w:ind w:left="1440" w:right="1440"/>
        <w:rPr>
          <w:sz w:val="26"/>
          <w:szCs w:val="26"/>
        </w:rPr>
      </w:pPr>
      <w:r w:rsidRPr="006B02A7">
        <w:rPr>
          <w:sz w:val="26"/>
          <w:szCs w:val="26"/>
        </w:rPr>
        <w:t>transmission assets.  So the potential for cost-savings from the use of GETs is too important to ignore.</w:t>
      </w:r>
      <w:r>
        <w:rPr>
          <w:rStyle w:val="FootnoteReference"/>
        </w:rPr>
        <w:footnoteReference w:id="1231"/>
      </w:r>
    </w:p>
    <w:p w:rsidR="009B2286" w:rsidRPr="006B02A7" w:rsidP="006B02A7" w14:paraId="1718740C" w14:textId="77777777">
      <w:pPr>
        <w:pStyle w:val="FERCparanumber"/>
        <w:numPr>
          <w:ilvl w:val="0"/>
          <w:numId w:val="0"/>
        </w:numPr>
        <w:spacing w:after="240"/>
        <w:rPr>
          <w:sz w:val="26"/>
          <w:szCs w:val="26"/>
        </w:rPr>
      </w:pPr>
      <w:r w:rsidRPr="006B02A7">
        <w:rPr>
          <w:sz w:val="26"/>
          <w:szCs w:val="26"/>
        </w:rPr>
        <w:t xml:space="preserve">I emphasized, however, that GETs are </w:t>
      </w:r>
      <w:r w:rsidRPr="006B02A7">
        <w:rPr>
          <w:i/>
          <w:iCs/>
          <w:sz w:val="26"/>
          <w:szCs w:val="26"/>
        </w:rPr>
        <w:t xml:space="preserve">operational </w:t>
      </w:r>
      <w:r w:rsidRPr="006B02A7">
        <w:rPr>
          <w:sz w:val="26"/>
          <w:szCs w:val="26"/>
        </w:rPr>
        <w:t xml:space="preserve">applications, which should be deployed </w:t>
      </w:r>
      <w:r w:rsidRPr="006B02A7">
        <w:rPr>
          <w:i/>
          <w:iCs/>
          <w:sz w:val="26"/>
          <w:szCs w:val="26"/>
        </w:rPr>
        <w:t>when and where their efficacy can be proven</w:t>
      </w:r>
      <w:r w:rsidRPr="006B02A7">
        <w:rPr>
          <w:sz w:val="26"/>
          <w:szCs w:val="26"/>
        </w:rPr>
        <w:t>, and should not be mandated as planning assumptions or as potential substitutes for network upgrades caused by interconnection requests.</w:t>
      </w:r>
      <w:r>
        <w:rPr>
          <w:rStyle w:val="FootnoteReference"/>
        </w:rPr>
        <w:footnoteReference w:id="1232"/>
      </w:r>
      <w:r w:rsidRPr="006B02A7">
        <w:rPr>
          <w:sz w:val="26"/>
          <w:szCs w:val="26"/>
        </w:rPr>
        <w:t xml:space="preserve">  I also noted the different financial incentives at play:  transmission owners will typically favor the construction of costly new transmission assets over deploying GETs, whereas companies who sell GETs and generation developers—particularly those in RTOs/ISOs that use participant funding to pay for the costs of network upgrades caused by the interconnecting customers—want GETs to be mandated.</w:t>
      </w:r>
      <w:r>
        <w:rPr>
          <w:rStyle w:val="FootnoteReference"/>
        </w:rPr>
        <w:footnoteReference w:id="1233"/>
      </w:r>
      <w:r w:rsidRPr="006B02A7">
        <w:rPr>
          <w:sz w:val="26"/>
          <w:szCs w:val="26"/>
        </w:rPr>
        <w:t xml:space="preserve">  Therefore, it was crucial to strike the right balance in the order.</w:t>
      </w:r>
      <w:r>
        <w:rPr>
          <w:rStyle w:val="FootnoteReference"/>
        </w:rPr>
        <w:footnoteReference w:id="1234"/>
      </w:r>
    </w:p>
    <w:p w:rsidR="009B2286" w:rsidRPr="006B02A7" w:rsidP="006B02A7" w14:paraId="2028A57C"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And Order No. 2023 did just that.  Order No. 2023 required the evaluation of certain listed GETs in the interconnection studies process but did not require that a GET must be deployed as an alternative to a necessary network upgrade.</w:t>
      </w:r>
      <w:r>
        <w:rPr>
          <w:rStyle w:val="FootnoteReference"/>
        </w:rPr>
        <w:footnoteReference w:id="1235"/>
      </w:r>
      <w:r w:rsidRPr="006B02A7">
        <w:rPr>
          <w:sz w:val="26"/>
          <w:szCs w:val="26"/>
        </w:rPr>
        <w:t xml:space="preserve">  Further, and most importantly, Order No. 2023 made clear that the determination in each case was to be made at the </w:t>
      </w:r>
      <w:r w:rsidRPr="006B02A7">
        <w:rPr>
          <w:i/>
          <w:iCs/>
          <w:sz w:val="26"/>
          <w:szCs w:val="26"/>
        </w:rPr>
        <w:t xml:space="preserve">sole </w:t>
      </w:r>
      <w:r w:rsidRPr="006B02A7">
        <w:rPr>
          <w:sz w:val="26"/>
          <w:szCs w:val="26"/>
        </w:rPr>
        <w:t>discretion of the transmission provider (i.e., RTO/ISOs or non-RTO transmission providers).</w:t>
      </w:r>
      <w:r>
        <w:rPr>
          <w:rStyle w:val="FootnoteReference"/>
        </w:rPr>
        <w:footnoteReference w:id="1236"/>
      </w:r>
      <w:r w:rsidRPr="006B02A7">
        <w:rPr>
          <w:sz w:val="26"/>
          <w:szCs w:val="26"/>
        </w:rPr>
        <w:t xml:space="preserve">  This is crucial because transmission providers are responsible for resolving the reliability issues caused by a particular interconnection, and there is a risk that a GET could fail, prompting a later, potentially more costly, network upgrade.</w:t>
      </w:r>
      <w:r>
        <w:rPr>
          <w:rStyle w:val="FootnoteReference"/>
        </w:rPr>
        <w:footnoteReference w:id="1237"/>
      </w:r>
      <w:r w:rsidRPr="006B02A7">
        <w:rPr>
          <w:sz w:val="26"/>
          <w:szCs w:val="26"/>
        </w:rPr>
        <w:t xml:space="preserve">  And, of course, for that subsequent reliability upgrade, consumers would likely get stuck with the bill, not the generation developer.</w:t>
      </w:r>
    </w:p>
    <w:p w:rsidR="009B2286" w:rsidRPr="006B02A7" w:rsidP="006B02A7" w14:paraId="52615791"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Order No. 2023-A rightly sustains the discretion that Order No. 2023 affords transmission providers in determining whether to use a GET.  This level of discretion continues to be justified because:</w:t>
      </w:r>
    </w:p>
    <w:p w:rsidR="009B2286" w:rsidRPr="006B02A7" w:rsidP="006B02A7" w14:paraId="7B69477D" w14:textId="77777777">
      <w:pPr>
        <w:pStyle w:val="FERCparanumber"/>
        <w:numPr>
          <w:ilvl w:val="0"/>
          <w:numId w:val="0"/>
        </w:numPr>
        <w:spacing w:after="240"/>
        <w:ind w:left="1440" w:right="1440"/>
        <w:rPr>
          <w:sz w:val="26"/>
          <w:szCs w:val="26"/>
        </w:rPr>
      </w:pPr>
      <w:r w:rsidRPr="006B02A7">
        <w:rPr>
          <w:sz w:val="26"/>
          <w:szCs w:val="26"/>
        </w:rPr>
        <w:t>(1) the transmission provider is responsible for determining whether using any of the enumerated alternative transmission technologies is an appropriate and reliable network upgrade that allows the interconnection customer to flow the output of its generating facility onto the transmission provider’s transmission system in a safe and reliable manner; (2) the requirement to make such a determination before allowing for the use of the enumerated alternative transmission technologies addresses concerns that their use may impinge on reliability, delay network upgrades instead of reducing the need for them or obviating the need for them altogether, or fail to address all transmission system issues that a traditional network upgrade would address; and (3) there is a need to avoid time-consuming delays and costly disputes or litigation over interconnection costs that could arise as a result of this reform.</w:t>
      </w:r>
      <w:r>
        <w:rPr>
          <w:rStyle w:val="FootnoteReference"/>
        </w:rPr>
        <w:footnoteReference w:id="1238"/>
      </w:r>
    </w:p>
    <w:p w:rsidR="009B2286" w:rsidP="00545648" w14:paraId="10E8833E" w14:textId="77777777">
      <w:pPr>
        <w:pStyle w:val="FERCparanumber"/>
        <w:numPr>
          <w:ilvl w:val="0"/>
          <w:numId w:val="0"/>
        </w:numPr>
        <w:rPr>
          <w:sz w:val="26"/>
          <w:szCs w:val="26"/>
        </w:rPr>
      </w:pPr>
      <w:r w:rsidRPr="006B02A7">
        <w:rPr>
          <w:sz w:val="26"/>
          <w:szCs w:val="26"/>
        </w:rPr>
        <w:t>Order No. 2023-A also clarifies that transmission providers must explain their evaluation of GETs f</w:t>
      </w:r>
      <w:r w:rsidRPr="006B02A7">
        <w:rPr>
          <w:iCs/>
          <w:sz w:val="26"/>
          <w:szCs w:val="26"/>
        </w:rPr>
        <w:t>or feasibility, cost, and time savings as an alternative to a traditional network upgrade</w:t>
      </w:r>
      <w:r w:rsidRPr="006B02A7">
        <w:rPr>
          <w:sz w:val="26"/>
          <w:szCs w:val="26"/>
        </w:rPr>
        <w:t xml:space="preserve"> in their applicable study report(s), and their use determinations </w:t>
      </w:r>
      <w:bookmarkStart w:id="920" w:name="_Hlk161715843"/>
      <w:r w:rsidRPr="006B02A7">
        <w:rPr>
          <w:sz w:val="26"/>
          <w:szCs w:val="26"/>
        </w:rPr>
        <w:t>must be consistent with good utility practice, applicable reliability standards, and applicable laws and regulations</w:t>
      </w:r>
      <w:bookmarkEnd w:id="920"/>
      <w:r w:rsidRPr="006B02A7">
        <w:rPr>
          <w:sz w:val="26"/>
          <w:szCs w:val="26"/>
        </w:rPr>
        <w:t>.</w:t>
      </w:r>
      <w:r>
        <w:rPr>
          <w:rStyle w:val="FootnoteReference"/>
        </w:rPr>
        <w:footnoteReference w:id="1239"/>
      </w:r>
      <w:r w:rsidRPr="006B02A7">
        <w:rPr>
          <w:sz w:val="26"/>
          <w:szCs w:val="26"/>
        </w:rPr>
        <w:t xml:space="preserve">  Thus, as I observed, Order No. 2023 “strikes the appropriate balance between requiring the evaluation of GETs, but not mandating the use of a GET in specific cases unless the transmission provider – and </w:t>
      </w:r>
      <w:r w:rsidRPr="006B02A7">
        <w:rPr>
          <w:i/>
          <w:iCs/>
          <w:sz w:val="26"/>
          <w:szCs w:val="26"/>
        </w:rPr>
        <w:t>only the transmission provider</w:t>
      </w:r>
      <w:r w:rsidRPr="006B02A7">
        <w:rPr>
          <w:sz w:val="26"/>
          <w:szCs w:val="26"/>
        </w:rPr>
        <w:t xml:space="preserve"> – determines it would work from a real-world applicability standpoint.”</w:t>
      </w:r>
      <w:r>
        <w:rPr>
          <w:rStyle w:val="FootnoteReference"/>
        </w:rPr>
        <w:footnoteReference w:id="1240"/>
      </w:r>
      <w:r w:rsidRPr="006B02A7">
        <w:rPr>
          <w:sz w:val="26"/>
          <w:szCs w:val="26"/>
        </w:rPr>
        <w:t xml:space="preserve">  And Order No. 2023-A preserves that balance.</w:t>
      </w:r>
      <w:r w:rsidR="006B02A7">
        <w:rPr>
          <w:sz w:val="26"/>
          <w:szCs w:val="26"/>
        </w:rPr>
        <w:t xml:space="preserve"> </w:t>
      </w:r>
    </w:p>
    <w:p w:rsidR="006B02A7" w:rsidRPr="006B02A7" w:rsidP="00545648" w14:paraId="42FFACAD" w14:textId="77777777">
      <w:pPr>
        <w:pStyle w:val="FERCparanumber"/>
        <w:numPr>
          <w:ilvl w:val="0"/>
          <w:numId w:val="0"/>
        </w:numPr>
        <w:rPr>
          <w:sz w:val="26"/>
          <w:szCs w:val="26"/>
        </w:rPr>
      </w:pPr>
    </w:p>
    <w:p w:rsidR="009B2286" w:rsidRPr="006B02A7" w:rsidP="009B2286" w14:paraId="659049CE" w14:textId="77777777">
      <w:pPr>
        <w:pStyle w:val="Heading1"/>
        <w:keepNext/>
        <w:keepLines/>
        <w:widowControl/>
        <w:numPr>
          <w:ilvl w:val="0"/>
          <w:numId w:val="24"/>
        </w:numPr>
        <w:autoSpaceDE/>
        <w:autoSpaceDN/>
        <w:adjustRightInd/>
        <w:spacing w:after="260"/>
        <w:rPr>
          <w:sz w:val="26"/>
          <w:szCs w:val="26"/>
        </w:rPr>
      </w:pPr>
      <w:r w:rsidRPr="006B02A7">
        <w:rPr>
          <w:sz w:val="26"/>
          <w:szCs w:val="26"/>
        </w:rPr>
        <w:t>Inappropriate Allocation of Certain Costs to Consumers</w:t>
      </w:r>
    </w:p>
    <w:p w:rsidR="009B2286" w:rsidRPr="006B02A7" w:rsidP="006B02A7" w14:paraId="6B6C3F52"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I remain concerned that study delay penalties on RTOs/ISOs and the costs of transmission provider heatmaps used as a tool for interconnection customers</w:t>
      </w:r>
      <w:r w:rsidRPr="006B02A7">
        <w:rPr>
          <w:sz w:val="26"/>
          <w:szCs w:val="26"/>
        </w:rPr>
        <w:t xml:space="preserve"> </w:t>
      </w:r>
      <w:r w:rsidRPr="006B02A7">
        <w:rPr>
          <w:sz w:val="26"/>
          <w:szCs w:val="26"/>
        </w:rPr>
        <w:t>will be inappropriately allocated to consumers even though they both appear to provide much more of a benefit to generation developers than consumers.</w:t>
      </w:r>
      <w:r>
        <w:rPr>
          <w:rStyle w:val="FootnoteReference"/>
        </w:rPr>
        <w:footnoteReference w:id="1241"/>
      </w:r>
      <w:r w:rsidRPr="006B02A7">
        <w:rPr>
          <w:sz w:val="26"/>
          <w:szCs w:val="26"/>
        </w:rPr>
        <w:t xml:space="preserve">  I address each in turn.</w:t>
      </w:r>
    </w:p>
    <w:p w:rsidR="009B2286" w:rsidRPr="006908E3" w:rsidP="009B2286" w14:paraId="32C624AD"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rPr>
      </w:pPr>
      <w:r w:rsidRPr="006908E3">
        <w:rPr>
          <w:b/>
          <w:bCs/>
          <w:sz w:val="26"/>
          <w:szCs w:val="26"/>
        </w:rPr>
        <w:t>Study Delay Penalties on RTO/ISOs (Section II.D.1.c.iii)</w:t>
      </w:r>
    </w:p>
    <w:p w:rsidR="009B2286" w:rsidRPr="006B02A7" w:rsidP="006B02A7" w14:paraId="7679CC4C"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Order No. 2023-A sustains the imposition of penalties on transmission providers who miss study deadlines.  As I expressed in my Order No. 2023 Concurrence, I have concerns about assessing study penalties on RTOs/ISOs, which are not-for-profit entities with no stockholders.</w:t>
      </w:r>
      <w:r>
        <w:rPr>
          <w:rStyle w:val="FootnoteReference"/>
        </w:rPr>
        <w:footnoteReference w:id="1242"/>
      </w:r>
      <w:r w:rsidRPr="006B02A7">
        <w:rPr>
          <w:sz w:val="26"/>
          <w:szCs w:val="26"/>
        </w:rPr>
        <w:t xml:space="preserve">  </w:t>
      </w:r>
    </w:p>
    <w:p w:rsidR="009B2286" w:rsidRPr="006B02A7" w:rsidP="006B02A7" w14:paraId="399F7C71"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Order No. 2023 left open the question of how RTOs/ISOs will recover those study delay penalties that are not automatically imposed on a transmission-owning member by explaining that RTOs/ISOs may submit an FPA section 205 filing to propose a cost recovery scheme for these penalties.</w:t>
      </w:r>
      <w:r>
        <w:rPr>
          <w:rStyle w:val="FootnoteReference"/>
        </w:rPr>
        <w:footnoteReference w:id="1243"/>
      </w:r>
      <w:r w:rsidRPr="006B02A7">
        <w:rPr>
          <w:sz w:val="26"/>
          <w:szCs w:val="26"/>
        </w:rPr>
        <w:t xml:space="preserve">  Unfortunately, Order No. 2023-A continues to punt this question, stating that it will address any future RTO/ISO section 205 proposal to recover the costs of study delay penalties on case-by-case basis.</w:t>
      </w:r>
      <w:r>
        <w:rPr>
          <w:rStyle w:val="FootnoteReference"/>
        </w:rPr>
        <w:footnoteReference w:id="1244"/>
      </w:r>
      <w:r w:rsidRPr="006B02A7">
        <w:rPr>
          <w:sz w:val="26"/>
          <w:szCs w:val="26"/>
        </w:rPr>
        <w:t xml:space="preserve">  I urge that any such RTO/ISO filing make protections to consumers paramount.  In any scenario, the costs of penalties should not be imposed on retail customers, for the obvious reason they are not the cause of the penalties.  I would add that the fact that Order No. 2023-A still fails to answer the fundamental question of “who pays?” illustrates the legal and policy flaws in the penalty scheme as applied to RTOs/ISOs.  No doubt we will continue to hear more about this issue.</w:t>
      </w:r>
    </w:p>
    <w:p w:rsidR="009B2286" w:rsidRPr="006908E3" w:rsidP="009B2286" w14:paraId="3675C634" w14:textId="77777777">
      <w:pPr>
        <w:pStyle w:val="Heading2"/>
        <w:keepNext/>
        <w:keepLines/>
        <w:widowControl/>
        <w:numPr>
          <w:ilvl w:val="1"/>
          <w:numId w:val="24"/>
        </w:numPr>
        <w:tabs>
          <w:tab w:val="clear" w:pos="0"/>
          <w:tab w:val="clear" w:pos="720"/>
          <w:tab w:val="clear" w:pos="2160"/>
          <w:tab w:val="clear" w:pos="2880"/>
          <w:tab w:val="clear" w:pos="3600"/>
          <w:tab w:val="clear" w:pos="4320"/>
          <w:tab w:val="clear" w:pos="504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autoSpaceDE/>
        <w:autoSpaceDN/>
        <w:adjustRightInd/>
        <w:spacing w:after="260"/>
        <w:rPr>
          <w:b/>
          <w:bCs/>
          <w:sz w:val="26"/>
          <w:szCs w:val="26"/>
        </w:rPr>
      </w:pPr>
      <w:r w:rsidRPr="006908E3">
        <w:rPr>
          <w:b/>
          <w:bCs/>
          <w:sz w:val="26"/>
          <w:szCs w:val="26"/>
        </w:rPr>
        <w:t>Cost of Heatmap (Section II.C.1.c)</w:t>
      </w:r>
    </w:p>
    <w:p w:rsidR="009B2286" w:rsidRPr="006B02A7" w:rsidP="006B02A7" w14:paraId="5F4199D9"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In addition, although I support the heatmap requirement, I remain concerned over its potential funding through transmission rates.</w:t>
      </w:r>
      <w:r>
        <w:rPr>
          <w:rStyle w:val="FootnoteReference"/>
        </w:rPr>
        <w:footnoteReference w:id="1245"/>
      </w:r>
      <w:r w:rsidRPr="006B02A7">
        <w:rPr>
          <w:sz w:val="26"/>
          <w:szCs w:val="26"/>
        </w:rPr>
        <w:t xml:space="preserve">  Order No. 2023-A sustains the determination that transmission providers must bear the costs associated with their heatmaps or recover them through transmission rates to the extent they are recoverable consistent with Commission accounting and ratemaking policy, finding that interconnection customers are not the sole or primary beneficiaries of the heatmap requirement.</w:t>
      </w:r>
      <w:r>
        <w:rPr>
          <w:rStyle w:val="FootnoteReference"/>
        </w:rPr>
        <w:footnoteReference w:id="1246"/>
      </w:r>
    </w:p>
    <w:p w:rsidR="009B2286" w:rsidRPr="006B02A7" w:rsidP="006B02A7" w14:paraId="72B7F551"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I agree with this rationale only with respect to those regions in which transmission providers which do not use participant funding—</w:t>
      </w:r>
      <w:r w:rsidRPr="006B02A7">
        <w:rPr>
          <w:i/>
          <w:iCs/>
          <w:sz w:val="26"/>
          <w:szCs w:val="26"/>
        </w:rPr>
        <w:t>i.e</w:t>
      </w:r>
      <w:r w:rsidRPr="006B02A7">
        <w:rPr>
          <w:sz w:val="26"/>
          <w:szCs w:val="26"/>
        </w:rPr>
        <w:t xml:space="preserve">., in those regions where the transmission provider’s load ultimately reimburses (or more accurately, subsidizes) interconnection customers for their interconnection costs.  As heatmaps serve to identify viable points of interconnection and improve queue efficiency, they help to reduce interconnection costs.  Thus, </w:t>
      </w:r>
      <w:r w:rsidRPr="006B02A7">
        <w:rPr>
          <w:i/>
          <w:iCs/>
          <w:sz w:val="26"/>
          <w:szCs w:val="26"/>
        </w:rPr>
        <w:t>ceteris paribus</w:t>
      </w:r>
      <w:r w:rsidRPr="006B02A7">
        <w:rPr>
          <w:sz w:val="26"/>
          <w:szCs w:val="26"/>
        </w:rPr>
        <w:t xml:space="preserve">, heatmaps will indirectly reduce the magnitude of the reimbursements of interconnection costs paid by load to interconnection customers. </w:t>
      </w:r>
    </w:p>
    <w:p w:rsidR="009B2286" w:rsidRPr="006B02A7" w:rsidP="006B02A7" w14:paraId="164B1C50" w14:textId="77777777">
      <w:pPr>
        <w:pStyle w:val="FERCparanumber"/>
        <w:widowControl/>
        <w:numPr>
          <w:ilvl w:val="0"/>
          <w:numId w:val="28"/>
        </w:numPr>
        <w:tabs>
          <w:tab w:val="num" w:pos="720"/>
        </w:tabs>
        <w:autoSpaceDE/>
        <w:autoSpaceDN/>
        <w:adjustRightInd/>
        <w:spacing w:after="240"/>
        <w:rPr>
          <w:sz w:val="26"/>
          <w:szCs w:val="26"/>
        </w:rPr>
      </w:pPr>
      <w:r w:rsidRPr="006B02A7">
        <w:rPr>
          <w:sz w:val="26"/>
          <w:szCs w:val="26"/>
        </w:rPr>
        <w:t>On the other hand, in regions in which the transmission provider uses participant funding—such as in PJM and MISO—I fail to see how interconnection customers are not the sole or primary beneficiaries of the heatmap requirement.  In those regions, as interconnection customers are ultimately responsible for interconnection costs—with the exception of MISO’s (questionable, in my opinion) assignment to load of 10% of the cost of network upgrades 345 kV and above—the savings that heatmaps provide would inure to generation developers.  I question, therefore, whether the recovery of the cost of heatmaps from load in those regions would be just and reasonable.  As I stated in my Order No. 2023 Concurrence:</w:t>
      </w:r>
    </w:p>
    <w:p w:rsidR="006B02A7" w:rsidP="00C03E24" w14:paraId="5A89F484" w14:textId="77777777">
      <w:pPr>
        <w:pStyle w:val="FERCparanumber"/>
        <w:numPr>
          <w:ilvl w:val="0"/>
          <w:numId w:val="0"/>
        </w:numPr>
        <w:ind w:left="1440" w:right="1440"/>
        <w:rPr>
          <w:sz w:val="26"/>
          <w:szCs w:val="26"/>
        </w:rPr>
      </w:pPr>
      <w:r w:rsidRPr="006B02A7">
        <w:rPr>
          <w:sz w:val="26"/>
          <w:szCs w:val="26"/>
        </w:rPr>
        <w:t xml:space="preserve">Commission policy may dictate that interconnection queue efficiency benefits transmission customers; however, that should not result in the costs of a requirement that best benefits interconnection customers, and really </w:t>
      </w:r>
      <w:r w:rsidRPr="006B02A7">
        <w:rPr>
          <w:i/>
          <w:iCs/>
          <w:sz w:val="26"/>
          <w:szCs w:val="26"/>
        </w:rPr>
        <w:t>prospective</w:t>
      </w:r>
      <w:r w:rsidRPr="006B02A7">
        <w:rPr>
          <w:sz w:val="26"/>
          <w:szCs w:val="26"/>
        </w:rPr>
        <w:t xml:space="preserve"> interconnection customers that may ultimately not seek to </w:t>
      </w:r>
    </w:p>
    <w:p w:rsidR="006B02A7" w:rsidP="00C03E24" w14:paraId="7976426B" w14:textId="77777777">
      <w:pPr>
        <w:pStyle w:val="FERCparanumber"/>
        <w:numPr>
          <w:ilvl w:val="0"/>
          <w:numId w:val="0"/>
        </w:numPr>
        <w:ind w:left="1440" w:right="1440"/>
        <w:rPr>
          <w:sz w:val="26"/>
          <w:szCs w:val="26"/>
        </w:rPr>
      </w:pPr>
    </w:p>
    <w:p w:rsidR="009B2286" w:rsidRPr="006B02A7" w:rsidP="00C03E24" w14:paraId="48DEF43D" w14:textId="77777777">
      <w:pPr>
        <w:pStyle w:val="FERCparanumber"/>
        <w:numPr>
          <w:ilvl w:val="0"/>
          <w:numId w:val="0"/>
        </w:numPr>
        <w:ind w:left="1440" w:right="1440"/>
        <w:rPr>
          <w:sz w:val="26"/>
          <w:szCs w:val="26"/>
        </w:rPr>
      </w:pPr>
      <w:r w:rsidRPr="006B02A7">
        <w:rPr>
          <w:sz w:val="26"/>
          <w:szCs w:val="26"/>
        </w:rPr>
        <w:t xml:space="preserve">interconnect, being recovered from </w:t>
      </w:r>
      <w:r w:rsidRPr="006B02A7">
        <w:rPr>
          <w:i/>
          <w:iCs/>
          <w:sz w:val="26"/>
          <w:szCs w:val="26"/>
        </w:rPr>
        <w:t>consumers</w:t>
      </w:r>
      <w:r w:rsidRPr="006B02A7">
        <w:rPr>
          <w:sz w:val="26"/>
          <w:szCs w:val="26"/>
        </w:rPr>
        <w:t xml:space="preserve"> through transmission rates</w:t>
      </w:r>
      <w:r w:rsidRPr="006B02A7">
        <w:rPr>
          <w:i/>
          <w:iCs/>
          <w:sz w:val="26"/>
          <w:szCs w:val="26"/>
        </w:rPr>
        <w:t xml:space="preserve"> carte</w:t>
      </w:r>
      <w:r w:rsidRPr="006B02A7">
        <w:rPr>
          <w:sz w:val="26"/>
          <w:szCs w:val="26"/>
        </w:rPr>
        <w:t xml:space="preserve"> </w:t>
      </w:r>
      <w:r w:rsidRPr="006B02A7">
        <w:rPr>
          <w:i/>
          <w:iCs/>
          <w:sz w:val="26"/>
          <w:szCs w:val="26"/>
        </w:rPr>
        <w:t>blanche</w:t>
      </w:r>
      <w:r w:rsidRPr="006B02A7">
        <w:rPr>
          <w:sz w:val="26"/>
          <w:szCs w:val="26"/>
        </w:rPr>
        <w:t>.</w:t>
      </w:r>
      <w:r>
        <w:rPr>
          <w:rStyle w:val="FootnoteReference"/>
        </w:rPr>
        <w:footnoteReference w:id="1247"/>
      </w:r>
      <w:r w:rsidRPr="006B02A7">
        <w:rPr>
          <w:sz w:val="26"/>
          <w:szCs w:val="26"/>
        </w:rPr>
        <w:t xml:space="preserve"> </w:t>
      </w:r>
    </w:p>
    <w:p w:rsidR="009B2286" w:rsidRPr="006B02A7" w:rsidP="001840A7" w14:paraId="2C4C9B42" w14:textId="77777777">
      <w:pPr>
        <w:pStyle w:val="FERCparanumber"/>
        <w:numPr>
          <w:ilvl w:val="0"/>
          <w:numId w:val="0"/>
        </w:numPr>
        <w:rPr>
          <w:sz w:val="26"/>
          <w:szCs w:val="26"/>
        </w:rPr>
      </w:pPr>
    </w:p>
    <w:p w:rsidR="009B2286" w:rsidRPr="006B02A7" w:rsidP="007F034F" w14:paraId="11ECF750" w14:textId="77777777">
      <w:pPr>
        <w:pStyle w:val="FERCparanumber"/>
        <w:numPr>
          <w:ilvl w:val="0"/>
          <w:numId w:val="0"/>
        </w:numPr>
        <w:ind w:firstLine="720"/>
        <w:rPr>
          <w:sz w:val="26"/>
          <w:szCs w:val="26"/>
        </w:rPr>
      </w:pPr>
      <w:r w:rsidRPr="006B02A7">
        <w:rPr>
          <w:sz w:val="26"/>
          <w:szCs w:val="26"/>
        </w:rPr>
        <w:t>For these reasons, I concur.</w:t>
      </w:r>
    </w:p>
    <w:p w:rsidR="009B2286" w:rsidRPr="006B02A7" w:rsidP="007F034F" w14:paraId="4AD884B7" w14:textId="77777777">
      <w:pPr>
        <w:rPr>
          <w:rFonts w:ascii="Times New Roman" w:hAnsi="Times New Roman" w:cs="Times New Roman"/>
          <w:sz w:val="26"/>
          <w:szCs w:val="26"/>
        </w:rPr>
      </w:pPr>
    </w:p>
    <w:p w:rsidR="009B2286" w:rsidRPr="006B02A7" w:rsidP="007F034F" w14:paraId="6F683359" w14:textId="77777777">
      <w:pPr>
        <w:rPr>
          <w:rFonts w:ascii="Times New Roman" w:hAnsi="Times New Roman" w:cs="Times New Roman"/>
          <w:sz w:val="26"/>
          <w:szCs w:val="26"/>
        </w:rPr>
      </w:pPr>
    </w:p>
    <w:p w:rsidR="009B2286" w:rsidRPr="006B02A7" w:rsidP="007F034F" w14:paraId="0B86D97E" w14:textId="77777777">
      <w:pPr>
        <w:rPr>
          <w:rFonts w:ascii="Times New Roman" w:hAnsi="Times New Roman" w:cs="Times New Roman"/>
          <w:sz w:val="26"/>
          <w:szCs w:val="26"/>
        </w:rPr>
      </w:pPr>
      <w:r w:rsidRPr="006B02A7">
        <w:rPr>
          <w:rFonts w:ascii="Times New Roman" w:hAnsi="Times New Roman" w:cs="Times New Roman"/>
          <w:sz w:val="26"/>
          <w:szCs w:val="26"/>
        </w:rPr>
        <w:t>______________________________</w:t>
      </w:r>
    </w:p>
    <w:p w:rsidR="009B2286" w:rsidRPr="006B02A7" w:rsidP="00593486" w14:paraId="4F526980" w14:textId="77777777">
      <w:pPr>
        <w:spacing w:after="0" w:line="240" w:lineRule="auto"/>
        <w:rPr>
          <w:rFonts w:ascii="Times New Roman" w:hAnsi="Times New Roman" w:cs="Times New Roman"/>
          <w:sz w:val="26"/>
          <w:szCs w:val="26"/>
        </w:rPr>
      </w:pPr>
      <w:r w:rsidRPr="006B02A7">
        <w:rPr>
          <w:rFonts w:ascii="Times New Roman" w:hAnsi="Times New Roman" w:cs="Times New Roman"/>
          <w:sz w:val="26"/>
          <w:szCs w:val="26"/>
        </w:rPr>
        <w:t>Mark C. Christie</w:t>
      </w:r>
    </w:p>
    <w:p w:rsidR="009B2286" w:rsidRPr="006B02A7" w:rsidP="00593486" w14:paraId="27A62C38" w14:textId="77777777">
      <w:pPr>
        <w:spacing w:after="0" w:line="240" w:lineRule="auto"/>
        <w:rPr>
          <w:rFonts w:ascii="Times New Roman" w:hAnsi="Times New Roman" w:cs="Times New Roman"/>
          <w:sz w:val="26"/>
          <w:szCs w:val="26"/>
        </w:rPr>
      </w:pPr>
      <w:r w:rsidRPr="006B02A7">
        <w:rPr>
          <w:rFonts w:ascii="Times New Roman" w:hAnsi="Times New Roman" w:cs="Times New Roman"/>
          <w:sz w:val="26"/>
          <w:szCs w:val="26"/>
        </w:rPr>
        <w:t>Commissioner</w:t>
      </w:r>
    </w:p>
    <w:p w:rsidR="009B2286" w:rsidRPr="006B02A7" w:rsidP="009B139F" w14:paraId="2CFB1638" w14:textId="77777777">
      <w:pPr>
        <w:rPr>
          <w:rFonts w:ascii="Times New Roman" w:hAnsi="Times New Roman" w:cs="Times New Roman"/>
          <w:bCs/>
          <w:sz w:val="26"/>
          <w:szCs w:val="26"/>
        </w:rPr>
      </w:pPr>
    </w:p>
    <w:bookmarkEnd w:id="916"/>
    <w:p w:rsidR="009B2286" w:rsidRPr="006B02A7" w:rsidP="009B139F" w14:paraId="37902CD3" w14:textId="77777777">
      <w:pPr>
        <w:rPr>
          <w:rFonts w:ascii="Times New Roman" w:hAnsi="Times New Roman" w:cs="Times New Roman"/>
          <w:sz w:val="26"/>
          <w:szCs w:val="26"/>
        </w:rPr>
      </w:pPr>
    </w:p>
    <w:p w:rsidR="00912E37" w:rsidRPr="006B02A7" w14:paraId="31146342" w14:textId="77777777">
      <w:pPr>
        <w:rPr>
          <w:rFonts w:ascii="Times New Roman" w:hAnsi="Times New Roman" w:cs="Times New Roman"/>
          <w:sz w:val="26"/>
          <w:szCs w:val="26"/>
        </w:rPr>
      </w:pPr>
    </w:p>
    <w:sectPr w:rsidSect="006B02A7">
      <w:headerReference w:type="even" r:id="rId73"/>
      <w:headerReference w:type="default" r:id="rId74"/>
      <w:footerReference w:type="even" r:id="rId75"/>
      <w:footerReference w:type="default" r:id="rId76"/>
      <w:headerReference w:type="first" r:id="rId77"/>
      <w:footerReference w:type="first" r:id="rId78"/>
      <w:footnotePr>
        <w:numRestart w:val="eachSect"/>
      </w:footnotePr>
      <w:pgSz w:w="12240" w:h="15840"/>
      <w:pgMar w:top="1440" w:right="1440" w:bottom="1440" w:left="1440" w:header="1440" w:footer="1440" w:gutter="0"/>
      <w:pgNumType w:fmt="numberInDash"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0145" w:rsidP="00911580" w14:paraId="7BCDF0E0" w14:textId="77777777">
      <w:pPr>
        <w:spacing w:after="0" w:line="240" w:lineRule="auto"/>
      </w:pPr>
      <w:r>
        <w:separator/>
      </w:r>
    </w:p>
    <w:p w:rsidR="00670145" w14:paraId="269ECBEB" w14:textId="77777777"/>
  </w:endnote>
  <w:endnote w:type="continuationSeparator" w:id="1">
    <w:p w:rsidR="00670145" w:rsidP="00911580" w14:paraId="20C8C2DD" w14:textId="77777777">
      <w:pPr>
        <w:spacing w:after="0" w:line="240" w:lineRule="auto"/>
      </w:pPr>
      <w:r>
        <w:continuationSeparator/>
      </w:r>
    </w:p>
    <w:p w:rsidR="00670145" w14:paraId="50E8495D" w14:textId="77777777"/>
  </w:endnote>
  <w:endnote w:type="continuationNotice" w:id="2">
    <w:p w:rsidR="00670145" w14:paraId="68D6C37A" w14:textId="77777777">
      <w:pPr>
        <w:spacing w:after="0" w:line="240" w:lineRule="auto"/>
      </w:pPr>
    </w:p>
    <w:p w:rsidR="00670145" w14:paraId="121608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lt">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476415" w:rsidP="00476415" w14:paraId="3B335DEE" w14:textId="03E8D5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313B1C95" w14:textId="77777777">
    <w:pPr>
      <w:tabs>
        <w:tab w:val="left" w:pos="4180"/>
      </w:tabs>
      <w:jc w:val="center"/>
      <w:rPr>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5CFEC4CF" w14:textId="77777777">
    <w:pPr>
      <w:framePr w:wrap="notBeside" w:hAnchor="text" w:xAlign="center"/>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57802E04" w14:textId="77777777">
    <w:pPr>
      <w:framePr w:wrap="notBeside" w:hAnchor="text" w:xAlign="center"/>
      <w:rPr>
        <w:rFonts w:ascii="Arial" w:hAnsi="Arial" w:cs="Arial"/>
        <w:sz w:val="26"/>
        <w:szCs w:val="26"/>
      </w:rPr>
    </w:pPr>
  </w:p>
  <w:p w:rsidR="00911580" w14:paraId="6B7223F8" w14:textId="77777777">
    <w:pPr>
      <w:rPr>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2B60F99A" w14:textId="77777777">
    <w:pPr>
      <w:jc w:val="center"/>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35AFE09F" w14:textId="77777777">
    <w:pPr>
      <w:rPr>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264FA1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w:t>
    </w:r>
    <w:r>
      <w:rPr>
        <w:rStyle w:val="PageNumber"/>
      </w:rPr>
      <w:fldChar w:fldCharType="end"/>
    </w:r>
  </w:p>
  <w:p w:rsidR="00F3594B" w14:paraId="58052B24"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26B89EB8" w14:textId="77777777">
    <w:pPr>
      <w:pStyle w:val="Footer"/>
      <w:framePr w:wrap="around" w:vAnchor="text" w:hAnchor="margin" w:xAlign="center" w:y="1"/>
      <w:rPr>
        <w:sz w:val="26"/>
        <w:szCs w:val="26"/>
      </w:rPr>
    </w:pPr>
  </w:p>
  <w:p w:rsidR="00F3594B" w14:paraId="13ADC01B" w14:textId="77777777">
    <w:pPr>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4A91150F"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E64220" w14:paraId="7FCBA507" w14:textId="77777777">
    <w:pPr>
      <w:pStyle w:val="Footer"/>
      <w:framePr w:wrap="around" w:vAnchor="text" w:hAnchor="margin" w:xAlign="center" w:y="1"/>
    </w:pPr>
    <w:r w:rsidRPr="00E64220">
      <w:rPr>
        <w:rStyle w:val="PageNumber"/>
      </w:rPr>
      <w:t xml:space="preserve">- </w:t>
    </w:r>
    <w:r w:rsidRPr="00E64220">
      <w:rPr>
        <w:rStyle w:val="PageNumber"/>
      </w:rPr>
      <w:fldChar w:fldCharType="begin"/>
    </w:r>
    <w:r w:rsidRPr="00E64220">
      <w:rPr>
        <w:rStyle w:val="PageNumber"/>
      </w:rPr>
      <w:instrText xml:space="preserve"> PAGE </w:instrText>
    </w:r>
    <w:r w:rsidRPr="00E64220">
      <w:rPr>
        <w:rStyle w:val="PageNumber"/>
      </w:rPr>
      <w:fldChar w:fldCharType="separate"/>
    </w:r>
    <w:r>
      <w:rPr>
        <w:rStyle w:val="PageNumber"/>
        <w:noProof/>
      </w:rPr>
      <w:t>vii</w:t>
    </w:r>
    <w:r w:rsidRPr="00E64220">
      <w:rPr>
        <w:rStyle w:val="PageNumber"/>
      </w:rPr>
      <w:fldChar w:fldCharType="end"/>
    </w:r>
    <w:r w:rsidRPr="00E64220">
      <w:rPr>
        <w:rStyle w:val="PageNumber"/>
      </w:rPr>
      <w:t xml:space="preserve"> -</w:t>
    </w:r>
  </w:p>
  <w:p w:rsidR="00F3594B" w14:paraId="4286F1D5" w14:textId="77777777">
    <w:pPr>
      <w:rPr>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49ED063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- 46 -</w:t>
    </w:r>
    <w:r>
      <w:rPr>
        <w:rStyle w:val="PageNumber"/>
      </w:rPr>
      <w:fldChar w:fldCharType="end"/>
    </w:r>
  </w:p>
  <w:p w:rsidR="00F3594B" w14:paraId="2514981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2545A6" w14:paraId="7833A151" w14:textId="77777777">
    <w:pPr>
      <w:framePr w:wrap="notBeside" w:vAnchor="text" w:hAnchor="page" w:x="6014" w:y="385"/>
      <w:rPr>
        <w:rFonts w:cs="Arial"/>
        <w:sz w:val="26"/>
        <w:szCs w:val="26"/>
      </w:rPr>
    </w:pPr>
    <w:r w:rsidRPr="002545A6">
      <w:rPr>
        <w:rFonts w:cs="Arial"/>
        <w:sz w:val="26"/>
        <w:szCs w:val="26"/>
      </w:rPr>
      <w:fldChar w:fldCharType="begin"/>
    </w:r>
    <w:r w:rsidRPr="002545A6">
      <w:rPr>
        <w:rFonts w:cs="Arial"/>
        <w:sz w:val="26"/>
        <w:szCs w:val="26"/>
      </w:rPr>
      <w:instrText xml:space="preserve"> PAGE  </w:instrText>
    </w:r>
    <w:r w:rsidRPr="002545A6">
      <w:rPr>
        <w:rFonts w:cs="Arial"/>
        <w:sz w:val="26"/>
        <w:szCs w:val="26"/>
      </w:rPr>
      <w:fldChar w:fldCharType="separate"/>
    </w:r>
    <w:r>
      <w:rPr>
        <w:rFonts w:cs="Arial"/>
        <w:noProof/>
        <w:sz w:val="26"/>
        <w:szCs w:val="26"/>
      </w:rPr>
      <w:t>iv</w:t>
    </w:r>
    <w:r w:rsidRPr="002545A6">
      <w:rPr>
        <w:rFonts w:cs="Arial"/>
        <w:sz w:val="26"/>
        <w:szCs w:val="26"/>
      </w:rPr>
      <w:fldChar w:fldCharType="end"/>
    </w:r>
  </w:p>
  <w:p w:rsidR="00911580" w14:paraId="6FC08E0B" w14:textId="77777777">
    <w:pPr>
      <w:rPr>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15FB94B5" w14:textId="7777777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4F14884D" w14:textId="77777777"/>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48A58338" w14:textId="7777777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1073CBB7" w14:textId="7777777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4D8C479E" w14:textId="77777777"/>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2B071E29" w14:textId="77777777">
    <w:pPr>
      <w:pStyle w:val="Footer"/>
    </w:pPr>
  </w:p>
  <w:p w:rsidR="00F3594B" w14:paraId="4B1CC2B7" w14:textId="77777777"/>
  <w:p w:rsidR="00F3594B" w14:paraId="2966CCAF" w14:textId="77777777"/>
  <w:p w:rsidR="00F3594B" w14:paraId="67C7261F" w14:textId="77777777"/>
  <w:p w:rsidR="00F3594B" w14:paraId="5E0E5737" w14:textId="77777777"/>
  <w:p w:rsidR="00F3594B" w14:paraId="6734BEA8" w14:textId="77777777"/>
  <w:p w:rsidR="00F3594B" w14:paraId="6D831F86" w14:textId="7777777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4A1849D0" w14:textId="7777777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69889F2A" w14:textId="77777777">
    <w:pPr>
      <w:pStyle w:val="Footer"/>
    </w:pPr>
  </w:p>
  <w:p w:rsidR="00F3594B" w14:paraId="394F0BC3" w14:textId="77777777"/>
  <w:p w:rsidR="00F3594B" w14:paraId="28831B32" w14:textId="77777777"/>
  <w:p w:rsidR="00F3594B" w14:paraId="48B72175" w14:textId="77777777"/>
  <w:p w:rsidR="00F3594B" w14:paraId="348B6C9B" w14:textId="77777777"/>
  <w:p w:rsidR="00F3594B" w14:paraId="63D24DC0" w14:textId="77777777"/>
  <w:p w:rsidR="00F3594B" w14:paraId="15FD979E" w14:textId="77777777"/>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05AE75DC" w14:textId="77777777">
    <w:pPr>
      <w:pStyle w:val="Footer"/>
      <w:jc w:val="center"/>
    </w:pPr>
    <w:r>
      <w:t xml:space="preserve">- </w:t>
    </w:r>
    <w:r>
      <w:fldChar w:fldCharType="begin"/>
    </w:r>
    <w:r>
      <w:instrText xml:space="preserve"> PAGE  \* roman  \* MERGEFORMAT </w:instrText>
    </w:r>
    <w:r>
      <w:fldChar w:fldCharType="separate"/>
    </w:r>
    <w:r>
      <w:rPr>
        <w:noProof/>
      </w:rPr>
      <w:t>ii</w:t>
    </w:r>
    <w:r>
      <w:fldChar w:fldCharType="end"/>
    </w:r>
    <w:r>
      <w:t xml:space="preserve"> -</w:t>
    </w:r>
  </w:p>
  <w:p w:rsidR="00F3594B" w14:paraId="10EC1BEB" w14:textId="7777777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E2422" w14:paraId="55A1B703" w14:textId="77777777">
    <w:pPr>
      <w:pStyle w:val="Footer"/>
    </w:pPr>
    <w:r w:rsidRPr="00FE2422">
      <w:t xml:space="preserve">Small Generator Interconnection Procedures (SGIP) </w:t>
    </w:r>
    <w:r w:rsidRPr="00FE2422">
      <w:tab/>
      <w:t>-</w:t>
    </w:r>
    <w:r>
      <w:t xml:space="preserve"> </w:t>
    </w:r>
    <w:r>
      <w:fldChar w:fldCharType="begin"/>
    </w:r>
    <w:r>
      <w:instrText xml:space="preserve"> PAGE  \* Arabic  \* MERGEFORMAT </w:instrText>
    </w:r>
    <w:r>
      <w:fldChar w:fldCharType="separate"/>
    </w:r>
    <w:r>
      <w:rPr>
        <w:noProof/>
      </w:rPr>
      <w:t>19</w:t>
    </w:r>
    <w:r>
      <w:fldChar w:fldCharType="end"/>
    </w:r>
    <w:r w:rsidRPr="00FE242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2545A6" w14:paraId="7394D358" w14:textId="77777777">
    <w:pPr>
      <w:framePr w:wrap="notBeside" w:vAnchor="text" w:hAnchor="page" w:x="6014" w:y="385"/>
      <w:rPr>
        <w:rFonts w:cs="Arial"/>
        <w:sz w:val="26"/>
        <w:szCs w:val="26"/>
      </w:rPr>
    </w:pPr>
    <w:r w:rsidRPr="002545A6">
      <w:rPr>
        <w:rFonts w:cs="Arial"/>
        <w:sz w:val="26"/>
        <w:szCs w:val="26"/>
      </w:rPr>
      <w:fldChar w:fldCharType="begin"/>
    </w:r>
    <w:r w:rsidRPr="002545A6">
      <w:rPr>
        <w:rFonts w:cs="Arial"/>
        <w:sz w:val="26"/>
        <w:szCs w:val="26"/>
      </w:rPr>
      <w:instrText xml:space="preserve"> PAGE  </w:instrText>
    </w:r>
    <w:r w:rsidRPr="002545A6">
      <w:rPr>
        <w:rFonts w:cs="Arial"/>
        <w:sz w:val="26"/>
        <w:szCs w:val="26"/>
      </w:rPr>
      <w:fldChar w:fldCharType="separate"/>
    </w:r>
    <w:r>
      <w:rPr>
        <w:rFonts w:cs="Arial"/>
        <w:noProof/>
        <w:sz w:val="26"/>
        <w:szCs w:val="26"/>
      </w:rPr>
      <w:t>iv</w:t>
    </w:r>
    <w:r w:rsidRPr="002545A6">
      <w:rPr>
        <w:rFonts w:cs="Arial"/>
        <w:sz w:val="26"/>
        <w:szCs w:val="26"/>
      </w:rPr>
      <w:fldChar w:fldCharType="end"/>
    </w:r>
  </w:p>
  <w:p w:rsidR="00911580" w14:paraId="2F7CBE39" w14:textId="77777777">
    <w:pPr>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E2422" w14:paraId="148882CC" w14:textId="77777777">
    <w:pPr>
      <w:pStyle w:val="Footer"/>
    </w:pPr>
    <w:r>
      <w:t>SGIP Glossary of Terms</w:t>
    </w:r>
    <w:r w:rsidRPr="00FE2422">
      <w:t xml:space="preserve"> </w:t>
    </w:r>
    <w:r w:rsidRPr="00FE2422">
      <w:tab/>
      <w:t>-</w:t>
    </w:r>
    <w:r>
      <w:t xml:space="preserve"> </w:t>
    </w:r>
    <w:r>
      <w:fldChar w:fldCharType="begin"/>
    </w:r>
    <w:r>
      <w:instrText xml:space="preserve"> PAGE  \* Arabic  \* MERGEFORMAT </w:instrText>
    </w:r>
    <w:r>
      <w:fldChar w:fldCharType="separate"/>
    </w:r>
    <w:r>
      <w:rPr>
        <w:noProof/>
      </w:rPr>
      <w:t>3</w:t>
    </w:r>
    <w:r>
      <w:fldChar w:fldCharType="end"/>
    </w:r>
    <w:r>
      <w:t xml:space="preserve"> </w:t>
    </w:r>
    <w:r w:rsidRPr="00FE2422">
      <w:t>-</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E2422" w14:paraId="4A1F1C3A" w14:textId="77777777">
    <w:pPr>
      <w:pStyle w:val="Footer"/>
    </w:pPr>
    <w:r>
      <w:t xml:space="preserve">Small Generator Interconnection Request </w:t>
    </w:r>
    <w:r w:rsidRPr="00FE2422">
      <w:tab/>
      <w:t>-</w:t>
    </w:r>
    <w:r>
      <w:t xml:space="preserve"> </w:t>
    </w:r>
    <w:r>
      <w:fldChar w:fldCharType="begin"/>
    </w:r>
    <w:r>
      <w:instrText xml:space="preserve"> PAGE  \* Arabic  \* MERGEFORMAT </w:instrText>
    </w:r>
    <w:r>
      <w:fldChar w:fldCharType="separate"/>
    </w:r>
    <w:r>
      <w:rPr>
        <w:noProof/>
      </w:rPr>
      <w:t>7</w:t>
    </w:r>
    <w:r>
      <w:fldChar w:fldCharType="end"/>
    </w:r>
    <w:r>
      <w:t xml:space="preserve"> </w:t>
    </w:r>
    <w:r w:rsidRPr="00FE2422">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E2422" w14:paraId="31A9450D" w14:textId="77777777">
    <w:pPr>
      <w:pStyle w:val="Footer"/>
    </w:pPr>
    <w:r>
      <w:t>Small Generator Certification of Codes and Standards</w:t>
    </w:r>
    <w:r w:rsidRPr="00FE2422">
      <w:t>-</w:t>
    </w:r>
    <w:r>
      <w:t xml:space="preserve"> </w:t>
    </w:r>
    <w:r>
      <w:fldChar w:fldCharType="begin"/>
    </w:r>
    <w:r>
      <w:instrText xml:space="preserve"> PAGE  \* Arabic  \* MERGEFORMAT </w:instrText>
    </w:r>
    <w:r>
      <w:fldChar w:fldCharType="separate"/>
    </w:r>
    <w:r>
      <w:rPr>
        <w:noProof/>
      </w:rPr>
      <w:t>1</w:t>
    </w:r>
    <w:r>
      <w:fldChar w:fldCharType="end"/>
    </w:r>
    <w:r>
      <w:t xml:space="preserve"> </w:t>
    </w:r>
    <w:r w:rsidRPr="00FE2422">
      <w:t>-</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E2422" w14:paraId="1215D553" w14:textId="77777777">
    <w:pPr>
      <w:pStyle w:val="Footer"/>
    </w:pPr>
    <w:r>
      <w:t>Small Generator Certification Process</w:t>
    </w:r>
    <w:r w:rsidRPr="00FE2422">
      <w:t>-</w:t>
    </w:r>
    <w:r>
      <w:t xml:space="preserve"> </w:t>
    </w:r>
    <w:r>
      <w:fldChar w:fldCharType="begin"/>
    </w:r>
    <w:r>
      <w:instrText xml:space="preserve"> PAGE  \* Arabic  \* MERGEFORMAT </w:instrText>
    </w:r>
    <w:r>
      <w:fldChar w:fldCharType="separate"/>
    </w:r>
    <w:r>
      <w:rPr>
        <w:noProof/>
      </w:rPr>
      <w:t>2</w:t>
    </w:r>
    <w:r>
      <w:fldChar w:fldCharType="end"/>
    </w:r>
    <w:r>
      <w:t xml:space="preserve"> </w:t>
    </w:r>
    <w:r w:rsidRPr="00FE2422">
      <w:t>-</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E2422" w14:paraId="6C50B57A" w14:textId="77777777">
    <w:pPr>
      <w:pStyle w:val="Footer"/>
    </w:pPr>
    <w:r>
      <w:t>Small Generator 10 kW Inverter Process</w:t>
    </w:r>
    <w:r>
      <w:tab/>
    </w:r>
    <w:r w:rsidRPr="00FE2422">
      <w:t>-</w:t>
    </w:r>
    <w:r>
      <w:t xml:space="preserve"> </w:t>
    </w:r>
    <w:r>
      <w:fldChar w:fldCharType="begin"/>
    </w:r>
    <w:r>
      <w:instrText xml:space="preserve"> PAGE  \* Arabic  \* MERGEFORMAT </w:instrText>
    </w:r>
    <w:r>
      <w:fldChar w:fldCharType="separate"/>
    </w:r>
    <w:r>
      <w:rPr>
        <w:noProof/>
      </w:rPr>
      <w:t>10</w:t>
    </w:r>
    <w:r>
      <w:fldChar w:fldCharType="end"/>
    </w:r>
    <w:r>
      <w:t xml:space="preserve"> </w:t>
    </w:r>
    <w:r w:rsidRPr="00FE2422">
      <w: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6165C9" w14:paraId="412E050D" w14:textId="77777777">
    <w:pPr>
      <w:pStyle w:val="Footer"/>
    </w:pPr>
    <w:r>
      <w:t>SGIP Feasibility Study Agreement</w:t>
    </w:r>
    <w:r>
      <w:tab/>
    </w:r>
    <w:r w:rsidRPr="006165C9">
      <w:t xml:space="preserve">- </w:t>
    </w:r>
    <w:r w:rsidRPr="006165C9">
      <w:fldChar w:fldCharType="begin"/>
    </w:r>
    <w:r w:rsidRPr="006165C9">
      <w:instrText xml:space="preserve"> PAGE  \* Arabic  \* MERGEFORMAT </w:instrText>
    </w:r>
    <w:r w:rsidRPr="006165C9">
      <w:fldChar w:fldCharType="separate"/>
    </w:r>
    <w:r>
      <w:rPr>
        <w:noProof/>
      </w:rPr>
      <w:t>7</w:t>
    </w:r>
    <w:r w:rsidRPr="006165C9">
      <w:fldChar w:fldCharType="end"/>
    </w:r>
    <w:r w:rsidRPr="006165C9">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6165C9" w14:paraId="048364A4" w14:textId="77777777">
    <w:pPr>
      <w:pStyle w:val="Footer"/>
    </w:pPr>
    <w:r>
      <w:t>SGIP System Impact Study Agreement</w:t>
    </w:r>
    <w:r>
      <w:tab/>
    </w:r>
    <w:r w:rsidRPr="006165C9">
      <w:t xml:space="preserve">- </w:t>
    </w:r>
    <w:r>
      <w:fldChar w:fldCharType="begin"/>
    </w:r>
    <w:r>
      <w:instrText xml:space="preserve"> PAGE  \* Arabic  \* MERGEFORMAT </w:instrText>
    </w:r>
    <w:r>
      <w:fldChar w:fldCharType="separate"/>
    </w:r>
    <w:r>
      <w:rPr>
        <w:noProof/>
      </w:rPr>
      <w:t>7</w:t>
    </w:r>
    <w:r>
      <w:fldChar w:fldCharType="end"/>
    </w:r>
    <w:r w:rsidRPr="006165C9">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0B4CAA1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xxvi</w:t>
    </w:r>
    <w:r>
      <w:rPr>
        <w:rStyle w:val="PageNumber"/>
      </w:rPr>
      <w:fldChar w:fldCharType="end"/>
    </w:r>
  </w:p>
  <w:p w:rsidR="00503D78" w14:paraId="17264B4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3D78" w14:paraId="33221C7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03D78" w14:paraId="3EA9B90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7F69A93F" w14:textId="77777777">
    <w:pPr>
      <w:pStyle w:val="Footer"/>
      <w:framePr w:wrap="around" w:vAnchor="text" w:hAnchor="margin" w:xAlign="center" w:y="1"/>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145BE0F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2545A6" w14:paraId="3DF6FC92" w14:textId="77777777">
    <w:pPr>
      <w:framePr w:wrap="notBeside" w:vAnchor="text" w:hAnchor="page" w:x="6014" w:y="385"/>
      <w:rPr>
        <w:rFonts w:cs="Arial"/>
        <w:sz w:val="26"/>
        <w:szCs w:val="26"/>
      </w:rPr>
    </w:pPr>
    <w:r w:rsidRPr="002545A6">
      <w:rPr>
        <w:rFonts w:cs="Arial"/>
        <w:sz w:val="26"/>
        <w:szCs w:val="26"/>
      </w:rPr>
      <w:fldChar w:fldCharType="begin"/>
    </w:r>
    <w:r w:rsidRPr="002545A6">
      <w:rPr>
        <w:rFonts w:cs="Arial"/>
        <w:sz w:val="26"/>
        <w:szCs w:val="26"/>
      </w:rPr>
      <w:instrText xml:space="preserve"> PAGE  </w:instrText>
    </w:r>
    <w:r w:rsidRPr="002545A6">
      <w:rPr>
        <w:rFonts w:cs="Arial"/>
        <w:sz w:val="26"/>
        <w:szCs w:val="26"/>
      </w:rPr>
      <w:fldChar w:fldCharType="separate"/>
    </w:r>
    <w:r>
      <w:rPr>
        <w:rFonts w:cs="Arial"/>
        <w:noProof/>
        <w:sz w:val="26"/>
        <w:szCs w:val="26"/>
      </w:rPr>
      <w:t>iv</w:t>
    </w:r>
    <w:r w:rsidRPr="002545A6">
      <w:rPr>
        <w:rFonts w:cs="Arial"/>
        <w:sz w:val="26"/>
        <w:szCs w:val="26"/>
      </w:rPr>
      <w:fldChar w:fldCharType="end"/>
    </w:r>
  </w:p>
  <w:p w:rsidR="00911580" w14:paraId="47444FB8" w14:textId="77777777">
    <w:pPr>
      <w:rPr>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7981C6B7" w14:textId="77777777">
    <w:pPr>
      <w:pStyle w:val="Footer"/>
      <w:framePr w:wrap="around" w:vAnchor="text" w:hAnchor="margin" w:xAlign="center" w:y="1"/>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 xml:space="preserve"> -</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68FF1C99" w14:textId="77777777">
    <w:pPr>
      <w:pStyle w:val="Footer"/>
      <w:framePr w:wrap="around" w:vAnchor="text" w:hAnchor="margin" w:xAlign="center" w:y="1"/>
    </w:pPr>
    <w:r>
      <w:rPr>
        <w:rStyle w:val="PageNumber"/>
      </w:rPr>
      <w:t xml:space="preserve">Small Generator Interconnection Agreement (SGIA)                                                               </w:t>
    </w:r>
    <w:r>
      <w:rPr>
        <w:rStyle w:val="PageNumber"/>
      </w:rPr>
      <w:fldChar w:fldCharType="begin"/>
    </w:r>
    <w:r>
      <w:rPr>
        <w:rStyle w:val="PageNumber"/>
      </w:rPr>
      <w:instrText xml:space="preserve"> PAGE </w:instrText>
    </w:r>
    <w:r>
      <w:rPr>
        <w:rStyle w:val="PageNumber"/>
      </w:rPr>
      <w:fldChar w:fldCharType="separate"/>
    </w:r>
    <w:r>
      <w:rPr>
        <w:rStyle w:val="PageNumber"/>
        <w:noProof/>
      </w:rPr>
      <w:t>- 18 -</w:t>
    </w:r>
    <w:r>
      <w:rPr>
        <w:rStyle w:val="PageNumber"/>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75376108" w14:textId="77777777">
    <w:pPr>
      <w:pStyle w:val="Footer"/>
      <w:framePr w:wrap="around" w:vAnchor="text" w:hAnchor="margin" w:xAlign="center" w:y="1"/>
      <w:jc w:val="both"/>
    </w:pPr>
    <w:r>
      <w:rPr>
        <w:rStyle w:val="PageNumber"/>
      </w:rPr>
      <w:t xml:space="preserve">Glossary of Terms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1B93" w:rsidRPr="00EB2473" w14:paraId="5487B80E" w14:textId="77777777">
    <w:pPr>
      <w:jc w:val="center"/>
      <w:rPr>
        <w:rFonts w:cs="Arial"/>
        <w:sz w:val="26"/>
        <w:szCs w:val="26"/>
      </w:rPr>
    </w:pPr>
  </w:p>
  <w:p w:rsidR="00961B93" w14:paraId="75ACE23A" w14:textId="77777777">
    <w:pPr>
      <w:rPr>
        <w:sz w:val="24"/>
        <w:szCs w:val="2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39E" w14:paraId="39D53302" w14:textId="77777777">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39E" w14:paraId="3F3A5E1B" w14:textId="7777777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39E" w14:paraId="4D09C30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2545A6" w14:paraId="4E181FA2" w14:textId="77777777">
    <w:pPr>
      <w:framePr w:wrap="notBeside" w:vAnchor="text" w:hAnchor="page" w:x="6014" w:y="385"/>
      <w:rPr>
        <w:rFonts w:cs="Arial"/>
        <w:sz w:val="26"/>
        <w:szCs w:val="26"/>
      </w:rPr>
    </w:pPr>
    <w:r w:rsidRPr="002545A6">
      <w:rPr>
        <w:rFonts w:cs="Arial"/>
        <w:sz w:val="26"/>
        <w:szCs w:val="26"/>
      </w:rPr>
      <w:fldChar w:fldCharType="begin"/>
    </w:r>
    <w:r w:rsidRPr="002545A6">
      <w:rPr>
        <w:rFonts w:cs="Arial"/>
        <w:sz w:val="26"/>
        <w:szCs w:val="26"/>
      </w:rPr>
      <w:instrText xml:space="preserve"> PAGE  </w:instrText>
    </w:r>
    <w:r w:rsidRPr="002545A6">
      <w:rPr>
        <w:rFonts w:cs="Arial"/>
        <w:sz w:val="26"/>
        <w:szCs w:val="26"/>
      </w:rPr>
      <w:fldChar w:fldCharType="separate"/>
    </w:r>
    <w:r>
      <w:rPr>
        <w:rFonts w:cs="Arial"/>
        <w:noProof/>
        <w:sz w:val="26"/>
        <w:szCs w:val="26"/>
      </w:rPr>
      <w:t>iv</w:t>
    </w:r>
    <w:r w:rsidRPr="002545A6">
      <w:rPr>
        <w:rFonts w:cs="Arial"/>
        <w:sz w:val="26"/>
        <w:szCs w:val="26"/>
      </w:rPr>
      <w:fldChar w:fldCharType="end"/>
    </w:r>
  </w:p>
  <w:p w:rsidR="00911580" w14:paraId="0E825DED" w14:textId="77777777">
    <w:pP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2545A6" w14:paraId="28AFA644" w14:textId="77777777">
    <w:pPr>
      <w:framePr w:wrap="notBeside" w:hAnchor="text" w:xAlign="center"/>
      <w:rPr>
        <w:rFonts w:cs="Arial"/>
        <w:sz w:val="26"/>
        <w:szCs w:val="26"/>
      </w:rPr>
    </w:pPr>
    <w:r w:rsidRPr="002545A6">
      <w:rPr>
        <w:rFonts w:cs="Arial"/>
        <w:sz w:val="26"/>
        <w:szCs w:val="26"/>
      </w:rPr>
      <w:fldChar w:fldCharType="begin"/>
    </w:r>
    <w:r w:rsidRPr="002545A6">
      <w:rPr>
        <w:rFonts w:cs="Arial"/>
        <w:sz w:val="26"/>
        <w:szCs w:val="26"/>
      </w:rPr>
      <w:instrText xml:space="preserve"> PAGE  </w:instrText>
    </w:r>
    <w:r w:rsidRPr="002545A6">
      <w:rPr>
        <w:rFonts w:cs="Arial"/>
        <w:sz w:val="26"/>
        <w:szCs w:val="26"/>
      </w:rPr>
      <w:fldChar w:fldCharType="separate"/>
    </w:r>
    <w:r>
      <w:rPr>
        <w:rFonts w:cs="Arial"/>
        <w:noProof/>
        <w:sz w:val="26"/>
        <w:szCs w:val="26"/>
      </w:rPr>
      <w:t>iii</w:t>
    </w:r>
    <w:r w:rsidRPr="002545A6">
      <w:rPr>
        <w:rFonts w:cs="Arial"/>
        <w:sz w:val="26"/>
        <w:szCs w:val="26"/>
      </w:rPr>
      <w:fldChar w:fldCharType="end"/>
    </w:r>
  </w:p>
  <w:p w:rsidR="00911580" w14:paraId="758A5671" w14:textId="77777777">
    <w:pPr>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rsidRPr="000E6265" w14:paraId="79D41C38" w14:textId="529232DC">
    <w:pPr>
      <w:framePr w:wrap="around" w:vAnchor="text" w:hAnchor="margin" w:xAlign="center" w:y="1"/>
      <w:rPr>
        <w:rFonts w:cs="Arial"/>
        <w:sz w:val="26"/>
        <w:szCs w:val="26"/>
      </w:rPr>
    </w:pPr>
  </w:p>
  <w:p w:rsidR="00911580" w14:paraId="594B8861" w14:textId="77777777">
    <w:pPr>
      <w:ind w:right="360"/>
      <w:rPr>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5C5F1074" w14:textId="77777777">
    <w:pPr>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580" w14:paraId="19CA922F" w14:textId="77777777">
    <w:pPr>
      <w:framePr w:wrap="notBeside" w:hAnchor="text" w:xAlign="center"/>
      <w:rPr>
        <w:rFonts w:ascii="Arial" w:hAnsi="Arial" w:cs="Arial"/>
        <w:sz w:val="26"/>
        <w:szCs w:val="26"/>
      </w:rPr>
    </w:pPr>
    <w:r>
      <w:rPr>
        <w:rFonts w:ascii="Arial" w:hAnsi="Arial" w:cs="Arial"/>
        <w:sz w:val="26"/>
        <w:szCs w:val="26"/>
      </w:rPr>
      <w:fldChar w:fldCharType="begin"/>
    </w:r>
    <w:r>
      <w:rPr>
        <w:rFonts w:ascii="Arial" w:hAnsi="Arial" w:cs="Arial"/>
        <w:sz w:val="26"/>
        <w:szCs w:val="26"/>
      </w:rPr>
      <w:instrText xml:space="preserve"> PAGE  </w:instrText>
    </w:r>
    <w:r>
      <w:rPr>
        <w:rFonts w:ascii="Arial" w:hAnsi="Arial" w:cs="Arial"/>
        <w:sz w:val="26"/>
        <w:szCs w:val="26"/>
      </w:rPr>
      <w:fldChar w:fldCharType="separate"/>
    </w:r>
    <w:r>
      <w:rPr>
        <w:rFonts w:ascii="Arial" w:hAnsi="Arial" w:cs="Arial"/>
        <w:noProof/>
        <w:sz w:val="26"/>
        <w:szCs w:val="26"/>
      </w:rPr>
      <w:t>4</w:t>
    </w:r>
    <w:r>
      <w:rPr>
        <w:rFonts w:ascii="Arial" w:hAnsi="Arial" w:cs="Arial"/>
        <w:sz w:val="26"/>
        <w:szCs w:val="26"/>
      </w:rPr>
      <w:fldChar w:fldCharType="end"/>
    </w:r>
  </w:p>
  <w:p w:rsidR="00911580" w14:paraId="0B56C88E"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0145" w:rsidP="00911580" w14:paraId="7630B530" w14:textId="77777777">
      <w:pPr>
        <w:spacing w:after="0" w:line="240" w:lineRule="auto"/>
      </w:pPr>
      <w:r>
        <w:separator/>
      </w:r>
    </w:p>
    <w:p w:rsidR="00670145" w14:paraId="45A3E6F3" w14:textId="77777777"/>
  </w:footnote>
  <w:footnote w:type="continuationSeparator" w:id="1">
    <w:p w:rsidR="00670145" w:rsidP="00911580" w14:paraId="17277C92" w14:textId="77777777">
      <w:pPr>
        <w:spacing w:after="0" w:line="240" w:lineRule="auto"/>
      </w:pPr>
      <w:r>
        <w:continuationSeparator/>
      </w:r>
    </w:p>
    <w:p w:rsidR="00670145" w14:paraId="60E2A310" w14:textId="77777777"/>
  </w:footnote>
  <w:footnote w:type="continuationNotice" w:id="2">
    <w:p w:rsidR="00670145" w:rsidRPr="009E037A" w:rsidP="009E037A" w14:paraId="341C18CC" w14:textId="77777777">
      <w:pPr>
        <w:spacing w:line="14" w:lineRule="exact"/>
        <w:rPr>
          <w:sz w:val="2"/>
        </w:rPr>
      </w:pPr>
    </w:p>
  </w:footnote>
  <w:footnote w:id="3">
    <w:p w:rsidR="00760048" w14:paraId="76845D13" w14:textId="77777777">
      <w:pPr>
        <w:pStyle w:val="FootnoteText"/>
      </w:pPr>
      <w:r w:rsidRPr="0072600F">
        <w:rPr>
          <w:rStyle w:val="FootnoteReference"/>
        </w:rPr>
        <w:footnoteRef/>
      </w:r>
      <w:r>
        <w:t xml:space="preserve"> </w:t>
      </w:r>
      <w:r w:rsidRPr="00DB0092">
        <w:rPr>
          <w:i/>
          <w:iCs/>
        </w:rPr>
        <w:t>Improvements to Generator Interconnection Procs</w:t>
      </w:r>
      <w:r w:rsidR="00CB52DC">
        <w:rPr>
          <w:i/>
          <w:iCs/>
        </w:rPr>
        <w:t>.</w:t>
      </w:r>
      <w:r w:rsidRPr="00DB0092">
        <w:rPr>
          <w:i/>
          <w:iCs/>
        </w:rPr>
        <w:t xml:space="preserve"> </w:t>
      </w:r>
      <w:r w:rsidR="007D2FF1">
        <w:rPr>
          <w:i/>
          <w:iCs/>
        </w:rPr>
        <w:t>&amp;</w:t>
      </w:r>
      <w:r w:rsidRPr="00DB0092" w:rsidR="007D2FF1">
        <w:rPr>
          <w:i/>
          <w:iCs/>
        </w:rPr>
        <w:t xml:space="preserve"> </w:t>
      </w:r>
      <w:r w:rsidRPr="00DB0092">
        <w:rPr>
          <w:i/>
          <w:iCs/>
        </w:rPr>
        <w:t>Agreements</w:t>
      </w:r>
      <w:r>
        <w:t xml:space="preserve">, Order </w:t>
      </w:r>
      <w:r w:rsidR="000204B6">
        <w:t xml:space="preserve">       </w:t>
      </w:r>
      <w:r>
        <w:t xml:space="preserve">No. 2023, </w:t>
      </w:r>
      <w:r w:rsidRPr="00E447DD">
        <w:t xml:space="preserve">88 FR 61014 (Sept. 6, 2023), </w:t>
      </w:r>
      <w:r w:rsidRPr="00901C19">
        <w:t>184 FERC ¶ 61,054</w:t>
      </w:r>
      <w:r>
        <w:t xml:space="preserve"> (2023).  </w:t>
      </w:r>
      <w:r>
        <w:softHyphen/>
      </w:r>
    </w:p>
  </w:footnote>
  <w:footnote w:id="4">
    <w:p w:rsidR="00760048" w:rsidRPr="003313A8" w:rsidP="00071614" w14:paraId="4EF38781" w14:textId="77777777">
      <w:pPr>
        <w:pStyle w:val="FootnoteText"/>
      </w:pPr>
      <w:r w:rsidRPr="0072600F">
        <w:rPr>
          <w:rStyle w:val="FootnoteReference"/>
        </w:rPr>
        <w:footnoteRef/>
      </w:r>
      <w:r>
        <w:t xml:space="preserve"> </w:t>
      </w:r>
      <w:r>
        <w:rPr>
          <w:i/>
          <w:iCs/>
        </w:rPr>
        <w:t xml:space="preserve">Id. </w:t>
      </w:r>
      <w:r>
        <w:t>P 1 n.1 (“</w:t>
      </w:r>
      <w:r w:rsidRPr="003313A8">
        <w:t xml:space="preserve">Section 201(e) of the Federal Power Act (FPA) defines “public utility” to mean “any person who owns or operates facilities subject to the jurisdiction of the Commission under this subchapter.”  16 U.S.C. </w:t>
      </w:r>
      <w:r w:rsidRPr="002871E9" w:rsidR="002871E9">
        <w:t>§</w:t>
      </w:r>
      <w:r w:rsidR="002871E9">
        <w:t xml:space="preserve"> </w:t>
      </w:r>
      <w:r w:rsidRPr="003313A8">
        <w:t xml:space="preserve">824(e).  A non-public utility that seeks voluntary compliance with the reciprocity condition of a tariff may satisfy that condition by filing a tariff, which includes the </w:t>
      </w:r>
      <w:r w:rsidRPr="003313A8">
        <w:rPr>
          <w:i/>
        </w:rPr>
        <w:t xml:space="preserve">pro forma </w:t>
      </w:r>
      <w:r w:rsidRPr="003313A8">
        <w:t xml:space="preserve">LGIP, the </w:t>
      </w:r>
      <w:r w:rsidRPr="003313A8">
        <w:rPr>
          <w:i/>
        </w:rPr>
        <w:t>pro forma</w:t>
      </w:r>
      <w:r w:rsidRPr="003313A8">
        <w:t xml:space="preserve"> SGIP, the </w:t>
      </w:r>
      <w:r w:rsidRPr="003313A8">
        <w:rPr>
          <w:i/>
        </w:rPr>
        <w:t xml:space="preserve">pro forma </w:t>
      </w:r>
      <w:r w:rsidRPr="003313A8">
        <w:t xml:space="preserve">LGIA, and the </w:t>
      </w:r>
      <w:r w:rsidRPr="003313A8">
        <w:rPr>
          <w:i/>
        </w:rPr>
        <w:t>pro forma</w:t>
      </w:r>
      <w:r w:rsidRPr="003313A8">
        <w:t xml:space="preserve"> SGIA.  </w:t>
      </w:r>
      <w:r w:rsidRPr="003313A8">
        <w:rPr>
          <w:i/>
        </w:rPr>
        <w:t>See</w:t>
      </w:r>
      <w:r w:rsidRPr="003313A8">
        <w:t xml:space="preserve"> </w:t>
      </w:r>
      <w:r w:rsidRPr="003313A8">
        <w:rPr>
          <w:i/>
        </w:rPr>
        <w:t>Standardization of Generator Interconnection Agreements &amp; Procs.</w:t>
      </w:r>
      <w:r w:rsidRPr="003313A8">
        <w:t xml:space="preserve">, Order No. 2003, 68 FR 49846 (Aug. 19, 2003), 104 FERC ¶ 61,103, at PP 1, 616 (2003), </w:t>
      </w:r>
      <w:r w:rsidRPr="003313A8">
        <w:rPr>
          <w:i/>
        </w:rPr>
        <w:t>order on reh’g</w:t>
      </w:r>
      <w:r w:rsidRPr="003313A8">
        <w:t xml:space="preserve">, Order No. 2003-A, 69 FR 15932 (Mar. </w:t>
      </w:r>
      <w:r w:rsidR="0023482A">
        <w:t>26</w:t>
      </w:r>
      <w:r w:rsidRPr="003313A8">
        <w:t xml:space="preserve">, 2004), 106 FERC ¶ 61,220, </w:t>
      </w:r>
      <w:r w:rsidRPr="003313A8">
        <w:rPr>
          <w:i/>
        </w:rPr>
        <w:t>order on reh’g</w:t>
      </w:r>
      <w:r w:rsidRPr="003313A8">
        <w:t xml:space="preserve">, Order No. 2003-B, 70 FR 265 (Jan. </w:t>
      </w:r>
      <w:r w:rsidR="0023482A">
        <w:t>4</w:t>
      </w:r>
      <w:r w:rsidRPr="003313A8">
        <w:t>, 2005),</w:t>
      </w:r>
      <w:r w:rsidRPr="003313A8">
        <w:t xml:space="preserve"> </w:t>
      </w:r>
      <w:r w:rsidRPr="003313A8">
        <w:t xml:space="preserve">109 FERC ¶ 61,287 (2004), </w:t>
      </w:r>
      <w:r w:rsidRPr="003313A8">
        <w:rPr>
          <w:i/>
        </w:rPr>
        <w:t>order on reh’g</w:t>
      </w:r>
      <w:r w:rsidRPr="003313A8">
        <w:t>, Order No. 2003-C, 70 FR 37661 (Ju</w:t>
      </w:r>
      <w:r w:rsidR="0023482A">
        <w:t>ne 30</w:t>
      </w:r>
      <w:r w:rsidRPr="003313A8">
        <w:t xml:space="preserve">, 2005), 111 FERC ¶ 61,401 (2005), </w:t>
      </w:r>
      <w:r w:rsidRPr="003313A8">
        <w:rPr>
          <w:i/>
        </w:rPr>
        <w:t xml:space="preserve">aff’d sub nom. </w:t>
      </w:r>
      <w:r w:rsidRPr="003313A8">
        <w:rPr>
          <w:i/>
        </w:rPr>
        <w:t>Nat’l Ass’n of Regul. Util. Comm’rs v. FERC</w:t>
      </w:r>
      <w:r w:rsidRPr="003313A8">
        <w:t>, 475 F.3d 1277 (D.C. Cir. 2007) (</w:t>
      </w:r>
      <w:r w:rsidRPr="003313A8">
        <w:rPr>
          <w:i/>
        </w:rPr>
        <w:t>NARUC v. FERC</w:t>
      </w:r>
      <w:r w:rsidRPr="003313A8">
        <w:t xml:space="preserve">).  As stated in the </w:t>
      </w:r>
      <w:r w:rsidRPr="003313A8">
        <w:rPr>
          <w:i/>
        </w:rPr>
        <w:t>pro forma</w:t>
      </w:r>
      <w:r w:rsidRPr="003313A8">
        <w:t xml:space="preserve"> LGIP, </w:t>
      </w:r>
      <w:r w:rsidRPr="003313A8">
        <w:rPr>
          <w:i/>
          <w:iCs/>
        </w:rPr>
        <w:t>pro forma</w:t>
      </w:r>
      <w:r w:rsidRPr="003313A8">
        <w:t xml:space="preserve"> LGIA,</w:t>
      </w:r>
      <w:r w:rsidRPr="003313A8">
        <w:rPr>
          <w:i/>
        </w:rPr>
        <w:t xml:space="preserve"> </w:t>
      </w:r>
      <w:r w:rsidRPr="003313A8">
        <w:rPr>
          <w:i/>
          <w:iCs/>
        </w:rPr>
        <w:t>pro forma</w:t>
      </w:r>
      <w:r w:rsidRPr="003313A8">
        <w:t xml:space="preserve"> SGIP, and </w:t>
      </w:r>
      <w:r w:rsidRPr="003313A8">
        <w:rPr>
          <w:i/>
        </w:rPr>
        <w:t>pro forma</w:t>
      </w:r>
      <w:r w:rsidRPr="003313A8">
        <w:t xml:space="preserve"> SGIA, transmission provider “shall mean the public utility (or its designated agent) that owns, controls, or operates transmission or distribution facilities used for the transmission of electric energy in interstate commerce and provides transmission service under the [Transmission Provider’s Tariff].  The term . . . should be read to include the Transmission Owner when the Transmission Owner is separate from the Transmission Provider.”  </w:t>
      </w:r>
      <w:r w:rsidRPr="003313A8">
        <w:rPr>
          <w:i/>
        </w:rPr>
        <w:t xml:space="preserve">Pro forma </w:t>
      </w:r>
      <w:r w:rsidRPr="003313A8">
        <w:t xml:space="preserve">LGIP section 1; </w:t>
      </w:r>
      <w:r w:rsidRPr="003313A8">
        <w:rPr>
          <w:i/>
        </w:rPr>
        <w:t xml:space="preserve">pro forma </w:t>
      </w:r>
      <w:r w:rsidRPr="003313A8">
        <w:t xml:space="preserve">LGIA art. 1; </w:t>
      </w:r>
      <w:r w:rsidRPr="003313A8">
        <w:rPr>
          <w:i/>
        </w:rPr>
        <w:t xml:space="preserve">pro forma </w:t>
      </w:r>
      <w:r w:rsidRPr="003313A8">
        <w:t>SGIP</w:t>
      </w:r>
      <w:r w:rsidRPr="003313A8">
        <w:rPr>
          <w:i/>
        </w:rPr>
        <w:t xml:space="preserve"> </w:t>
      </w:r>
      <w:r w:rsidRPr="003313A8">
        <w:t xml:space="preserve">attach. 1; </w:t>
      </w:r>
      <w:r w:rsidRPr="003313A8">
        <w:rPr>
          <w:i/>
        </w:rPr>
        <w:t xml:space="preserve">pro forma </w:t>
      </w:r>
      <w:r w:rsidRPr="003313A8">
        <w:t>SGIA attach. 1.</w:t>
      </w:r>
      <w:r>
        <w:t>”).</w:t>
      </w:r>
    </w:p>
  </w:footnote>
  <w:footnote w:id="5">
    <w:p w:rsidR="00760048" w:rsidP="00071614" w14:paraId="6FA24563" w14:textId="77777777">
      <w:pPr>
        <w:pStyle w:val="FootnoteText"/>
      </w:pPr>
      <w:r w:rsidRPr="0072600F">
        <w:rPr>
          <w:rStyle w:val="FootnoteReference"/>
        </w:rPr>
        <w:footnoteRef/>
      </w:r>
      <w:r>
        <w:t xml:space="preserve"> </w:t>
      </w:r>
      <w:r w:rsidR="008D441A">
        <w:t xml:space="preserve">Order No. 2023, </w:t>
      </w:r>
      <w:r w:rsidRPr="00901C19" w:rsidR="008D441A">
        <w:t>184 FERC ¶ 61,054</w:t>
      </w:r>
      <w:r w:rsidR="008D441A">
        <w:t xml:space="preserve"> at </w:t>
      </w:r>
      <w:r>
        <w:t>P 1.</w:t>
      </w:r>
    </w:p>
  </w:footnote>
  <w:footnote w:id="6">
    <w:p w:rsidR="00760048" w:rsidRPr="00BB5225" w14:paraId="3F4CEBE3" w14:textId="77777777">
      <w:pPr>
        <w:pStyle w:val="FootnoteText"/>
      </w:pPr>
      <w:r w:rsidRPr="0072600F">
        <w:rPr>
          <w:rStyle w:val="FootnoteReference"/>
        </w:rPr>
        <w:footnoteRef/>
      </w:r>
      <w:r>
        <w:t xml:space="preserve"> </w:t>
      </w:r>
      <w:r>
        <w:rPr>
          <w:i/>
          <w:iCs/>
        </w:rPr>
        <w:t xml:space="preserve">Id. </w:t>
      </w:r>
      <w:r>
        <w:t>P 5.</w:t>
      </w:r>
    </w:p>
  </w:footnote>
  <w:footnote w:id="7">
    <w:p w:rsidR="00760048" w14:paraId="0502464D" w14:textId="77777777">
      <w:pPr>
        <w:pStyle w:val="FootnoteText"/>
      </w:pPr>
      <w:r w:rsidRPr="0072600F">
        <w:rPr>
          <w:rStyle w:val="FootnoteReference"/>
        </w:rPr>
        <w:footnoteRef/>
      </w:r>
      <w:r>
        <w:t xml:space="preserve"> </w:t>
      </w:r>
      <w:r>
        <w:rPr>
          <w:i/>
          <w:iCs/>
        </w:rPr>
        <w:t>Id.</w:t>
      </w:r>
      <w:r>
        <w:t xml:space="preserve"> P 6. </w:t>
      </w:r>
    </w:p>
  </w:footnote>
  <w:footnote w:id="8">
    <w:p w:rsidR="00760048" w:rsidRPr="00E026D3" w14:paraId="434F9B7D" w14:textId="77777777">
      <w:pPr>
        <w:pStyle w:val="FootnoteText"/>
      </w:pPr>
      <w:r w:rsidRPr="0072600F">
        <w:rPr>
          <w:rStyle w:val="FootnoteReference"/>
        </w:rPr>
        <w:footnoteRef/>
      </w:r>
      <w:r>
        <w:t xml:space="preserve"> </w:t>
      </w:r>
      <w:r>
        <w:rPr>
          <w:i/>
          <w:iCs/>
        </w:rPr>
        <w:t>Id.</w:t>
      </w:r>
      <w:r>
        <w:t xml:space="preserve"> P 6.</w:t>
      </w:r>
    </w:p>
  </w:footnote>
  <w:footnote w:id="9">
    <w:p w:rsidR="00760048" w14:paraId="600CE7FE" w14:textId="77777777">
      <w:pPr>
        <w:pStyle w:val="FootnoteText"/>
      </w:pPr>
      <w:r w:rsidRPr="0072600F">
        <w:rPr>
          <w:rStyle w:val="FootnoteReference"/>
        </w:rPr>
        <w:footnoteRef/>
      </w:r>
      <w:r>
        <w:t xml:space="preserve"> </w:t>
      </w:r>
      <w:r w:rsidRPr="005F2B54">
        <w:t xml:space="preserve">Appendix </w:t>
      </w:r>
      <w:r w:rsidRPr="00784F8E">
        <w:t>A</w:t>
      </w:r>
      <w:r w:rsidRPr="005F2B54">
        <w:t xml:space="preserve"> provides the short names of the entities that filed requests for rehearing or clarification.</w:t>
      </w:r>
      <w:r>
        <w:t xml:space="preserve">  </w:t>
      </w:r>
      <w:r w:rsidRPr="00CA396D">
        <w:t>Shell filed an answer.  Rule 713(d)(1) of the Commission’s Rules of Practice and Procedure (18 CFR 385.713(d)) prohibits an answer to a request for rehearing.  Accordingly, we deny Shell’s motion to answer and reject its answer.</w:t>
      </w:r>
    </w:p>
  </w:footnote>
  <w:footnote w:id="10">
    <w:p w:rsidR="00760048" w:rsidRPr="005A129F" w:rsidP="00071614" w14:paraId="6A2CF674" w14:textId="77777777">
      <w:pPr>
        <w:pStyle w:val="FootnoteText"/>
        <w:rPr>
          <w:szCs w:val="26"/>
        </w:rPr>
      </w:pPr>
      <w:r w:rsidRPr="0072600F">
        <w:rPr>
          <w:rStyle w:val="FootnoteReference"/>
        </w:rPr>
        <w:footnoteRef/>
      </w:r>
      <w:r w:rsidRPr="005A129F">
        <w:rPr>
          <w:szCs w:val="26"/>
        </w:rPr>
        <w:t xml:space="preserve"> </w:t>
      </w:r>
      <w:bookmarkStart w:id="3" w:name="_Hlk47104967"/>
      <w:r w:rsidRPr="00CB155A">
        <w:rPr>
          <w:szCs w:val="26"/>
        </w:rPr>
        <w:t>964 F.3d 1 (D.C. Cir. 2020) (</w:t>
      </w:r>
      <w:r w:rsidRPr="00CB155A">
        <w:rPr>
          <w:szCs w:val="26"/>
        </w:rPr>
        <w:t>en banc)</w:t>
      </w:r>
      <w:bookmarkEnd w:id="3"/>
      <w:r w:rsidRPr="005A129F">
        <w:rPr>
          <w:szCs w:val="26"/>
        </w:rPr>
        <w:t>.  </w:t>
      </w:r>
    </w:p>
  </w:footnote>
  <w:footnote w:id="11">
    <w:p w:rsidR="00760048" w:rsidP="006A72F0" w14:paraId="59F7B1A8" w14:textId="77777777">
      <w:pPr>
        <w:pStyle w:val="FootnoteText"/>
      </w:pPr>
      <w:r w:rsidRPr="0072600F">
        <w:rPr>
          <w:rStyle w:val="FootnoteReference"/>
        </w:rPr>
        <w:footnoteRef/>
      </w:r>
      <w:r>
        <w:t xml:space="preserve"> </w:t>
      </w:r>
      <w:r w:rsidRPr="005461E5">
        <w:t>16 U</w:t>
      </w:r>
      <w:r w:rsidR="00E97649">
        <w:t>.</w:t>
      </w:r>
      <w:r w:rsidRPr="005461E5">
        <w:t>S</w:t>
      </w:r>
      <w:r w:rsidR="00E97649">
        <w:t>.</w:t>
      </w:r>
      <w:r w:rsidRPr="005461E5">
        <w:t>C</w:t>
      </w:r>
      <w:r w:rsidR="00E97649">
        <w:t>.</w:t>
      </w:r>
      <w:r w:rsidRPr="005461E5">
        <w:t xml:space="preserve"> </w:t>
      </w:r>
      <w:r w:rsidR="0023482A">
        <w:t xml:space="preserve">§ </w:t>
      </w:r>
      <w:r w:rsidRPr="005461E5">
        <w:t>825</w:t>
      </w:r>
      <w:r w:rsidRPr="005461E5">
        <w:rPr>
          <w:i/>
          <w:iCs/>
        </w:rPr>
        <w:t>l</w:t>
      </w:r>
      <w:r w:rsidRPr="005461E5">
        <w:t>(a) (“Until the record in a proceeding shall have been filed in a court of appeals, as provided in subsection (b), the Commission may at any time, upon reasonable notice and in such manner as it shall deem proper, modify or set aside, in</w:t>
      </w:r>
      <w:r w:rsidR="00F66D0C">
        <w:t xml:space="preserve"> </w:t>
      </w:r>
      <w:r w:rsidRPr="005461E5">
        <w:t>whole or in part, any finding or order made or issued by it under the provisions of this chapter.”).</w:t>
      </w:r>
    </w:p>
  </w:footnote>
  <w:footnote w:id="12">
    <w:p w:rsidR="00760048" w:rsidRPr="00B4379E" w:rsidP="00071614" w14:paraId="0E675AFE" w14:textId="77777777">
      <w:pPr>
        <w:pStyle w:val="FootnoteText"/>
      </w:pPr>
      <w:r w:rsidRPr="0072600F">
        <w:rPr>
          <w:rStyle w:val="FootnoteReference"/>
        </w:rPr>
        <w:footnoteRef/>
      </w:r>
      <w:r>
        <w:t xml:space="preserve"> </w:t>
      </w:r>
      <w:r w:rsidRPr="0056243C">
        <w:rPr>
          <w:i/>
          <w:iCs/>
        </w:rPr>
        <w:t>Allegheny Def. Project</w:t>
      </w:r>
      <w:r w:rsidRPr="0056243C">
        <w:t xml:space="preserve">, 964 F.3d at 16-17.  </w:t>
      </w:r>
      <w:r>
        <w:t xml:space="preserve">In Appendices </w:t>
      </w:r>
      <w:r w:rsidRPr="00B61711">
        <w:t xml:space="preserve">C, D, E, and </w:t>
      </w:r>
      <w:r>
        <w:t xml:space="preserve">F, </w:t>
      </w:r>
      <w:r w:rsidR="006A72F0">
        <w:t xml:space="preserve">      </w:t>
      </w:r>
      <w:r>
        <w:t xml:space="preserve">we provide the revisions to the provisions of the </w:t>
      </w:r>
      <w:r>
        <w:rPr>
          <w:i/>
          <w:iCs/>
        </w:rPr>
        <w:t xml:space="preserve">pro forma </w:t>
      </w:r>
      <w:r>
        <w:t xml:space="preserve">LGIP, </w:t>
      </w:r>
      <w:r>
        <w:rPr>
          <w:i/>
          <w:iCs/>
        </w:rPr>
        <w:t xml:space="preserve">pro forma </w:t>
      </w:r>
      <w:r>
        <w:t xml:space="preserve">LGIA, </w:t>
      </w:r>
      <w:r w:rsidR="006A72F0">
        <w:t xml:space="preserve">     </w:t>
      </w:r>
      <w:r>
        <w:rPr>
          <w:i/>
          <w:iCs/>
        </w:rPr>
        <w:t xml:space="preserve">pro forma </w:t>
      </w:r>
      <w:r>
        <w:t xml:space="preserve">SGIP, and </w:t>
      </w:r>
      <w:r>
        <w:rPr>
          <w:i/>
          <w:iCs/>
        </w:rPr>
        <w:t xml:space="preserve">pro forma </w:t>
      </w:r>
      <w:r>
        <w:t xml:space="preserve">SGIA made in this order on rehearing and clarification.  Additionally, these Appendices reflect several non-substantive corrections in these appendices to address stylistic inconsistencies or clerical errors in some of the new and revised </w:t>
      </w:r>
      <w:r w:rsidRPr="002124C0">
        <w:rPr>
          <w:i/>
        </w:rPr>
        <w:t>pro forma</w:t>
      </w:r>
      <w:r>
        <w:t xml:space="preserve"> provisions. </w:t>
      </w:r>
    </w:p>
  </w:footnote>
  <w:footnote w:id="13">
    <w:p w:rsidR="00760048" w14:paraId="2E1A7766" w14:textId="77777777">
      <w:pPr>
        <w:pStyle w:val="FootnoteText"/>
      </w:pPr>
      <w:r w:rsidRPr="0072600F">
        <w:rPr>
          <w:rStyle w:val="FootnoteReference"/>
        </w:rPr>
        <w:footnoteRef/>
      </w:r>
      <w:r>
        <w:t xml:space="preserve"> Order No. 2023</w:t>
      </w:r>
      <w:r w:rsidR="00724ECF">
        <w:t xml:space="preserve">, </w:t>
      </w:r>
      <w:r w:rsidRPr="00901C19" w:rsidR="00724ECF">
        <w:t>184 FERC ¶ 61,054</w:t>
      </w:r>
      <w:r>
        <w:t xml:space="preserve"> at P 37.</w:t>
      </w:r>
    </w:p>
  </w:footnote>
  <w:footnote w:id="14">
    <w:p w:rsidR="00760048" w:rsidRPr="009D0DBC" w:rsidP="00071614" w14:paraId="48635594" w14:textId="77777777">
      <w:pPr>
        <w:pStyle w:val="FootnoteText"/>
        <w:rPr>
          <w:b/>
        </w:rPr>
      </w:pPr>
      <w:r w:rsidRPr="0072600F">
        <w:rPr>
          <w:rStyle w:val="FootnoteReference"/>
        </w:rPr>
        <w:footnoteRef/>
      </w:r>
      <w:r w:rsidRPr="00C51DEB">
        <w:rPr>
          <w:szCs w:val="26"/>
        </w:rPr>
        <w:t xml:space="preserve"> </w:t>
      </w:r>
      <w:r w:rsidR="00724ECF">
        <w:rPr>
          <w:i/>
          <w:iCs/>
          <w:szCs w:val="26"/>
        </w:rPr>
        <w:t xml:space="preserve">Id. </w:t>
      </w:r>
      <w:r>
        <w:rPr>
          <w:szCs w:val="26"/>
        </w:rPr>
        <w:t xml:space="preserve">P 38 (citing </w:t>
      </w:r>
      <w:r w:rsidRPr="006A72F0" w:rsidR="006A72F0">
        <w:rPr>
          <w:szCs w:val="26"/>
        </w:rPr>
        <w:t>Energy Markets &amp; Policy- Berkeley Lab</w:t>
      </w:r>
      <w:r w:rsidRPr="0017743D">
        <w:rPr>
          <w:szCs w:val="26"/>
        </w:rPr>
        <w:t>,</w:t>
      </w:r>
      <w:r w:rsidRPr="00C51DEB">
        <w:rPr>
          <w:szCs w:val="26"/>
        </w:rPr>
        <w:t xml:space="preserve"> </w:t>
      </w:r>
      <w:r w:rsidRPr="00C51DEB">
        <w:rPr>
          <w:i/>
          <w:iCs/>
          <w:szCs w:val="26"/>
        </w:rPr>
        <w:t>Queued Up:  Characteristics of Power Plants Seeking Transmission Interconnection</w:t>
      </w:r>
      <w:r>
        <w:rPr>
          <w:szCs w:val="26"/>
        </w:rPr>
        <w:t>, 7-8</w:t>
      </w:r>
      <w:r w:rsidRPr="00C51DEB">
        <w:rPr>
          <w:szCs w:val="26"/>
        </w:rPr>
        <w:t xml:space="preserve"> (Apr</w:t>
      </w:r>
      <w:r>
        <w:rPr>
          <w:szCs w:val="26"/>
        </w:rPr>
        <w:t>.</w:t>
      </w:r>
      <w:r w:rsidRPr="00C51DEB">
        <w:rPr>
          <w:szCs w:val="26"/>
        </w:rPr>
        <w:t xml:space="preserve"> 202</w:t>
      </w:r>
      <w:r>
        <w:rPr>
          <w:szCs w:val="26"/>
        </w:rPr>
        <w:t>3</w:t>
      </w:r>
      <w:r w:rsidRPr="00C51DEB">
        <w:rPr>
          <w:szCs w:val="26"/>
        </w:rPr>
        <w:t>)</w:t>
      </w:r>
      <w:r>
        <w:rPr>
          <w:szCs w:val="26"/>
        </w:rPr>
        <w:t xml:space="preserve"> (Queued Up 2023), </w:t>
      </w:r>
      <w:r w:rsidRPr="00266597">
        <w:t>https://emp.lbl.gov/sites/default/files/queued_up_2022_04-06-2023.pdf</w:t>
      </w:r>
      <w:r>
        <w:t>;</w:t>
      </w:r>
      <w:r w:rsidRPr="00CE4D7E">
        <w:rPr>
          <w:i/>
          <w:iCs/>
        </w:rPr>
        <w:t xml:space="preserve"> </w:t>
      </w:r>
      <w:r>
        <w:t xml:space="preserve">Appendix B to </w:t>
      </w:r>
      <w:r w:rsidRPr="00D879BA">
        <w:t>Order No. 2023</w:t>
      </w:r>
      <w:r>
        <w:t>, which provided an overview of recent data</w:t>
      </w:r>
      <w:r w:rsidRPr="00A4228B">
        <w:t xml:space="preserve"> based on </w:t>
      </w:r>
      <w:r>
        <w:t>reporting</w:t>
      </w:r>
      <w:r w:rsidRPr="00A4228B">
        <w:t xml:space="preserve"> by transmission providers in compliance with Order No. 845</w:t>
      </w:r>
      <w:r>
        <w:t>)</w:t>
      </w:r>
      <w:r w:rsidRPr="00A4228B">
        <w:t>.</w:t>
      </w:r>
    </w:p>
  </w:footnote>
  <w:footnote w:id="15">
    <w:p w:rsidR="00760048" w:rsidRPr="009D0DBC" w:rsidP="00071614" w14:paraId="25D6DA38" w14:textId="77777777">
      <w:pPr>
        <w:pStyle w:val="FootnoteText"/>
        <w:rPr>
          <w:b/>
        </w:rPr>
      </w:pPr>
      <w:r w:rsidRPr="0072600F">
        <w:rPr>
          <w:rStyle w:val="FootnoteReference"/>
        </w:rPr>
        <w:footnoteRef/>
      </w:r>
      <w:r>
        <w:t xml:space="preserve"> </w:t>
      </w:r>
      <w:r>
        <w:rPr>
          <w:i/>
          <w:iCs/>
          <w:szCs w:val="26"/>
        </w:rPr>
        <w:t>Id.</w:t>
      </w:r>
      <w:r w:rsidRPr="00C51DEB">
        <w:rPr>
          <w:szCs w:val="26"/>
        </w:rPr>
        <w:t xml:space="preserve"> </w:t>
      </w:r>
      <w:r>
        <w:t>(citing Queued Up 2023).</w:t>
      </w:r>
    </w:p>
  </w:footnote>
  <w:footnote w:id="16">
    <w:p w:rsidR="00760048" w:rsidRPr="009D0DBC" w:rsidP="00071614" w14:paraId="3E7E6CD0" w14:textId="77777777">
      <w:pPr>
        <w:pStyle w:val="FootnoteText"/>
        <w:rPr>
          <w:b/>
        </w:rPr>
      </w:pPr>
      <w:r w:rsidRPr="0072600F">
        <w:rPr>
          <w:rStyle w:val="FootnoteReference"/>
        </w:rPr>
        <w:footnoteRef/>
      </w:r>
      <w:r>
        <w:t xml:space="preserve"> </w:t>
      </w:r>
      <w:r>
        <w:rPr>
          <w:i/>
          <w:iCs/>
          <w:szCs w:val="26"/>
        </w:rPr>
        <w:t>Id.</w:t>
      </w:r>
      <w:r w:rsidRPr="00C51DEB">
        <w:rPr>
          <w:szCs w:val="26"/>
        </w:rPr>
        <w:t xml:space="preserve"> </w:t>
      </w:r>
      <w:r>
        <w:t>P 39.</w:t>
      </w:r>
    </w:p>
  </w:footnote>
  <w:footnote w:id="17">
    <w:p w:rsidR="00760048" w14:paraId="13213292"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40.</w:t>
      </w:r>
    </w:p>
  </w:footnote>
  <w:footnote w:id="18">
    <w:p w:rsidR="00760048" w14:paraId="7B9DB7B1"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41.</w:t>
      </w:r>
    </w:p>
  </w:footnote>
  <w:footnote w:id="19">
    <w:p w:rsidR="00760048" w14:paraId="6C9D0B64" w14:textId="77777777">
      <w:pPr>
        <w:pStyle w:val="FootnoteText"/>
      </w:pPr>
      <w:r w:rsidRPr="0072600F">
        <w:rPr>
          <w:rStyle w:val="FootnoteReference"/>
        </w:rPr>
        <w:footnoteRef/>
      </w:r>
      <w:r>
        <w:t xml:space="preserve"> </w:t>
      </w:r>
      <w:r>
        <w:rPr>
          <w:i/>
          <w:iCs/>
          <w:szCs w:val="26"/>
        </w:rPr>
        <w:t>Id.</w:t>
      </w:r>
      <w:r w:rsidRPr="00C51DEB">
        <w:rPr>
          <w:szCs w:val="26"/>
        </w:rPr>
        <w:t xml:space="preserve"> </w:t>
      </w:r>
      <w:r>
        <w:t>(citing J</w:t>
      </w:r>
      <w:r w:rsidRPr="001471F7">
        <w:t xml:space="preserve">oachim </w:t>
      </w:r>
      <w:r w:rsidRPr="001471F7">
        <w:t xml:space="preserve">Seel et al., </w:t>
      </w:r>
      <w:r w:rsidRPr="001471F7">
        <w:rPr>
          <w:i/>
        </w:rPr>
        <w:t>Generator Interconnection Cost Analysis in the Midcontinent Independent System Operator (MISO) Territory</w:t>
      </w:r>
      <w:r w:rsidRPr="001471F7">
        <w:t>, 1, 4-5 (</w:t>
      </w:r>
      <w:r w:rsidR="00A21ED8">
        <w:t xml:space="preserve">Oct. </w:t>
      </w:r>
      <w:r w:rsidRPr="001471F7">
        <w:t>2022), https://emp.lbl.gov/interconnection_costs.</w:t>
      </w:r>
      <w:r>
        <w:t>).</w:t>
      </w:r>
    </w:p>
  </w:footnote>
  <w:footnote w:id="20">
    <w:p w:rsidR="00760048" w:rsidRPr="004B0B3B" w:rsidP="00071614" w14:paraId="5FCAF28A" w14:textId="77777777">
      <w:pPr>
        <w:pStyle w:val="FootnoteText"/>
        <w:rPr>
          <w:b/>
        </w:rPr>
      </w:pPr>
      <w:r w:rsidRPr="0072600F">
        <w:rPr>
          <w:rStyle w:val="FootnoteReference"/>
        </w:rPr>
        <w:footnoteRef/>
      </w:r>
      <w:r>
        <w:t xml:space="preserve"> </w:t>
      </w:r>
      <w:r>
        <w:rPr>
          <w:i/>
          <w:iCs/>
          <w:szCs w:val="26"/>
        </w:rPr>
        <w:t>Id.</w:t>
      </w:r>
      <w:r>
        <w:t xml:space="preserve"> (citing </w:t>
      </w:r>
      <w:r w:rsidRPr="004B0B3B">
        <w:t xml:space="preserve">Julia Mulvaney Kemp et al., </w:t>
      </w:r>
      <w:r w:rsidRPr="004B0B3B">
        <w:rPr>
          <w:i/>
        </w:rPr>
        <w:t>Interconnection Cost Analysis in the NYISO Territory</w:t>
      </w:r>
      <w:r w:rsidRPr="004B0B3B">
        <w:t xml:space="preserve"> (</w:t>
      </w:r>
      <w:r w:rsidR="00A21ED8">
        <w:t xml:space="preserve">Mar. </w:t>
      </w:r>
      <w:r w:rsidRPr="004B0B3B">
        <w:t xml:space="preserve">2023), https://emp.lbl.gov/publications/interconnection-cost-analysis-nyiso (showing that costs have doubled for generating facilities studied since 2017, relative to costs for generating facilities studied from 2006 to 2016); Joachim </w:t>
      </w:r>
      <w:r w:rsidRPr="004B0B3B">
        <w:t xml:space="preserve">Seel et al., </w:t>
      </w:r>
      <w:r w:rsidRPr="004B0B3B">
        <w:rPr>
          <w:i/>
        </w:rPr>
        <w:t>Interconnection Cost Analysis in the PJM Territory</w:t>
      </w:r>
      <w:r w:rsidRPr="004B0B3B">
        <w:t xml:space="preserve"> (</w:t>
      </w:r>
      <w:r w:rsidR="00A21ED8">
        <w:t xml:space="preserve">Jan. </w:t>
      </w:r>
      <w:r w:rsidRPr="004B0B3B">
        <w:t>2023), https://emp.lbl.gov/publications/interconnection-cost-analysis-pjm (showing that costs for recent “complete” generating facilities have doubled on average relative to costs from 2000-2019)</w:t>
      </w:r>
      <w:r>
        <w:t>).</w:t>
      </w:r>
    </w:p>
  </w:footnote>
  <w:footnote w:id="21">
    <w:p w:rsidR="00760048" w14:paraId="07C771AD"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43.</w:t>
      </w:r>
    </w:p>
  </w:footnote>
  <w:footnote w:id="22">
    <w:p w:rsidR="005A748C" w14:paraId="0960AFA6" w14:textId="77777777">
      <w:pPr>
        <w:pStyle w:val="FootnoteText"/>
      </w:pPr>
      <w:r>
        <w:rPr>
          <w:rStyle w:val="FootnoteReference"/>
        </w:rPr>
        <w:footnoteRef/>
      </w:r>
      <w:r>
        <w:t xml:space="preserve"> </w:t>
      </w:r>
      <w:r>
        <w:rPr>
          <w:i/>
          <w:iCs/>
          <w:szCs w:val="26"/>
        </w:rPr>
        <w:t>Id.</w:t>
      </w:r>
      <w:r w:rsidRPr="00C51DEB">
        <w:rPr>
          <w:szCs w:val="26"/>
        </w:rPr>
        <w:t xml:space="preserve"> </w:t>
      </w:r>
      <w:r>
        <w:t>P 4</w:t>
      </w:r>
      <w:r w:rsidR="006E6A06">
        <w:t>4</w:t>
      </w:r>
      <w:r>
        <w:t>.</w:t>
      </w:r>
    </w:p>
  </w:footnote>
  <w:footnote w:id="23">
    <w:p w:rsidR="00760048" w14:paraId="5D3F36D0"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45.</w:t>
      </w:r>
    </w:p>
  </w:footnote>
  <w:footnote w:id="24">
    <w:p w:rsidR="00760048" w:rsidP="00071614" w14:paraId="5D26BCA7"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46.</w:t>
      </w:r>
    </w:p>
  </w:footnote>
  <w:footnote w:id="25">
    <w:p w:rsidR="00760048" w14:paraId="32202C82"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47.</w:t>
      </w:r>
    </w:p>
  </w:footnote>
  <w:footnote w:id="26">
    <w:p w:rsidR="00760048" w14:paraId="175848E7" w14:textId="77777777">
      <w:pPr>
        <w:pStyle w:val="FootnoteText"/>
      </w:pPr>
      <w:r w:rsidRPr="0072600F">
        <w:rPr>
          <w:rStyle w:val="FootnoteReference"/>
        </w:rPr>
        <w:footnoteRef/>
      </w:r>
      <w:r>
        <w:t xml:space="preserve"> </w:t>
      </w:r>
      <w:r>
        <w:rPr>
          <w:i/>
          <w:iCs/>
          <w:szCs w:val="26"/>
        </w:rPr>
        <w:t>Id.</w:t>
      </w:r>
      <w:r w:rsidRPr="00C51DEB">
        <w:rPr>
          <w:szCs w:val="26"/>
        </w:rPr>
        <w:t xml:space="preserve"> </w:t>
      </w:r>
      <w:r>
        <w:t>P 48.</w:t>
      </w:r>
    </w:p>
  </w:footnote>
  <w:footnote w:id="27">
    <w:p w:rsidR="00760048" w14:paraId="30F178F2" w14:textId="77777777">
      <w:pPr>
        <w:pStyle w:val="FootnoteText"/>
      </w:pPr>
      <w:r w:rsidRPr="0072600F">
        <w:rPr>
          <w:rStyle w:val="FootnoteReference"/>
        </w:rPr>
        <w:footnoteRef/>
      </w:r>
      <w:r>
        <w:t xml:space="preserve"> </w:t>
      </w:r>
      <w:r>
        <w:rPr>
          <w:i/>
          <w:iCs/>
          <w:szCs w:val="26"/>
        </w:rPr>
        <w:t>Id.</w:t>
      </w:r>
      <w:r w:rsidRPr="00C51DEB">
        <w:rPr>
          <w:szCs w:val="26"/>
        </w:rPr>
        <w:t xml:space="preserve"> </w:t>
      </w:r>
      <w:r>
        <w:t>P 50.</w:t>
      </w:r>
    </w:p>
  </w:footnote>
  <w:footnote w:id="28">
    <w:p w:rsidR="00760048" w14:paraId="3AB9AA24" w14:textId="77777777">
      <w:pPr>
        <w:pStyle w:val="FootnoteText"/>
      </w:pPr>
      <w:r w:rsidRPr="0072600F">
        <w:rPr>
          <w:rStyle w:val="FootnoteReference"/>
        </w:rPr>
        <w:footnoteRef/>
      </w:r>
      <w:r>
        <w:t xml:space="preserve"> </w:t>
      </w:r>
      <w:r>
        <w:rPr>
          <w:i/>
          <w:iCs/>
          <w:szCs w:val="26"/>
        </w:rPr>
        <w:t>Id.</w:t>
      </w:r>
      <w:r w:rsidRPr="00C51DEB">
        <w:rPr>
          <w:szCs w:val="26"/>
        </w:rPr>
        <w:t xml:space="preserve"> </w:t>
      </w:r>
      <w:r>
        <w:t xml:space="preserve">P 51. </w:t>
      </w:r>
    </w:p>
  </w:footnote>
  <w:footnote w:id="29">
    <w:p w:rsidR="00760048" w14:paraId="7FC0F2D4" w14:textId="77777777">
      <w:pPr>
        <w:pStyle w:val="FootnoteText"/>
      </w:pPr>
      <w:r w:rsidRPr="0072600F">
        <w:rPr>
          <w:rStyle w:val="FootnoteReference"/>
        </w:rPr>
        <w:footnoteRef/>
      </w:r>
      <w:r>
        <w:t xml:space="preserve"> </w:t>
      </w:r>
      <w:r>
        <w:rPr>
          <w:i/>
          <w:iCs/>
          <w:szCs w:val="26"/>
        </w:rPr>
        <w:t>Id.</w:t>
      </w:r>
      <w:r w:rsidRPr="00C51DEB">
        <w:rPr>
          <w:szCs w:val="26"/>
        </w:rPr>
        <w:t xml:space="preserve"> </w:t>
      </w:r>
      <w:r>
        <w:t>P 52.</w:t>
      </w:r>
    </w:p>
  </w:footnote>
  <w:footnote w:id="30">
    <w:p w:rsidR="00760048" w14:paraId="2830A15C" w14:textId="77777777">
      <w:pPr>
        <w:pStyle w:val="FootnoteText"/>
      </w:pPr>
      <w:r w:rsidRPr="0072600F">
        <w:rPr>
          <w:rStyle w:val="FootnoteReference"/>
        </w:rPr>
        <w:footnoteRef/>
      </w:r>
      <w:r>
        <w:t xml:space="preserve"> </w:t>
      </w:r>
      <w:r>
        <w:rPr>
          <w:i/>
          <w:iCs/>
          <w:szCs w:val="26"/>
        </w:rPr>
        <w:t>Id.</w:t>
      </w:r>
      <w:r w:rsidRPr="00C51DEB">
        <w:rPr>
          <w:szCs w:val="26"/>
        </w:rPr>
        <w:t xml:space="preserve"> </w:t>
      </w:r>
      <w:r>
        <w:t>P 53.</w:t>
      </w:r>
    </w:p>
  </w:footnote>
  <w:footnote w:id="31">
    <w:p w:rsidR="00760048" w14:paraId="6CAB0117" w14:textId="77777777">
      <w:pPr>
        <w:pStyle w:val="FootnoteText"/>
      </w:pPr>
      <w:r w:rsidRPr="0072600F">
        <w:rPr>
          <w:rStyle w:val="FootnoteReference"/>
        </w:rPr>
        <w:footnoteRef/>
      </w:r>
      <w:r>
        <w:t xml:space="preserve"> </w:t>
      </w:r>
      <w:r>
        <w:rPr>
          <w:i/>
          <w:iCs/>
          <w:szCs w:val="26"/>
        </w:rPr>
        <w:t>Id.</w:t>
      </w:r>
      <w:r w:rsidRPr="00C51DEB">
        <w:rPr>
          <w:szCs w:val="26"/>
        </w:rPr>
        <w:t xml:space="preserve"> </w:t>
      </w:r>
      <w:r>
        <w:t>P 54.</w:t>
      </w:r>
    </w:p>
  </w:footnote>
  <w:footnote w:id="32">
    <w:p w:rsidR="00760048" w14:paraId="7755B1CF" w14:textId="77777777">
      <w:pPr>
        <w:pStyle w:val="FootnoteText"/>
      </w:pPr>
      <w:r w:rsidRPr="0072600F">
        <w:rPr>
          <w:rStyle w:val="FootnoteReference"/>
        </w:rPr>
        <w:footnoteRef/>
      </w:r>
      <w:r>
        <w:t xml:space="preserve"> </w:t>
      </w:r>
      <w:r>
        <w:rPr>
          <w:i/>
          <w:iCs/>
          <w:szCs w:val="26"/>
        </w:rPr>
        <w:t>Id.</w:t>
      </w:r>
      <w:r w:rsidRPr="00C51DEB">
        <w:rPr>
          <w:szCs w:val="26"/>
        </w:rPr>
        <w:t xml:space="preserve"> </w:t>
      </w:r>
      <w:r>
        <w:t>P 55.</w:t>
      </w:r>
    </w:p>
  </w:footnote>
  <w:footnote w:id="33">
    <w:p w:rsidR="00760048" w14:paraId="2D93461D" w14:textId="77777777">
      <w:pPr>
        <w:pStyle w:val="FootnoteText"/>
      </w:pPr>
      <w:r w:rsidRPr="0072600F">
        <w:rPr>
          <w:rStyle w:val="FootnoteReference"/>
        </w:rPr>
        <w:footnoteRef/>
      </w:r>
      <w:r>
        <w:t xml:space="preserve"> </w:t>
      </w:r>
      <w:r>
        <w:rPr>
          <w:i/>
          <w:iCs/>
          <w:szCs w:val="26"/>
        </w:rPr>
        <w:t>Id.</w:t>
      </w:r>
      <w:r w:rsidRPr="00C51DEB">
        <w:rPr>
          <w:szCs w:val="26"/>
        </w:rPr>
        <w:t xml:space="preserve"> </w:t>
      </w:r>
      <w:r>
        <w:t xml:space="preserve">P 56.  </w:t>
      </w:r>
    </w:p>
  </w:footnote>
  <w:footnote w:id="34">
    <w:p w:rsidR="00760048" w14:paraId="05F5A061" w14:textId="77777777">
      <w:pPr>
        <w:pStyle w:val="FootnoteText"/>
      </w:pPr>
      <w:r w:rsidRPr="0072600F">
        <w:rPr>
          <w:rStyle w:val="FootnoteReference"/>
        </w:rPr>
        <w:footnoteRef/>
      </w:r>
      <w:r>
        <w:t xml:space="preserve"> </w:t>
      </w:r>
      <w:r>
        <w:rPr>
          <w:i/>
          <w:iCs/>
          <w:szCs w:val="26"/>
        </w:rPr>
        <w:t>Id.</w:t>
      </w:r>
      <w:r w:rsidRPr="00C51DEB">
        <w:rPr>
          <w:szCs w:val="26"/>
        </w:rPr>
        <w:t xml:space="preserve"> </w:t>
      </w:r>
      <w:r>
        <w:t>P 59.</w:t>
      </w:r>
    </w:p>
  </w:footnote>
  <w:footnote w:id="35">
    <w:p w:rsidR="00760048" w:rsidP="00071614" w14:paraId="3B16548C" w14:textId="77777777">
      <w:pPr>
        <w:pStyle w:val="FootnoteText"/>
      </w:pPr>
      <w:r w:rsidRPr="0072600F">
        <w:rPr>
          <w:rStyle w:val="FootnoteReference"/>
        </w:rPr>
        <w:footnoteRef/>
      </w:r>
      <w:r>
        <w:t xml:space="preserve"> Dominion Rehearing Request at 2.</w:t>
      </w:r>
    </w:p>
  </w:footnote>
  <w:footnote w:id="36">
    <w:p w:rsidR="00760048" w:rsidP="00071614" w14:paraId="62B6583F" w14:textId="77777777">
      <w:pPr>
        <w:pStyle w:val="FootnoteText"/>
      </w:pPr>
      <w:r w:rsidRPr="0072600F">
        <w:rPr>
          <w:rStyle w:val="FootnoteReference"/>
        </w:rPr>
        <w:footnoteRef/>
      </w:r>
      <w:r>
        <w:t xml:space="preserve"> </w:t>
      </w:r>
      <w:r>
        <w:rPr>
          <w:i/>
          <w:iCs/>
          <w:szCs w:val="26"/>
        </w:rPr>
        <w:t>Id.</w:t>
      </w:r>
      <w:r>
        <w:t xml:space="preserve"> at 14 (citing </w:t>
      </w:r>
      <w:r w:rsidRPr="00761324">
        <w:rPr>
          <w:i/>
          <w:iCs/>
        </w:rPr>
        <w:t>S.C. Pub. Serv. Auth</w:t>
      </w:r>
      <w:r w:rsidRPr="00330A08">
        <w:t>.</w:t>
      </w:r>
      <w:r>
        <w:t xml:space="preserve"> </w:t>
      </w:r>
      <w:r>
        <w:rPr>
          <w:i/>
          <w:iCs/>
        </w:rPr>
        <w:t>v. FERC</w:t>
      </w:r>
      <w:r w:rsidRPr="00330A08">
        <w:t xml:space="preserve">, 762 F.3d </w:t>
      </w:r>
      <w:r>
        <w:t>71,</w:t>
      </w:r>
      <w:r w:rsidRPr="00330A08">
        <w:t xml:space="preserve"> 65 </w:t>
      </w:r>
      <w:r>
        <w:t xml:space="preserve">(D.C. Cir. 2014) </w:t>
      </w:r>
      <w:r w:rsidR="00624EC2">
        <w:t>(</w:t>
      </w:r>
      <w:r w:rsidRPr="00761324" w:rsidR="00624EC2">
        <w:rPr>
          <w:i/>
          <w:iCs/>
        </w:rPr>
        <w:t>S.C. Pub. Serv. Auth</w:t>
      </w:r>
      <w:r w:rsidRPr="00330A08" w:rsidR="00624EC2">
        <w:t>.</w:t>
      </w:r>
      <w:r w:rsidR="00624EC2">
        <w:t>)</w:t>
      </w:r>
      <w:r>
        <w:t xml:space="preserve"> </w:t>
      </w:r>
      <w:r w:rsidRPr="00330A08">
        <w:t xml:space="preserve">(“To regulate a practice affecting rates pursuant to Section 206, the Commission must find that the existing practice is ‘unjust, unreasonable, unduly discriminatory or preferential,’ and that the remedial practice it imposes is ‘just and reasonable.’ </w:t>
      </w:r>
      <w:r w:rsidR="00DD10EF">
        <w:t xml:space="preserve"> </w:t>
      </w:r>
      <w:r w:rsidRPr="00330A08">
        <w:t>These findings must be supported by ‘substantial evidence[.]’”</w:t>
      </w:r>
      <w:r>
        <w:t>)</w:t>
      </w:r>
      <w:r w:rsidRPr="00330A08">
        <w:t xml:space="preserve">; </w:t>
      </w:r>
      <w:r w:rsidRPr="00761324">
        <w:rPr>
          <w:i/>
          <w:iCs/>
        </w:rPr>
        <w:t>Emera Me</w:t>
      </w:r>
      <w:r w:rsidR="00015C4D">
        <w:rPr>
          <w:i/>
          <w:iCs/>
        </w:rPr>
        <w:t>.</w:t>
      </w:r>
      <w:r>
        <w:rPr>
          <w:i/>
          <w:iCs/>
        </w:rPr>
        <w:t xml:space="preserve"> v. FERC</w:t>
      </w:r>
      <w:r w:rsidRPr="00330A08">
        <w:t xml:space="preserve">, 854 F.3d </w:t>
      </w:r>
      <w:r>
        <w:t xml:space="preserve">9, </w:t>
      </w:r>
      <w:r w:rsidRPr="00330A08">
        <w:t>25</w:t>
      </w:r>
      <w:r>
        <w:t xml:space="preserve"> (D.C. Cir. 2017)</w:t>
      </w:r>
      <w:r w:rsidRPr="00330A08">
        <w:t xml:space="preserve"> </w:t>
      </w:r>
      <w:r w:rsidR="00534D5D">
        <w:t>(</w:t>
      </w:r>
      <w:r w:rsidRPr="002A10A3" w:rsidR="00534D5D">
        <w:rPr>
          <w:i/>
        </w:rPr>
        <w:t>Emera Me</w:t>
      </w:r>
      <w:r w:rsidR="001D09FF">
        <w:rPr>
          <w:i/>
        </w:rPr>
        <w:t>.</w:t>
      </w:r>
      <w:r>
        <w:t>)</w:t>
      </w:r>
      <w:r w:rsidRPr="00330A08">
        <w:t xml:space="preserve"> (“[A] finding that an existing rate is unjust and unreasonable is the ‘condition precedent’ to FERC’s exercise of its section 206 authority to change that rate. </w:t>
      </w:r>
      <w:r w:rsidR="00DD10EF">
        <w:t xml:space="preserve"> </w:t>
      </w:r>
      <w:r w:rsidRPr="00330A08">
        <w:t xml:space="preserve">Section 206, therefore, imposes a ‘dual burden’ on FERC. </w:t>
      </w:r>
      <w:r w:rsidR="00DD10EF">
        <w:t xml:space="preserve"> </w:t>
      </w:r>
      <w:r w:rsidRPr="00330A08">
        <w:t>Without a showing that the existing rate is unlawful, FERC has no authority to impose a new rate.”</w:t>
      </w:r>
      <w:r>
        <w:t>)).</w:t>
      </w:r>
    </w:p>
  </w:footnote>
  <w:footnote w:id="37">
    <w:p w:rsidR="00760048" w:rsidP="00071614" w14:paraId="08645D7B" w14:textId="77777777">
      <w:pPr>
        <w:pStyle w:val="FootnoteText"/>
      </w:pPr>
      <w:r w:rsidRPr="0072600F">
        <w:rPr>
          <w:rStyle w:val="FootnoteReference"/>
        </w:rPr>
        <w:footnoteRef/>
      </w:r>
      <w:r>
        <w:t xml:space="preserve"> </w:t>
      </w:r>
      <w:r w:rsidRPr="00094C6A">
        <w:t>Indicated PJM TOs Rehearing Request at 7, 17.</w:t>
      </w:r>
    </w:p>
  </w:footnote>
  <w:footnote w:id="38">
    <w:p w:rsidR="00760048" w:rsidP="00071614" w14:paraId="0D62DD14" w14:textId="77777777">
      <w:pPr>
        <w:pStyle w:val="FootnoteText"/>
      </w:pPr>
      <w:r w:rsidRPr="0072600F">
        <w:rPr>
          <w:rStyle w:val="FootnoteReference"/>
        </w:rPr>
        <w:footnoteRef/>
      </w:r>
      <w:r>
        <w:t xml:space="preserve"> </w:t>
      </w:r>
      <w:r w:rsidR="00CD0EC8">
        <w:t>PJM Rehearing Request</w:t>
      </w:r>
      <w:r>
        <w:rPr>
          <w:i/>
        </w:rPr>
        <w:t xml:space="preserve"> </w:t>
      </w:r>
      <w:r w:rsidRPr="00582BB7">
        <w:t xml:space="preserve">at </w:t>
      </w:r>
      <w:r>
        <w:t>25</w:t>
      </w:r>
      <w:r w:rsidR="00CD0EC8">
        <w:t>-26</w:t>
      </w:r>
      <w:r>
        <w:t>.</w:t>
      </w:r>
    </w:p>
  </w:footnote>
  <w:footnote w:id="39">
    <w:p w:rsidR="00760048" w:rsidP="00071614" w14:paraId="24C7EDE2" w14:textId="77777777">
      <w:pPr>
        <w:pStyle w:val="FootnoteText"/>
      </w:pPr>
      <w:r w:rsidRPr="0072600F">
        <w:rPr>
          <w:rStyle w:val="FootnoteReference"/>
        </w:rPr>
        <w:footnoteRef/>
      </w:r>
      <w:r>
        <w:t xml:space="preserve"> </w:t>
      </w:r>
      <w:r w:rsidR="001C0DA3">
        <w:t xml:space="preserve">Dominion Rehearing Request </w:t>
      </w:r>
      <w:r>
        <w:t>at 12.</w:t>
      </w:r>
    </w:p>
  </w:footnote>
  <w:footnote w:id="40">
    <w:p w:rsidR="00760048" w:rsidP="00071614" w14:paraId="24FDB19F" w14:textId="77777777">
      <w:pPr>
        <w:pStyle w:val="FootnoteText"/>
      </w:pPr>
      <w:r w:rsidRPr="0072600F">
        <w:rPr>
          <w:rStyle w:val="FootnoteReference"/>
        </w:rPr>
        <w:footnoteRef/>
      </w:r>
      <w:r>
        <w:t xml:space="preserve"> </w:t>
      </w:r>
      <w:r>
        <w:rPr>
          <w:i/>
          <w:iCs/>
        </w:rPr>
        <w:t>Id.</w:t>
      </w:r>
      <w:r>
        <w:t xml:space="preserve"> (citing </w:t>
      </w:r>
      <w:r w:rsidRPr="00C35C06">
        <w:rPr>
          <w:i/>
          <w:iCs/>
        </w:rPr>
        <w:t xml:space="preserve">Transmission Access </w:t>
      </w:r>
      <w:r w:rsidRPr="00C35C06">
        <w:rPr>
          <w:i/>
          <w:iCs/>
        </w:rPr>
        <w:t>Pol'y Study Grp. v. FERC</w:t>
      </w:r>
      <w:r w:rsidRPr="00C744BB">
        <w:t>,</w:t>
      </w:r>
      <w:r w:rsidRPr="00C35C06">
        <w:rPr>
          <w:i/>
          <w:iCs/>
        </w:rPr>
        <w:t xml:space="preserve"> </w:t>
      </w:r>
      <w:r w:rsidRPr="00C35C06">
        <w:t>225 F.3d 667 (D.C Cir. 2000)</w:t>
      </w:r>
      <w:r>
        <w:t xml:space="preserve"> (</w:t>
      </w:r>
      <w:r w:rsidRPr="00AF1876">
        <w:rPr>
          <w:i/>
          <w:iCs/>
        </w:rPr>
        <w:t>TAPS</w:t>
      </w:r>
      <w:r>
        <w:t>)</w:t>
      </w:r>
      <w:r w:rsidRPr="00C35C06">
        <w:t xml:space="preserve">, </w:t>
      </w:r>
      <w:r w:rsidRPr="00C35C06">
        <w:rPr>
          <w:i/>
          <w:iCs/>
        </w:rPr>
        <w:t>aff’d sub nom. N</w:t>
      </w:r>
      <w:r w:rsidR="009A6ADD">
        <w:rPr>
          <w:i/>
          <w:iCs/>
        </w:rPr>
        <w:t>.</w:t>
      </w:r>
      <w:r w:rsidRPr="00C35C06">
        <w:rPr>
          <w:i/>
          <w:iCs/>
        </w:rPr>
        <w:t xml:space="preserve"> Y</w:t>
      </w:r>
      <w:r w:rsidR="009A6ADD">
        <w:rPr>
          <w:i/>
          <w:iCs/>
        </w:rPr>
        <w:t>.</w:t>
      </w:r>
      <w:r w:rsidRPr="00C35C06">
        <w:rPr>
          <w:i/>
          <w:iCs/>
        </w:rPr>
        <w:t xml:space="preserve"> v. FERC</w:t>
      </w:r>
      <w:r>
        <w:t>, 535 U.S. 1</w:t>
      </w:r>
      <w:r w:rsidR="00FB1CC3">
        <w:t xml:space="preserve"> </w:t>
      </w:r>
      <w:r>
        <w:t>(2002)</w:t>
      </w:r>
      <w:r w:rsidRPr="00C35C06">
        <w:t xml:space="preserve">); </w:t>
      </w:r>
      <w:r>
        <w:rPr>
          <w:i/>
          <w:iCs/>
        </w:rPr>
        <w:t xml:space="preserve">see also </w:t>
      </w:r>
      <w:r>
        <w:t>Indicated PJM TOs Rehearing Request at 14.</w:t>
      </w:r>
    </w:p>
  </w:footnote>
  <w:footnote w:id="41">
    <w:p w:rsidR="00760048" w:rsidRPr="00AB1F58" w:rsidP="00AB1F58" w14:paraId="3393F548" w14:textId="77777777">
      <w:pPr>
        <w:pStyle w:val="FootnoteText"/>
        <w:rPr>
          <w:b/>
        </w:rPr>
      </w:pPr>
      <w:r w:rsidRPr="0072600F">
        <w:rPr>
          <w:b/>
          <w:szCs w:val="26"/>
          <w:vertAlign w:val="superscript"/>
        </w:rPr>
        <w:footnoteRef/>
      </w:r>
      <w:r w:rsidRPr="0072600F">
        <w:rPr>
          <w:szCs w:val="26"/>
        </w:rPr>
        <w:t xml:space="preserve"> </w:t>
      </w:r>
      <w:r w:rsidRPr="00E210ED">
        <w:rPr>
          <w:szCs w:val="26"/>
        </w:rPr>
        <w:t xml:space="preserve">Dominion Rehearing </w:t>
      </w:r>
      <w:r w:rsidRPr="00991F24">
        <w:rPr>
          <w:szCs w:val="26"/>
        </w:rPr>
        <w:t>Request</w:t>
      </w:r>
      <w:r w:rsidRPr="0072600F">
        <w:rPr>
          <w:szCs w:val="26"/>
        </w:rPr>
        <w:t xml:space="preserve"> at 12-13 (citing </w:t>
      </w:r>
      <w:r w:rsidRPr="0072600F">
        <w:rPr>
          <w:i/>
          <w:iCs/>
          <w:szCs w:val="26"/>
        </w:rPr>
        <w:t>S.C. Pub. Serv. Auth.</w:t>
      </w:r>
      <w:r w:rsidRPr="0072600F">
        <w:rPr>
          <w:szCs w:val="26"/>
        </w:rPr>
        <w:t xml:space="preserve">, 762 F.3d at 67; </w:t>
      </w:r>
      <w:r w:rsidRPr="0072600F">
        <w:rPr>
          <w:i/>
          <w:szCs w:val="26"/>
        </w:rPr>
        <w:t>Interstate Nat. Gas Ass’n of Am. v. FERC</w:t>
      </w:r>
      <w:r w:rsidRPr="0072600F">
        <w:rPr>
          <w:szCs w:val="26"/>
        </w:rPr>
        <w:t>, 285 F.3d 18 (D.C. Cir. 2002)</w:t>
      </w:r>
      <w:r w:rsidR="00CD0235">
        <w:rPr>
          <w:szCs w:val="26"/>
        </w:rPr>
        <w:t xml:space="preserve"> (</w:t>
      </w:r>
      <w:r w:rsidR="00CD0235">
        <w:rPr>
          <w:i/>
          <w:iCs/>
          <w:szCs w:val="26"/>
        </w:rPr>
        <w:t>INGAA</w:t>
      </w:r>
      <w:r w:rsidRPr="00AB1F58" w:rsidR="00CD0235">
        <w:rPr>
          <w:szCs w:val="26"/>
        </w:rPr>
        <w:t>)</w:t>
      </w:r>
      <w:r w:rsidRPr="0072600F">
        <w:rPr>
          <w:szCs w:val="26"/>
        </w:rPr>
        <w:t>).</w:t>
      </w:r>
    </w:p>
  </w:footnote>
  <w:footnote w:id="42">
    <w:p w:rsidR="00760048" w:rsidP="00071614" w14:paraId="4E35A0CC" w14:textId="77777777">
      <w:pPr>
        <w:pStyle w:val="FootnoteText"/>
      </w:pPr>
      <w:r w:rsidRPr="0072600F">
        <w:rPr>
          <w:rStyle w:val="FootnoteReference"/>
        </w:rPr>
        <w:footnoteRef/>
      </w:r>
      <w:r>
        <w:t xml:space="preserve"> </w:t>
      </w:r>
      <w:r w:rsidRPr="00F867C0">
        <w:t xml:space="preserve">Indicated PJM TOs Rehearing Request at 7, 17-18 (citing </w:t>
      </w:r>
      <w:r w:rsidRPr="00F867C0">
        <w:rPr>
          <w:i/>
        </w:rPr>
        <w:t>PJM Interconnection, L.L.C.</w:t>
      </w:r>
      <w:r w:rsidRPr="00F867C0">
        <w:t>, 181 FERC ¶ 61,162 (2022)).</w:t>
      </w:r>
    </w:p>
  </w:footnote>
  <w:footnote w:id="43">
    <w:p w:rsidR="00760048" w:rsidP="00071614" w14:paraId="7A66A38C" w14:textId="77777777">
      <w:pPr>
        <w:pStyle w:val="FootnoteText"/>
      </w:pPr>
      <w:r w:rsidRPr="0072600F">
        <w:rPr>
          <w:rStyle w:val="FootnoteReference"/>
        </w:rPr>
        <w:footnoteRef/>
      </w:r>
      <w:r>
        <w:t xml:space="preserve"> Dominion Rehearing Request at 14 (citing </w:t>
      </w:r>
      <w:r w:rsidR="00CD0235">
        <w:rPr>
          <w:i/>
          <w:iCs/>
        </w:rPr>
        <w:t>INGAA</w:t>
      </w:r>
      <w:r w:rsidRPr="003314A7">
        <w:t>, 285 F.3d</w:t>
      </w:r>
      <w:r>
        <w:t xml:space="preserve"> </w:t>
      </w:r>
      <w:r w:rsidR="00CD0235">
        <w:t xml:space="preserve">at </w:t>
      </w:r>
      <w:r w:rsidRPr="003314A7">
        <w:t>37</w:t>
      </w:r>
      <w:r>
        <w:t>).</w:t>
      </w:r>
    </w:p>
  </w:footnote>
  <w:footnote w:id="44">
    <w:p w:rsidR="00760048" w:rsidP="00071614" w14:paraId="4E9D3236" w14:textId="77777777">
      <w:pPr>
        <w:pStyle w:val="FootnoteText"/>
      </w:pPr>
      <w:r w:rsidRPr="0072600F">
        <w:rPr>
          <w:rStyle w:val="FootnoteReference"/>
        </w:rPr>
        <w:footnoteRef/>
      </w:r>
      <w:r>
        <w:t xml:space="preserve"> </w:t>
      </w:r>
      <w:r>
        <w:rPr>
          <w:i/>
          <w:iCs/>
        </w:rPr>
        <w:t>Id.</w:t>
      </w:r>
      <w:r>
        <w:t xml:space="preserve"> at 2.</w:t>
      </w:r>
    </w:p>
  </w:footnote>
  <w:footnote w:id="45">
    <w:p w:rsidR="00760048" w:rsidP="00071614" w14:paraId="7F9C214C" w14:textId="77777777">
      <w:pPr>
        <w:pStyle w:val="FootnoteText"/>
      </w:pPr>
      <w:r w:rsidRPr="0072600F">
        <w:rPr>
          <w:rStyle w:val="FootnoteReference"/>
        </w:rPr>
        <w:footnoteRef/>
      </w:r>
      <w:r>
        <w:t xml:space="preserve"> </w:t>
      </w:r>
      <w:r>
        <w:rPr>
          <w:i/>
          <w:iCs/>
        </w:rPr>
        <w:t>Id.</w:t>
      </w:r>
      <w:r>
        <w:t xml:space="preserve"> at 10 (citing </w:t>
      </w:r>
      <w:r w:rsidRPr="00784F8E">
        <w:rPr>
          <w:i/>
        </w:rPr>
        <w:t>S.C. Pub. Serv. Auth.</w:t>
      </w:r>
      <w:r w:rsidRPr="0031752B">
        <w:t>, 762 F.3d at 64-65</w:t>
      </w:r>
      <w:r>
        <w:t>).</w:t>
      </w:r>
    </w:p>
  </w:footnote>
  <w:footnote w:id="46">
    <w:p w:rsidR="00760048" w14:paraId="23B65F17" w14:textId="77777777">
      <w:pPr>
        <w:pStyle w:val="FootnoteText"/>
      </w:pPr>
      <w:r w:rsidRPr="0072600F">
        <w:rPr>
          <w:rStyle w:val="FootnoteReference"/>
        </w:rPr>
        <w:footnoteRef/>
      </w:r>
      <w:r>
        <w:t xml:space="preserve"> </w:t>
      </w:r>
      <w:r w:rsidRPr="003E4DEC">
        <w:t>Indicated PJM TOs</w:t>
      </w:r>
      <w:r>
        <w:t xml:space="preserve"> Rehearing Request</w:t>
      </w:r>
      <w:r w:rsidRPr="003E4DEC">
        <w:t xml:space="preserve"> at 18</w:t>
      </w:r>
      <w:r>
        <w:t xml:space="preserve"> n.45.  </w:t>
      </w:r>
      <w:r w:rsidRPr="003E4DEC">
        <w:t xml:space="preserve">Indicated PJM TOs specifically point to Order No. 2023’s citation to Order No. 845 data showing the number of delayed studies as of the end of 2022, “with the vast majority of these studies (2,211)” coming from PJM, as stale data the Commission used to support the new obligations Order No. 2023 will impose.  </w:t>
      </w:r>
      <w:r w:rsidRPr="003E4DEC">
        <w:rPr>
          <w:i/>
          <w:iCs/>
        </w:rPr>
        <w:t xml:space="preserve">Id. </w:t>
      </w:r>
      <w:r w:rsidRPr="003E4DEC">
        <w:t>at 17</w:t>
      </w:r>
      <w:r w:rsidR="008044A0">
        <w:t>.</w:t>
      </w:r>
    </w:p>
  </w:footnote>
  <w:footnote w:id="47">
    <w:p w:rsidR="00760048" w:rsidP="00071614" w14:paraId="266AC036" w14:textId="77777777">
      <w:pPr>
        <w:pStyle w:val="FootnoteText"/>
      </w:pPr>
      <w:r w:rsidRPr="0072600F">
        <w:rPr>
          <w:rStyle w:val="FootnoteReference"/>
        </w:rPr>
        <w:footnoteRef/>
      </w:r>
      <w:r>
        <w:t xml:space="preserve"> Dominion Rehearing Request at 12.</w:t>
      </w:r>
    </w:p>
  </w:footnote>
  <w:footnote w:id="48">
    <w:p w:rsidR="00760048" w14:paraId="685C9CB3" w14:textId="77777777">
      <w:pPr>
        <w:pStyle w:val="FootnoteText"/>
      </w:pPr>
      <w:r w:rsidRPr="0072600F">
        <w:rPr>
          <w:rStyle w:val="FootnoteReference"/>
        </w:rPr>
        <w:footnoteRef/>
      </w:r>
      <w:r>
        <w:t xml:space="preserve"> </w:t>
      </w:r>
      <w:r w:rsidRPr="00F867C0">
        <w:t>Indicated PJM TOs Rehearing Request at 18</w:t>
      </w:r>
      <w:r>
        <w:t>.</w:t>
      </w:r>
    </w:p>
  </w:footnote>
  <w:footnote w:id="49">
    <w:p w:rsidR="00760048" w:rsidP="00071614" w14:paraId="43F46B00" w14:textId="77777777">
      <w:pPr>
        <w:pStyle w:val="FootnoteText"/>
      </w:pPr>
      <w:r w:rsidRPr="0072600F">
        <w:rPr>
          <w:rStyle w:val="FootnoteReference"/>
        </w:rPr>
        <w:footnoteRef/>
      </w:r>
      <w:r>
        <w:t xml:space="preserve"> </w:t>
      </w:r>
      <w:r w:rsidRPr="007E4619">
        <w:rPr>
          <w:i/>
        </w:rPr>
        <w:t>Id.</w:t>
      </w:r>
      <w:r>
        <w:t>; Dominion Rehearing Request at 13</w:t>
      </w:r>
      <w:r>
        <w:t>.</w:t>
      </w:r>
    </w:p>
  </w:footnote>
  <w:footnote w:id="50">
    <w:p w:rsidR="00760048" w14:paraId="12B9AF07" w14:textId="77777777">
      <w:pPr>
        <w:pStyle w:val="FootnoteText"/>
      </w:pPr>
      <w:r w:rsidRPr="0072600F">
        <w:rPr>
          <w:rStyle w:val="FootnoteReference"/>
        </w:rPr>
        <w:footnoteRef/>
      </w:r>
      <w:r>
        <w:t xml:space="preserve"> </w:t>
      </w:r>
      <w:r w:rsidRPr="00526530">
        <w:t>Dominion Rehearing Request at 8</w:t>
      </w:r>
      <w:r>
        <w:t>-9</w:t>
      </w:r>
      <w:r w:rsidRPr="00526530">
        <w:t xml:space="preserve">.  </w:t>
      </w:r>
    </w:p>
  </w:footnote>
  <w:footnote w:id="51">
    <w:p w:rsidR="00760048" w:rsidP="00071614" w14:paraId="787C52B7" w14:textId="77777777">
      <w:pPr>
        <w:pStyle w:val="FootnoteText"/>
      </w:pPr>
      <w:r w:rsidRPr="0072600F">
        <w:rPr>
          <w:rStyle w:val="FootnoteReference"/>
        </w:rPr>
        <w:footnoteRef/>
      </w:r>
      <w:r>
        <w:t xml:space="preserve"> </w:t>
      </w:r>
      <w:r>
        <w:rPr>
          <w:i/>
          <w:iCs/>
        </w:rPr>
        <w:t>Id.</w:t>
      </w:r>
      <w:r>
        <w:t xml:space="preserve"> at 13 (citing </w:t>
      </w:r>
      <w:r w:rsidRPr="005133AD">
        <w:rPr>
          <w:i/>
        </w:rPr>
        <w:t>Greater Bos. Television Corp</w:t>
      </w:r>
      <w:r w:rsidRPr="0021466C">
        <w:t>.</w:t>
      </w:r>
      <w:r w:rsidR="00EA508C">
        <w:t xml:space="preserve"> </w:t>
      </w:r>
      <w:r w:rsidRPr="007A0680" w:rsidR="00EA508C">
        <w:rPr>
          <w:i/>
          <w:iCs/>
        </w:rPr>
        <w:t>v. F</w:t>
      </w:r>
      <w:r w:rsidR="00015C4D">
        <w:rPr>
          <w:i/>
          <w:iCs/>
        </w:rPr>
        <w:t xml:space="preserve">ed. </w:t>
      </w:r>
      <w:r w:rsidRPr="007A0680" w:rsidR="00EA508C">
        <w:rPr>
          <w:i/>
          <w:iCs/>
        </w:rPr>
        <w:t>C</w:t>
      </w:r>
      <w:r w:rsidR="00015C4D">
        <w:rPr>
          <w:i/>
          <w:iCs/>
        </w:rPr>
        <w:t xml:space="preserve">ommunications </w:t>
      </w:r>
      <w:r w:rsidRPr="007A0680" w:rsidR="00EA508C">
        <w:rPr>
          <w:i/>
          <w:iCs/>
        </w:rPr>
        <w:t>C</w:t>
      </w:r>
      <w:r w:rsidR="00015C4D">
        <w:rPr>
          <w:i/>
          <w:iCs/>
        </w:rPr>
        <w:t>omm’n</w:t>
      </w:r>
      <w:r w:rsidRPr="0021466C">
        <w:t xml:space="preserve">, 444 F.2d </w:t>
      </w:r>
      <w:r w:rsidRPr="00F45680">
        <w:t>841,</w:t>
      </w:r>
      <w:r w:rsidRPr="0021466C">
        <w:t xml:space="preserve"> 851 </w:t>
      </w:r>
      <w:r>
        <w:t>(D.C. Cir. 1970)</w:t>
      </w:r>
      <w:r w:rsidRPr="0021466C">
        <w:t xml:space="preserve"> (an agency must give “reasoned consideration to all </w:t>
      </w:r>
      <w:r w:rsidRPr="001A6BB8">
        <w:t xml:space="preserve">the material facts and issues” and “engage[] in reasoned decision making”); </w:t>
      </w:r>
      <w:r w:rsidRPr="005133AD">
        <w:rPr>
          <w:i/>
        </w:rPr>
        <w:t>Tarpon</w:t>
      </w:r>
      <w:r w:rsidR="00611D9D">
        <w:rPr>
          <w:i/>
        </w:rPr>
        <w:t xml:space="preserve"> Transmission Co. v. FERC</w:t>
      </w:r>
      <w:r w:rsidRPr="001A6BB8">
        <w:t xml:space="preserve">, 860 F.2d </w:t>
      </w:r>
      <w:r w:rsidRPr="005133AD">
        <w:t>439,</w:t>
      </w:r>
      <w:r w:rsidRPr="001A6BB8">
        <w:t xml:space="preserve"> 442 </w:t>
      </w:r>
      <w:r w:rsidRPr="008C002B">
        <w:t>(D.C. Cir. 1988)</w:t>
      </w:r>
      <w:r w:rsidRPr="001A6BB8">
        <w:t xml:space="preserve"> (“We cannot accept an agency determination unless it is the result of reasoned and principled decisionmaking that can be ascertained from the record.”); </w:t>
      </w:r>
      <w:r w:rsidRPr="005133AD">
        <w:rPr>
          <w:i/>
        </w:rPr>
        <w:t>ANR Pipeline Co.</w:t>
      </w:r>
      <w:r w:rsidRPr="001A6BB8">
        <w:t xml:space="preserve">, 71 F.3d </w:t>
      </w:r>
      <w:r w:rsidRPr="005133AD">
        <w:t>897,</w:t>
      </w:r>
      <w:r w:rsidRPr="001A6BB8">
        <w:t xml:space="preserve"> 901 (D.C. Cir. 1995) (“[W]here an agency departs from established precedent without a reasoned explanation, its decision</w:t>
      </w:r>
      <w:r w:rsidRPr="0021466C">
        <w:t xml:space="preserve"> will be vacated as arbitrary and capricious.”); </w:t>
      </w:r>
      <w:r w:rsidRPr="005133AD">
        <w:rPr>
          <w:i/>
        </w:rPr>
        <w:t>Tenneco Gas v. FERC</w:t>
      </w:r>
      <w:r w:rsidRPr="0021466C">
        <w:t>, 969 F.2d 1187, 1214 (D.C. Cir. 1992) (“Subsumed in the substantial evidence requirement is the expectation that agencies will treat fully each of the pertinent factors and issues before them.” (</w:t>
      </w:r>
      <w:r>
        <w:t>internal citations omitted))</w:t>
      </w:r>
      <w:r w:rsidR="00D15A86">
        <w:t>)</w:t>
      </w:r>
      <w:r>
        <w:t>.</w:t>
      </w:r>
      <w:r w:rsidRPr="0021466C">
        <w:t xml:space="preserve">   </w:t>
      </w:r>
    </w:p>
  </w:footnote>
  <w:footnote w:id="52">
    <w:p w:rsidR="00760048" w:rsidP="00071614" w14:paraId="547E3901" w14:textId="77777777">
      <w:pPr>
        <w:pStyle w:val="FootnoteText"/>
      </w:pPr>
      <w:r w:rsidRPr="0072600F">
        <w:rPr>
          <w:rStyle w:val="FootnoteReference"/>
        </w:rPr>
        <w:footnoteRef/>
      </w:r>
      <w:r>
        <w:t xml:space="preserve"> </w:t>
      </w:r>
      <w:r>
        <w:rPr>
          <w:i/>
          <w:iCs/>
        </w:rPr>
        <w:t>Id.</w:t>
      </w:r>
      <w:r>
        <w:rPr>
          <w:i/>
        </w:rPr>
        <w:t xml:space="preserve"> </w:t>
      </w:r>
      <w:r>
        <w:t xml:space="preserve">at 15-16 (citing </w:t>
      </w:r>
      <w:r w:rsidRPr="00F40D9F">
        <w:t>Order No. 2023, 184 FERC ¶ 61,054 at P 40</w:t>
      </w:r>
      <w:r>
        <w:t>).</w:t>
      </w:r>
    </w:p>
  </w:footnote>
  <w:footnote w:id="53">
    <w:p w:rsidR="00760048" w:rsidP="00071614" w14:paraId="095DC564" w14:textId="77777777">
      <w:pPr>
        <w:pStyle w:val="FootnoteText"/>
      </w:pPr>
      <w:r w:rsidRPr="0072600F">
        <w:rPr>
          <w:rStyle w:val="FootnoteReference"/>
        </w:rPr>
        <w:footnoteRef/>
      </w:r>
      <w:r>
        <w:t xml:space="preserve"> </w:t>
      </w:r>
      <w:r>
        <w:rPr>
          <w:i/>
          <w:iCs/>
        </w:rPr>
        <w:t>Id.</w:t>
      </w:r>
      <w:r>
        <w:rPr>
          <w:i/>
        </w:rPr>
        <w:t xml:space="preserve"> </w:t>
      </w:r>
      <w:r>
        <w:t xml:space="preserve">at 13 (citing </w:t>
      </w:r>
      <w:r w:rsidRPr="0082004E">
        <w:rPr>
          <w:i/>
          <w:iCs/>
        </w:rPr>
        <w:t xml:space="preserve">Assoc. Gas </w:t>
      </w:r>
      <w:r w:rsidRPr="0082004E">
        <w:rPr>
          <w:i/>
          <w:iCs/>
        </w:rPr>
        <w:t>Distribs. v. FERC</w:t>
      </w:r>
      <w:r w:rsidRPr="0082004E">
        <w:t>, 824 F.2d 981, 1019 (D.C. Cir. 1987)</w:t>
      </w:r>
      <w:r w:rsidR="00130F77">
        <w:t xml:space="preserve"> (</w:t>
      </w:r>
      <w:r w:rsidRPr="0082004E" w:rsidR="00130F77">
        <w:rPr>
          <w:i/>
          <w:iCs/>
        </w:rPr>
        <w:t>Assoc. Gas</w:t>
      </w:r>
      <w:r>
        <w:t>)</w:t>
      </w:r>
      <w:r w:rsidR="00D66178">
        <w:t>)</w:t>
      </w:r>
      <w:r>
        <w:t>.</w:t>
      </w:r>
    </w:p>
  </w:footnote>
  <w:footnote w:id="54">
    <w:p w:rsidR="00760048" w:rsidP="00071614" w14:paraId="6D6A41A0" w14:textId="77777777">
      <w:pPr>
        <w:pStyle w:val="FootnoteText"/>
      </w:pPr>
      <w:r w:rsidRPr="0072600F">
        <w:rPr>
          <w:rStyle w:val="FootnoteReference"/>
        </w:rPr>
        <w:footnoteRef/>
      </w:r>
      <w:r>
        <w:t xml:space="preserve"> </w:t>
      </w:r>
      <w:r>
        <w:rPr>
          <w:i/>
          <w:iCs/>
        </w:rPr>
        <w:t>Id.</w:t>
      </w:r>
      <w:r>
        <w:rPr>
          <w:i/>
        </w:rPr>
        <w:t xml:space="preserve"> </w:t>
      </w:r>
      <w:r>
        <w:t>at 7-8 (citing Order No. 2023, 184 FERC ¶ 61,054 at PP 1762-1764).</w:t>
      </w:r>
    </w:p>
  </w:footnote>
  <w:footnote w:id="55">
    <w:p w:rsidR="00760048" w:rsidP="00071614" w14:paraId="20648F16" w14:textId="77777777">
      <w:pPr>
        <w:pStyle w:val="FootnoteText"/>
      </w:pPr>
      <w:r w:rsidRPr="0072600F">
        <w:rPr>
          <w:rStyle w:val="FootnoteReference"/>
        </w:rPr>
        <w:footnoteRef/>
      </w:r>
      <w:r>
        <w:t xml:space="preserve"> </w:t>
      </w:r>
      <w:r>
        <w:rPr>
          <w:i/>
          <w:iCs/>
        </w:rPr>
        <w:t>Id.</w:t>
      </w:r>
      <w:r>
        <w:rPr>
          <w:i/>
        </w:rPr>
        <w:t xml:space="preserve"> </w:t>
      </w:r>
      <w:r>
        <w:t xml:space="preserve">at 16 (citing </w:t>
      </w:r>
      <w:r w:rsidRPr="00FB489B">
        <w:rPr>
          <w:i/>
        </w:rPr>
        <w:t>INGAA</w:t>
      </w:r>
      <w:r w:rsidRPr="00A519B9">
        <w:t>, 285 F.3d at 37-39</w:t>
      </w:r>
      <w:r>
        <w:t>).</w:t>
      </w:r>
    </w:p>
  </w:footnote>
  <w:footnote w:id="56">
    <w:p w:rsidR="00760048" w:rsidP="00071614" w14:paraId="4CD2117D" w14:textId="77777777">
      <w:pPr>
        <w:pStyle w:val="FootnoteText"/>
      </w:pPr>
      <w:r w:rsidRPr="0072600F">
        <w:rPr>
          <w:rStyle w:val="FootnoteReference"/>
        </w:rPr>
        <w:footnoteRef/>
      </w:r>
      <w:r>
        <w:t xml:space="preserve"> Order No. 2023, </w:t>
      </w:r>
      <w:r w:rsidRPr="00761324">
        <w:t>184 FERC ¶ 61,054</w:t>
      </w:r>
      <w:r>
        <w:t xml:space="preserve"> at P 37.</w:t>
      </w:r>
    </w:p>
  </w:footnote>
  <w:footnote w:id="57">
    <w:p w:rsidR="00760048" w:rsidP="00071614" w14:paraId="31F5C1BA" w14:textId="77777777">
      <w:pPr>
        <w:pStyle w:val="FootnoteText"/>
      </w:pPr>
      <w:r w:rsidRPr="0072600F">
        <w:rPr>
          <w:rStyle w:val="FootnoteReference"/>
        </w:rPr>
        <w:footnoteRef/>
      </w:r>
      <w:r>
        <w:t xml:space="preserve"> </w:t>
      </w:r>
      <w:r w:rsidRPr="00643BE7">
        <w:t>16 U</w:t>
      </w:r>
      <w:r w:rsidR="00E97649">
        <w:t>.</w:t>
      </w:r>
      <w:r w:rsidRPr="00643BE7">
        <w:t>S</w:t>
      </w:r>
      <w:r w:rsidR="00E97649">
        <w:t>.</w:t>
      </w:r>
      <w:r w:rsidRPr="00643BE7">
        <w:t>C</w:t>
      </w:r>
      <w:r w:rsidR="00E97649">
        <w:t xml:space="preserve">. </w:t>
      </w:r>
      <w:r w:rsidRPr="00015C4D" w:rsidR="00015C4D">
        <w:t>§</w:t>
      </w:r>
      <w:r w:rsidR="00015C4D">
        <w:t xml:space="preserve"> </w:t>
      </w:r>
      <w:r w:rsidRPr="00643BE7">
        <w:t>824e(a); 18 CFR 385.206.</w:t>
      </w:r>
    </w:p>
  </w:footnote>
  <w:footnote w:id="58">
    <w:p w:rsidR="00760048" w:rsidP="00071614" w14:paraId="3C15C3D4" w14:textId="77777777">
      <w:pPr>
        <w:pStyle w:val="FootnoteText"/>
      </w:pPr>
      <w:r w:rsidRPr="0072600F">
        <w:rPr>
          <w:rStyle w:val="FootnoteReference"/>
        </w:rPr>
        <w:footnoteRef/>
      </w:r>
      <w:r>
        <w:t xml:space="preserve"> </w:t>
      </w:r>
      <w:r w:rsidRPr="00537799">
        <w:t>Dominion Rehearing Request at 2.</w:t>
      </w:r>
    </w:p>
  </w:footnote>
  <w:footnote w:id="59">
    <w:p w:rsidR="00760048" w:rsidP="00071614" w14:paraId="2A066BE4" w14:textId="77777777">
      <w:pPr>
        <w:pStyle w:val="FootnoteText"/>
      </w:pPr>
      <w:r w:rsidRPr="0072600F">
        <w:rPr>
          <w:rStyle w:val="FootnoteReference"/>
        </w:rPr>
        <w:footnoteRef/>
      </w:r>
      <w:r>
        <w:t xml:space="preserve"> Order No. 2023,</w:t>
      </w:r>
      <w:r w:rsidRPr="00D80772">
        <w:t xml:space="preserve"> </w:t>
      </w:r>
      <w:r w:rsidRPr="00761324">
        <w:t>184 FERC ¶ 61,054</w:t>
      </w:r>
      <w:r>
        <w:t xml:space="preserve"> at P 37.</w:t>
      </w:r>
    </w:p>
  </w:footnote>
  <w:footnote w:id="60">
    <w:p w:rsidR="00760048" w:rsidRPr="00C7705D" w:rsidP="00071614" w14:paraId="5365D56E" w14:textId="77777777">
      <w:pPr>
        <w:pStyle w:val="FootnoteText"/>
      </w:pPr>
      <w:r w:rsidRPr="0072600F">
        <w:rPr>
          <w:rStyle w:val="FootnoteReference"/>
        </w:rPr>
        <w:footnoteRef/>
      </w:r>
      <w:r>
        <w:t xml:space="preserve"> </w:t>
      </w:r>
      <w:r>
        <w:rPr>
          <w:i/>
          <w:iCs/>
        </w:rPr>
        <w:t>See, e.g.</w:t>
      </w:r>
      <w:r w:rsidR="00531F8C">
        <w:t>,</w:t>
      </w:r>
      <w:r>
        <w:rPr>
          <w:i/>
          <w:iCs/>
        </w:rPr>
        <w:t xml:space="preserve"> TAPS</w:t>
      </w:r>
      <w:r w:rsidRPr="00C744BB">
        <w:t>,</w:t>
      </w:r>
      <w:r w:rsidRPr="00C35C06">
        <w:rPr>
          <w:i/>
          <w:iCs/>
        </w:rPr>
        <w:t xml:space="preserve"> </w:t>
      </w:r>
      <w:r w:rsidRPr="00C35C06">
        <w:t xml:space="preserve">225 F.3d </w:t>
      </w:r>
      <w:r>
        <w:t xml:space="preserve">at 687-88 (upholding Commission action under FPA section 206 premised on general systemic conditions rather than evidence regarding individual utilities); </w:t>
      </w:r>
      <w:r w:rsidRPr="003A34B3">
        <w:rPr>
          <w:i/>
          <w:iCs/>
        </w:rPr>
        <w:t>S.C. Pub. Serv. Auth.</w:t>
      </w:r>
      <w:r w:rsidRPr="003A34B3">
        <w:t xml:space="preserve">, 762 F.3d </w:t>
      </w:r>
      <w:r>
        <w:t>at</w:t>
      </w:r>
      <w:r w:rsidRPr="003A34B3">
        <w:t xml:space="preserve"> </w:t>
      </w:r>
      <w:r>
        <w:t>67 (“</w:t>
      </w:r>
      <w:r w:rsidRPr="00C7705D">
        <w:t>[T]he Commission may rely on ‘generic’ or ‘general’ findings of a systemic problem to support imposition of an industry-wide solution.</w:t>
      </w:r>
      <w:r>
        <w:t xml:space="preserve">”) (citing </w:t>
      </w:r>
      <w:r>
        <w:rPr>
          <w:i/>
          <w:iCs/>
        </w:rPr>
        <w:t>INGAA</w:t>
      </w:r>
      <w:r>
        <w:t xml:space="preserve">, 285 F.3d at 37); </w:t>
      </w:r>
      <w:r w:rsidRPr="00BB6AE9">
        <w:rPr>
          <w:i/>
          <w:iCs/>
        </w:rPr>
        <w:t>Assoc</w:t>
      </w:r>
      <w:r w:rsidR="000C1159">
        <w:rPr>
          <w:i/>
          <w:iCs/>
        </w:rPr>
        <w:t>.</w:t>
      </w:r>
      <w:r w:rsidRPr="0082004E" w:rsidR="00531F8C">
        <w:rPr>
          <w:i/>
          <w:iCs/>
        </w:rPr>
        <w:t xml:space="preserve"> Gas</w:t>
      </w:r>
      <w:r w:rsidRPr="00673E3C">
        <w:t xml:space="preserve">, 824 F.2d </w:t>
      </w:r>
      <w:r w:rsidR="00011BF7">
        <w:t>at</w:t>
      </w:r>
      <w:r w:rsidRPr="00673E3C">
        <w:t xml:space="preserve"> 1008 </w:t>
      </w:r>
      <w:r>
        <w:t>(“The Commission is not required to make individual findings, however, if it exercises its N</w:t>
      </w:r>
      <w:r w:rsidR="00E73CB5">
        <w:t xml:space="preserve">atural </w:t>
      </w:r>
      <w:r>
        <w:t>G</w:t>
      </w:r>
      <w:r w:rsidR="00E73CB5">
        <w:t xml:space="preserve">as </w:t>
      </w:r>
      <w:r>
        <w:t>A</w:t>
      </w:r>
      <w:r w:rsidR="00E73CB5">
        <w:t>ct</w:t>
      </w:r>
      <w:r>
        <w:t xml:space="preserve"> § 5 authority by means of a generic rule.”).</w:t>
      </w:r>
    </w:p>
  </w:footnote>
  <w:footnote w:id="61">
    <w:p w:rsidR="00760048" w:rsidRPr="00304948" w14:paraId="04B9C15E" w14:textId="77777777">
      <w:pPr>
        <w:pStyle w:val="FootnoteText"/>
      </w:pPr>
      <w:r w:rsidRPr="0072600F">
        <w:rPr>
          <w:rStyle w:val="FootnoteReference"/>
        </w:rPr>
        <w:footnoteRef/>
      </w:r>
      <w:r>
        <w:t xml:space="preserve"> Order No. 2023,</w:t>
      </w:r>
      <w:r w:rsidRPr="00D80772">
        <w:t xml:space="preserve"> </w:t>
      </w:r>
      <w:r w:rsidRPr="00761324">
        <w:t>184 FERC ¶ 61,054</w:t>
      </w:r>
      <w:r>
        <w:t xml:space="preserve"> at P 1765.</w:t>
      </w:r>
    </w:p>
  </w:footnote>
  <w:footnote w:id="62">
    <w:p w:rsidR="00760048" w14:paraId="653BF5E8" w14:textId="77777777">
      <w:pPr>
        <w:pStyle w:val="FootnoteText"/>
      </w:pPr>
      <w:r w:rsidRPr="0072600F">
        <w:rPr>
          <w:rStyle w:val="FootnoteReference"/>
        </w:rPr>
        <w:footnoteRef/>
      </w:r>
      <w:r>
        <w:t xml:space="preserve"> </w:t>
      </w:r>
      <w:r w:rsidRPr="00F26D42">
        <w:rPr>
          <w:i/>
          <w:iCs/>
        </w:rPr>
        <w:t>See</w:t>
      </w:r>
      <w:r w:rsidRPr="00F26D42">
        <w:t xml:space="preserve"> </w:t>
      </w:r>
      <w:r w:rsidRPr="007F27C9">
        <w:rPr>
          <w:i/>
        </w:rPr>
        <w:t>id.</w:t>
      </w:r>
      <w:r w:rsidRPr="007F27C9">
        <w:rPr>
          <w:i/>
          <w:iCs/>
        </w:rPr>
        <w:t xml:space="preserve"> </w:t>
      </w:r>
      <w:r w:rsidRPr="00F26D42">
        <w:t xml:space="preserve">PP 8-12 (explaining the need for and adopting </w:t>
      </w:r>
      <w:r w:rsidRPr="00F26D42">
        <w:rPr>
          <w:i/>
          <w:iCs/>
        </w:rPr>
        <w:t>pro forma</w:t>
      </w:r>
      <w:r w:rsidRPr="00F26D42">
        <w:t xml:space="preserve"> interconnection agreements and procedures); </w:t>
      </w:r>
      <w:r w:rsidRPr="00F26D42">
        <w:rPr>
          <w:i/>
          <w:iCs/>
        </w:rPr>
        <w:t>see also NARUC v. FERC</w:t>
      </w:r>
      <w:r w:rsidRPr="00F26D42">
        <w:t xml:space="preserve">, 475 F.3d at 1279 (explaining, at the outset, the structural connection between the </w:t>
      </w:r>
      <w:r>
        <w:t>nationwide</w:t>
      </w:r>
      <w:r w:rsidRPr="00F26D42">
        <w:t xml:space="preserve"> reforms in Order No. 888 and those in Order No. 2003).</w:t>
      </w:r>
    </w:p>
  </w:footnote>
  <w:footnote w:id="63">
    <w:p w:rsidR="00760048" w:rsidP="00071614" w14:paraId="4855BF6A" w14:textId="77777777">
      <w:pPr>
        <w:pStyle w:val="FootnoteText"/>
      </w:pPr>
      <w:r w:rsidRPr="0072600F">
        <w:rPr>
          <w:rStyle w:val="FootnoteReference"/>
        </w:rPr>
        <w:footnoteRef/>
      </w:r>
      <w:r>
        <w:t xml:space="preserve"> </w:t>
      </w:r>
      <w:r w:rsidRPr="001C2A99">
        <w:rPr>
          <w:i/>
          <w:iCs/>
        </w:rPr>
        <w:t>TAPS</w:t>
      </w:r>
      <w:r w:rsidRPr="006A13C6">
        <w:t xml:space="preserve">, 225 F.3d </w:t>
      </w:r>
      <w:r>
        <w:t>at</w:t>
      </w:r>
      <w:r w:rsidRPr="006A13C6">
        <w:t xml:space="preserve"> 687–88</w:t>
      </w:r>
      <w:r>
        <w:t>.</w:t>
      </w:r>
    </w:p>
  </w:footnote>
  <w:footnote w:id="64">
    <w:p w:rsidR="00760048" w:rsidP="00071614" w14:paraId="1C9D2232" w14:textId="77777777">
      <w:pPr>
        <w:pStyle w:val="FootnoteText"/>
      </w:pPr>
      <w:r w:rsidRPr="0072600F">
        <w:rPr>
          <w:rStyle w:val="FootnoteReference"/>
        </w:rPr>
        <w:footnoteRef/>
      </w:r>
      <w:r>
        <w:t xml:space="preserve"> </w:t>
      </w:r>
      <w:r w:rsidRPr="00FB7DD1">
        <w:rPr>
          <w:i/>
          <w:iCs/>
        </w:rPr>
        <w:t>INGAA</w:t>
      </w:r>
      <w:r w:rsidRPr="009B6BC5">
        <w:t xml:space="preserve">, 285 F.3d </w:t>
      </w:r>
      <w:r>
        <w:t>at</w:t>
      </w:r>
      <w:r w:rsidRPr="009B6BC5">
        <w:t xml:space="preserve"> 37</w:t>
      </w:r>
      <w:r>
        <w:t xml:space="preserve">. </w:t>
      </w:r>
    </w:p>
  </w:footnote>
  <w:footnote w:id="65">
    <w:p w:rsidR="00760048" w:rsidRPr="00803640" w:rsidP="00071614" w14:paraId="5335A617" w14:textId="77777777">
      <w:pPr>
        <w:pStyle w:val="FootnoteText"/>
      </w:pPr>
      <w:r w:rsidRPr="0072600F">
        <w:rPr>
          <w:rStyle w:val="FootnoteReference"/>
        </w:rPr>
        <w:footnoteRef/>
      </w:r>
      <w:r>
        <w:t xml:space="preserve"> </w:t>
      </w:r>
      <w:r>
        <w:rPr>
          <w:i/>
          <w:iCs/>
        </w:rPr>
        <w:t xml:space="preserve">Id. </w:t>
      </w:r>
      <w:r>
        <w:t>at 38.</w:t>
      </w:r>
    </w:p>
  </w:footnote>
  <w:footnote w:id="66">
    <w:p w:rsidR="00760048" w:rsidP="00071614" w14:paraId="4C319699" w14:textId="77777777">
      <w:pPr>
        <w:pStyle w:val="FootnoteText"/>
      </w:pPr>
      <w:r w:rsidRPr="0072600F">
        <w:rPr>
          <w:rStyle w:val="FootnoteReference"/>
        </w:rPr>
        <w:footnoteRef/>
      </w:r>
      <w:r>
        <w:t xml:space="preserve"> </w:t>
      </w:r>
      <w:r w:rsidRPr="003A34B3">
        <w:rPr>
          <w:i/>
          <w:iCs/>
        </w:rPr>
        <w:t>S.C. Pub. Serv. Auth.</w:t>
      </w:r>
      <w:r w:rsidRPr="003A34B3">
        <w:t xml:space="preserve">, 762 F.3d </w:t>
      </w:r>
      <w:r>
        <w:t>at</w:t>
      </w:r>
      <w:r w:rsidRPr="003A34B3">
        <w:t xml:space="preserve"> </w:t>
      </w:r>
      <w:r>
        <w:t>67.</w:t>
      </w:r>
    </w:p>
  </w:footnote>
  <w:footnote w:id="67">
    <w:p w:rsidR="00760048" w:rsidRPr="00431B2E" w:rsidP="00071614" w14:paraId="256B480C" w14:textId="77777777">
      <w:pPr>
        <w:pStyle w:val="FootnoteText"/>
        <w:rPr>
          <w:i/>
          <w:iCs/>
        </w:rPr>
      </w:pPr>
      <w:r w:rsidRPr="0072600F">
        <w:rPr>
          <w:rStyle w:val="FootnoteReference"/>
        </w:rPr>
        <w:footnoteRef/>
      </w:r>
      <w:r>
        <w:t xml:space="preserve"> </w:t>
      </w:r>
      <w:r>
        <w:rPr>
          <w:i/>
          <w:iCs/>
        </w:rPr>
        <w:t>Id.</w:t>
      </w:r>
    </w:p>
  </w:footnote>
  <w:footnote w:id="68">
    <w:p w:rsidR="00760048" w14:paraId="1FB7AD62" w14:textId="77777777">
      <w:pPr>
        <w:pStyle w:val="FootnoteText"/>
      </w:pPr>
      <w:r w:rsidRPr="0072600F">
        <w:rPr>
          <w:rStyle w:val="FootnoteReference"/>
        </w:rPr>
        <w:footnoteRef/>
      </w:r>
      <w:r>
        <w:t xml:space="preserve"> </w:t>
      </w:r>
      <w:r w:rsidRPr="003A34B3">
        <w:rPr>
          <w:i/>
          <w:iCs/>
        </w:rPr>
        <w:t>S.C. Pub. Serv. Auth.</w:t>
      </w:r>
      <w:r w:rsidRPr="003A34B3">
        <w:t xml:space="preserve">, 762 F.3d </w:t>
      </w:r>
      <w:r>
        <w:t>at</w:t>
      </w:r>
      <w:r w:rsidRPr="003A34B3">
        <w:t xml:space="preserve"> </w:t>
      </w:r>
      <w:r>
        <w:t xml:space="preserve">67; </w:t>
      </w:r>
      <w:r w:rsidRPr="001C2A99">
        <w:rPr>
          <w:i/>
          <w:iCs/>
        </w:rPr>
        <w:t>TAPS</w:t>
      </w:r>
      <w:r w:rsidRPr="006A13C6">
        <w:t xml:space="preserve">, 225 F.3d </w:t>
      </w:r>
      <w:r>
        <w:t>at</w:t>
      </w:r>
      <w:r w:rsidRPr="006A13C6">
        <w:t xml:space="preserve"> 687–88</w:t>
      </w:r>
      <w:r>
        <w:t xml:space="preserve">; </w:t>
      </w:r>
      <w:r w:rsidRPr="00FB7DD1">
        <w:rPr>
          <w:i/>
          <w:iCs/>
        </w:rPr>
        <w:t>INGAA</w:t>
      </w:r>
      <w:r w:rsidRPr="009B6BC5">
        <w:t xml:space="preserve">, 285 F.3d </w:t>
      </w:r>
      <w:r>
        <w:t>at</w:t>
      </w:r>
      <w:r w:rsidRPr="009B6BC5">
        <w:t xml:space="preserve"> 37</w:t>
      </w:r>
      <w:r>
        <w:t>.</w:t>
      </w:r>
    </w:p>
  </w:footnote>
  <w:footnote w:id="69">
    <w:p w:rsidR="00760048" w:rsidP="00071614" w14:paraId="648344D8" w14:textId="77777777">
      <w:pPr>
        <w:pStyle w:val="FootnoteText"/>
      </w:pPr>
      <w:r w:rsidRPr="0072600F">
        <w:rPr>
          <w:rStyle w:val="FootnoteReference"/>
        </w:rPr>
        <w:footnoteRef/>
      </w:r>
      <w:r>
        <w:t xml:space="preserve"> Order No. 2023, </w:t>
      </w:r>
      <w:r w:rsidRPr="00761324">
        <w:t>184 FERC ¶ 61,054</w:t>
      </w:r>
      <w:r>
        <w:t xml:space="preserve"> at P 38 (citing </w:t>
      </w:r>
      <w:r w:rsidR="002B4FCB">
        <w:t xml:space="preserve">Queued Up 2023 at </w:t>
      </w:r>
      <w:r w:rsidRPr="000F2270">
        <w:t>7-</w:t>
      </w:r>
      <w:r>
        <w:t>9, 32).</w:t>
      </w:r>
    </w:p>
  </w:footnote>
  <w:footnote w:id="70">
    <w:p w:rsidR="00760048" w:rsidRPr="009D0DBC" w:rsidP="00071614" w14:paraId="1AF4EDCF" w14:textId="77777777">
      <w:pPr>
        <w:pStyle w:val="FootnoteText"/>
        <w:rPr>
          <w:b/>
        </w:rPr>
      </w:pPr>
      <w:r w:rsidRPr="0072600F">
        <w:rPr>
          <w:rStyle w:val="FootnoteReference"/>
        </w:rPr>
        <w:footnoteRef/>
      </w:r>
      <w:r>
        <w:t xml:space="preserve"> </w:t>
      </w:r>
      <w:r>
        <w:rPr>
          <w:i/>
          <w:iCs/>
        </w:rPr>
        <w:t>Id.</w:t>
      </w:r>
      <w:r>
        <w:t xml:space="preserve"> (citing Queued Up 2023 at 3, 21).</w:t>
      </w:r>
    </w:p>
  </w:footnote>
  <w:footnote w:id="71">
    <w:p w:rsidR="00760048" w:rsidP="00071614" w14:paraId="4153E1C9" w14:textId="77777777">
      <w:pPr>
        <w:pStyle w:val="FootnoteText"/>
      </w:pPr>
      <w:r w:rsidRPr="0072600F">
        <w:rPr>
          <w:rStyle w:val="FootnoteReference"/>
        </w:rPr>
        <w:footnoteRef/>
      </w:r>
      <w:r>
        <w:t xml:space="preserve"> </w:t>
      </w:r>
      <w:r>
        <w:rPr>
          <w:i/>
          <w:iCs/>
        </w:rPr>
        <w:t>Id.</w:t>
      </w:r>
      <w:r>
        <w:t xml:space="preserve"> at </w:t>
      </w:r>
      <w:r w:rsidR="00ED1757">
        <w:t>a</w:t>
      </w:r>
      <w:r>
        <w:t>pp. B.</w:t>
      </w:r>
    </w:p>
  </w:footnote>
  <w:footnote w:id="72">
    <w:p w:rsidR="00760048" w:rsidRPr="003371C4" w:rsidP="00071614" w14:paraId="4A09AFB7" w14:textId="77777777">
      <w:pPr>
        <w:pStyle w:val="FootnoteText"/>
      </w:pPr>
      <w:r w:rsidRPr="0072600F">
        <w:rPr>
          <w:rStyle w:val="FootnoteReference"/>
        </w:rPr>
        <w:footnoteRef/>
      </w:r>
      <w:r>
        <w:t xml:space="preserve"> </w:t>
      </w:r>
      <w:r>
        <w:rPr>
          <w:i/>
          <w:iCs/>
        </w:rPr>
        <w:t>Id</w:t>
      </w:r>
      <w:r>
        <w:t>. P 58.</w:t>
      </w:r>
    </w:p>
  </w:footnote>
  <w:footnote w:id="73">
    <w:p w:rsidR="00760048" w:rsidRPr="00F1794C" w14:paraId="70A6D532" w14:textId="77777777">
      <w:pPr>
        <w:pStyle w:val="FootnoteText"/>
      </w:pPr>
      <w:r w:rsidRPr="0072600F">
        <w:rPr>
          <w:rStyle w:val="FootnoteReference"/>
        </w:rPr>
        <w:footnoteRef/>
      </w:r>
      <w:r>
        <w:t xml:space="preserve"> </w:t>
      </w:r>
      <w:r>
        <w:rPr>
          <w:i/>
          <w:iCs/>
        </w:rPr>
        <w:t>Id</w:t>
      </w:r>
      <w:r>
        <w:t>. P 41.</w:t>
      </w:r>
    </w:p>
  </w:footnote>
  <w:footnote w:id="74">
    <w:p w:rsidR="00760048" w:rsidP="00071614" w14:paraId="4B4DD793" w14:textId="77777777">
      <w:pPr>
        <w:pStyle w:val="FootnoteText"/>
      </w:pPr>
      <w:r w:rsidRPr="0072600F">
        <w:rPr>
          <w:rStyle w:val="FootnoteReference"/>
        </w:rPr>
        <w:footnoteRef/>
      </w:r>
      <w:r>
        <w:t xml:space="preserve"> Specifically, w</w:t>
      </w:r>
      <w:r w:rsidRPr="00822F56">
        <w:t xml:space="preserve">here transmission providers propose variations to the Order No. 2023 transition process, the Commission will evaluate such proposals under the consistent with or superior to standard for non-RTO transmission providers and the independent entity variation standard for RTOs/ISOs.  </w:t>
      </w:r>
    </w:p>
  </w:footnote>
  <w:footnote w:id="75">
    <w:p w:rsidR="00760048" w:rsidP="00071614" w14:paraId="0453F859" w14:textId="77777777">
      <w:pPr>
        <w:pStyle w:val="FootnoteText"/>
      </w:pPr>
      <w:r w:rsidRPr="0072600F">
        <w:rPr>
          <w:rStyle w:val="FootnoteReference"/>
        </w:rPr>
        <w:footnoteRef/>
      </w:r>
      <w:r>
        <w:t xml:space="preserve"> Order No. 2023, </w:t>
      </w:r>
      <w:r w:rsidRPr="00761324">
        <w:t>184 FERC ¶ 61,054</w:t>
      </w:r>
      <w:r>
        <w:t xml:space="preserve"> at P 1765.</w:t>
      </w:r>
    </w:p>
  </w:footnote>
  <w:footnote w:id="76">
    <w:p w:rsidR="00760048" w:rsidP="00071614" w14:paraId="246B2EEC" w14:textId="77777777">
      <w:pPr>
        <w:pStyle w:val="FootnoteText"/>
      </w:pPr>
      <w:r w:rsidRPr="0072600F">
        <w:rPr>
          <w:rStyle w:val="FootnoteReference"/>
        </w:rPr>
        <w:footnoteRef/>
      </w:r>
      <w:r>
        <w:t xml:space="preserve"> </w:t>
      </w:r>
      <w:r w:rsidRPr="00DD4BA6">
        <w:rPr>
          <w:i/>
          <w:iCs/>
        </w:rPr>
        <w:t>Improvements to Generator Interconnection Procs. &amp; Agreements</w:t>
      </w:r>
      <w:r w:rsidRPr="00DD4BA6">
        <w:t>,</w:t>
      </w:r>
      <w:r w:rsidRPr="00DD4BA6">
        <w:rPr>
          <w:i/>
          <w:iCs/>
        </w:rPr>
        <w:t xml:space="preserve"> </w:t>
      </w:r>
      <w:r w:rsidRPr="00DD4BA6">
        <w:t>87 FR 39934 (July 5, 2022), 179 FERC ¶ 61,194</w:t>
      </w:r>
      <w:r>
        <w:t>,</w:t>
      </w:r>
      <w:r w:rsidRPr="00DD4BA6">
        <w:t xml:space="preserve"> </w:t>
      </w:r>
      <w:r>
        <w:t>at PP 86-87, 112, 127, 132, 152-54</w:t>
      </w:r>
      <w:r w:rsidRPr="00DD4BA6">
        <w:t xml:space="preserve"> (2022)</w:t>
      </w:r>
      <w:r>
        <w:t xml:space="preserve"> (NOPR).</w:t>
      </w:r>
    </w:p>
  </w:footnote>
  <w:footnote w:id="77">
    <w:p w:rsidR="00760048" w:rsidRPr="00C97EE2" w:rsidP="00071614" w14:paraId="3EF3DD3D" w14:textId="77777777">
      <w:pPr>
        <w:pStyle w:val="FootnoteText"/>
      </w:pPr>
      <w:r w:rsidRPr="0072600F">
        <w:rPr>
          <w:rStyle w:val="FootnoteReference"/>
        </w:rPr>
        <w:footnoteRef/>
      </w:r>
      <w:r>
        <w:t xml:space="preserve"> </w:t>
      </w:r>
      <w:r>
        <w:rPr>
          <w:i/>
          <w:iCs/>
        </w:rPr>
        <w:t xml:space="preserve">See </w:t>
      </w:r>
      <w:r w:rsidRPr="003A34B3">
        <w:rPr>
          <w:i/>
          <w:iCs/>
        </w:rPr>
        <w:t>S.C. Pub. Serv. Auth.</w:t>
      </w:r>
      <w:r w:rsidRPr="003A34B3">
        <w:t>, 762 F.3d</w:t>
      </w:r>
      <w:r>
        <w:t xml:space="preserve"> at 67 (citing </w:t>
      </w:r>
      <w:r w:rsidRPr="0082004E">
        <w:rPr>
          <w:i/>
          <w:iCs/>
        </w:rPr>
        <w:t>Wis.</w:t>
      </w:r>
      <w:r w:rsidRPr="00E70704">
        <w:rPr>
          <w:i/>
          <w:iCs/>
        </w:rPr>
        <w:t xml:space="preserve"> Gas</w:t>
      </w:r>
      <w:r w:rsidRPr="0082004E">
        <w:rPr>
          <w:i/>
          <w:iCs/>
        </w:rPr>
        <w:t>. Co. v. FERC</w:t>
      </w:r>
      <w:r w:rsidRPr="00E70704">
        <w:t xml:space="preserve">, 770 F.2d </w:t>
      </w:r>
      <w:r w:rsidRPr="0082004E">
        <w:t>1144,</w:t>
      </w:r>
      <w:r w:rsidRPr="00E70704">
        <w:t xml:space="preserve"> 1157</w:t>
      </w:r>
      <w:r w:rsidRPr="0082004E">
        <w:t xml:space="preserve"> (D.C. Cir. 1985)</w:t>
      </w:r>
      <w:r w:rsidR="00586D0C">
        <w:t xml:space="preserve"> (</w:t>
      </w:r>
      <w:r w:rsidRPr="0082004E" w:rsidR="00586D0C">
        <w:rPr>
          <w:i/>
          <w:iCs/>
        </w:rPr>
        <w:t>Wis.</w:t>
      </w:r>
      <w:r w:rsidRPr="00E70704" w:rsidR="00586D0C">
        <w:rPr>
          <w:i/>
          <w:iCs/>
        </w:rPr>
        <w:t xml:space="preserve"> Gas</w:t>
      </w:r>
      <w:r w:rsidRPr="0082004E" w:rsidR="00586D0C">
        <w:rPr>
          <w:i/>
          <w:iCs/>
        </w:rPr>
        <w:t>.</w:t>
      </w:r>
      <w:r w:rsidRPr="00477E17" w:rsidR="00586D0C">
        <w:t>)</w:t>
      </w:r>
      <w:r>
        <w:t xml:space="preserve">; </w:t>
      </w:r>
      <w:r w:rsidRPr="0082004E">
        <w:rPr>
          <w:i/>
          <w:iCs/>
        </w:rPr>
        <w:t>Assoc. Gas</w:t>
      </w:r>
      <w:r w:rsidRPr="00E70704">
        <w:t>, 824 F.2d at 1019</w:t>
      </w:r>
      <w:r>
        <w:t>).</w:t>
      </w:r>
    </w:p>
  </w:footnote>
  <w:footnote w:id="78">
    <w:p w:rsidR="00760048" w14:paraId="2C7B4E45" w14:textId="77777777">
      <w:pPr>
        <w:pStyle w:val="FootnoteText"/>
      </w:pPr>
      <w:r w:rsidRPr="0072600F">
        <w:rPr>
          <w:rStyle w:val="FootnoteReference"/>
        </w:rPr>
        <w:footnoteRef/>
      </w:r>
      <w:r>
        <w:t xml:space="preserve"> Order No. 2023, </w:t>
      </w:r>
      <w:r w:rsidRPr="00761324">
        <w:t>184 FERC ¶ 61,054</w:t>
      </w:r>
      <w:r>
        <w:t xml:space="preserve"> at PP 37, 44.</w:t>
      </w:r>
    </w:p>
  </w:footnote>
  <w:footnote w:id="79">
    <w:p w:rsidR="00760048" w:rsidRPr="00192663" w:rsidP="00071614" w14:paraId="11767021" w14:textId="77777777">
      <w:pPr>
        <w:pStyle w:val="FootnoteText"/>
        <w:rPr>
          <w:b/>
        </w:rPr>
      </w:pPr>
      <w:r w:rsidRPr="0072600F">
        <w:rPr>
          <w:rStyle w:val="FootnoteReference"/>
        </w:rPr>
        <w:footnoteRef/>
      </w:r>
      <w:r>
        <w:t xml:space="preserve"> </w:t>
      </w:r>
      <w:r>
        <w:rPr>
          <w:i/>
          <w:iCs/>
        </w:rPr>
        <w:t>Id.</w:t>
      </w:r>
      <w:r>
        <w:t xml:space="preserve"> PP 37, 43 (citing </w:t>
      </w:r>
      <w:r w:rsidRPr="007555A7">
        <w:t>May Joint Task Force Tr. 74:9-21</w:t>
      </w:r>
      <w:r w:rsidR="00612CF9">
        <w:t xml:space="preserve"> </w:t>
      </w:r>
      <w:r w:rsidRPr="000D53E9">
        <w:t>(Andrew French) (stating that generator developers complain about cost certainty)</w:t>
      </w:r>
      <w:r>
        <w:t xml:space="preserve">; </w:t>
      </w:r>
      <w:r w:rsidRPr="00BF28B6">
        <w:t>May Joint Task Force Tr. 23:18-25 (Jason Stanek) (expressing frustration with the status quo and agreement that it is “no longer tenable” considering the inability of generators to interconnect in a timely manner)</w:t>
      </w:r>
      <w:r>
        <w:t xml:space="preserve">; </w:t>
      </w:r>
      <w:r w:rsidRPr="00E17D28">
        <w:t>Ameren Initial Comments at 2; ELCON Initial Comments at 2; ELCON Initial Comments at 2; Xcel Initial Comments at</w:t>
      </w:r>
      <w:r w:rsidRPr="00AA36B6">
        <w:t xml:space="preserve"> 8</w:t>
      </w:r>
      <w:r w:rsidRPr="00192663">
        <w:t>).</w:t>
      </w:r>
    </w:p>
  </w:footnote>
  <w:footnote w:id="80">
    <w:p w:rsidR="00760048" w:rsidP="00071614" w14:paraId="07B86B46" w14:textId="77777777">
      <w:pPr>
        <w:pStyle w:val="FootnoteText"/>
      </w:pPr>
      <w:r w:rsidRPr="0072600F">
        <w:rPr>
          <w:rStyle w:val="FootnoteReference"/>
        </w:rPr>
        <w:footnoteRef/>
      </w:r>
      <w:r>
        <w:t xml:space="preserve"> </w:t>
      </w:r>
      <w:r>
        <w:rPr>
          <w:i/>
          <w:iCs/>
        </w:rPr>
        <w:t>Id.</w:t>
      </w:r>
      <w:r>
        <w:t xml:space="preserve"> PP 45-56.</w:t>
      </w:r>
    </w:p>
  </w:footnote>
  <w:footnote w:id="81">
    <w:p w:rsidR="00760048" w14:paraId="48F80245" w14:textId="77777777">
      <w:pPr>
        <w:pStyle w:val="FootnoteText"/>
      </w:pPr>
      <w:r w:rsidRPr="0072600F">
        <w:rPr>
          <w:rStyle w:val="FootnoteReference"/>
        </w:rPr>
        <w:footnoteRef/>
      </w:r>
      <w:r>
        <w:t xml:space="preserve"> </w:t>
      </w:r>
      <w:r>
        <w:rPr>
          <w:i/>
          <w:iCs/>
        </w:rPr>
        <w:t xml:space="preserve">See </w:t>
      </w:r>
      <w:r>
        <w:t xml:space="preserve">Order No. 2003, </w:t>
      </w:r>
      <w:r w:rsidRPr="003313A8">
        <w:t>104 FERC ¶ 61,103</w:t>
      </w:r>
      <w:r>
        <w:t xml:space="preserve"> at P 11 (“[T]here is a pressing need for a single set of [interconnection] procedures . . . [which] will minimize opportunities for undue discrimination and expedite the development of new generation, while protecting reliability and ensuring that rates are just and reasonable.”).</w:t>
      </w:r>
    </w:p>
  </w:footnote>
  <w:footnote w:id="82">
    <w:p w:rsidR="00760048" w14:paraId="6D7BE07D" w14:textId="77777777">
      <w:pPr>
        <w:pStyle w:val="FootnoteText"/>
      </w:pPr>
      <w:r w:rsidRPr="0072600F">
        <w:rPr>
          <w:rStyle w:val="FootnoteReference"/>
        </w:rPr>
        <w:footnoteRef/>
      </w:r>
      <w:r>
        <w:t xml:space="preserve"> Elsewhere in this order</w:t>
      </w:r>
      <w:r w:rsidR="00DC68D7">
        <w:t>,</w:t>
      </w:r>
      <w:r>
        <w:t xml:space="preserve"> the Commission clarifies that t</w:t>
      </w:r>
      <w:r w:rsidRPr="00490059">
        <w:t>ransmission providers need only re-file and seek approval for previously approved variations where those provisions are modified by Order No. 2023</w:t>
      </w:r>
      <w:r>
        <w:t xml:space="preserve">.  </w:t>
      </w:r>
      <w:r w:rsidRPr="00192663">
        <w:rPr>
          <w:i/>
          <w:iCs/>
        </w:rPr>
        <w:t xml:space="preserve">See </w:t>
      </w:r>
      <w:r w:rsidRPr="00192663">
        <w:rPr>
          <w:i/>
          <w:iCs/>
        </w:rPr>
        <w:t>infra</w:t>
      </w:r>
      <w:r w:rsidRPr="00176A9B">
        <w:t xml:space="preserve"> P </w:t>
      </w:r>
      <w:r>
        <w:fldChar w:fldCharType="begin"/>
      </w:r>
      <w:r>
        <w:instrText xml:space="preserve"> REF _Ref160729177 \r \h </w:instrText>
      </w:r>
      <w:r>
        <w:fldChar w:fldCharType="separate"/>
      </w:r>
      <w:r w:rsidR="00C46123">
        <w:t>77</w:t>
      </w:r>
      <w:r>
        <w:fldChar w:fldCharType="end"/>
      </w:r>
      <w:r>
        <w:t>.</w:t>
      </w:r>
    </w:p>
  </w:footnote>
  <w:footnote w:id="83">
    <w:p w:rsidR="00760048" w:rsidP="00071614" w14:paraId="446009EE" w14:textId="77777777">
      <w:pPr>
        <w:pStyle w:val="FootnoteText"/>
      </w:pPr>
      <w:r w:rsidRPr="0072600F">
        <w:rPr>
          <w:rStyle w:val="FootnoteReference"/>
        </w:rPr>
        <w:footnoteRef/>
      </w:r>
      <w:r>
        <w:t xml:space="preserve"> Order No. 2023,</w:t>
      </w:r>
      <w:r w:rsidRPr="00D80772">
        <w:t xml:space="preserve"> </w:t>
      </w:r>
      <w:r w:rsidRPr="00761324">
        <w:t>184 FERC ¶ 61,054</w:t>
      </w:r>
      <w:r>
        <w:t xml:space="preserve"> at P 37.</w:t>
      </w:r>
    </w:p>
  </w:footnote>
  <w:footnote w:id="84">
    <w:p w:rsidR="00760048" w:rsidRPr="000D2FAE" w14:paraId="3369C64E" w14:textId="77777777">
      <w:pPr>
        <w:pStyle w:val="FootnoteText"/>
        <w:rPr>
          <w:i/>
          <w:iCs/>
        </w:rPr>
      </w:pPr>
      <w:r w:rsidRPr="0072600F">
        <w:rPr>
          <w:rStyle w:val="FootnoteReference"/>
        </w:rPr>
        <w:footnoteRef/>
      </w:r>
      <w:r>
        <w:t xml:space="preserve"> </w:t>
      </w:r>
      <w:r>
        <w:rPr>
          <w:i/>
          <w:iCs/>
        </w:rPr>
        <w:t xml:space="preserve">See </w:t>
      </w:r>
      <w:r w:rsidRPr="00745303">
        <w:rPr>
          <w:i/>
          <w:iCs/>
        </w:rPr>
        <w:t>Xcel Energy Servs. Inc. v. FERC</w:t>
      </w:r>
      <w:r w:rsidRPr="001B2A3A">
        <w:rPr>
          <w:i/>
          <w:iCs/>
        </w:rPr>
        <w:t xml:space="preserve">, </w:t>
      </w:r>
      <w:r w:rsidRPr="00745303">
        <w:t>41 F.4th 548, 557 (D.C. Cir. 2022)</w:t>
      </w:r>
      <w:r>
        <w:rPr>
          <w:i/>
          <w:iCs/>
        </w:rPr>
        <w:t xml:space="preserve"> </w:t>
      </w:r>
      <w:r>
        <w:t>(“</w:t>
      </w:r>
      <w:r w:rsidRPr="005E254F">
        <w:t>The Commission has used its discretion and expertise to craft the “</w:t>
      </w:r>
      <w:r w:rsidRPr="00745303">
        <w:t>consistent</w:t>
      </w:r>
      <w:r w:rsidRPr="005E254F">
        <w:t> with or </w:t>
      </w:r>
      <w:r w:rsidRPr="00745303">
        <w:t>superior</w:t>
      </w:r>
      <w:r w:rsidRPr="00C80D09">
        <w:t> </w:t>
      </w:r>
      <w:r w:rsidRPr="00745303">
        <w:t>to</w:t>
      </w:r>
      <w:r w:rsidRPr="005E254F">
        <w:t>” test for deviations from its </w:t>
      </w:r>
      <w:r w:rsidRPr="005E254F">
        <w:rPr>
          <w:i/>
          <w:iCs/>
        </w:rPr>
        <w:t>pro forma</w:t>
      </w:r>
      <w:r w:rsidRPr="005E254F">
        <w:t> rules</w:t>
      </w:r>
      <w:r>
        <w:t>.”) (citing Order No. 2003,</w:t>
      </w:r>
      <w:r w:rsidRPr="00C80D09">
        <w:t> </w:t>
      </w:r>
      <w:r w:rsidRPr="00745303">
        <w:t>104 FERC ¶ 61,103 at P 826</w:t>
      </w:r>
      <w:r w:rsidRPr="00BF2F5B">
        <w:t>)</w:t>
      </w:r>
      <w:r>
        <w:t xml:space="preserve">; </w:t>
      </w:r>
      <w:r>
        <w:rPr>
          <w:i/>
          <w:iCs/>
        </w:rPr>
        <w:t xml:space="preserve">see also </w:t>
      </w:r>
      <w:r w:rsidRPr="00107FCF">
        <w:rPr>
          <w:i/>
          <w:iCs/>
        </w:rPr>
        <w:t>Sacramento Mun. Util. Dist. v. FERC</w:t>
      </w:r>
      <w:r w:rsidRPr="00745303">
        <w:t>, 428 F.3d 294, 296 (D.C. Cir. 2005)</w:t>
      </w:r>
      <w:r>
        <w:t xml:space="preserve"> (explaining that utilities can deviate from the terms of the </w:t>
      </w:r>
      <w:r>
        <w:rPr>
          <w:i/>
          <w:iCs/>
        </w:rPr>
        <w:t xml:space="preserve">pro forma </w:t>
      </w:r>
      <w:r>
        <w:t xml:space="preserve">tariff if such deviations are consistent with or superior to the terms of the </w:t>
      </w:r>
      <w:r>
        <w:rPr>
          <w:i/>
          <w:iCs/>
        </w:rPr>
        <w:t xml:space="preserve">pro forma </w:t>
      </w:r>
      <w:r>
        <w:t>tariff).</w:t>
      </w:r>
    </w:p>
  </w:footnote>
  <w:footnote w:id="85">
    <w:p w:rsidR="00760048" w:rsidP="00071614" w14:paraId="7BE965D0" w14:textId="77777777">
      <w:pPr>
        <w:pStyle w:val="FootnoteText"/>
      </w:pPr>
      <w:r w:rsidRPr="0072600F">
        <w:rPr>
          <w:rStyle w:val="FootnoteReference"/>
        </w:rPr>
        <w:footnoteRef/>
      </w:r>
      <w:r>
        <w:t xml:space="preserve"> Order No. 2023,</w:t>
      </w:r>
      <w:r w:rsidRPr="00D80772">
        <w:t xml:space="preserve"> </w:t>
      </w:r>
      <w:r w:rsidRPr="00761324">
        <w:t>184 FERC ¶ 61,054</w:t>
      </w:r>
      <w:r>
        <w:t xml:space="preserve"> at P 59.</w:t>
      </w:r>
    </w:p>
  </w:footnote>
  <w:footnote w:id="86">
    <w:p w:rsidR="00760048" w:rsidP="00071614" w14:paraId="43F3E7B4" w14:textId="77777777">
      <w:pPr>
        <w:pStyle w:val="FootnoteText"/>
      </w:pPr>
      <w:r w:rsidRPr="0072600F">
        <w:rPr>
          <w:rStyle w:val="FootnoteReference"/>
        </w:rPr>
        <w:footnoteRef/>
      </w:r>
      <w:r>
        <w:t xml:space="preserve"> </w:t>
      </w:r>
      <w:r w:rsidRPr="003A5A1A">
        <w:rPr>
          <w:i/>
        </w:rPr>
        <w:t xml:space="preserve">Id. </w:t>
      </w:r>
      <w:r>
        <w:t>P 16, n.39.</w:t>
      </w:r>
    </w:p>
  </w:footnote>
  <w:footnote w:id="87">
    <w:p w:rsidR="00760048" w14:paraId="7F0CCA11" w14:textId="77777777">
      <w:pPr>
        <w:pStyle w:val="FootnoteText"/>
      </w:pPr>
      <w:r w:rsidRPr="0072600F">
        <w:rPr>
          <w:rStyle w:val="FootnoteReference"/>
        </w:rPr>
        <w:footnoteRef/>
      </w:r>
      <w:r>
        <w:t xml:space="preserve"> </w:t>
      </w:r>
      <w:r>
        <w:rPr>
          <w:i/>
          <w:iCs/>
        </w:rPr>
        <w:t>Transmission Plan</w:t>
      </w:r>
      <w:r w:rsidR="00FC515B">
        <w:rPr>
          <w:i/>
          <w:iCs/>
        </w:rPr>
        <w:t>.</w:t>
      </w:r>
      <w:r>
        <w:rPr>
          <w:i/>
          <w:iCs/>
        </w:rPr>
        <w:t xml:space="preserve"> </w:t>
      </w:r>
      <w:r w:rsidR="00FC515B">
        <w:rPr>
          <w:i/>
          <w:iCs/>
        </w:rPr>
        <w:t xml:space="preserve">&amp; </w:t>
      </w:r>
      <w:r>
        <w:rPr>
          <w:i/>
          <w:iCs/>
        </w:rPr>
        <w:t xml:space="preserve">Cost Allocation by Transmission Owning </w:t>
      </w:r>
      <w:r w:rsidR="00FC515B">
        <w:rPr>
          <w:i/>
          <w:iCs/>
        </w:rPr>
        <w:t xml:space="preserve">&amp; </w:t>
      </w:r>
      <w:r>
        <w:rPr>
          <w:i/>
          <w:iCs/>
        </w:rPr>
        <w:t>Operating Pub</w:t>
      </w:r>
      <w:r w:rsidR="00FC515B">
        <w:rPr>
          <w:i/>
          <w:iCs/>
        </w:rPr>
        <w:t>.</w:t>
      </w:r>
      <w:r>
        <w:rPr>
          <w:i/>
          <w:iCs/>
        </w:rPr>
        <w:t xml:space="preserve"> Utils</w:t>
      </w:r>
      <w:r w:rsidR="00FC515B">
        <w:rPr>
          <w:i/>
          <w:iCs/>
        </w:rPr>
        <w:t>.</w:t>
      </w:r>
      <w:r>
        <w:t xml:space="preserve">, Order No. 1000, </w:t>
      </w:r>
      <w:r w:rsidRPr="00560640" w:rsidR="00560640">
        <w:t>76 FR 49842</w:t>
      </w:r>
      <w:r w:rsidR="00560640">
        <w:t xml:space="preserve"> (Aug. </w:t>
      </w:r>
      <w:r w:rsidR="00F531AD">
        <w:t>11, 2011),</w:t>
      </w:r>
      <w:r w:rsidR="00560640">
        <w:t xml:space="preserve"> </w:t>
      </w:r>
      <w:r>
        <w:t>136 FERC ¶ 61,051, at P 50 (2011) (finding that the need to generically establish rules addressing transmission planning, as well as the long lead times and complex problems associated with developing transmission facilities, made Commission action appropriate and prudent rather than allowing the noted transmission planning problems to persist).</w:t>
      </w:r>
    </w:p>
  </w:footnote>
  <w:footnote w:id="88">
    <w:p w:rsidR="00760048" w:rsidRPr="00221E9A" w:rsidP="00071614" w14:paraId="28B0DAAC" w14:textId="77777777">
      <w:pPr>
        <w:pStyle w:val="FootnoteText"/>
        <w:rPr>
          <w:b/>
        </w:rPr>
      </w:pPr>
      <w:r w:rsidRPr="0072600F">
        <w:rPr>
          <w:rStyle w:val="FootnoteReference"/>
        </w:rPr>
        <w:footnoteRef/>
      </w:r>
      <w:r>
        <w:t xml:space="preserve"> </w:t>
      </w:r>
      <w:r w:rsidRPr="00BB0CD0">
        <w:rPr>
          <w:i/>
        </w:rPr>
        <w:t>Reform of Generator Interconnection Procs. &amp; Agreements</w:t>
      </w:r>
      <w:r w:rsidRPr="00BB0CD0">
        <w:t xml:space="preserve">, Order No. 845, </w:t>
      </w:r>
      <w:r w:rsidR="004768F4">
        <w:t xml:space="preserve">   </w:t>
      </w:r>
      <w:r w:rsidRPr="00BB0CD0">
        <w:t>83 FR 21342 (May 9, 2018), 163 FERC ¶ 61,043, at P 24 (2018),</w:t>
      </w:r>
      <w:r w:rsidRPr="00BB0CD0">
        <w:rPr>
          <w:i/>
        </w:rPr>
        <w:t xml:space="preserve"> order on reh’g</w:t>
      </w:r>
      <w:r w:rsidRPr="00BB0CD0">
        <w:t>,</w:t>
      </w:r>
      <w:r w:rsidR="004768F4">
        <w:t xml:space="preserve"> </w:t>
      </w:r>
      <w:r w:rsidRPr="00BB0CD0">
        <w:t>Order No. 845-A, 84 FR 8156 (Mar. 6, 2019)</w:t>
      </w:r>
      <w:r w:rsidR="00017B23">
        <w:t>,</w:t>
      </w:r>
      <w:r w:rsidRPr="00BB0CD0">
        <w:t xml:space="preserve"> 166 FERC ¶ 61,137</w:t>
      </w:r>
      <w:r w:rsidR="00824156">
        <w:t xml:space="preserve"> (2019)</w:t>
      </w:r>
      <w:r w:rsidRPr="00BB0CD0">
        <w:t>, </w:t>
      </w:r>
      <w:r w:rsidRPr="00BB0CD0">
        <w:rPr>
          <w:i/>
        </w:rPr>
        <w:t>order on reh’g</w:t>
      </w:r>
      <w:r w:rsidRPr="00BB0CD0">
        <w:t>, Order No. 845-B, 168 FERC ¶ 61,092 (2019).</w:t>
      </w:r>
    </w:p>
  </w:footnote>
  <w:footnote w:id="89">
    <w:p w:rsidR="00760048" w14:paraId="23C1D2ED" w14:textId="77777777">
      <w:pPr>
        <w:pStyle w:val="FootnoteText"/>
      </w:pPr>
      <w:r w:rsidRPr="0072600F">
        <w:rPr>
          <w:rStyle w:val="FootnoteReference"/>
        </w:rPr>
        <w:footnoteRef/>
      </w:r>
      <w:r>
        <w:t xml:space="preserve"> </w:t>
      </w:r>
      <w:r w:rsidRPr="00BB0CD0">
        <w:t>Order No. 845</w:t>
      </w:r>
      <w:r>
        <w:t xml:space="preserve">, </w:t>
      </w:r>
      <w:r w:rsidRPr="00BB0CD0">
        <w:t>163 FERC ¶ 61,043 at</w:t>
      </w:r>
      <w:r>
        <w:rPr>
          <w:i/>
        </w:rPr>
        <w:t xml:space="preserve"> </w:t>
      </w:r>
      <w:r>
        <w:t>P 309.</w:t>
      </w:r>
    </w:p>
  </w:footnote>
  <w:footnote w:id="90">
    <w:p w:rsidR="00760048" w14:paraId="5DC58ACA" w14:textId="77777777">
      <w:pPr>
        <w:pStyle w:val="FootnoteText"/>
      </w:pPr>
      <w:r w:rsidRPr="0072600F">
        <w:rPr>
          <w:rStyle w:val="FootnoteReference"/>
        </w:rPr>
        <w:footnoteRef/>
      </w:r>
      <w:r>
        <w:t xml:space="preserve"> Order No. 2023,</w:t>
      </w:r>
      <w:r w:rsidRPr="00D80772">
        <w:t xml:space="preserve"> </w:t>
      </w:r>
      <w:r w:rsidRPr="00761324">
        <w:t>184 FERC ¶ 61,054</w:t>
      </w:r>
      <w:r>
        <w:t xml:space="preserve"> at P 3.</w:t>
      </w:r>
    </w:p>
  </w:footnote>
  <w:footnote w:id="91">
    <w:p w:rsidR="00760048" w:rsidP="00071614" w14:paraId="7E6A462A" w14:textId="77777777">
      <w:pPr>
        <w:pStyle w:val="FootnoteText"/>
      </w:pPr>
      <w:r w:rsidRPr="0072600F">
        <w:rPr>
          <w:rStyle w:val="FootnoteReference"/>
        </w:rPr>
        <w:footnoteRef/>
      </w:r>
      <w:r>
        <w:t xml:space="preserve"> </w:t>
      </w:r>
      <w:r>
        <w:rPr>
          <w:i/>
          <w:iCs/>
        </w:rPr>
        <w:t>Id.</w:t>
      </w:r>
      <w:r>
        <w:t xml:space="preserve"> P 59.</w:t>
      </w:r>
    </w:p>
  </w:footnote>
  <w:footnote w:id="92">
    <w:p w:rsidR="00760048" w:rsidP="00071614" w14:paraId="4E12B0D8" w14:textId="77777777">
      <w:pPr>
        <w:pStyle w:val="FootnoteText"/>
      </w:pPr>
      <w:r w:rsidRPr="0072600F">
        <w:rPr>
          <w:rStyle w:val="FootnoteReference"/>
        </w:rPr>
        <w:footnoteRef/>
      </w:r>
      <w:r>
        <w:t xml:space="preserve"> </w:t>
      </w:r>
      <w:r>
        <w:rPr>
          <w:i/>
          <w:iCs/>
        </w:rPr>
        <w:t>Id.</w:t>
      </w:r>
      <w:r>
        <w:t xml:space="preserve"> P 1765.</w:t>
      </w:r>
    </w:p>
  </w:footnote>
  <w:footnote w:id="93">
    <w:p w:rsidR="00760048" w:rsidP="00071614" w14:paraId="3E172469" w14:textId="77777777">
      <w:pPr>
        <w:pStyle w:val="FootnoteText"/>
      </w:pPr>
      <w:r w:rsidRPr="0072600F">
        <w:rPr>
          <w:rStyle w:val="FootnoteReference"/>
        </w:rPr>
        <w:footnoteRef/>
      </w:r>
      <w:r>
        <w:t xml:space="preserve"> </w:t>
      </w:r>
      <w:r>
        <w:rPr>
          <w:i/>
          <w:iCs/>
        </w:rPr>
        <w:t>Id.</w:t>
      </w:r>
      <w:r>
        <w:t xml:space="preserve"> PP 861, 1765.</w:t>
      </w:r>
    </w:p>
  </w:footnote>
  <w:footnote w:id="94">
    <w:p w:rsidR="00760048" w:rsidP="00071614" w14:paraId="18DCB719" w14:textId="77777777">
      <w:pPr>
        <w:pStyle w:val="FootnoteText"/>
      </w:pPr>
      <w:r w:rsidRPr="0072600F">
        <w:rPr>
          <w:rStyle w:val="FootnoteReference"/>
        </w:rPr>
        <w:footnoteRef/>
      </w:r>
      <w:r>
        <w:t xml:space="preserve"> </w:t>
      </w:r>
      <w:r>
        <w:rPr>
          <w:i/>
          <w:iCs/>
        </w:rPr>
        <w:t>Id.</w:t>
      </w:r>
      <w:r>
        <w:t xml:space="preserve"> P 861.</w:t>
      </w:r>
    </w:p>
  </w:footnote>
  <w:footnote w:id="95">
    <w:p w:rsidR="000856CB" w14:paraId="66690396" w14:textId="77777777">
      <w:pPr>
        <w:pStyle w:val="FootnoteText"/>
      </w:pPr>
      <w:r>
        <w:rPr>
          <w:rStyle w:val="FootnoteReference"/>
        </w:rPr>
        <w:footnoteRef/>
      </w:r>
      <w:r>
        <w:t xml:space="preserve"> </w:t>
      </w:r>
      <w:r>
        <w:rPr>
          <w:i/>
          <w:iCs/>
        </w:rPr>
        <w:t>Id.</w:t>
      </w:r>
      <w:r>
        <w:t xml:space="preserve"> P 1765 (clarifying that transmission providers that have already adopted a cluster study process or are currently undergoing a transition to a cluster study process will not be required to implement a new transition process).</w:t>
      </w:r>
    </w:p>
  </w:footnote>
  <w:footnote w:id="96">
    <w:p w:rsidR="00760048" w:rsidP="00071614" w14:paraId="65BB7299" w14:textId="77777777">
      <w:pPr>
        <w:pStyle w:val="FootnoteText"/>
      </w:pPr>
      <w:r w:rsidRPr="0072600F">
        <w:rPr>
          <w:rStyle w:val="FootnoteReference"/>
        </w:rPr>
        <w:footnoteRef/>
      </w:r>
      <w:r>
        <w:t xml:space="preserve"> </w:t>
      </w:r>
      <w:r>
        <w:rPr>
          <w:i/>
          <w:iCs/>
        </w:rPr>
        <w:t>Id.</w:t>
      </w:r>
      <w:r>
        <w:t xml:space="preserve"> P 1767.</w:t>
      </w:r>
    </w:p>
  </w:footnote>
  <w:footnote w:id="97">
    <w:p w:rsidR="00760048" w:rsidRPr="006A4E2F" w:rsidP="00071614" w14:paraId="63284101" w14:textId="77777777">
      <w:pPr>
        <w:pStyle w:val="FootnoteText"/>
      </w:pPr>
      <w:r w:rsidRPr="0072600F">
        <w:rPr>
          <w:rStyle w:val="FootnoteReference"/>
        </w:rPr>
        <w:footnoteRef/>
      </w:r>
      <w:r>
        <w:t xml:space="preserve"> </w:t>
      </w:r>
      <w:r>
        <w:rPr>
          <w:i/>
          <w:iCs/>
        </w:rPr>
        <w:t>Id.</w:t>
      </w:r>
      <w:r>
        <w:t xml:space="preserve"> P 1764 (citing</w:t>
      </w:r>
      <w:r w:rsidRPr="00B365B4">
        <w:t xml:space="preserve"> </w:t>
      </w:r>
      <w:r w:rsidRPr="00FC515B" w:rsidR="00FC515B">
        <w:rPr>
          <w:i/>
          <w:iCs/>
        </w:rPr>
        <w:t>Promoting Wholesale Competition Through Open Access Non-Discriminatory Transmission Servs. By Pub. Utils,; Recovery of Stranded Costs by Pub. Utils. &amp; Transmitting Utils.,</w:t>
      </w:r>
      <w:r w:rsidRPr="00FC515B" w:rsidR="00FC515B">
        <w:t xml:space="preserve"> </w:t>
      </w:r>
      <w:r w:rsidRPr="00B365B4">
        <w:t>Order</w:t>
      </w:r>
      <w:r w:rsidRPr="00A07714">
        <w:t xml:space="preserve"> No. 888, </w:t>
      </w:r>
      <w:r w:rsidRPr="00AF3306">
        <w:rPr>
          <w:szCs w:val="26"/>
        </w:rPr>
        <w:t>FERC Stats. &amp; Regs. ¶ 31,036,</w:t>
      </w:r>
      <w:r>
        <w:rPr>
          <w:szCs w:val="26"/>
        </w:rPr>
        <w:t xml:space="preserve"> at 31,769-770</w:t>
      </w:r>
      <w:r w:rsidR="00FC515B">
        <w:rPr>
          <w:szCs w:val="26"/>
        </w:rPr>
        <w:t xml:space="preserve"> </w:t>
      </w:r>
      <w:r w:rsidRPr="00FC515B" w:rsidR="00FC515B">
        <w:rPr>
          <w:szCs w:val="26"/>
        </w:rPr>
        <w:t>(cross-referenced at 75 FERC ¶ 61,080)</w:t>
      </w:r>
      <w:r>
        <w:t xml:space="preserve">; </w:t>
      </w:r>
      <w:r w:rsidRPr="001B29DA" w:rsidR="00074A6D">
        <w:rPr>
          <w:i/>
        </w:rPr>
        <w:t>Preventing Undue Discrimination &amp; Preference in Transmission Serv</w:t>
      </w:r>
      <w:r w:rsidR="00074A6D">
        <w:t xml:space="preserve">., </w:t>
      </w:r>
      <w:r w:rsidRPr="00044066">
        <w:rPr>
          <w:szCs w:val="26"/>
        </w:rPr>
        <w:t xml:space="preserve">Order No. 890, </w:t>
      </w:r>
      <w:r w:rsidRPr="00074A6D" w:rsidR="00074A6D">
        <w:rPr>
          <w:szCs w:val="26"/>
        </w:rPr>
        <w:t xml:space="preserve">72 FR 12226 (Mar. 15, 2007), </w:t>
      </w:r>
      <w:r w:rsidRPr="005922B3">
        <w:rPr>
          <w:szCs w:val="26"/>
        </w:rPr>
        <w:t>118 FERC ¶ 61,119</w:t>
      </w:r>
      <w:r>
        <w:rPr>
          <w:szCs w:val="26"/>
        </w:rPr>
        <w:t xml:space="preserve"> </w:t>
      </w:r>
      <w:r w:rsidRPr="00044066">
        <w:rPr>
          <w:szCs w:val="26"/>
        </w:rPr>
        <w:t xml:space="preserve">at P 109 </w:t>
      </w:r>
      <w:r w:rsidR="00074A6D">
        <w:rPr>
          <w:szCs w:val="26"/>
        </w:rPr>
        <w:t xml:space="preserve">(2007) </w:t>
      </w:r>
      <w:r w:rsidRPr="00044066">
        <w:rPr>
          <w:szCs w:val="26"/>
        </w:rPr>
        <w:t>(“[W]e reiterate that any departures from the </w:t>
      </w:r>
      <w:r w:rsidRPr="00044066">
        <w:rPr>
          <w:i/>
          <w:szCs w:val="26"/>
        </w:rPr>
        <w:t>pro forma</w:t>
      </w:r>
      <w:r w:rsidRPr="00044066">
        <w:rPr>
          <w:szCs w:val="26"/>
        </w:rPr>
        <w:t> </w:t>
      </w:r>
      <w:r>
        <w:rPr>
          <w:szCs w:val="26"/>
        </w:rPr>
        <w:t>[open access transmission tariff]</w:t>
      </w:r>
      <w:r w:rsidRPr="00044066">
        <w:rPr>
          <w:szCs w:val="26"/>
        </w:rPr>
        <w:t xml:space="preserve"> proposed by an ISO or an RTO must be ‘consistent with or superior to’ the </w:t>
      </w:r>
      <w:r w:rsidRPr="00044066">
        <w:rPr>
          <w:i/>
          <w:szCs w:val="26"/>
        </w:rPr>
        <w:t>pro forma</w:t>
      </w:r>
      <w:r w:rsidRPr="00044066">
        <w:rPr>
          <w:szCs w:val="26"/>
        </w:rPr>
        <w:t> </w:t>
      </w:r>
      <w:r>
        <w:rPr>
          <w:szCs w:val="26"/>
        </w:rPr>
        <w:t>[open access transmission tariff]</w:t>
      </w:r>
      <w:r w:rsidRPr="00044066">
        <w:rPr>
          <w:szCs w:val="26"/>
        </w:rPr>
        <w:t xml:space="preserve"> in this Final Rule.”)</w:t>
      </w:r>
      <w:r>
        <w:rPr>
          <w:szCs w:val="26"/>
        </w:rPr>
        <w:t xml:space="preserve">; </w:t>
      </w:r>
      <w:r w:rsidRPr="00044066">
        <w:rPr>
          <w:szCs w:val="26"/>
        </w:rPr>
        <w:t xml:space="preserve">Order No. 2003, 104 FERC ¶ 61,103 </w:t>
      </w:r>
      <w:r w:rsidRPr="00AC6F8A">
        <w:rPr>
          <w:szCs w:val="26"/>
        </w:rPr>
        <w:t>at P 825</w:t>
      </w:r>
      <w:r>
        <w:rPr>
          <w:szCs w:val="26"/>
        </w:rPr>
        <w:t xml:space="preserve">; </w:t>
      </w:r>
      <w:r w:rsidRPr="00A07714">
        <w:rPr>
          <w:szCs w:val="26"/>
        </w:rPr>
        <w:t xml:space="preserve">Order No. </w:t>
      </w:r>
      <w:r>
        <w:t xml:space="preserve">2006, 111 FERC </w:t>
      </w:r>
      <w:r w:rsidRPr="00A07714">
        <w:rPr>
          <w:szCs w:val="26"/>
        </w:rPr>
        <w:t xml:space="preserve">¶ </w:t>
      </w:r>
      <w:r>
        <w:rPr>
          <w:szCs w:val="26"/>
        </w:rPr>
        <w:t xml:space="preserve">61,220 </w:t>
      </w:r>
      <w:r>
        <w:t xml:space="preserve">at </w:t>
      </w:r>
      <w:r w:rsidRPr="006A4E2F">
        <w:t>PP</w:t>
      </w:r>
      <w:r>
        <w:t xml:space="preserve"> 546-547</w:t>
      </w:r>
      <w:r w:rsidRPr="002D5482">
        <w:rPr>
          <w:iCs/>
          <w:szCs w:val="26"/>
        </w:rPr>
        <w:t>;</w:t>
      </w:r>
      <w:r w:rsidRPr="002D5482">
        <w:rPr>
          <w:iCs/>
        </w:rPr>
        <w:t xml:space="preserve"> </w:t>
      </w:r>
      <w:r w:rsidRPr="00044066">
        <w:rPr>
          <w:szCs w:val="26"/>
        </w:rPr>
        <w:t xml:space="preserve">Order No. 845, 163 FERC ¶ 61,043 at P 43 (explaining that a transmission provider that is not an RTO/ISO that seeks a variation from the requirements of the final rule must present its justification for the variation as consistent with or superior to the </w:t>
      </w:r>
      <w:r w:rsidRPr="00044066">
        <w:rPr>
          <w:i/>
          <w:szCs w:val="26"/>
        </w:rPr>
        <w:t xml:space="preserve">pro forma </w:t>
      </w:r>
      <w:r w:rsidRPr="00044066">
        <w:rPr>
          <w:szCs w:val="26"/>
        </w:rPr>
        <w:t xml:space="preserve">LGIA or </w:t>
      </w:r>
      <w:r w:rsidRPr="00044066">
        <w:rPr>
          <w:i/>
          <w:szCs w:val="26"/>
        </w:rPr>
        <w:t xml:space="preserve">pro forma </w:t>
      </w:r>
      <w:r w:rsidRPr="00044066">
        <w:rPr>
          <w:szCs w:val="26"/>
        </w:rPr>
        <w:t>LGIP)</w:t>
      </w:r>
      <w:r>
        <w:rPr>
          <w:szCs w:val="26"/>
        </w:rPr>
        <w:t>).</w:t>
      </w:r>
    </w:p>
  </w:footnote>
  <w:footnote w:id="98">
    <w:p w:rsidR="00760048" w:rsidRPr="00D00BBB" w:rsidP="00071614" w14:paraId="1A52B302" w14:textId="77777777">
      <w:pPr>
        <w:pStyle w:val="FootnoteText"/>
      </w:pPr>
      <w:r w:rsidRPr="0072600F">
        <w:rPr>
          <w:rStyle w:val="FootnoteReference"/>
        </w:rPr>
        <w:footnoteRef/>
      </w:r>
      <w:r>
        <w:t xml:space="preserve"> </w:t>
      </w:r>
      <w:r>
        <w:rPr>
          <w:i/>
          <w:iCs/>
        </w:rPr>
        <w:t>Id.</w:t>
      </w:r>
      <w:r>
        <w:t xml:space="preserve"> (citing</w:t>
      </w:r>
      <w:r w:rsidRPr="00D00BBB">
        <w:t xml:space="preserve"> </w:t>
      </w:r>
      <w:r w:rsidRPr="00D00BBB">
        <w:rPr>
          <w:szCs w:val="26"/>
        </w:rPr>
        <w:t>Order No. 2003, 104 FERC ¶ 61,103 at P 826 (“[w]</w:t>
      </w:r>
      <w:r w:rsidRPr="00D00BBB">
        <w:rPr>
          <w:szCs w:val="26"/>
        </w:rPr>
        <w:t xml:space="preserve">ith respect to an RTO or ISO </w:t>
      </w:r>
      <w:r>
        <w:rPr>
          <w:szCs w:val="26"/>
        </w:rPr>
        <w:t xml:space="preserve">. . . </w:t>
      </w:r>
      <w:r w:rsidRPr="00D00BBB">
        <w:rPr>
          <w:szCs w:val="26"/>
        </w:rPr>
        <w:t>we will allow it to seek ‘independent entity variations’ from the Final Rule</w:t>
      </w:r>
      <w:r>
        <w:rPr>
          <w:szCs w:val="26"/>
        </w:rPr>
        <w:t xml:space="preserve"> . . . </w:t>
      </w:r>
      <w:r w:rsidRPr="00D00BBB">
        <w:rPr>
          <w:szCs w:val="26"/>
        </w:rPr>
        <w:t xml:space="preserve">This is a balanced approach that recognizes that an RTO or ISO has different operating characteristics depending on its size and location and is less likely to act in an unduly discriminatory manner than a Transmission Provider that is a market participant.”); Order No. </w:t>
      </w:r>
      <w:r w:rsidRPr="00D00BBB">
        <w:t xml:space="preserve">2006, 111 FERC </w:t>
      </w:r>
      <w:r w:rsidRPr="00D00BBB">
        <w:rPr>
          <w:szCs w:val="26"/>
        </w:rPr>
        <w:t xml:space="preserve">¶ 61,220 </w:t>
      </w:r>
      <w:r w:rsidRPr="00D00BBB">
        <w:t xml:space="preserve">at PP 447, 549; </w:t>
      </w:r>
      <w:r w:rsidRPr="00D00BBB">
        <w:rPr>
          <w:szCs w:val="26"/>
        </w:rPr>
        <w:t>Order No. 845, 163 FERC ¶ 61,043 at P 556</w:t>
      </w:r>
      <w:r>
        <w:t>).</w:t>
      </w:r>
    </w:p>
  </w:footnote>
  <w:footnote w:id="99">
    <w:p w:rsidR="00760048" w:rsidP="009A3840" w14:paraId="71AA1FED" w14:textId="77777777">
      <w:pPr>
        <w:pStyle w:val="FootnoteText"/>
        <w:ind w:right="-450"/>
      </w:pPr>
      <w:r w:rsidRPr="0072600F">
        <w:rPr>
          <w:rStyle w:val="FootnoteReference"/>
        </w:rPr>
        <w:footnoteRef/>
      </w:r>
      <w:r>
        <w:t xml:space="preserve"> </w:t>
      </w:r>
      <w:r>
        <w:rPr>
          <w:i/>
          <w:iCs/>
        </w:rPr>
        <w:t>Id.</w:t>
      </w:r>
      <w:r>
        <w:t xml:space="preserve"> (citing</w:t>
      </w:r>
      <w:r w:rsidRPr="00D00BBB">
        <w:t xml:space="preserve"> </w:t>
      </w:r>
      <w:r w:rsidRPr="00D00BBB">
        <w:rPr>
          <w:szCs w:val="26"/>
        </w:rPr>
        <w:t xml:space="preserve">Order No. </w:t>
      </w:r>
      <w:r w:rsidRPr="00D00BBB">
        <w:t xml:space="preserve">888, </w:t>
      </w:r>
      <w:bookmarkStart w:id="14" w:name="_Hlk141199448"/>
      <w:r w:rsidRPr="007D3D2A">
        <w:rPr>
          <w:szCs w:val="26"/>
        </w:rPr>
        <w:t>FERC Stats. &amp; Regs. ¶ 31,036,</w:t>
      </w:r>
      <w:bookmarkEnd w:id="14"/>
      <w:r>
        <w:rPr>
          <w:szCs w:val="26"/>
        </w:rPr>
        <w:t xml:space="preserve"> at 31,770</w:t>
      </w:r>
      <w:r w:rsidRPr="00D00BBB">
        <w:rPr>
          <w:szCs w:val="26"/>
        </w:rPr>
        <w:t xml:space="preserve">; Order No. 890, 118 FERC ¶ 61,119 at P 109; Order No. 2003, 104 FERC ¶ 61,103 at P 826 (“if on compliance a non-RTO or ISO Transmission Provider offers a variation from the Final Rule LGIP and Final Rule LGIA, and the variation is in response to established (i.e., approved by the Applicable Reliability Council) reliability requirements, then it may seek to justify its variation using the regional difference rationale.”); Order No. </w:t>
      </w:r>
      <w:r w:rsidRPr="00D00BBB">
        <w:t xml:space="preserve">2006, 111 FERC </w:t>
      </w:r>
      <w:r w:rsidRPr="00D00BBB">
        <w:rPr>
          <w:szCs w:val="26"/>
        </w:rPr>
        <w:t xml:space="preserve">¶ 61,220 </w:t>
      </w:r>
      <w:r w:rsidR="009A3840">
        <w:rPr>
          <w:szCs w:val="26"/>
        </w:rPr>
        <w:t xml:space="preserve">       </w:t>
      </w:r>
      <w:r w:rsidRPr="00D00BBB">
        <w:t xml:space="preserve">at PP 546-547; </w:t>
      </w:r>
      <w:r w:rsidRPr="00D00BBB">
        <w:rPr>
          <w:szCs w:val="26"/>
        </w:rPr>
        <w:t>Order No. 845, 163 FERC ¶ 61,043 at P 43</w:t>
      </w:r>
      <w:r>
        <w:rPr>
          <w:szCs w:val="26"/>
        </w:rPr>
        <w:t>)</w:t>
      </w:r>
      <w:r w:rsidRPr="00D00BBB">
        <w:t>.</w:t>
      </w:r>
    </w:p>
  </w:footnote>
  <w:footnote w:id="100">
    <w:p w:rsidR="00DF4763" w14:paraId="2697BCE3" w14:textId="77777777">
      <w:pPr>
        <w:pStyle w:val="FootnoteText"/>
      </w:pPr>
      <w:r>
        <w:rPr>
          <w:rStyle w:val="FootnoteReference"/>
        </w:rPr>
        <w:footnoteRef/>
      </w:r>
      <w:r>
        <w:t xml:space="preserve"> </w:t>
      </w:r>
      <w:r w:rsidRPr="00105C12">
        <w:t>Clean Energy Associations</w:t>
      </w:r>
      <w:r>
        <w:t xml:space="preserve"> Rehearing Request at 51-52; Dominion Rehearing Request at 17-18; </w:t>
      </w:r>
      <w:r w:rsidRPr="0051242C">
        <w:t>IPP Coalition</w:t>
      </w:r>
      <w:r w:rsidRPr="0051242C">
        <w:t xml:space="preserve"> </w:t>
      </w:r>
      <w:r>
        <w:t xml:space="preserve">Rehearing Request at 10-13; </w:t>
      </w:r>
      <w:r w:rsidRPr="00117061">
        <w:t>PacifiCorp Rehearing Request at</w:t>
      </w:r>
      <w:r>
        <w:t xml:space="preserve"> </w:t>
      </w:r>
      <w:r w:rsidRPr="00117061">
        <w:t>15</w:t>
      </w:r>
      <w:r>
        <w:t xml:space="preserve">-20; </w:t>
      </w:r>
      <w:r w:rsidRPr="006A511C">
        <w:t>PJM Rehearing Request at 1-</w:t>
      </w:r>
      <w:r>
        <w:t>3;</w:t>
      </w:r>
      <w:r w:rsidRPr="00117061">
        <w:t xml:space="preserve"> Revised Early Adopters</w:t>
      </w:r>
      <w:r>
        <w:t xml:space="preserve"> Coalition</w:t>
      </w:r>
      <w:r w:rsidRPr="00117061">
        <w:t xml:space="preserve"> Rehearing Request at 2</w:t>
      </w:r>
      <w:r>
        <w:t>-7</w:t>
      </w:r>
      <w:r w:rsidRPr="00117061">
        <w:t xml:space="preserve">; </w:t>
      </w:r>
      <w:r>
        <w:t>W</w:t>
      </w:r>
      <w:r w:rsidRPr="00107AEA">
        <w:t>IRES Rehearing Request at 12</w:t>
      </w:r>
      <w:r>
        <w:t>.</w:t>
      </w:r>
    </w:p>
  </w:footnote>
  <w:footnote w:id="101">
    <w:p w:rsidR="00760048" w:rsidP="00071614" w14:paraId="2636189F" w14:textId="77777777">
      <w:pPr>
        <w:pStyle w:val="FootnoteText"/>
      </w:pPr>
      <w:r w:rsidRPr="0072600F">
        <w:rPr>
          <w:rStyle w:val="FootnoteReference"/>
        </w:rPr>
        <w:footnoteRef/>
      </w:r>
      <w:r>
        <w:t xml:space="preserve"> </w:t>
      </w:r>
      <w:r w:rsidRPr="00105C12">
        <w:t>Clean Energy Associations</w:t>
      </w:r>
      <w:r>
        <w:t xml:space="preserve"> Rehearing Request at 51; </w:t>
      </w:r>
      <w:r w:rsidRPr="0051242C">
        <w:t>IPP Coalition</w:t>
      </w:r>
      <w:r w:rsidRPr="0051242C">
        <w:t xml:space="preserve"> </w:t>
      </w:r>
      <w:r>
        <w:t>Rehearing Request at 10-11.</w:t>
      </w:r>
    </w:p>
  </w:footnote>
  <w:footnote w:id="102">
    <w:p w:rsidR="00883A4B" w14:paraId="045B6288" w14:textId="77777777">
      <w:pPr>
        <w:pStyle w:val="FootnoteText"/>
      </w:pPr>
      <w:r>
        <w:rPr>
          <w:rStyle w:val="FootnoteReference"/>
        </w:rPr>
        <w:footnoteRef/>
      </w:r>
      <w:r>
        <w:t xml:space="preserve"> </w:t>
      </w:r>
      <w:r w:rsidRPr="00105C12">
        <w:t>Clean Energy Associations</w:t>
      </w:r>
      <w:r>
        <w:t xml:space="preserve"> Rehearing Request at 51; </w:t>
      </w:r>
      <w:r w:rsidRPr="0051242C">
        <w:t>IPP Coalition</w:t>
      </w:r>
      <w:r w:rsidRPr="0051242C">
        <w:t xml:space="preserve"> </w:t>
      </w:r>
      <w:r>
        <w:t>Rehearing Request at 11-12.</w:t>
      </w:r>
    </w:p>
  </w:footnote>
  <w:footnote w:id="103">
    <w:p w:rsidR="00760048" w:rsidP="00071614" w14:paraId="40DFBBEB" w14:textId="77777777">
      <w:pPr>
        <w:pStyle w:val="FootnoteText"/>
      </w:pPr>
      <w:r w:rsidRPr="0072600F">
        <w:rPr>
          <w:rStyle w:val="FootnoteReference"/>
        </w:rPr>
        <w:footnoteRef/>
      </w:r>
      <w:r>
        <w:t xml:space="preserve"> Clean Energy Associations Rehearing Request at 53; </w:t>
      </w:r>
      <w:r w:rsidRPr="0051242C">
        <w:t>IPP Coalition</w:t>
      </w:r>
      <w:r w:rsidRPr="0051242C">
        <w:t xml:space="preserve"> </w:t>
      </w:r>
      <w:r>
        <w:t>Rehearing Request at 13.</w:t>
      </w:r>
    </w:p>
  </w:footnote>
  <w:footnote w:id="104">
    <w:p w:rsidR="00760048" w:rsidP="00071614" w14:paraId="62390F45" w14:textId="77777777">
      <w:pPr>
        <w:pStyle w:val="FootnoteText"/>
      </w:pPr>
      <w:r w:rsidRPr="0072600F">
        <w:rPr>
          <w:rStyle w:val="FootnoteReference"/>
        </w:rPr>
        <w:footnoteRef/>
      </w:r>
      <w:r>
        <w:t xml:space="preserve"> </w:t>
      </w:r>
      <w:r w:rsidRPr="007B075A">
        <w:t>Clean Energy Associations</w:t>
      </w:r>
      <w:r>
        <w:t xml:space="preserve"> Rehearing Request at 51; </w:t>
      </w:r>
      <w:r w:rsidRPr="0051242C">
        <w:t>IPP Coalition</w:t>
      </w:r>
      <w:r w:rsidRPr="0051242C">
        <w:t xml:space="preserve"> </w:t>
      </w:r>
      <w:r>
        <w:t>Rehearing Request at 11.</w:t>
      </w:r>
    </w:p>
  </w:footnote>
  <w:footnote w:id="105">
    <w:p w:rsidR="00760048" w:rsidP="00071614" w14:paraId="420BAF4B" w14:textId="77777777">
      <w:pPr>
        <w:pStyle w:val="FootnoteText"/>
      </w:pPr>
      <w:r w:rsidRPr="0072600F">
        <w:rPr>
          <w:rStyle w:val="FootnoteReference"/>
        </w:rPr>
        <w:footnoteRef/>
      </w:r>
      <w:r>
        <w:t xml:space="preserve"> </w:t>
      </w:r>
      <w:r w:rsidRPr="007B075A">
        <w:t>Clean Energy Associations</w:t>
      </w:r>
      <w:r>
        <w:t xml:space="preserve"> Rehearing Request at 51-52; </w:t>
      </w:r>
      <w:r w:rsidRPr="0051242C">
        <w:t>IPP Coalition</w:t>
      </w:r>
      <w:r w:rsidRPr="0051242C">
        <w:t xml:space="preserve"> </w:t>
      </w:r>
      <w:r>
        <w:t xml:space="preserve">Rehearing Request at 11 (both citing </w:t>
      </w:r>
      <w:r w:rsidRPr="004141B0">
        <w:t>Order No. 2023</w:t>
      </w:r>
      <w:r>
        <w:t xml:space="preserve">, </w:t>
      </w:r>
      <w:r w:rsidRPr="007777A7">
        <w:t>184 FERC ¶ 61,054</w:t>
      </w:r>
      <w:r w:rsidRPr="004141B0">
        <w:t xml:space="preserve"> at P</w:t>
      </w:r>
      <w:r>
        <w:t xml:space="preserve"> 1530).</w:t>
      </w:r>
    </w:p>
  </w:footnote>
  <w:footnote w:id="106">
    <w:p w:rsidR="00760048" w:rsidRPr="008A200F" w:rsidP="00071614" w14:paraId="5550B94B" w14:textId="77777777">
      <w:pPr>
        <w:pStyle w:val="FootnoteText"/>
        <w:rPr>
          <w:i/>
          <w:iCs/>
        </w:rPr>
      </w:pPr>
      <w:r w:rsidRPr="0072600F">
        <w:rPr>
          <w:rStyle w:val="FootnoteReference"/>
        </w:rPr>
        <w:footnoteRef/>
      </w:r>
      <w:r>
        <w:t xml:space="preserve"> </w:t>
      </w:r>
      <w:r w:rsidRPr="00201D03">
        <w:t>NV Energy Rehearing Request at 2 (citing Order 2023</w:t>
      </w:r>
      <w:r>
        <w:t xml:space="preserve">, </w:t>
      </w:r>
      <w:r w:rsidRPr="00965DF2">
        <w:t>184 FERC ¶ 61,054</w:t>
      </w:r>
      <w:r w:rsidRPr="00201D03">
        <w:t xml:space="preserve"> at P</w:t>
      </w:r>
      <w:r>
        <w:t xml:space="preserve"> </w:t>
      </w:r>
      <w:r w:rsidRPr="00201D03">
        <w:t>861).</w:t>
      </w:r>
      <w:r>
        <w:t xml:space="preserve">  NV Energy states that Order No. 2023 did not mention grandfathering any of the existing interconnection agreements.  </w:t>
      </w:r>
      <w:r>
        <w:rPr>
          <w:i/>
          <w:iCs/>
        </w:rPr>
        <w:t>Id.</w:t>
      </w:r>
    </w:p>
  </w:footnote>
  <w:footnote w:id="107">
    <w:p w:rsidR="00760048" w:rsidP="00071614" w14:paraId="14E1656A" w14:textId="77777777">
      <w:pPr>
        <w:pStyle w:val="FootnoteText"/>
      </w:pPr>
      <w:r w:rsidRPr="0072600F">
        <w:rPr>
          <w:rStyle w:val="FootnoteReference"/>
        </w:rPr>
        <w:footnoteRef/>
      </w:r>
      <w:r>
        <w:t xml:space="preserve"> </w:t>
      </w:r>
      <w:r>
        <w:rPr>
          <w:i/>
          <w:iCs/>
        </w:rPr>
        <w:t>Id.</w:t>
      </w:r>
      <w:r>
        <w:rPr>
          <w:i/>
        </w:rPr>
        <w:t xml:space="preserve"> </w:t>
      </w:r>
      <w:r>
        <w:t>at 3.</w:t>
      </w:r>
    </w:p>
  </w:footnote>
  <w:footnote w:id="108">
    <w:p w:rsidR="00760048" w:rsidP="00071614" w14:paraId="25FC4DF4" w14:textId="77777777">
      <w:pPr>
        <w:pStyle w:val="FootnoteText"/>
      </w:pPr>
      <w:r w:rsidRPr="0072600F">
        <w:rPr>
          <w:rStyle w:val="FootnoteReference"/>
        </w:rPr>
        <w:footnoteRef/>
      </w:r>
      <w:r>
        <w:t xml:space="preserve"> </w:t>
      </w:r>
      <w:r>
        <w:rPr>
          <w:i/>
          <w:iCs/>
        </w:rPr>
        <w:t>Id.</w:t>
      </w:r>
    </w:p>
  </w:footnote>
  <w:footnote w:id="109">
    <w:p w:rsidR="00760048" w:rsidP="00071614" w14:paraId="5B475731" w14:textId="77777777">
      <w:pPr>
        <w:pStyle w:val="FootnoteText"/>
      </w:pPr>
      <w:r w:rsidRPr="0072600F">
        <w:rPr>
          <w:rStyle w:val="FootnoteReference"/>
        </w:rPr>
        <w:footnoteRef/>
      </w:r>
      <w:r>
        <w:t xml:space="preserve"> EEI Rehearing Request at 2-3, 16.</w:t>
      </w:r>
    </w:p>
  </w:footnote>
  <w:footnote w:id="110">
    <w:p w:rsidR="00760048" w:rsidP="00071614" w14:paraId="5AE8CC90" w14:textId="77777777">
      <w:pPr>
        <w:pStyle w:val="FootnoteText"/>
      </w:pPr>
      <w:r w:rsidRPr="0072600F">
        <w:rPr>
          <w:rStyle w:val="FootnoteReference"/>
        </w:rPr>
        <w:footnoteRef/>
      </w:r>
      <w:r>
        <w:t xml:space="preserve"> </w:t>
      </w:r>
      <w:r>
        <w:rPr>
          <w:i/>
          <w:iCs/>
        </w:rPr>
        <w:t>Id.</w:t>
      </w:r>
      <w:r>
        <w:rPr>
          <w:i/>
        </w:rPr>
        <w:t xml:space="preserve"> </w:t>
      </w:r>
      <w:r>
        <w:t>at 16.</w:t>
      </w:r>
    </w:p>
  </w:footnote>
  <w:footnote w:id="111">
    <w:p w:rsidR="00760048" w:rsidP="00071614" w14:paraId="2FFCA161" w14:textId="77777777">
      <w:pPr>
        <w:pStyle w:val="FootnoteText"/>
      </w:pPr>
      <w:r w:rsidRPr="0072600F">
        <w:rPr>
          <w:rStyle w:val="FootnoteReference"/>
        </w:rPr>
        <w:footnoteRef/>
      </w:r>
      <w:r>
        <w:t xml:space="preserve"> EEI</w:t>
      </w:r>
      <w:r w:rsidRPr="0012124D">
        <w:t xml:space="preserve"> states that this would include changes that were approved by the Commission in response to other rulemakings, such as Order No. 845</w:t>
      </w:r>
      <w:r>
        <w:t xml:space="preserve">.  </w:t>
      </w:r>
      <w:r>
        <w:rPr>
          <w:i/>
          <w:iCs/>
        </w:rPr>
        <w:t>Id.</w:t>
      </w:r>
      <w:r>
        <w:t xml:space="preserve"> at 16-17.</w:t>
      </w:r>
    </w:p>
  </w:footnote>
  <w:footnote w:id="112">
    <w:p w:rsidR="00760048" w:rsidP="00071614" w14:paraId="09C7E3C1" w14:textId="77777777">
      <w:pPr>
        <w:pStyle w:val="FootnoteText"/>
      </w:pPr>
      <w:r w:rsidRPr="0072600F">
        <w:rPr>
          <w:rStyle w:val="FootnoteReference"/>
        </w:rPr>
        <w:footnoteRef/>
      </w:r>
      <w:r>
        <w:t xml:space="preserve"> PJM Rehearing Request at 1-2.</w:t>
      </w:r>
    </w:p>
  </w:footnote>
  <w:footnote w:id="113">
    <w:p w:rsidR="00760048" w:rsidP="00071614" w14:paraId="54790A99" w14:textId="77777777">
      <w:pPr>
        <w:pStyle w:val="FootnoteText"/>
      </w:pPr>
      <w:r w:rsidRPr="0072600F">
        <w:rPr>
          <w:rStyle w:val="FootnoteReference"/>
        </w:rPr>
        <w:footnoteRef/>
      </w:r>
      <w:r>
        <w:t xml:space="preserve"> </w:t>
      </w:r>
      <w:r>
        <w:rPr>
          <w:i/>
          <w:iCs/>
        </w:rPr>
        <w:t xml:space="preserve">Id. </w:t>
      </w:r>
      <w:r>
        <w:t>at 1, 19-20.</w:t>
      </w:r>
    </w:p>
  </w:footnote>
  <w:footnote w:id="114">
    <w:p w:rsidR="00760048" w:rsidP="00071614" w14:paraId="42988538" w14:textId="77777777">
      <w:pPr>
        <w:pStyle w:val="FootnoteText"/>
      </w:pPr>
      <w:r w:rsidRPr="0072600F">
        <w:rPr>
          <w:rStyle w:val="FootnoteReference"/>
        </w:rPr>
        <w:footnoteRef/>
      </w:r>
      <w:r>
        <w:t xml:space="preserve"> </w:t>
      </w:r>
      <w:r>
        <w:rPr>
          <w:i/>
          <w:iCs/>
        </w:rPr>
        <w:t xml:space="preserve">Id. </w:t>
      </w:r>
      <w:r w:rsidRPr="00582BB7">
        <w:t>at 1</w:t>
      </w:r>
      <w:r>
        <w:t>9-23.</w:t>
      </w:r>
    </w:p>
  </w:footnote>
  <w:footnote w:id="115">
    <w:p w:rsidR="00760048" w:rsidP="00071614" w14:paraId="703B95EC" w14:textId="77777777">
      <w:pPr>
        <w:pStyle w:val="FootnoteText"/>
      </w:pPr>
      <w:r w:rsidRPr="0072600F">
        <w:rPr>
          <w:rStyle w:val="FootnoteReference"/>
        </w:rPr>
        <w:footnoteRef/>
      </w:r>
      <w:r>
        <w:t xml:space="preserve"> </w:t>
      </w:r>
      <w:r>
        <w:rPr>
          <w:i/>
          <w:iCs/>
        </w:rPr>
        <w:t>Id.</w:t>
      </w:r>
      <w:r>
        <w:rPr>
          <w:i/>
        </w:rPr>
        <w:t xml:space="preserve"> </w:t>
      </w:r>
      <w:r>
        <w:t>at 2, 10.</w:t>
      </w:r>
    </w:p>
  </w:footnote>
  <w:footnote w:id="116">
    <w:p w:rsidR="00760048" w:rsidP="00071614" w14:paraId="38F3841C" w14:textId="77777777">
      <w:pPr>
        <w:pStyle w:val="FootnoteText"/>
      </w:pPr>
      <w:r w:rsidRPr="0072600F">
        <w:rPr>
          <w:rStyle w:val="FootnoteReference"/>
        </w:rPr>
        <w:footnoteRef/>
      </w:r>
      <w:r>
        <w:t xml:space="preserve"> </w:t>
      </w:r>
      <w:r>
        <w:rPr>
          <w:i/>
          <w:iCs/>
        </w:rPr>
        <w:t xml:space="preserve">Id. </w:t>
      </w:r>
      <w:r>
        <w:t>at 3, 15.</w:t>
      </w:r>
    </w:p>
  </w:footnote>
  <w:footnote w:id="117">
    <w:p w:rsidR="00760048" w:rsidP="00071614" w14:paraId="711FE5EF" w14:textId="77777777">
      <w:pPr>
        <w:pStyle w:val="FootnoteText"/>
      </w:pPr>
      <w:r w:rsidRPr="0072600F">
        <w:rPr>
          <w:rStyle w:val="FootnoteReference"/>
        </w:rPr>
        <w:footnoteRef/>
      </w:r>
      <w:r>
        <w:t xml:space="preserve"> </w:t>
      </w:r>
      <w:r>
        <w:rPr>
          <w:i/>
          <w:iCs/>
        </w:rPr>
        <w:t xml:space="preserve">Id. </w:t>
      </w:r>
      <w:r>
        <w:t>at 15.</w:t>
      </w:r>
    </w:p>
  </w:footnote>
  <w:footnote w:id="118">
    <w:p w:rsidR="00760048" w:rsidP="00071614" w14:paraId="6FC4F1C4" w14:textId="77777777">
      <w:pPr>
        <w:pStyle w:val="FootnoteText"/>
      </w:pPr>
      <w:r w:rsidRPr="0072600F">
        <w:rPr>
          <w:rStyle w:val="FootnoteReference"/>
        </w:rPr>
        <w:footnoteRef/>
      </w:r>
      <w:r>
        <w:t xml:space="preserve"> </w:t>
      </w:r>
      <w:r>
        <w:rPr>
          <w:i/>
          <w:iCs/>
        </w:rPr>
        <w:t xml:space="preserve">Id. </w:t>
      </w:r>
      <w:r w:rsidRPr="00582BB7">
        <w:t>at 1</w:t>
      </w:r>
      <w:r>
        <w:t>6.</w:t>
      </w:r>
    </w:p>
  </w:footnote>
  <w:footnote w:id="119">
    <w:p w:rsidR="00760048" w:rsidP="00071614" w14:paraId="717BD46D" w14:textId="77777777">
      <w:pPr>
        <w:pStyle w:val="FootnoteText"/>
      </w:pPr>
      <w:r w:rsidRPr="0072600F">
        <w:rPr>
          <w:rStyle w:val="FootnoteReference"/>
        </w:rPr>
        <w:footnoteRef/>
      </w:r>
      <w:r>
        <w:t xml:space="preserve"> </w:t>
      </w:r>
      <w:r>
        <w:rPr>
          <w:i/>
          <w:iCs/>
        </w:rPr>
        <w:t>Id.</w:t>
      </w:r>
      <w:r>
        <w:rPr>
          <w:i/>
        </w:rPr>
        <w:t xml:space="preserve"> </w:t>
      </w:r>
      <w:r>
        <w:t>at 3, 25-26.</w:t>
      </w:r>
    </w:p>
  </w:footnote>
  <w:footnote w:id="120">
    <w:p w:rsidR="00760048" w:rsidP="00071614" w14:paraId="36914CEA" w14:textId="77777777">
      <w:pPr>
        <w:pStyle w:val="FootnoteText"/>
      </w:pPr>
      <w:r w:rsidRPr="0072600F">
        <w:rPr>
          <w:rStyle w:val="FootnoteReference"/>
        </w:rPr>
        <w:footnoteRef/>
      </w:r>
      <w:r>
        <w:t xml:space="preserve"> </w:t>
      </w:r>
      <w:r>
        <w:rPr>
          <w:i/>
          <w:iCs/>
        </w:rPr>
        <w:t>Id.</w:t>
      </w:r>
      <w:r>
        <w:rPr>
          <w:i/>
        </w:rPr>
        <w:t xml:space="preserve"> </w:t>
      </w:r>
      <w:r>
        <w:t>at 26.</w:t>
      </w:r>
    </w:p>
  </w:footnote>
  <w:footnote w:id="121">
    <w:p w:rsidR="00760048" w:rsidP="00071614" w14:paraId="7F407576" w14:textId="77777777">
      <w:pPr>
        <w:pStyle w:val="FootnoteText"/>
      </w:pPr>
      <w:r w:rsidRPr="0072600F">
        <w:rPr>
          <w:rStyle w:val="FootnoteReference"/>
        </w:rPr>
        <w:footnoteRef/>
      </w:r>
      <w:r>
        <w:t xml:space="preserve"> </w:t>
      </w:r>
      <w:r>
        <w:rPr>
          <w:i/>
          <w:iCs/>
        </w:rPr>
        <w:t>Id.</w:t>
      </w:r>
      <w:r>
        <w:rPr>
          <w:i/>
        </w:rPr>
        <w:t xml:space="preserve"> </w:t>
      </w:r>
      <w:r>
        <w:t>at 3-4.</w:t>
      </w:r>
    </w:p>
  </w:footnote>
  <w:footnote w:id="122">
    <w:p w:rsidR="00760048" w:rsidP="00071614" w14:paraId="66E72281" w14:textId="77777777">
      <w:pPr>
        <w:pStyle w:val="FootnoteText"/>
      </w:pPr>
      <w:r w:rsidRPr="0072600F">
        <w:rPr>
          <w:rStyle w:val="FootnoteReference"/>
        </w:rPr>
        <w:footnoteRef/>
      </w:r>
      <w:r>
        <w:t xml:space="preserve"> </w:t>
      </w:r>
      <w:r>
        <w:rPr>
          <w:i/>
          <w:iCs/>
        </w:rPr>
        <w:t>Id.</w:t>
      </w:r>
      <w:r>
        <w:rPr>
          <w:i/>
        </w:rPr>
        <w:t xml:space="preserve"> </w:t>
      </w:r>
      <w:r>
        <w:t>at 27.</w:t>
      </w:r>
    </w:p>
  </w:footnote>
  <w:footnote w:id="123">
    <w:p w:rsidR="00760048" w:rsidP="00071614" w14:paraId="4C23ABC5" w14:textId="77777777">
      <w:pPr>
        <w:pStyle w:val="FootnoteText"/>
      </w:pPr>
      <w:r w:rsidRPr="0072600F">
        <w:rPr>
          <w:rStyle w:val="FootnoteReference"/>
        </w:rPr>
        <w:footnoteRef/>
      </w:r>
      <w:r>
        <w:t xml:space="preserve"> </w:t>
      </w:r>
      <w:r>
        <w:rPr>
          <w:i/>
          <w:iCs/>
        </w:rPr>
        <w:t>Id.</w:t>
      </w:r>
      <w:r>
        <w:rPr>
          <w:i/>
        </w:rPr>
        <w:t xml:space="preserve"> </w:t>
      </w:r>
      <w:r w:rsidRPr="00582BB7">
        <w:t xml:space="preserve">at </w:t>
      </w:r>
      <w:r>
        <w:t>24.</w:t>
      </w:r>
    </w:p>
  </w:footnote>
  <w:footnote w:id="124">
    <w:p w:rsidR="00760048" w:rsidP="00071614" w14:paraId="0F81768B" w14:textId="77777777">
      <w:pPr>
        <w:pStyle w:val="FootnoteText"/>
      </w:pPr>
      <w:r w:rsidRPr="0072600F">
        <w:rPr>
          <w:rStyle w:val="FootnoteReference"/>
        </w:rPr>
        <w:footnoteRef/>
      </w:r>
      <w:r>
        <w:t xml:space="preserve"> Dominion Rehearing Request at 17.</w:t>
      </w:r>
    </w:p>
  </w:footnote>
  <w:footnote w:id="125">
    <w:p w:rsidR="00760048" w:rsidP="00071614" w14:paraId="74AD5B08" w14:textId="77777777">
      <w:pPr>
        <w:pStyle w:val="FootnoteText"/>
      </w:pPr>
      <w:r w:rsidRPr="0072600F">
        <w:rPr>
          <w:rStyle w:val="FootnoteReference"/>
        </w:rPr>
        <w:footnoteRef/>
      </w:r>
      <w:r>
        <w:t xml:space="preserve"> </w:t>
      </w:r>
      <w:r>
        <w:rPr>
          <w:i/>
          <w:iCs/>
        </w:rPr>
        <w:t xml:space="preserve">Id. </w:t>
      </w:r>
      <w:r>
        <w:t xml:space="preserve">at 17-18 (citing, for example, </w:t>
      </w:r>
      <w:r w:rsidRPr="006A72F0">
        <w:rPr>
          <w:i/>
          <w:iCs/>
        </w:rPr>
        <w:t>One-Time Informational Reports on Extreme Weather Vulnerability Assessments Climate Change, Extreme Weather, &amp; Elec. Sys. Reliability</w:t>
      </w:r>
      <w:r w:rsidRPr="000A18D2">
        <w:t xml:space="preserve">, Order No. 897, </w:t>
      </w:r>
      <w:r w:rsidRPr="00FC515B" w:rsidR="00FC515B">
        <w:t xml:space="preserve">88 FR 41477 (June 27, 2023), </w:t>
      </w:r>
      <w:r w:rsidRPr="000A18D2">
        <w:t>183 FERC ¶ 61,192</w:t>
      </w:r>
      <w:r w:rsidR="00B64F3A">
        <w:t>,</w:t>
      </w:r>
      <w:r w:rsidRPr="000A18D2">
        <w:t xml:space="preserve"> at P 25 (2023) (requiring one-time informational reports related to planning for the impacts of extreme weather on system reliability); </w:t>
      </w:r>
      <w:r w:rsidRPr="006A72F0">
        <w:rPr>
          <w:i/>
        </w:rPr>
        <w:t>Hybrid Res.</w:t>
      </w:r>
      <w:r w:rsidRPr="000A18D2">
        <w:t>, 174 FERC ¶ 61,034</w:t>
      </w:r>
      <w:r w:rsidR="00B64F3A">
        <w:t>,</w:t>
      </w:r>
      <w:r w:rsidRPr="000A18D2">
        <w:t xml:space="preserve"> at P 1 (2021) (requiring RTOs and ISOs to submit information related to hybrid resources)</w:t>
      </w:r>
      <w:r>
        <w:t>).</w:t>
      </w:r>
    </w:p>
  </w:footnote>
  <w:footnote w:id="126">
    <w:p w:rsidR="00760048" w:rsidP="00071614" w14:paraId="398A2603" w14:textId="77777777">
      <w:pPr>
        <w:pStyle w:val="FootnoteText"/>
      </w:pPr>
      <w:r w:rsidRPr="0072600F">
        <w:rPr>
          <w:rStyle w:val="FootnoteReference"/>
        </w:rPr>
        <w:footnoteRef/>
      </w:r>
      <w:r>
        <w:t xml:space="preserve"> </w:t>
      </w:r>
      <w:r w:rsidR="00C1722B">
        <w:rPr>
          <w:i/>
          <w:iCs/>
        </w:rPr>
        <w:t>Id.</w:t>
      </w:r>
      <w:r>
        <w:rPr>
          <w:i/>
        </w:rPr>
        <w:t xml:space="preserve"> </w:t>
      </w:r>
      <w:r w:rsidR="00FE7B49">
        <w:t xml:space="preserve">at </w:t>
      </w:r>
      <w:r>
        <w:t>18.</w:t>
      </w:r>
    </w:p>
  </w:footnote>
  <w:footnote w:id="127">
    <w:p w:rsidR="00760048" w14:paraId="03E10E58" w14:textId="77777777">
      <w:pPr>
        <w:pStyle w:val="FootnoteText"/>
      </w:pPr>
      <w:r w:rsidRPr="0072600F">
        <w:rPr>
          <w:rStyle w:val="FootnoteReference"/>
        </w:rPr>
        <w:footnoteRef/>
      </w:r>
      <w:r>
        <w:t xml:space="preserve"> </w:t>
      </w:r>
      <w:r w:rsidRPr="00D45609">
        <w:t>Revised Early Adopters</w:t>
      </w:r>
      <w:r>
        <w:t xml:space="preserve"> Coalition Rehearing Request at 3; PacifiCorp </w:t>
      </w:r>
      <w:r w:rsidR="00183984">
        <w:t xml:space="preserve">Rehearing Request </w:t>
      </w:r>
      <w:r>
        <w:t>at 16.</w:t>
      </w:r>
    </w:p>
  </w:footnote>
  <w:footnote w:id="128">
    <w:p w:rsidR="00760048" w:rsidRPr="00166591" w:rsidP="00071614" w14:paraId="6BF003DB" w14:textId="77777777">
      <w:pPr>
        <w:pStyle w:val="FootnoteText"/>
      </w:pPr>
      <w:r w:rsidRPr="0072600F">
        <w:rPr>
          <w:rStyle w:val="FootnoteReference"/>
        </w:rPr>
        <w:footnoteRef/>
      </w:r>
      <w:r>
        <w:t xml:space="preserve"> </w:t>
      </w:r>
      <w:r w:rsidRPr="00D45609">
        <w:t>Revised Early Adopters</w:t>
      </w:r>
      <w:r>
        <w:t xml:space="preserve"> Coalition Rehearing Request at 4; </w:t>
      </w:r>
      <w:r w:rsidRPr="00350711">
        <w:t>PacifiCorp Rehearing Request at 16</w:t>
      </w:r>
      <w:r>
        <w:t xml:space="preserve">.  </w:t>
      </w:r>
      <w:r w:rsidRPr="00166591">
        <w:t>Revised Early Adopters</w:t>
      </w:r>
      <w:r>
        <w:t xml:space="preserve"> Coalition</w:t>
      </w:r>
      <w:r w:rsidRPr="00166591">
        <w:t xml:space="preserve"> note that the initial cluster request window under Order No. 2023 would open “after the conclusion of the transition process set out in Section 5.1 of this LGIP</w:t>
      </w:r>
      <w:r>
        <w:t xml:space="preserve">.” </w:t>
      </w:r>
      <w:r w:rsidRPr="00166591">
        <w:rPr>
          <w:i/>
          <w:iCs/>
        </w:rPr>
        <w:t xml:space="preserve"> </w:t>
      </w:r>
      <w:r w:rsidRPr="00D45609">
        <w:t>Revised Early Adopters</w:t>
      </w:r>
      <w:r>
        <w:t xml:space="preserve"> Coalition Rehearing Request at 3-4 (citing </w:t>
      </w:r>
      <w:r w:rsidRPr="00C26DA8">
        <w:t>Order No. 2023, 184 FERC ¶ 61,054 at</w:t>
      </w:r>
      <w:r>
        <w:t xml:space="preserve"> app. C, </w:t>
      </w:r>
      <w:r>
        <w:rPr>
          <w:i/>
          <w:iCs/>
        </w:rPr>
        <w:t>pro forma</w:t>
      </w:r>
      <w:r>
        <w:t xml:space="preserve"> LGIP section 3.4.1).  </w:t>
      </w:r>
    </w:p>
  </w:footnote>
  <w:footnote w:id="129">
    <w:p w:rsidR="00760048" w:rsidP="00071614" w14:paraId="71D0EA1B" w14:textId="77777777">
      <w:pPr>
        <w:pStyle w:val="FootnoteText"/>
      </w:pPr>
      <w:r w:rsidRPr="0072600F">
        <w:rPr>
          <w:rStyle w:val="FootnoteReference"/>
        </w:rPr>
        <w:footnoteRef/>
      </w:r>
      <w:r>
        <w:t xml:space="preserve"> </w:t>
      </w:r>
      <w:r w:rsidRPr="00B20E98">
        <w:t>Revised Early Adopters</w:t>
      </w:r>
      <w:r>
        <w:t xml:space="preserve"> Coalition Rehearing Request at 4, 7; </w:t>
      </w:r>
      <w:r w:rsidRPr="007B7C44">
        <w:t>PacifiCorp Rehearing Request at 16 (</w:t>
      </w:r>
      <w:r>
        <w:t xml:space="preserve">both </w:t>
      </w:r>
      <w:r w:rsidRPr="007B7C44">
        <w:t>citing Order No. 2023, 184 FERC ¶ 61,054 at P 861).</w:t>
      </w:r>
    </w:p>
  </w:footnote>
  <w:footnote w:id="130">
    <w:p w:rsidR="00760048" w:rsidP="00071614" w14:paraId="76B21041" w14:textId="77777777">
      <w:pPr>
        <w:pStyle w:val="FootnoteText"/>
      </w:pPr>
      <w:r w:rsidRPr="0072600F">
        <w:rPr>
          <w:rStyle w:val="FootnoteReference"/>
        </w:rPr>
        <w:footnoteRef/>
      </w:r>
      <w:r>
        <w:t xml:space="preserve"> </w:t>
      </w:r>
      <w:r w:rsidRPr="00A533A1">
        <w:t>Revised Early Adopters</w:t>
      </w:r>
      <w:r>
        <w:t xml:space="preserve"> Coalition Rehearing Request at 6; </w:t>
      </w:r>
      <w:r w:rsidRPr="00490773">
        <w:t>PacifiCorp Rehearing Request at 18.</w:t>
      </w:r>
    </w:p>
  </w:footnote>
  <w:footnote w:id="131">
    <w:p w:rsidR="00760048" w:rsidP="00071614" w14:paraId="282696F5" w14:textId="77777777">
      <w:pPr>
        <w:pStyle w:val="FootnoteText"/>
      </w:pPr>
      <w:r w:rsidRPr="0072600F">
        <w:rPr>
          <w:rStyle w:val="FootnoteReference"/>
        </w:rPr>
        <w:footnoteRef/>
      </w:r>
      <w:r>
        <w:t xml:space="preserve"> </w:t>
      </w:r>
      <w:r w:rsidRPr="00A533A1">
        <w:t>Revised Early Adopters</w:t>
      </w:r>
      <w:r>
        <w:t xml:space="preserve"> Coalition Rehearing Request at 2, 6; </w:t>
      </w:r>
      <w:r w:rsidRPr="007A45E2">
        <w:t>PacifiCorp Rehearing Request at 18 (</w:t>
      </w:r>
      <w:r>
        <w:t xml:space="preserve">both </w:t>
      </w:r>
      <w:r w:rsidRPr="007A45E2">
        <w:t xml:space="preserve">citing, for example, </w:t>
      </w:r>
      <w:r w:rsidRPr="00FE3FCC">
        <w:rPr>
          <w:i/>
          <w:iCs/>
        </w:rPr>
        <w:t>Panhandle E. Pipe Line Co. v. FERC</w:t>
      </w:r>
      <w:r w:rsidRPr="007A45E2">
        <w:t xml:space="preserve">, 196 F.3d 1273, 1275 (D.C. Cir. 1999) </w:t>
      </w:r>
      <w:r w:rsidR="001604DA">
        <w:t>(</w:t>
      </w:r>
      <w:r w:rsidRPr="00FE3FCC" w:rsidR="001604DA">
        <w:rPr>
          <w:i/>
          <w:iCs/>
        </w:rPr>
        <w:t>Panhandle</w:t>
      </w:r>
      <w:r w:rsidRPr="007A45E2">
        <w:t>) (“if [FERC] wishes to depart from its prior policies, it must explain the reasons for its departure.”)).</w:t>
      </w:r>
    </w:p>
  </w:footnote>
  <w:footnote w:id="132">
    <w:p w:rsidR="00760048" w:rsidP="00071614" w14:paraId="6B7A0CE4" w14:textId="77777777">
      <w:pPr>
        <w:pStyle w:val="FootnoteText"/>
      </w:pPr>
      <w:r w:rsidRPr="0072600F">
        <w:rPr>
          <w:rStyle w:val="FootnoteReference"/>
        </w:rPr>
        <w:footnoteRef/>
      </w:r>
      <w:r>
        <w:t xml:space="preserve"> </w:t>
      </w:r>
      <w:r w:rsidRPr="009F7021">
        <w:t>Revised Early Adopters</w:t>
      </w:r>
      <w:r>
        <w:t xml:space="preserve"> Coalition Rehearing Request at 2; </w:t>
      </w:r>
      <w:r w:rsidRPr="00092EC0">
        <w:t xml:space="preserve">PacifiCorp Rehearing Request at 15.  </w:t>
      </w:r>
    </w:p>
  </w:footnote>
  <w:footnote w:id="133">
    <w:p w:rsidR="00760048" w:rsidP="00071614" w14:paraId="444D8981" w14:textId="77777777">
      <w:pPr>
        <w:pStyle w:val="FootnoteText"/>
      </w:pPr>
      <w:r w:rsidRPr="0072600F">
        <w:rPr>
          <w:rStyle w:val="FootnoteReference"/>
        </w:rPr>
        <w:footnoteRef/>
      </w:r>
      <w:r>
        <w:t xml:space="preserve"> </w:t>
      </w:r>
      <w:r w:rsidRPr="00B01424">
        <w:t>PacifiCorp Rehearing Request at 19.</w:t>
      </w:r>
    </w:p>
  </w:footnote>
  <w:footnote w:id="134">
    <w:p w:rsidR="00760048" w:rsidP="00071614" w14:paraId="6DA0EB4F" w14:textId="77777777">
      <w:pPr>
        <w:pStyle w:val="FootnoteText"/>
      </w:pPr>
      <w:r w:rsidRPr="0072600F">
        <w:rPr>
          <w:rStyle w:val="FootnoteReference"/>
        </w:rPr>
        <w:footnoteRef/>
      </w:r>
      <w:r>
        <w:t xml:space="preserve"> </w:t>
      </w:r>
      <w:r w:rsidRPr="008056B9">
        <w:rPr>
          <w:i/>
        </w:rPr>
        <w:t>Id.</w:t>
      </w:r>
      <w:r>
        <w:t xml:space="preserve">; </w:t>
      </w:r>
      <w:r w:rsidRPr="00FC56CD">
        <w:t>Revised Early Adopters</w:t>
      </w:r>
      <w:r>
        <w:t xml:space="preserve"> Coalition Rehearing Request at 2-3, 6 (citing </w:t>
      </w:r>
      <w:r w:rsidRPr="003E2065">
        <w:t xml:space="preserve">5 U.S.C. § 706(2)(A); </w:t>
      </w:r>
      <w:r w:rsidRPr="009C57D8">
        <w:rPr>
          <w:i/>
        </w:rPr>
        <w:t>Motor Vehicle Mfrs. Ass</w:t>
      </w:r>
      <w:r>
        <w:rPr>
          <w:i/>
        </w:rPr>
        <w:t>’</w:t>
      </w:r>
      <w:r w:rsidRPr="009C57D8">
        <w:rPr>
          <w:i/>
        </w:rPr>
        <w:t>n of the U.S., Inc. v. State Farm Mut. Auto. Ins. Co.</w:t>
      </w:r>
      <w:r w:rsidRPr="003E2065">
        <w:t>, 463 U.S. 29, 43 (1983) (</w:t>
      </w:r>
      <w:r w:rsidRPr="009C57D8" w:rsidR="00F96D68">
        <w:rPr>
          <w:i/>
        </w:rPr>
        <w:t xml:space="preserve">Motor Vehicle </w:t>
      </w:r>
      <w:r w:rsidR="00CB4F29">
        <w:rPr>
          <w:i/>
        </w:rPr>
        <w:t>Manufacturers</w:t>
      </w:r>
      <w:r w:rsidRPr="00CB4F29" w:rsidR="00F96D68">
        <w:rPr>
          <w:iCs/>
        </w:rPr>
        <w:t>)</w:t>
      </w:r>
      <w:r w:rsidR="00F96D68">
        <w:rPr>
          <w:i/>
        </w:rPr>
        <w:t xml:space="preserve"> </w:t>
      </w:r>
      <w:r w:rsidRPr="003E2065">
        <w:t>(explaining that to survive review under the arbitrary and capricious standard, an agency must examine the relevant data and articulate a satisfactory explanation for its action including a rational connection between the facts found and the choice made.’)</w:t>
      </w:r>
      <w:r>
        <w:t xml:space="preserve"> (internal citations omitted)).</w:t>
      </w:r>
    </w:p>
  </w:footnote>
  <w:footnote w:id="135">
    <w:p w:rsidR="00760048" w:rsidP="00071614" w14:paraId="5170208C" w14:textId="77777777">
      <w:pPr>
        <w:pStyle w:val="FootnoteText"/>
      </w:pPr>
      <w:r w:rsidRPr="0072600F">
        <w:rPr>
          <w:rStyle w:val="FootnoteReference"/>
        </w:rPr>
        <w:footnoteRef/>
      </w:r>
      <w:r>
        <w:t xml:space="preserve"> </w:t>
      </w:r>
      <w:r w:rsidRPr="001E7A44">
        <w:t>Revised Early Adopters</w:t>
      </w:r>
      <w:r>
        <w:t xml:space="preserve"> Coalition Rehearing Request at 6.</w:t>
      </w:r>
    </w:p>
  </w:footnote>
  <w:footnote w:id="136">
    <w:p w:rsidR="00760048" w:rsidP="00071614" w14:paraId="559D7599" w14:textId="77777777">
      <w:pPr>
        <w:pStyle w:val="FootnoteText"/>
      </w:pPr>
      <w:r w:rsidRPr="0072600F">
        <w:rPr>
          <w:rStyle w:val="FootnoteReference"/>
        </w:rPr>
        <w:footnoteRef/>
      </w:r>
      <w:r>
        <w:t xml:space="preserve"> </w:t>
      </w:r>
      <w:r w:rsidR="00B71796">
        <w:rPr>
          <w:i/>
          <w:iCs/>
        </w:rPr>
        <w:t>Id.</w:t>
      </w:r>
      <w:r>
        <w:t xml:space="preserve"> at 6-7; </w:t>
      </w:r>
      <w:r w:rsidRPr="008A127D">
        <w:t>PacifiCorp Rehearing Request at 19</w:t>
      </w:r>
      <w:r>
        <w:t>-20</w:t>
      </w:r>
      <w:r w:rsidRPr="008A127D">
        <w:t>.</w:t>
      </w:r>
    </w:p>
  </w:footnote>
  <w:footnote w:id="137">
    <w:p w:rsidR="00760048" w:rsidP="00071614" w14:paraId="14B54726" w14:textId="77777777">
      <w:pPr>
        <w:pStyle w:val="FootnoteText"/>
      </w:pPr>
      <w:r w:rsidRPr="0072600F">
        <w:rPr>
          <w:rStyle w:val="FootnoteReference"/>
        </w:rPr>
        <w:footnoteRef/>
      </w:r>
      <w:r>
        <w:t xml:space="preserve"> </w:t>
      </w:r>
      <w:r w:rsidRPr="00964ADB">
        <w:t>Revised Early Adopters</w:t>
      </w:r>
      <w:r>
        <w:t xml:space="preserve"> Coalition Rehearing Request at 7; </w:t>
      </w:r>
      <w:r w:rsidRPr="009D431F">
        <w:t>PacifiCorp Rehearing Request at 20.</w:t>
      </w:r>
    </w:p>
  </w:footnote>
  <w:footnote w:id="138">
    <w:p w:rsidR="00760048" w:rsidP="00071614" w14:paraId="09774B1C" w14:textId="77777777">
      <w:pPr>
        <w:pStyle w:val="FootnoteText"/>
      </w:pPr>
      <w:r w:rsidRPr="0072600F">
        <w:rPr>
          <w:rStyle w:val="FootnoteReference"/>
        </w:rPr>
        <w:footnoteRef/>
      </w:r>
      <w:r>
        <w:t xml:space="preserve"> W</w:t>
      </w:r>
      <w:r w:rsidRPr="00107AEA">
        <w:t>IRES Rehearing Request at 12. </w:t>
      </w:r>
    </w:p>
  </w:footnote>
  <w:footnote w:id="139">
    <w:p w:rsidR="00760048" w:rsidP="00071614" w14:paraId="40891D88" w14:textId="77777777">
      <w:pPr>
        <w:pStyle w:val="FootnoteText"/>
      </w:pPr>
      <w:r w:rsidRPr="0072600F">
        <w:rPr>
          <w:rStyle w:val="FootnoteReference"/>
        </w:rPr>
        <w:footnoteRef/>
      </w:r>
      <w:r>
        <w:t xml:space="preserve"> Order No. 2023, 184 FERC ¶ 61,054 at P 861.</w:t>
      </w:r>
    </w:p>
  </w:footnote>
  <w:footnote w:id="140">
    <w:p w:rsidR="00760048" w:rsidRPr="00922441" w14:paraId="673EB243" w14:textId="77777777">
      <w:pPr>
        <w:pStyle w:val="FootnoteText"/>
      </w:pPr>
      <w:r w:rsidRPr="0072600F">
        <w:rPr>
          <w:rStyle w:val="FootnoteReference"/>
        </w:rPr>
        <w:footnoteRef/>
      </w:r>
      <w:r>
        <w:t xml:space="preserve"> </w:t>
      </w:r>
      <w:r>
        <w:rPr>
          <w:i/>
          <w:iCs/>
        </w:rPr>
        <w:t xml:space="preserve">Id. </w:t>
      </w:r>
      <w:r>
        <w:t xml:space="preserve">PP 490-813. </w:t>
      </w:r>
    </w:p>
  </w:footnote>
  <w:footnote w:id="141">
    <w:p w:rsidR="00760048" w:rsidP="00071614" w14:paraId="6B499598" w14:textId="77777777">
      <w:pPr>
        <w:pStyle w:val="FootnoteText"/>
      </w:pPr>
      <w:r w:rsidRPr="0072600F">
        <w:rPr>
          <w:rStyle w:val="FootnoteReference"/>
        </w:rPr>
        <w:footnoteRef/>
      </w:r>
      <w:r>
        <w:t xml:space="preserve"> New </w:t>
      </w:r>
      <w:r>
        <w:rPr>
          <w:i/>
          <w:iCs/>
        </w:rPr>
        <w:t xml:space="preserve">pro </w:t>
      </w:r>
      <w:r w:rsidRPr="00EF265B">
        <w:rPr>
          <w:i/>
          <w:iCs/>
        </w:rPr>
        <w:t>forma</w:t>
      </w:r>
      <w:r w:rsidRPr="00221E9A">
        <w:rPr>
          <w:i/>
          <w:iCs/>
        </w:rPr>
        <w:t xml:space="preserve"> </w:t>
      </w:r>
      <w:r>
        <w:t xml:space="preserve">LGIP section 5.1.2:  </w:t>
      </w:r>
    </w:p>
    <w:p w:rsidR="00760048" w:rsidRPr="00221E9A" w:rsidP="00071614" w14:paraId="00FCDF95" w14:textId="77777777">
      <w:pPr>
        <w:pStyle w:val="FootnoteText"/>
        <w:ind w:left="720" w:firstLine="0"/>
        <w:rPr>
          <w:b/>
          <w:i/>
        </w:rPr>
      </w:pPr>
      <w:r w:rsidRPr="00221E9A">
        <w:rPr>
          <w:b/>
          <w:bCs/>
          <w:i/>
          <w:iCs/>
        </w:rPr>
        <w:t xml:space="preserve">5.1.2 </w:t>
      </w:r>
      <w:r w:rsidRPr="00221E9A">
        <w:rPr>
          <w:b/>
          <w:i/>
        </w:rPr>
        <w:t>Transmission Providers with Existing Cluster Study Processes or Currently in Transition</w:t>
      </w:r>
    </w:p>
    <w:p w:rsidR="00760048" w:rsidRPr="00221E9A" w:rsidP="00071614" w14:paraId="001A183F" w14:textId="77777777">
      <w:pPr>
        <w:pStyle w:val="FootnoteText"/>
        <w:ind w:left="720" w:firstLine="0"/>
        <w:rPr>
          <w:i/>
        </w:rPr>
      </w:pPr>
      <w:r>
        <w:rPr>
          <w:i/>
        </w:rPr>
        <w:t>If</w:t>
      </w:r>
      <w:r w:rsidRPr="00221E9A">
        <w:rPr>
          <w:i/>
        </w:rPr>
        <w:t xml:space="preserve"> Transmission Provider is not conducting a transition process under Section 5.1.1</w:t>
      </w:r>
      <w:r>
        <w:rPr>
          <w:i/>
        </w:rPr>
        <w:t>, it</w:t>
      </w:r>
      <w:r w:rsidRPr="00221E9A">
        <w:rPr>
          <w:i/>
        </w:rPr>
        <w:t xml:space="preserve"> will continue processing interconnection </w:t>
      </w:r>
      <w:r w:rsidRPr="000108EA">
        <w:rPr>
          <w:i/>
        </w:rPr>
        <w:t xml:space="preserve">requests under its current Cluster Study Process.  Within 60 calendar days of the </w:t>
      </w:r>
      <w:r w:rsidRPr="000108EA">
        <w:rPr>
          <w:i/>
        </w:rPr>
        <w:t>Commission-approved effective date of Transmission Provider’s Order No. 2023 compliance filing</w:t>
      </w:r>
      <w:r w:rsidRPr="000108EA">
        <w:rPr>
          <w:i/>
        </w:rPr>
        <w:t xml:space="preserve">, Interconnection Customers that have not executed an LGIA or requested an LGIA to be filed unexecuted must meet </w:t>
      </w:r>
      <w:r w:rsidRPr="000108EA">
        <w:rPr>
          <w:i/>
          <w:iCs/>
        </w:rPr>
        <w:t>the requirements of Sections</w:t>
      </w:r>
      <w:r w:rsidRPr="00CB54D0">
        <w:rPr>
          <w:i/>
          <w:iCs/>
        </w:rPr>
        <w:t xml:space="preserve"> 3.4.2, 7.5, or 8.1 of this LGIP, based on Interconnection Customer’s Queue Position</w:t>
      </w:r>
      <w:r w:rsidRPr="00221E9A">
        <w:rPr>
          <w:i/>
        </w:rPr>
        <w:t>.</w:t>
      </w:r>
    </w:p>
    <w:p w:rsidR="00760048" w:rsidP="00071614" w14:paraId="0420D673" w14:textId="77777777">
      <w:pPr>
        <w:pStyle w:val="FootnoteText"/>
        <w:ind w:left="720" w:firstLine="0"/>
        <w:rPr>
          <w:i/>
          <w:iCs/>
        </w:rPr>
      </w:pPr>
      <w:r w:rsidRPr="00221E9A">
        <w:rPr>
          <w:i/>
        </w:rPr>
        <w:t>Any Interconnection Customer that fails to meet these requirements within 60 calendar days of the Commission-approved effective date of this LGIP shall have its Interconnection Request deemed withdrawn by Transmission Provider pursuant to Section 3.7 of this LGIP.  In such case, Transmission Provider shall not assess the Interconnection Customer any Withdrawal Penalty.</w:t>
      </w:r>
    </w:p>
    <w:p w:rsidR="00760048" w14:paraId="7ACFA32B" w14:textId="77777777">
      <w:pPr>
        <w:pStyle w:val="FootnoteText"/>
      </w:pPr>
    </w:p>
  </w:footnote>
  <w:footnote w:id="142">
    <w:p w:rsidR="00760048" w:rsidP="00071614" w14:paraId="0AB3B58F" w14:textId="77777777">
      <w:pPr>
        <w:pStyle w:val="FootnoteText"/>
      </w:pPr>
      <w:r w:rsidRPr="0072600F">
        <w:rPr>
          <w:rStyle w:val="FootnoteReference"/>
        </w:rPr>
        <w:footnoteRef/>
      </w:r>
      <w:r>
        <w:t xml:space="preserve"> </w:t>
      </w:r>
      <w:r w:rsidR="002421E6">
        <w:t xml:space="preserve">Order No. 2023, 184 FERC ¶ 61,054 at </w:t>
      </w:r>
      <w:r>
        <w:t>P 1530.</w:t>
      </w:r>
    </w:p>
  </w:footnote>
  <w:footnote w:id="143">
    <w:p w:rsidR="00760048" w:rsidP="00071614" w14:paraId="2B48F469" w14:textId="77777777">
      <w:pPr>
        <w:pStyle w:val="FootnoteText"/>
      </w:pPr>
      <w:r w:rsidRPr="0072600F">
        <w:rPr>
          <w:rStyle w:val="FootnoteReference"/>
        </w:rPr>
        <w:footnoteRef/>
      </w:r>
      <w:r>
        <w:t xml:space="preserve"> </w:t>
      </w:r>
      <w:r w:rsidRPr="00FE3FCC">
        <w:rPr>
          <w:i/>
          <w:iCs/>
        </w:rPr>
        <w:t>Id.</w:t>
      </w:r>
      <w:r w:rsidRPr="00FE3FCC">
        <w:rPr>
          <w:i/>
        </w:rPr>
        <w:t xml:space="preserve"> </w:t>
      </w:r>
      <w:r>
        <w:t>P 1767.</w:t>
      </w:r>
    </w:p>
  </w:footnote>
  <w:footnote w:id="144">
    <w:p w:rsidR="00760048" w:rsidP="00071614" w14:paraId="28D5223C" w14:textId="77777777">
      <w:pPr>
        <w:pStyle w:val="FootnoteText"/>
      </w:pPr>
      <w:r w:rsidRPr="0072600F">
        <w:rPr>
          <w:rStyle w:val="FootnoteReference"/>
        </w:rPr>
        <w:footnoteRef/>
      </w:r>
      <w:r>
        <w:t xml:space="preserve"> </w:t>
      </w:r>
      <w:r w:rsidRPr="00FE3FCC">
        <w:rPr>
          <w:i/>
          <w:iCs/>
        </w:rPr>
        <w:t>Id.</w:t>
      </w:r>
      <w:r w:rsidRPr="00FE3FCC">
        <w:rPr>
          <w:i/>
        </w:rPr>
        <w:t xml:space="preserve"> </w:t>
      </w:r>
      <w:r>
        <w:t>P 1765.</w:t>
      </w:r>
    </w:p>
  </w:footnote>
  <w:footnote w:id="145">
    <w:p w:rsidR="00760048" w:rsidP="00071614" w14:paraId="138F1338" w14:textId="77777777">
      <w:pPr>
        <w:pStyle w:val="FootnoteText"/>
      </w:pPr>
      <w:r w:rsidRPr="0072600F">
        <w:rPr>
          <w:rStyle w:val="FootnoteReference"/>
        </w:rPr>
        <w:footnoteRef/>
      </w:r>
      <w:r>
        <w:t xml:space="preserve"> </w:t>
      </w:r>
      <w:r w:rsidRPr="00FE3FCC">
        <w:rPr>
          <w:i/>
          <w:iCs/>
        </w:rPr>
        <w:t>Id.</w:t>
      </w:r>
      <w:r w:rsidRPr="00FE3FCC">
        <w:rPr>
          <w:i/>
        </w:rPr>
        <w:t xml:space="preserve"> </w:t>
      </w:r>
      <w:r>
        <w:t>P 59.</w:t>
      </w:r>
    </w:p>
  </w:footnote>
  <w:footnote w:id="146">
    <w:p w:rsidR="00760048" w:rsidP="00071614" w14:paraId="72E10064" w14:textId="77777777">
      <w:pPr>
        <w:pStyle w:val="FootnoteText"/>
      </w:pPr>
      <w:r w:rsidRPr="0072600F">
        <w:rPr>
          <w:rStyle w:val="FootnoteReference"/>
        </w:rPr>
        <w:footnoteRef/>
      </w:r>
      <w:r>
        <w:t xml:space="preserve"> </w:t>
      </w:r>
      <w:r w:rsidRPr="00095EF5">
        <w:t>Order No. 2023</w:t>
      </w:r>
      <w:r>
        <w:t>, 184 FERC ¶ 61,054</w:t>
      </w:r>
      <w:r w:rsidRPr="00095EF5">
        <w:t xml:space="preserve"> at P 1766</w:t>
      </w:r>
      <w:r>
        <w:t xml:space="preserve">; </w:t>
      </w:r>
      <w:r w:rsidRPr="008056B9">
        <w:rPr>
          <w:i/>
        </w:rPr>
        <w:t xml:space="preserve">supra </w:t>
      </w:r>
      <w:r>
        <w:t>section</w:t>
      </w:r>
      <w:r w:rsidRPr="008056B9">
        <w:t xml:space="preserve"> II.A.3. </w:t>
      </w:r>
    </w:p>
  </w:footnote>
  <w:footnote w:id="147">
    <w:p w:rsidR="00760048" w:rsidP="00071614" w14:paraId="3CD8ED3F" w14:textId="77777777">
      <w:pPr>
        <w:pStyle w:val="FootnoteText"/>
      </w:pPr>
      <w:r w:rsidRPr="0072600F">
        <w:rPr>
          <w:rStyle w:val="FootnoteReference"/>
        </w:rPr>
        <w:footnoteRef/>
      </w:r>
      <w:r w:rsidRPr="002955B4" w:rsidR="002955B4">
        <w:t xml:space="preserve"> </w:t>
      </w:r>
      <w:r w:rsidR="00C77729">
        <w:rPr>
          <w:i/>
          <w:iCs/>
        </w:rPr>
        <w:t xml:space="preserve">See </w:t>
      </w:r>
      <w:r w:rsidRPr="00095EF5" w:rsidR="002955B4">
        <w:t>Order No. 2023</w:t>
      </w:r>
      <w:r>
        <w:t>, 184 FERC ¶ 61,054</w:t>
      </w:r>
      <w:r w:rsidRPr="00095EF5">
        <w:t xml:space="preserve"> at P 1766 (citing</w:t>
      </w:r>
      <w:r w:rsidRPr="00CF2BAA">
        <w:rPr>
          <w:i/>
        </w:rPr>
        <w:t xml:space="preserve"> </w:t>
      </w:r>
      <w:r>
        <w:rPr>
          <w:i/>
        </w:rPr>
        <w:t>TAPS</w:t>
      </w:r>
      <w:r w:rsidRPr="00CF2BAA">
        <w:t xml:space="preserve">, 225 F.3d </w:t>
      </w:r>
      <w:r>
        <w:t>at</w:t>
      </w:r>
      <w:r w:rsidRPr="00CF2BAA">
        <w:t xml:space="preserve"> 687-88</w:t>
      </w:r>
      <w:r w:rsidRPr="00095EF5">
        <w:t xml:space="preserve">).  </w:t>
      </w:r>
    </w:p>
  </w:footnote>
  <w:footnote w:id="148">
    <w:p w:rsidR="00760048" w14:paraId="69125989" w14:textId="77777777">
      <w:pPr>
        <w:pStyle w:val="FootnoteText"/>
      </w:pPr>
      <w:r w:rsidRPr="0072600F">
        <w:rPr>
          <w:rStyle w:val="FootnoteReference"/>
        </w:rPr>
        <w:footnoteRef/>
      </w:r>
      <w:r>
        <w:t xml:space="preserve"> </w:t>
      </w:r>
      <w:r w:rsidRPr="008056B9">
        <w:rPr>
          <w:i/>
          <w:iCs/>
        </w:rPr>
        <w:t>Id.</w:t>
      </w:r>
      <w:r w:rsidRPr="002B5415">
        <w:t xml:space="preserve"> P</w:t>
      </w:r>
      <w:r>
        <w:t>P</w:t>
      </w:r>
      <w:r w:rsidRPr="002B5415">
        <w:t xml:space="preserve"> 176</w:t>
      </w:r>
      <w:r>
        <w:t>4-1765.</w:t>
      </w:r>
    </w:p>
  </w:footnote>
  <w:footnote w:id="149">
    <w:p w:rsidR="0015074E" w:rsidRPr="00626229" w14:paraId="0001B9D6" w14:textId="77777777">
      <w:pPr>
        <w:pStyle w:val="FootnoteText"/>
      </w:pPr>
      <w:r>
        <w:rPr>
          <w:rStyle w:val="FootnoteReference"/>
        </w:rPr>
        <w:footnoteRef/>
      </w:r>
      <w:r>
        <w:t xml:space="preserve"> </w:t>
      </w:r>
      <w:r w:rsidR="00626229">
        <w:rPr>
          <w:i/>
          <w:iCs/>
        </w:rPr>
        <w:t xml:space="preserve">Id. </w:t>
      </w:r>
      <w:r w:rsidR="00626229">
        <w:t>P</w:t>
      </w:r>
      <w:r w:rsidR="003A36AA">
        <w:t xml:space="preserve"> 135.</w:t>
      </w:r>
    </w:p>
  </w:footnote>
  <w:footnote w:id="150">
    <w:p w:rsidR="00760048" w14:paraId="5D42EAC8" w14:textId="77777777">
      <w:pPr>
        <w:pStyle w:val="FootnoteText"/>
      </w:pPr>
      <w:r w:rsidRPr="0072600F">
        <w:rPr>
          <w:rStyle w:val="FootnoteReference"/>
        </w:rPr>
        <w:footnoteRef/>
      </w:r>
      <w:r>
        <w:t xml:space="preserve"> </w:t>
      </w:r>
      <w:r w:rsidRPr="003C0755">
        <w:rPr>
          <w:i/>
          <w:iCs/>
        </w:rPr>
        <w:t>Id.</w:t>
      </w:r>
      <w:r>
        <w:rPr>
          <w:i/>
        </w:rPr>
        <w:t xml:space="preserve"> </w:t>
      </w:r>
      <w:r>
        <w:t>P 141.</w:t>
      </w:r>
    </w:p>
  </w:footnote>
  <w:footnote w:id="151">
    <w:p w:rsidR="00760048" w:rsidP="00071614" w14:paraId="6B35E2A8" w14:textId="77777777">
      <w:pPr>
        <w:pStyle w:val="FootnoteText"/>
      </w:pPr>
      <w:r w:rsidRPr="0072600F">
        <w:rPr>
          <w:rStyle w:val="FootnoteReference"/>
        </w:rPr>
        <w:footnoteRef/>
      </w:r>
      <w:r>
        <w:t xml:space="preserve"> Clean Energy Associations Rehearing Request at 48-49.</w:t>
      </w:r>
    </w:p>
  </w:footnote>
  <w:footnote w:id="152">
    <w:p w:rsidR="00760048" w:rsidP="00071614" w14:paraId="0D45333B" w14:textId="77777777">
      <w:pPr>
        <w:pStyle w:val="FootnoteText"/>
      </w:pPr>
      <w:r w:rsidRPr="0072600F">
        <w:rPr>
          <w:rStyle w:val="FootnoteReference"/>
        </w:rPr>
        <w:footnoteRef/>
      </w:r>
      <w:r>
        <w:t xml:space="preserve"> Non-RTO Providers Rehearing Request at 1-2.</w:t>
      </w:r>
    </w:p>
  </w:footnote>
  <w:footnote w:id="153">
    <w:p w:rsidR="00760048" w:rsidP="00071614" w14:paraId="32CB1D00" w14:textId="77777777">
      <w:pPr>
        <w:pStyle w:val="FootnoteText"/>
      </w:pPr>
      <w:r w:rsidRPr="0072600F">
        <w:rPr>
          <w:rStyle w:val="FootnoteReference"/>
        </w:rPr>
        <w:footnoteRef/>
      </w:r>
      <w:r>
        <w:t xml:space="preserve"> </w:t>
      </w:r>
      <w:r w:rsidRPr="003C0755">
        <w:rPr>
          <w:i/>
          <w:iCs/>
        </w:rPr>
        <w:t>Id.</w:t>
      </w:r>
      <w:r>
        <w:rPr>
          <w:i/>
        </w:rPr>
        <w:t xml:space="preserve"> </w:t>
      </w:r>
      <w:r>
        <w:t>at 3.</w:t>
      </w:r>
    </w:p>
  </w:footnote>
  <w:footnote w:id="154">
    <w:p w:rsidR="00760048" w14:paraId="3524562D" w14:textId="77777777">
      <w:pPr>
        <w:pStyle w:val="FootnoteText"/>
      </w:pPr>
      <w:r w:rsidRPr="0072600F">
        <w:rPr>
          <w:rStyle w:val="FootnoteReference"/>
        </w:rPr>
        <w:footnoteRef/>
      </w:r>
      <w:r>
        <w:t xml:space="preserve"> Non-RTO Providers arrive at this number by subtracting the RTOs/ISOs from the 44 transmission providers estimated to be required to comply with Order No. 2023.</w:t>
      </w:r>
      <w:r w:rsidR="00392005">
        <w:t xml:space="preserve">  </w:t>
      </w:r>
      <w:r w:rsidRPr="00AE20D6" w:rsidR="00392005">
        <w:rPr>
          <w:i/>
          <w:iCs/>
        </w:rPr>
        <w:t>Id.</w:t>
      </w:r>
      <w:r w:rsidR="008770B4">
        <w:t xml:space="preserve"> n.</w:t>
      </w:r>
      <w:r w:rsidR="00FD0810">
        <w:t>6.</w:t>
      </w:r>
    </w:p>
  </w:footnote>
  <w:footnote w:id="155">
    <w:p w:rsidR="00760048" w:rsidP="00071614" w14:paraId="4E0AD9A2" w14:textId="77777777">
      <w:pPr>
        <w:pStyle w:val="FootnoteText"/>
      </w:pPr>
      <w:r w:rsidRPr="0072600F">
        <w:rPr>
          <w:rStyle w:val="FootnoteReference"/>
        </w:rPr>
        <w:footnoteRef/>
      </w:r>
      <w:r>
        <w:t xml:space="preserve"> </w:t>
      </w:r>
      <w:r w:rsidRPr="003C0755">
        <w:rPr>
          <w:i/>
          <w:iCs/>
        </w:rPr>
        <w:t>Id.</w:t>
      </w:r>
      <w:r>
        <w:rPr>
          <w:i/>
        </w:rPr>
        <w:t xml:space="preserve"> </w:t>
      </w:r>
      <w:r>
        <w:t>at 4.</w:t>
      </w:r>
    </w:p>
  </w:footnote>
  <w:footnote w:id="156">
    <w:p w:rsidR="00760048" w:rsidP="00071614" w14:paraId="114BFB2A" w14:textId="77777777">
      <w:pPr>
        <w:pStyle w:val="FootnoteText"/>
      </w:pPr>
      <w:r w:rsidRPr="0072600F">
        <w:rPr>
          <w:rStyle w:val="FootnoteReference"/>
        </w:rPr>
        <w:footnoteRef/>
      </w:r>
      <w:r>
        <w:t xml:space="preserve"> </w:t>
      </w:r>
      <w:r w:rsidRPr="003C0755">
        <w:rPr>
          <w:i/>
          <w:iCs/>
        </w:rPr>
        <w:t>Id.</w:t>
      </w:r>
      <w:r>
        <w:rPr>
          <w:i/>
        </w:rPr>
        <w:t xml:space="preserve"> </w:t>
      </w:r>
      <w:r>
        <w:t>at 4-5.</w:t>
      </w:r>
    </w:p>
  </w:footnote>
  <w:footnote w:id="157">
    <w:p w:rsidR="00760048" w:rsidP="00071614" w14:paraId="2AEF2F89" w14:textId="77777777">
      <w:pPr>
        <w:pStyle w:val="FootnoteText"/>
      </w:pPr>
      <w:r w:rsidRPr="0072600F">
        <w:rPr>
          <w:rStyle w:val="FootnoteReference"/>
        </w:rPr>
        <w:footnoteRef/>
      </w:r>
      <w:r>
        <w:t xml:space="preserve"> </w:t>
      </w:r>
      <w:r w:rsidRPr="003C0755">
        <w:rPr>
          <w:i/>
          <w:iCs/>
        </w:rPr>
        <w:t>Id.</w:t>
      </w:r>
      <w:r>
        <w:rPr>
          <w:i/>
        </w:rPr>
        <w:t xml:space="preserve"> </w:t>
      </w:r>
      <w:r>
        <w:t>at 5-6.</w:t>
      </w:r>
    </w:p>
  </w:footnote>
  <w:footnote w:id="158">
    <w:p w:rsidR="00760048" w:rsidP="00071614" w14:paraId="34FF53DE" w14:textId="77777777">
      <w:pPr>
        <w:pStyle w:val="FootnoteText"/>
      </w:pPr>
      <w:r w:rsidRPr="0072600F">
        <w:rPr>
          <w:rStyle w:val="FootnoteReference"/>
        </w:rPr>
        <w:footnoteRef/>
      </w:r>
      <w:r>
        <w:t xml:space="preserve"> </w:t>
      </w:r>
      <w:r w:rsidRPr="003C0755">
        <w:rPr>
          <w:i/>
          <w:iCs/>
        </w:rPr>
        <w:t>Id.</w:t>
      </w:r>
      <w:r>
        <w:rPr>
          <w:i/>
        </w:rPr>
        <w:t xml:space="preserve"> </w:t>
      </w:r>
      <w:r>
        <w:t>at 6 (citing Order No. 2023, 184 FERC ¶ 61,054 at P 89).</w:t>
      </w:r>
    </w:p>
  </w:footnote>
  <w:footnote w:id="159">
    <w:p w:rsidR="00760048" w:rsidP="00071614" w14:paraId="42412EDC" w14:textId="77777777">
      <w:pPr>
        <w:pStyle w:val="FootnoteText"/>
      </w:pPr>
      <w:r w:rsidRPr="0072600F">
        <w:rPr>
          <w:rStyle w:val="FootnoteReference"/>
        </w:rPr>
        <w:footnoteRef/>
      </w:r>
      <w:r>
        <w:t xml:space="preserve"> </w:t>
      </w:r>
      <w:r w:rsidRPr="003C0755">
        <w:rPr>
          <w:i/>
          <w:iCs/>
        </w:rPr>
        <w:t>Id.</w:t>
      </w:r>
      <w:r>
        <w:rPr>
          <w:i/>
        </w:rPr>
        <w:t xml:space="preserve"> </w:t>
      </w:r>
      <w:r>
        <w:t>at 6-7.</w:t>
      </w:r>
    </w:p>
  </w:footnote>
  <w:footnote w:id="160">
    <w:p w:rsidR="00760048" w:rsidP="00071614" w14:paraId="59AF8523" w14:textId="77777777">
      <w:pPr>
        <w:pStyle w:val="FootnoteText"/>
      </w:pPr>
      <w:r w:rsidRPr="0072600F">
        <w:rPr>
          <w:rStyle w:val="FootnoteReference"/>
        </w:rPr>
        <w:footnoteRef/>
      </w:r>
      <w:r>
        <w:t xml:space="preserve"> </w:t>
      </w:r>
      <w:r w:rsidRPr="003C0755">
        <w:rPr>
          <w:i/>
          <w:iCs/>
        </w:rPr>
        <w:t>Id.</w:t>
      </w:r>
      <w:r>
        <w:rPr>
          <w:i/>
        </w:rPr>
        <w:t xml:space="preserve"> </w:t>
      </w:r>
      <w:r>
        <w:t>at 8.</w:t>
      </w:r>
    </w:p>
  </w:footnote>
  <w:footnote w:id="161">
    <w:p w:rsidR="00760048" w:rsidP="00071614" w14:paraId="3D937A0A" w14:textId="77777777">
      <w:pPr>
        <w:pStyle w:val="FootnoteText"/>
      </w:pPr>
      <w:r w:rsidRPr="0072600F">
        <w:rPr>
          <w:rStyle w:val="FootnoteReference"/>
        </w:rPr>
        <w:footnoteRef/>
      </w:r>
      <w:r>
        <w:t xml:space="preserve"> </w:t>
      </w:r>
      <w:r w:rsidRPr="003C0755">
        <w:rPr>
          <w:i/>
          <w:iCs/>
        </w:rPr>
        <w:t>Id.</w:t>
      </w:r>
      <w:r>
        <w:rPr>
          <w:i/>
        </w:rPr>
        <w:t xml:space="preserve"> </w:t>
      </w:r>
      <w:r>
        <w:t>at 9.</w:t>
      </w:r>
    </w:p>
  </w:footnote>
  <w:footnote w:id="162">
    <w:p w:rsidR="00760048" w:rsidP="00071614" w14:paraId="5DBDA1CE" w14:textId="77777777">
      <w:pPr>
        <w:pStyle w:val="FootnoteText"/>
      </w:pPr>
      <w:r w:rsidRPr="0072600F">
        <w:rPr>
          <w:rStyle w:val="FootnoteReference"/>
        </w:rPr>
        <w:footnoteRef/>
      </w:r>
      <w:r>
        <w:t xml:space="preserve"> </w:t>
      </w:r>
      <w:r w:rsidRPr="003C0755">
        <w:rPr>
          <w:i/>
          <w:iCs/>
        </w:rPr>
        <w:t>Id.</w:t>
      </w:r>
    </w:p>
  </w:footnote>
  <w:footnote w:id="163">
    <w:p w:rsidR="00760048" w:rsidP="00071614" w14:paraId="4EF54350" w14:textId="77777777">
      <w:pPr>
        <w:pStyle w:val="FootnoteText"/>
      </w:pPr>
      <w:r w:rsidRPr="0072600F">
        <w:rPr>
          <w:rStyle w:val="FootnoteReference"/>
        </w:rPr>
        <w:footnoteRef/>
      </w:r>
      <w:r>
        <w:t xml:space="preserve"> </w:t>
      </w:r>
      <w:r w:rsidRPr="003C0755">
        <w:rPr>
          <w:i/>
          <w:iCs/>
        </w:rPr>
        <w:t>Id.</w:t>
      </w:r>
      <w:r>
        <w:rPr>
          <w:i/>
        </w:rPr>
        <w:t xml:space="preserve"> </w:t>
      </w:r>
      <w:r>
        <w:t>at 10.</w:t>
      </w:r>
    </w:p>
  </w:footnote>
  <w:footnote w:id="164">
    <w:p w:rsidR="00760048" w:rsidP="00071614" w14:paraId="322427FC" w14:textId="77777777">
      <w:pPr>
        <w:pStyle w:val="FootnoteText"/>
      </w:pPr>
      <w:r w:rsidRPr="0072600F">
        <w:rPr>
          <w:rStyle w:val="FootnoteReference"/>
        </w:rPr>
        <w:footnoteRef/>
      </w:r>
      <w:r>
        <w:t xml:space="preserve"> </w:t>
      </w:r>
      <w:r w:rsidRPr="003C0755">
        <w:rPr>
          <w:i/>
          <w:iCs/>
        </w:rPr>
        <w:t>Id.</w:t>
      </w:r>
      <w:r>
        <w:rPr>
          <w:i/>
        </w:rPr>
        <w:t xml:space="preserve"> </w:t>
      </w:r>
      <w:r>
        <w:t>at 11.</w:t>
      </w:r>
    </w:p>
  </w:footnote>
  <w:footnote w:id="165">
    <w:p w:rsidR="00760048" w:rsidP="00071614" w14:paraId="301EB2CF" w14:textId="77777777">
      <w:pPr>
        <w:pStyle w:val="FootnoteText"/>
      </w:pPr>
      <w:r w:rsidRPr="0072600F">
        <w:rPr>
          <w:rStyle w:val="FootnoteReference"/>
        </w:rPr>
        <w:footnoteRef/>
      </w:r>
      <w:r>
        <w:t xml:space="preserve"> NV Energy Rehearing Request at 4.</w:t>
      </w:r>
    </w:p>
  </w:footnote>
  <w:footnote w:id="166">
    <w:p w:rsidR="00760048" w14:paraId="24BE74E2" w14:textId="77777777">
      <w:pPr>
        <w:pStyle w:val="FootnoteText"/>
      </w:pPr>
      <w:r w:rsidRPr="0072600F">
        <w:rPr>
          <w:rStyle w:val="FootnoteReference"/>
        </w:rPr>
        <w:footnoteRef/>
      </w:r>
      <w:r>
        <w:t xml:space="preserve"> An “all red” heatmap would indicate no available interconnection capacity.  </w:t>
      </w:r>
      <w:r w:rsidRPr="00F0243D">
        <w:rPr>
          <w:i/>
          <w:iCs/>
        </w:rPr>
        <w:t>See</w:t>
      </w:r>
      <w:r>
        <w:t xml:space="preserve"> Order No. 2023,</w:t>
      </w:r>
      <w:r w:rsidRPr="00205908">
        <w:t xml:space="preserve"> </w:t>
      </w:r>
      <w:r>
        <w:t>184 FERC ¶ 61,054 at P 157.</w:t>
      </w:r>
    </w:p>
  </w:footnote>
  <w:footnote w:id="167">
    <w:p w:rsidR="00760048" w:rsidP="00071614" w14:paraId="3996D918" w14:textId="77777777">
      <w:pPr>
        <w:pStyle w:val="FootnoteText"/>
      </w:pPr>
      <w:r w:rsidRPr="0072600F">
        <w:rPr>
          <w:rStyle w:val="FootnoteReference"/>
        </w:rPr>
        <w:footnoteRef/>
      </w:r>
      <w:r>
        <w:t xml:space="preserve"> NV Energy Rehearing Request at 4.  </w:t>
      </w:r>
    </w:p>
  </w:footnote>
  <w:footnote w:id="168">
    <w:p w:rsidR="00760048" w:rsidP="00071614" w14:paraId="6B134322" w14:textId="77777777">
      <w:pPr>
        <w:pStyle w:val="FootnoteText"/>
      </w:pPr>
      <w:r w:rsidRPr="0072600F">
        <w:rPr>
          <w:rStyle w:val="FootnoteReference"/>
        </w:rPr>
        <w:footnoteRef/>
      </w:r>
      <w:r>
        <w:t xml:space="preserve"> PacifiCorp Rehearing Request at 22-23 (citing </w:t>
      </w:r>
      <w:r w:rsidRPr="00D53293">
        <w:t>Order No. 2023</w:t>
      </w:r>
      <w:r>
        <w:t xml:space="preserve">, </w:t>
      </w:r>
      <w:r w:rsidRPr="009F5BBE">
        <w:t>184 FERC ¶ 61,054</w:t>
      </w:r>
      <w:r w:rsidRPr="009F5BBE">
        <w:t xml:space="preserve"> </w:t>
      </w:r>
      <w:r>
        <w:t>at P 141).</w:t>
      </w:r>
    </w:p>
  </w:footnote>
  <w:footnote w:id="169">
    <w:p w:rsidR="00760048" w:rsidP="00071614" w14:paraId="5D037240" w14:textId="77777777">
      <w:pPr>
        <w:pStyle w:val="FootnoteText"/>
      </w:pPr>
      <w:r w:rsidRPr="0072600F">
        <w:rPr>
          <w:rStyle w:val="FootnoteReference"/>
        </w:rPr>
        <w:footnoteRef/>
      </w:r>
      <w:r>
        <w:t xml:space="preserve"> </w:t>
      </w:r>
      <w:r w:rsidRPr="00B45AA7">
        <w:t>Public Interest Organizations</w:t>
      </w:r>
      <w:r w:rsidRPr="00B45AA7">
        <w:t xml:space="preserve"> </w:t>
      </w:r>
      <w:r>
        <w:t>Rehearing Request at 7.</w:t>
      </w:r>
    </w:p>
  </w:footnote>
  <w:footnote w:id="170">
    <w:p w:rsidR="00760048" w:rsidP="00071614" w14:paraId="6842E7AD" w14:textId="77777777">
      <w:pPr>
        <w:pStyle w:val="FootnoteText"/>
      </w:pPr>
      <w:r w:rsidRPr="0072600F">
        <w:rPr>
          <w:rStyle w:val="FootnoteReference"/>
        </w:rPr>
        <w:footnoteRef/>
      </w:r>
      <w:r>
        <w:t xml:space="preserve"> </w:t>
      </w:r>
      <w:r w:rsidRPr="003C0755">
        <w:rPr>
          <w:i/>
          <w:iCs/>
        </w:rPr>
        <w:t>Id.</w:t>
      </w:r>
      <w:r>
        <w:rPr>
          <w:i/>
        </w:rPr>
        <w:t xml:space="preserve"> </w:t>
      </w:r>
      <w:r>
        <w:t xml:space="preserve">at 8 (citing Order No. 2023, </w:t>
      </w:r>
      <w:r w:rsidRPr="009F5BBE">
        <w:t>184 FERC ¶ 61,054</w:t>
      </w:r>
      <w:r>
        <w:t xml:space="preserve"> at </w:t>
      </w:r>
      <w:r w:rsidRPr="000A19C1">
        <w:t>P</w:t>
      </w:r>
      <w:r>
        <w:t>P</w:t>
      </w:r>
      <w:r w:rsidRPr="000A19C1">
        <w:t xml:space="preserve"> 46</w:t>
      </w:r>
      <w:r>
        <w:t>, 152)</w:t>
      </w:r>
      <w:r w:rsidRPr="000A19C1">
        <w:t>.</w:t>
      </w:r>
    </w:p>
  </w:footnote>
  <w:footnote w:id="171">
    <w:p w:rsidR="00760048" w:rsidP="00071614" w14:paraId="69BEBD4C" w14:textId="77777777">
      <w:pPr>
        <w:pStyle w:val="FootnoteText"/>
      </w:pPr>
      <w:r w:rsidRPr="0072600F">
        <w:rPr>
          <w:rStyle w:val="FootnoteReference"/>
        </w:rPr>
        <w:footnoteRef/>
      </w:r>
      <w:r>
        <w:t xml:space="preserve"> </w:t>
      </w:r>
      <w:r w:rsidRPr="003C0755">
        <w:rPr>
          <w:i/>
          <w:iCs/>
        </w:rPr>
        <w:t>Id.</w:t>
      </w:r>
      <w:r>
        <w:t xml:space="preserve"> (citing Order No. 2023, </w:t>
      </w:r>
      <w:r w:rsidRPr="009F5BBE">
        <w:t>184 FERC ¶ 61,054</w:t>
      </w:r>
      <w:r>
        <w:t xml:space="preserve"> </w:t>
      </w:r>
      <w:r w:rsidRPr="001955F2">
        <w:t>at P 68</w:t>
      </w:r>
      <w:r>
        <w:t>).</w:t>
      </w:r>
    </w:p>
  </w:footnote>
  <w:footnote w:id="172">
    <w:p w:rsidR="00760048" w:rsidP="00071614" w14:paraId="55710A90" w14:textId="77777777">
      <w:pPr>
        <w:pStyle w:val="FootnoteText"/>
      </w:pPr>
      <w:r w:rsidRPr="0072600F">
        <w:rPr>
          <w:rStyle w:val="FootnoteReference"/>
        </w:rPr>
        <w:footnoteRef/>
      </w:r>
      <w:r>
        <w:t xml:space="preserve"> </w:t>
      </w:r>
      <w:r w:rsidRPr="003C0755">
        <w:rPr>
          <w:i/>
          <w:iCs/>
        </w:rPr>
        <w:t>Id.</w:t>
      </w:r>
      <w:r>
        <w:rPr>
          <w:i/>
        </w:rPr>
        <w:t xml:space="preserve"> </w:t>
      </w:r>
      <w:r>
        <w:t>at 9-10.</w:t>
      </w:r>
    </w:p>
  </w:footnote>
  <w:footnote w:id="173">
    <w:p w:rsidR="00760048" w:rsidP="00071614" w14:paraId="6CAF1D1D" w14:textId="77777777">
      <w:pPr>
        <w:pStyle w:val="FootnoteText"/>
      </w:pPr>
      <w:r w:rsidRPr="0072600F">
        <w:rPr>
          <w:rStyle w:val="FootnoteReference"/>
        </w:rPr>
        <w:footnoteRef/>
      </w:r>
      <w:r>
        <w:t xml:space="preserve"> </w:t>
      </w:r>
      <w:r w:rsidRPr="003C0755">
        <w:rPr>
          <w:i/>
          <w:iCs/>
        </w:rPr>
        <w:t>Id.</w:t>
      </w:r>
      <w:r w:rsidR="00787422">
        <w:t xml:space="preserve"> at 10-12.</w:t>
      </w:r>
    </w:p>
  </w:footnote>
  <w:footnote w:id="174">
    <w:p w:rsidR="00760048" w:rsidP="00071614" w14:paraId="14FCC378" w14:textId="77777777">
      <w:pPr>
        <w:pStyle w:val="FootnoteText"/>
      </w:pPr>
      <w:r w:rsidRPr="0072600F">
        <w:rPr>
          <w:rStyle w:val="FootnoteReference"/>
        </w:rPr>
        <w:footnoteRef/>
      </w:r>
      <w:r>
        <w:t xml:space="preserve"> PJM Rehearing Request at 23-24.</w:t>
      </w:r>
    </w:p>
  </w:footnote>
  <w:footnote w:id="175">
    <w:p w:rsidR="00760048" w:rsidP="00071614" w14:paraId="3FE395A8" w14:textId="77777777">
      <w:pPr>
        <w:pStyle w:val="FootnoteText"/>
      </w:pPr>
      <w:r w:rsidRPr="0072600F">
        <w:rPr>
          <w:rStyle w:val="FootnoteReference"/>
        </w:rPr>
        <w:footnoteRef/>
      </w:r>
      <w:r>
        <w:t xml:space="preserve"> </w:t>
      </w:r>
      <w:r w:rsidRPr="003C0755">
        <w:rPr>
          <w:i/>
          <w:iCs/>
        </w:rPr>
        <w:t>Id.</w:t>
      </w:r>
      <w:r>
        <w:rPr>
          <w:i/>
        </w:rPr>
        <w:t xml:space="preserve"> </w:t>
      </w:r>
      <w:r>
        <w:t xml:space="preserve">at 42-43.  </w:t>
      </w:r>
    </w:p>
  </w:footnote>
  <w:footnote w:id="176">
    <w:p w:rsidR="00760048" w:rsidRPr="00710419" w:rsidP="00071614" w14:paraId="18F11750" w14:textId="77777777">
      <w:pPr>
        <w:pStyle w:val="FootnoteText"/>
      </w:pPr>
      <w:r w:rsidRPr="0072600F">
        <w:rPr>
          <w:rStyle w:val="FootnoteReference"/>
        </w:rPr>
        <w:footnoteRef/>
      </w:r>
      <w:r>
        <w:t xml:space="preserve"> </w:t>
      </w:r>
      <w:r w:rsidRPr="003C0755">
        <w:rPr>
          <w:i/>
          <w:iCs/>
        </w:rPr>
        <w:t>Id.</w:t>
      </w:r>
      <w:r>
        <w:t xml:space="preserve"> at 43 (citing </w:t>
      </w:r>
      <w:r w:rsidRPr="00FC515B" w:rsidR="00FC515B">
        <w:rPr>
          <w:i/>
          <w:iCs/>
        </w:rPr>
        <w:t>Transmission Plan. &amp; Cost Allocation by Transmission Owning &amp; Operating Pub. Utils.</w:t>
      </w:r>
      <w:r w:rsidR="00FC515B">
        <w:rPr>
          <w:i/>
          <w:iCs/>
        </w:rPr>
        <w:t xml:space="preserve">, </w:t>
      </w:r>
      <w:r>
        <w:t xml:space="preserve">Order No. 1000-A, </w:t>
      </w:r>
      <w:r w:rsidRPr="00FC515B" w:rsidR="00FC515B">
        <w:t xml:space="preserve">77 FR 32184 (May 31, 2012), </w:t>
      </w:r>
      <w:r w:rsidRPr="00624863">
        <w:t>139 FERC ¶ 61,132</w:t>
      </w:r>
      <w:r>
        <w:t xml:space="preserve"> at P 578).  PJM includes an excerpt from Commissioner Christie’s concurrence to Order No. 2023, which states, “</w:t>
      </w:r>
      <w:r w:rsidRPr="00F24740">
        <w:t>Commission policy may dictate that interconnection queue efficiency benefits transmission customers; however, that should not result in the costs of a requirement that best benefits interconnection customers, and really prospective interconnection customers that may ultimately not seek to interconnect, being recovered from consumers through transmission rates carte blanche.  The Commission simply cannot ask retail consumers to foot the bill for every single “efficiency,” especially where many of these “efficiencies” largely benefit generation developers and then get folded into transmission rates and receive an ROE.</w:t>
      </w:r>
      <w:r>
        <w:t>”  Order No. 2023, concur op. (Comm</w:t>
      </w:r>
      <w:r w:rsidR="00F80993">
        <w:t>’</w:t>
      </w:r>
      <w:r>
        <w:t>r Christie) at P 22.</w:t>
      </w:r>
    </w:p>
  </w:footnote>
  <w:footnote w:id="177">
    <w:p w:rsidR="00760048" w:rsidP="00071614" w14:paraId="74182443" w14:textId="77777777">
      <w:pPr>
        <w:pStyle w:val="FootnoteText"/>
      </w:pPr>
      <w:r w:rsidRPr="0072600F">
        <w:rPr>
          <w:rStyle w:val="FootnoteReference"/>
        </w:rPr>
        <w:footnoteRef/>
      </w:r>
      <w:r>
        <w:t xml:space="preserve"> PJM Rehearing Request at 43-44 (citing </w:t>
      </w:r>
      <w:r>
        <w:rPr>
          <w:i/>
          <w:iCs/>
        </w:rPr>
        <w:t>Motor Vehicle Manufacturers</w:t>
      </w:r>
      <w:r>
        <w:t xml:space="preserve">, 463 U.S. at 57; </w:t>
      </w:r>
      <w:r w:rsidRPr="008F3467">
        <w:rPr>
          <w:i/>
          <w:iCs/>
        </w:rPr>
        <w:t>Sw. Airlines Co. v. FERC</w:t>
      </w:r>
      <w:r w:rsidRPr="008F3467">
        <w:t>, 926 F.3d 851, 85</w:t>
      </w:r>
      <w:r>
        <w:t>8</w:t>
      </w:r>
      <w:r w:rsidRPr="008F3467">
        <w:t xml:space="preserve"> (D.C. Cir. 2019)</w:t>
      </w:r>
      <w:r>
        <w:t>;</w:t>
      </w:r>
      <w:r w:rsidRPr="008F3467">
        <w:rPr>
          <w:i/>
          <w:iCs/>
        </w:rPr>
        <w:t xml:space="preserve"> Panhandle</w:t>
      </w:r>
      <w:r w:rsidRPr="008F3467">
        <w:t xml:space="preserve">, 196 F.3d </w:t>
      </w:r>
      <w:r w:rsidR="001604DA">
        <w:t>at</w:t>
      </w:r>
      <w:r w:rsidRPr="008F3467">
        <w:t xml:space="preserve"> 1275</w:t>
      </w:r>
      <w:r>
        <w:t>).</w:t>
      </w:r>
    </w:p>
  </w:footnote>
  <w:footnote w:id="178">
    <w:p w:rsidR="00760048" w14:paraId="5D341420" w14:textId="77777777">
      <w:pPr>
        <w:pStyle w:val="FootnoteText"/>
      </w:pPr>
      <w:r w:rsidRPr="0072600F">
        <w:rPr>
          <w:rStyle w:val="FootnoteReference"/>
        </w:rPr>
        <w:footnoteRef/>
      </w:r>
      <w:r>
        <w:t xml:space="preserve"> Order No. 2023, </w:t>
      </w:r>
      <w:r w:rsidRPr="009F5BBE">
        <w:t>184 FERC ¶ 61,054</w:t>
      </w:r>
      <w:r>
        <w:t xml:space="preserve"> at P 148.</w:t>
      </w:r>
    </w:p>
  </w:footnote>
  <w:footnote w:id="179">
    <w:p w:rsidR="00760048" w:rsidP="00071614" w14:paraId="31F4FE25" w14:textId="77777777">
      <w:pPr>
        <w:pStyle w:val="FootnoteText"/>
      </w:pPr>
      <w:r w:rsidRPr="0072600F">
        <w:rPr>
          <w:rStyle w:val="FootnoteReference"/>
        </w:rPr>
        <w:footnoteRef/>
      </w:r>
      <w:r>
        <w:t xml:space="preserve"> </w:t>
      </w:r>
      <w:r w:rsidRPr="004E5980">
        <w:rPr>
          <w:i/>
        </w:rPr>
        <w:t>Id.</w:t>
      </w:r>
      <w:r>
        <w:t xml:space="preserve"> P 156.</w:t>
      </w:r>
    </w:p>
  </w:footnote>
  <w:footnote w:id="180">
    <w:p w:rsidR="00760048" w14:paraId="1EC6A836" w14:textId="77777777">
      <w:pPr>
        <w:pStyle w:val="FootnoteText"/>
      </w:pPr>
      <w:r w:rsidRPr="0072600F">
        <w:rPr>
          <w:rStyle w:val="FootnoteReference"/>
        </w:rPr>
        <w:footnoteRef/>
      </w:r>
      <w:r>
        <w:t xml:space="preserve"> </w:t>
      </w:r>
      <w:r w:rsidRPr="004E5980">
        <w:rPr>
          <w:i/>
        </w:rPr>
        <w:t>Id</w:t>
      </w:r>
      <w:r>
        <w:rPr>
          <w:i/>
        </w:rPr>
        <w:t>.</w:t>
      </w:r>
      <w:r>
        <w:t xml:space="preserve"> P 135.</w:t>
      </w:r>
    </w:p>
  </w:footnote>
  <w:footnote w:id="181">
    <w:p w:rsidR="00760048" w:rsidRPr="00967471" w14:paraId="462FE021" w14:textId="77777777">
      <w:pPr>
        <w:pStyle w:val="FootnoteText"/>
      </w:pPr>
      <w:r w:rsidRPr="0072600F">
        <w:rPr>
          <w:rStyle w:val="FootnoteReference"/>
        </w:rPr>
        <w:footnoteRef/>
      </w:r>
      <w:r>
        <w:t xml:space="preserve"> </w:t>
      </w:r>
      <w:r>
        <w:rPr>
          <w:i/>
          <w:iCs/>
        </w:rPr>
        <w:t>See, e.g., Ill. Commerce Comm’n v. FERC</w:t>
      </w:r>
      <w:r>
        <w:t>, 721 F.3d 764, 775 (7th Cir. 2013) (stating that not all benefits can be calculated in advance, and if FERC cannot quantify the benefits to a particular utility or utilities but “has an articulable and plausible reason to believe that the benefits are at least roughly commensurate with those utilities’ total electricity sales in [the] region,” then the Commission can approve the pricing scheme on that basis) (internal citations omitted).</w:t>
      </w:r>
    </w:p>
  </w:footnote>
  <w:footnote w:id="182">
    <w:p w:rsidR="00760048" w14:paraId="35B63AE4" w14:textId="77777777">
      <w:pPr>
        <w:pStyle w:val="FootnoteText"/>
      </w:pPr>
      <w:r w:rsidRPr="0072600F">
        <w:rPr>
          <w:rStyle w:val="FootnoteReference"/>
        </w:rPr>
        <w:footnoteRef/>
      </w:r>
      <w:r>
        <w:t xml:space="preserve"> Order No. 2023, </w:t>
      </w:r>
      <w:r w:rsidRPr="002761AE">
        <w:t>184 FERC ¶ 61,054</w:t>
      </w:r>
      <w:r>
        <w:t xml:space="preserve"> at P 141.</w:t>
      </w:r>
    </w:p>
  </w:footnote>
  <w:footnote w:id="183">
    <w:p w:rsidR="00760048" w14:paraId="2AFDFBB2" w14:textId="77777777">
      <w:pPr>
        <w:pStyle w:val="FootnoteText"/>
      </w:pPr>
      <w:r w:rsidRPr="0072600F">
        <w:rPr>
          <w:rStyle w:val="FootnoteReference"/>
        </w:rPr>
        <w:footnoteRef/>
      </w:r>
      <w:r>
        <w:t xml:space="preserve"> Non-RTO Providers Rehearing Request at 6.</w:t>
      </w:r>
    </w:p>
  </w:footnote>
  <w:footnote w:id="184">
    <w:p w:rsidR="00760048" w14:paraId="6CAD9E59" w14:textId="77777777">
      <w:pPr>
        <w:pStyle w:val="FootnoteText"/>
      </w:pPr>
      <w:r w:rsidRPr="0072600F">
        <w:rPr>
          <w:rStyle w:val="FootnoteReference"/>
        </w:rPr>
        <w:footnoteRef/>
      </w:r>
      <w:r w:rsidRPr="000108EA">
        <w:t xml:space="preserve"> Order</w:t>
      </w:r>
      <w:r>
        <w:t xml:space="preserve"> No. 2023, </w:t>
      </w:r>
      <w:r w:rsidRPr="009F5BBE">
        <w:t>184 FERC ¶ 61,054</w:t>
      </w:r>
      <w:r>
        <w:t xml:space="preserve"> at PP 139-140.</w:t>
      </w:r>
    </w:p>
  </w:footnote>
  <w:footnote w:id="185">
    <w:p w:rsidR="00760048" w14:paraId="5BA0AF7F" w14:textId="77777777">
      <w:pPr>
        <w:pStyle w:val="FootnoteText"/>
      </w:pPr>
      <w:r w:rsidRPr="0072600F">
        <w:rPr>
          <w:rStyle w:val="FootnoteReference"/>
        </w:rPr>
        <w:footnoteRef/>
      </w:r>
      <w:r>
        <w:t xml:space="preserve"> </w:t>
      </w:r>
      <w:r w:rsidRPr="00FB197B">
        <w:rPr>
          <w:i/>
        </w:rPr>
        <w:t xml:space="preserve">Id. </w:t>
      </w:r>
      <w:r>
        <w:t>P 157.</w:t>
      </w:r>
    </w:p>
  </w:footnote>
  <w:footnote w:id="186">
    <w:p w:rsidR="00760048" w:rsidP="00071614" w14:paraId="3E797C05" w14:textId="77777777">
      <w:pPr>
        <w:pStyle w:val="FootnoteText"/>
      </w:pPr>
      <w:r w:rsidRPr="0072600F">
        <w:rPr>
          <w:rStyle w:val="FootnoteReference"/>
        </w:rPr>
        <w:footnoteRef/>
      </w:r>
      <w:r>
        <w:rPr>
          <w:i/>
          <w:iCs/>
        </w:rPr>
        <w:t xml:space="preserve"> </w:t>
      </w:r>
      <w:r w:rsidRPr="00E670FF">
        <w:rPr>
          <w:i/>
          <w:iCs/>
        </w:rPr>
        <w:t>See</w:t>
      </w:r>
      <w:r>
        <w:t xml:space="preserve"> </w:t>
      </w:r>
      <w:r w:rsidRPr="002B4FAF">
        <w:rPr>
          <w:i/>
        </w:rPr>
        <w:t xml:space="preserve">id. </w:t>
      </w:r>
      <w:r>
        <w:t>P 138.</w:t>
      </w:r>
    </w:p>
  </w:footnote>
  <w:footnote w:id="187">
    <w:p w:rsidR="00760048" w14:paraId="5597A056" w14:textId="77777777">
      <w:pPr>
        <w:pStyle w:val="FootnoteText"/>
      </w:pPr>
      <w:r w:rsidRPr="0072600F">
        <w:rPr>
          <w:rStyle w:val="FootnoteReference"/>
        </w:rPr>
        <w:footnoteRef/>
      </w:r>
      <w:r>
        <w:t xml:space="preserve"> </w:t>
      </w:r>
      <w:r>
        <w:rPr>
          <w:i/>
          <w:iCs/>
        </w:rPr>
        <w:t>I</w:t>
      </w:r>
      <w:r w:rsidRPr="002B4FAF">
        <w:rPr>
          <w:i/>
          <w:iCs/>
        </w:rPr>
        <w:t>d.</w:t>
      </w:r>
      <w:r w:rsidRPr="002B4FAF">
        <w:rPr>
          <w:i/>
        </w:rPr>
        <w:t xml:space="preserve"> </w:t>
      </w:r>
      <w:r w:rsidRPr="00710D2C">
        <w:t>P 1764.</w:t>
      </w:r>
    </w:p>
  </w:footnote>
  <w:footnote w:id="188">
    <w:p w:rsidR="00760048" w14:paraId="34EED8E3" w14:textId="77777777">
      <w:pPr>
        <w:pStyle w:val="FootnoteText"/>
      </w:pPr>
      <w:r w:rsidRPr="0072600F">
        <w:rPr>
          <w:rStyle w:val="FootnoteReference"/>
        </w:rPr>
        <w:footnoteRef/>
      </w:r>
      <w:r w:rsidRPr="000108EA">
        <w:t xml:space="preserve"> </w:t>
      </w:r>
      <w:r w:rsidRPr="00FB197B">
        <w:rPr>
          <w:i/>
          <w:iCs/>
        </w:rPr>
        <w:t>Id.</w:t>
      </w:r>
      <w:r>
        <w:t xml:space="preserve"> PP 139-140.</w:t>
      </w:r>
    </w:p>
  </w:footnote>
  <w:footnote w:id="189">
    <w:p w:rsidR="00760048" w14:paraId="4A03478B" w14:textId="77777777">
      <w:pPr>
        <w:pStyle w:val="FootnoteText"/>
      </w:pPr>
      <w:r w:rsidRPr="0072600F">
        <w:rPr>
          <w:rStyle w:val="FootnoteReference"/>
        </w:rPr>
        <w:footnoteRef/>
      </w:r>
      <w:r>
        <w:t xml:space="preserve"> PJM’s CEII request process, for example, includes all these process components.  </w:t>
      </w:r>
      <w:r w:rsidRPr="000F5501">
        <w:rPr>
          <w:i/>
        </w:rPr>
        <w:t>See</w:t>
      </w:r>
      <w:r>
        <w:t xml:space="preserve"> </w:t>
      </w:r>
      <w:r w:rsidRPr="007E678D">
        <w:t>https://www.pjm.com/library/request-access</w:t>
      </w:r>
      <w:r>
        <w:t>.</w:t>
      </w:r>
    </w:p>
  </w:footnote>
  <w:footnote w:id="190">
    <w:p w:rsidR="00760048" w14:paraId="7ADC797B" w14:textId="77777777">
      <w:pPr>
        <w:pStyle w:val="FootnoteText"/>
      </w:pPr>
      <w:r w:rsidRPr="0072600F">
        <w:rPr>
          <w:rStyle w:val="FootnoteReference"/>
        </w:rPr>
        <w:footnoteRef/>
      </w:r>
      <w:r>
        <w:t xml:space="preserve"> Order No. 2023, </w:t>
      </w:r>
      <w:r w:rsidRPr="00596047">
        <w:t>184 FERC ¶ 61,054</w:t>
      </w:r>
      <w:r>
        <w:t xml:space="preserve"> at P 144.</w:t>
      </w:r>
    </w:p>
  </w:footnote>
  <w:footnote w:id="191">
    <w:p w:rsidR="00760048" w14:paraId="772D69A7" w14:textId="77777777">
      <w:pPr>
        <w:pStyle w:val="FootnoteText"/>
      </w:pPr>
      <w:r w:rsidRPr="0072600F">
        <w:rPr>
          <w:rStyle w:val="FootnoteReference"/>
        </w:rPr>
        <w:footnoteRef/>
      </w:r>
      <w:r>
        <w:t xml:space="preserve"> </w:t>
      </w:r>
      <w:r>
        <w:rPr>
          <w:i/>
          <w:iCs/>
        </w:rPr>
        <w:t>I</w:t>
      </w:r>
      <w:r w:rsidRPr="002B4FAF">
        <w:rPr>
          <w:i/>
          <w:iCs/>
        </w:rPr>
        <w:t>d.</w:t>
      </w:r>
      <w:r w:rsidRPr="002B4FAF">
        <w:rPr>
          <w:i/>
        </w:rPr>
        <w:t xml:space="preserve"> </w:t>
      </w:r>
      <w:r>
        <w:t>P 177.</w:t>
      </w:r>
    </w:p>
  </w:footnote>
  <w:footnote w:id="192">
    <w:p w:rsidR="00760048" w14:paraId="243B232E"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192.</w:t>
      </w:r>
    </w:p>
  </w:footnote>
  <w:footnote w:id="193">
    <w:p w:rsidR="00760048" w14:paraId="0BC16AC4"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200.</w:t>
      </w:r>
    </w:p>
  </w:footnote>
  <w:footnote w:id="194">
    <w:p w:rsidR="00760048" w14:paraId="16298685"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223.</w:t>
      </w:r>
    </w:p>
  </w:footnote>
  <w:footnote w:id="195">
    <w:p w:rsidR="00760048" w14:paraId="521A6153"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245.</w:t>
      </w:r>
    </w:p>
  </w:footnote>
  <w:footnote w:id="196">
    <w:p w:rsidR="00760048" w14:paraId="59149228"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259.</w:t>
      </w:r>
    </w:p>
  </w:footnote>
  <w:footnote w:id="197">
    <w:p w:rsidR="00760048" w14:paraId="0537DCAE"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PP 277,</w:t>
      </w:r>
      <w:r>
        <w:t xml:space="preserve"> </w:t>
      </w:r>
      <w:r>
        <w:t>283.</w:t>
      </w:r>
    </w:p>
  </w:footnote>
  <w:footnote w:id="198">
    <w:p w:rsidR="00760048" w14:paraId="4B19B203"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278.</w:t>
      </w:r>
    </w:p>
  </w:footnote>
  <w:footnote w:id="199">
    <w:p w:rsidR="00760048" w14:paraId="33CEFCC6"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283.</w:t>
      </w:r>
    </w:p>
  </w:footnote>
  <w:footnote w:id="200">
    <w:p w:rsidR="00760048" w14:paraId="26C4100C"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285.</w:t>
      </w:r>
    </w:p>
  </w:footnote>
  <w:footnote w:id="201">
    <w:p w:rsidR="00760048" w14:paraId="4AA86736"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293.</w:t>
      </w:r>
    </w:p>
  </w:footnote>
  <w:footnote w:id="202">
    <w:p w:rsidR="00760048" w14:paraId="398C6E11"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316.</w:t>
      </w:r>
    </w:p>
  </w:footnote>
  <w:footnote w:id="203">
    <w:p w:rsidR="00760048" w14:paraId="5B6747C8"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317.</w:t>
      </w:r>
    </w:p>
  </w:footnote>
  <w:footnote w:id="204">
    <w:p w:rsidR="00760048" w14:paraId="2439BA0C"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363.</w:t>
      </w:r>
    </w:p>
  </w:footnote>
  <w:footnote w:id="205">
    <w:p w:rsidR="00760048" w14:paraId="55A31189"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335.</w:t>
      </w:r>
    </w:p>
  </w:footnote>
  <w:footnote w:id="206">
    <w:p w:rsidR="00760048" w14:paraId="6BE490EE" w14:textId="77777777">
      <w:pPr>
        <w:pStyle w:val="FootnoteText"/>
      </w:pPr>
      <w:r w:rsidRPr="0072600F">
        <w:rPr>
          <w:rStyle w:val="FootnoteReference"/>
        </w:rPr>
        <w:footnoteRef/>
      </w:r>
      <w:r>
        <w:t xml:space="preserve"> </w:t>
      </w:r>
      <w:r>
        <w:rPr>
          <w:i/>
          <w:iCs/>
        </w:rPr>
        <w:t>I</w:t>
      </w:r>
      <w:r w:rsidRPr="002B4FAF">
        <w:rPr>
          <w:i/>
          <w:iCs/>
        </w:rPr>
        <w:t>d.</w:t>
      </w:r>
      <w:r>
        <w:rPr>
          <w:i/>
        </w:rPr>
        <w:t xml:space="preserve"> </w:t>
      </w:r>
      <w:r>
        <w:t>P 344.</w:t>
      </w:r>
    </w:p>
  </w:footnote>
  <w:footnote w:id="207">
    <w:p w:rsidR="00760048" w:rsidP="00071614" w14:paraId="3A98E456" w14:textId="77777777">
      <w:pPr>
        <w:pStyle w:val="FootnoteText"/>
      </w:pPr>
      <w:r w:rsidRPr="0072600F">
        <w:rPr>
          <w:rStyle w:val="FootnoteReference"/>
        </w:rPr>
        <w:footnoteRef/>
      </w:r>
      <w:r>
        <w:t xml:space="preserve"> Clean Energy Associations Rehearing Request at 8-9.</w:t>
      </w:r>
    </w:p>
  </w:footnote>
  <w:footnote w:id="208">
    <w:p w:rsidR="00760048" w:rsidP="00071614" w14:paraId="167C840C" w14:textId="77777777">
      <w:pPr>
        <w:pStyle w:val="FootnoteText"/>
      </w:pPr>
      <w:r w:rsidRPr="0072600F">
        <w:rPr>
          <w:rStyle w:val="FootnoteReference"/>
        </w:rPr>
        <w:footnoteRef/>
      </w:r>
      <w:r>
        <w:t xml:space="preserve"> </w:t>
      </w:r>
      <w:r w:rsidRPr="005C2089">
        <w:rPr>
          <w:i/>
          <w:iCs/>
        </w:rPr>
        <w:t>Id.</w:t>
      </w:r>
      <w:r>
        <w:rPr>
          <w:i/>
          <w:iCs/>
        </w:rPr>
        <w:t xml:space="preserve"> </w:t>
      </w:r>
      <w:r>
        <w:t>at 9-10.</w:t>
      </w:r>
    </w:p>
  </w:footnote>
  <w:footnote w:id="209">
    <w:p w:rsidR="00760048" w:rsidP="00071614" w14:paraId="41E27ACE" w14:textId="77777777">
      <w:pPr>
        <w:pStyle w:val="FootnoteText"/>
      </w:pPr>
      <w:r w:rsidRPr="0072600F">
        <w:rPr>
          <w:rStyle w:val="FootnoteReference"/>
        </w:rPr>
        <w:footnoteRef/>
      </w:r>
      <w:r>
        <w:t xml:space="preserve"> </w:t>
      </w:r>
      <w:r w:rsidRPr="005C2089">
        <w:rPr>
          <w:i/>
          <w:iCs/>
        </w:rPr>
        <w:t>Id.</w:t>
      </w:r>
      <w:r>
        <w:t xml:space="preserve"> at 10 (citing Order No. 2023, </w:t>
      </w:r>
      <w:r w:rsidRPr="006D008A">
        <w:t>184 FERC ¶ 61,054</w:t>
      </w:r>
      <w:r>
        <w:t xml:space="preserve"> at P 193).</w:t>
      </w:r>
    </w:p>
  </w:footnote>
  <w:footnote w:id="210">
    <w:p w:rsidR="00760048" w:rsidP="00071614" w14:paraId="288DFE63" w14:textId="77777777">
      <w:pPr>
        <w:pStyle w:val="FootnoteText"/>
      </w:pPr>
      <w:r w:rsidRPr="0072600F">
        <w:rPr>
          <w:rStyle w:val="FootnoteReference"/>
        </w:rPr>
        <w:footnoteRef/>
      </w:r>
      <w:r>
        <w:t xml:space="preserve"> </w:t>
      </w:r>
      <w:r w:rsidRPr="005C2089">
        <w:rPr>
          <w:i/>
          <w:iCs/>
        </w:rPr>
        <w:t>Id.</w:t>
      </w:r>
      <w:r>
        <w:rPr>
          <w:i/>
        </w:rPr>
        <w:t xml:space="preserve"> </w:t>
      </w:r>
      <w:r>
        <w:t xml:space="preserve">at 11-12 (citing Order No. 2023, </w:t>
      </w:r>
      <w:r w:rsidRPr="006D008A">
        <w:t>184 FERC ¶ 61,054</w:t>
      </w:r>
      <w:r>
        <w:t xml:space="preserve"> at P 185).</w:t>
      </w:r>
    </w:p>
  </w:footnote>
  <w:footnote w:id="211">
    <w:p w:rsidR="00760048" w:rsidP="00071614" w14:paraId="6A64F5BA" w14:textId="77777777">
      <w:pPr>
        <w:pStyle w:val="FootnoteText"/>
      </w:pPr>
      <w:r w:rsidRPr="0072600F">
        <w:rPr>
          <w:rStyle w:val="FootnoteReference"/>
        </w:rPr>
        <w:footnoteRef/>
      </w:r>
      <w:r>
        <w:t xml:space="preserve"> </w:t>
      </w:r>
      <w:r w:rsidRPr="005C2089">
        <w:rPr>
          <w:i/>
          <w:iCs/>
        </w:rPr>
        <w:t>Id.</w:t>
      </w:r>
      <w:r>
        <w:rPr>
          <w:i/>
          <w:iCs/>
        </w:rPr>
        <w:t xml:space="preserve"> </w:t>
      </w:r>
      <w:r>
        <w:t>at 12-13.</w:t>
      </w:r>
    </w:p>
  </w:footnote>
  <w:footnote w:id="212">
    <w:p w:rsidR="00760048" w:rsidP="00071614" w14:paraId="3E33D1A3" w14:textId="77777777">
      <w:pPr>
        <w:pStyle w:val="FootnoteText"/>
      </w:pPr>
      <w:r w:rsidRPr="0072600F">
        <w:rPr>
          <w:rStyle w:val="FootnoteReference"/>
        </w:rPr>
        <w:footnoteRef/>
      </w:r>
      <w:r>
        <w:t xml:space="preserve"> </w:t>
      </w:r>
      <w:r w:rsidRPr="005C2089">
        <w:rPr>
          <w:i/>
          <w:iCs/>
        </w:rPr>
        <w:t>Id.</w:t>
      </w:r>
      <w:r>
        <w:rPr>
          <w:i/>
          <w:iCs/>
        </w:rPr>
        <w:t xml:space="preserve"> </w:t>
      </w:r>
      <w:r>
        <w:t>at 13-14.</w:t>
      </w:r>
    </w:p>
  </w:footnote>
  <w:footnote w:id="213">
    <w:p w:rsidR="00760048" w:rsidP="00071614" w14:paraId="64FE37B9" w14:textId="77777777">
      <w:pPr>
        <w:pStyle w:val="FootnoteText"/>
      </w:pPr>
      <w:r w:rsidRPr="0072600F">
        <w:rPr>
          <w:rStyle w:val="FootnoteReference"/>
        </w:rPr>
        <w:footnoteRef/>
      </w:r>
      <w:r>
        <w:t xml:space="preserve"> </w:t>
      </w:r>
      <w:r w:rsidRPr="005C2089">
        <w:rPr>
          <w:i/>
          <w:iCs/>
        </w:rPr>
        <w:t>Id.</w:t>
      </w:r>
      <w:r>
        <w:t xml:space="preserve"> at 14-15.</w:t>
      </w:r>
    </w:p>
  </w:footnote>
  <w:footnote w:id="214">
    <w:p w:rsidR="00760048" w:rsidP="00071614" w14:paraId="07ACA86D" w14:textId="77777777">
      <w:pPr>
        <w:pStyle w:val="FootnoteText"/>
      </w:pPr>
      <w:r w:rsidRPr="0072600F">
        <w:rPr>
          <w:rStyle w:val="FootnoteReference"/>
        </w:rPr>
        <w:footnoteRef/>
      </w:r>
      <w:r>
        <w:t xml:space="preserve"> </w:t>
      </w:r>
      <w:r w:rsidRPr="005C2089">
        <w:rPr>
          <w:i/>
          <w:iCs/>
        </w:rPr>
        <w:t>Id.</w:t>
      </w:r>
      <w:r>
        <w:t xml:space="preserve"> at 15-16.</w:t>
      </w:r>
    </w:p>
  </w:footnote>
  <w:footnote w:id="215">
    <w:p w:rsidR="00760048" w:rsidP="00071614" w14:paraId="05C60683" w14:textId="77777777">
      <w:pPr>
        <w:pStyle w:val="FootnoteText"/>
      </w:pPr>
      <w:r w:rsidRPr="0072600F">
        <w:rPr>
          <w:rStyle w:val="FootnoteReference"/>
        </w:rPr>
        <w:footnoteRef/>
      </w:r>
      <w:r>
        <w:t xml:space="preserve"> </w:t>
      </w:r>
      <w:r w:rsidRPr="005C2089">
        <w:rPr>
          <w:i/>
          <w:iCs/>
        </w:rPr>
        <w:t>Id.</w:t>
      </w:r>
      <w:r>
        <w:t xml:space="preserve"> at 17-18 (citing Order No. 2023,</w:t>
      </w:r>
      <w:r w:rsidRPr="00944431">
        <w:t xml:space="preserve"> </w:t>
      </w:r>
      <w:r w:rsidRPr="006D008A">
        <w:t>184 FERC ¶ 61,054</w:t>
      </w:r>
      <w:r>
        <w:t xml:space="preserve"> at P 233).</w:t>
      </w:r>
    </w:p>
  </w:footnote>
  <w:footnote w:id="216">
    <w:p w:rsidR="00760048" w:rsidP="00071614" w14:paraId="18F489D0" w14:textId="77777777">
      <w:pPr>
        <w:pStyle w:val="FootnoteText"/>
      </w:pPr>
      <w:r w:rsidRPr="0072600F">
        <w:rPr>
          <w:rStyle w:val="FootnoteReference"/>
        </w:rPr>
        <w:footnoteRef/>
      </w:r>
      <w:r>
        <w:t xml:space="preserve"> </w:t>
      </w:r>
      <w:r w:rsidRPr="005C2089">
        <w:rPr>
          <w:i/>
          <w:iCs/>
        </w:rPr>
        <w:t>Id.</w:t>
      </w:r>
      <w:r>
        <w:rPr>
          <w:i/>
          <w:iCs/>
        </w:rPr>
        <w:t xml:space="preserve"> </w:t>
      </w:r>
      <w:r w:rsidRPr="006F20EC">
        <w:t>at 18</w:t>
      </w:r>
      <w:r>
        <w:t>-19</w:t>
      </w:r>
      <w:r w:rsidRPr="00895729">
        <w:t>.</w:t>
      </w:r>
    </w:p>
  </w:footnote>
  <w:footnote w:id="217">
    <w:p w:rsidR="00760048" w14:paraId="7857A935" w14:textId="77777777">
      <w:pPr>
        <w:pStyle w:val="FootnoteText"/>
      </w:pPr>
      <w:r w:rsidRPr="0072600F">
        <w:rPr>
          <w:rStyle w:val="FootnoteReference"/>
        </w:rPr>
        <w:footnoteRef/>
      </w:r>
      <w:r>
        <w:t xml:space="preserve"> </w:t>
      </w:r>
      <w:r w:rsidRPr="005C2089">
        <w:rPr>
          <w:i/>
          <w:iCs/>
        </w:rPr>
        <w:t>Id.</w:t>
      </w:r>
      <w:r>
        <w:rPr>
          <w:i/>
          <w:iCs/>
        </w:rPr>
        <w:t xml:space="preserve"> </w:t>
      </w:r>
      <w:r w:rsidRPr="007E7580">
        <w:t>at 1</w:t>
      </w:r>
      <w:r>
        <w:t>9-20</w:t>
      </w:r>
      <w:r w:rsidRPr="007E7580">
        <w:t>.</w:t>
      </w:r>
    </w:p>
  </w:footnote>
  <w:footnote w:id="218">
    <w:p w:rsidR="00760048" w:rsidP="00071614" w14:paraId="56033C61" w14:textId="77777777">
      <w:pPr>
        <w:pStyle w:val="FootnoteText"/>
      </w:pPr>
      <w:r w:rsidRPr="0072600F">
        <w:rPr>
          <w:rStyle w:val="FootnoteReference"/>
        </w:rPr>
        <w:footnoteRef/>
      </w:r>
      <w:r>
        <w:t xml:space="preserve"> </w:t>
      </w:r>
      <w:r w:rsidRPr="005C2089">
        <w:rPr>
          <w:i/>
          <w:iCs/>
        </w:rPr>
        <w:t>Id.</w:t>
      </w:r>
      <w:r>
        <w:rPr>
          <w:i/>
          <w:iCs/>
        </w:rPr>
        <w:t xml:space="preserve"> </w:t>
      </w:r>
      <w:r>
        <w:t>at 21-22.</w:t>
      </w:r>
    </w:p>
  </w:footnote>
  <w:footnote w:id="219">
    <w:p w:rsidR="00760048" w:rsidP="00071614" w14:paraId="55304541" w14:textId="77777777">
      <w:pPr>
        <w:pStyle w:val="FootnoteText"/>
      </w:pPr>
      <w:r w:rsidRPr="0072600F">
        <w:rPr>
          <w:rStyle w:val="FootnoteReference"/>
        </w:rPr>
        <w:footnoteRef/>
      </w:r>
      <w:r>
        <w:t xml:space="preserve"> </w:t>
      </w:r>
      <w:r w:rsidRPr="005C2089">
        <w:rPr>
          <w:i/>
          <w:iCs/>
        </w:rPr>
        <w:t>Id.</w:t>
      </w:r>
      <w:r>
        <w:rPr>
          <w:i/>
          <w:iCs/>
        </w:rPr>
        <w:t xml:space="preserve"> </w:t>
      </w:r>
      <w:r>
        <w:t>at 22.</w:t>
      </w:r>
    </w:p>
  </w:footnote>
  <w:footnote w:id="220">
    <w:p w:rsidR="00760048" w:rsidP="00071614" w14:paraId="37DDBDA8" w14:textId="77777777">
      <w:pPr>
        <w:pStyle w:val="FootnoteText"/>
      </w:pPr>
      <w:r w:rsidRPr="0072600F">
        <w:rPr>
          <w:rStyle w:val="FootnoteReference"/>
        </w:rPr>
        <w:footnoteRef/>
      </w:r>
      <w:r>
        <w:t xml:space="preserve"> </w:t>
      </w:r>
      <w:r w:rsidRPr="0051242C">
        <w:t>IPP Coalition</w:t>
      </w:r>
      <w:r w:rsidRPr="0051242C">
        <w:t xml:space="preserve"> </w:t>
      </w:r>
      <w:r>
        <w:t>Rehearing Request at 7-8.</w:t>
      </w:r>
    </w:p>
  </w:footnote>
  <w:footnote w:id="221">
    <w:p w:rsidR="00760048" w:rsidP="00071614" w14:paraId="50C1B736" w14:textId="77777777">
      <w:pPr>
        <w:pStyle w:val="FootnoteText"/>
      </w:pPr>
      <w:r w:rsidRPr="0072600F">
        <w:rPr>
          <w:rStyle w:val="FootnoteReference"/>
        </w:rPr>
        <w:footnoteRef/>
      </w:r>
      <w:r>
        <w:t xml:space="preserve"> </w:t>
      </w:r>
      <w:r w:rsidRPr="00FC5D58">
        <w:t>Ørsted</w:t>
      </w:r>
      <w:r>
        <w:t xml:space="preserve"> Rehearing Request at 11.</w:t>
      </w:r>
    </w:p>
  </w:footnote>
  <w:footnote w:id="222">
    <w:p w:rsidR="00760048" w:rsidP="00071614" w14:paraId="329E8303" w14:textId="77777777">
      <w:pPr>
        <w:pStyle w:val="FootnoteText"/>
      </w:pPr>
      <w:r w:rsidRPr="0072600F">
        <w:rPr>
          <w:rStyle w:val="FootnoteReference"/>
        </w:rPr>
        <w:footnoteRef/>
      </w:r>
      <w:r>
        <w:t xml:space="preserve"> Clean Energy Associations Rehearing Request at 25-26.</w:t>
      </w:r>
    </w:p>
  </w:footnote>
  <w:footnote w:id="223">
    <w:p w:rsidR="00760048" w:rsidP="00071614" w14:paraId="0614CF41" w14:textId="77777777">
      <w:pPr>
        <w:pStyle w:val="FootnoteText"/>
      </w:pPr>
      <w:r w:rsidRPr="0072600F">
        <w:rPr>
          <w:rStyle w:val="FootnoteReference"/>
        </w:rPr>
        <w:footnoteRef/>
      </w:r>
      <w:r>
        <w:t xml:space="preserve"> </w:t>
      </w:r>
      <w:r w:rsidRPr="005C2089">
        <w:rPr>
          <w:i/>
          <w:iCs/>
        </w:rPr>
        <w:t>Id.</w:t>
      </w:r>
      <w:r>
        <w:rPr>
          <w:i/>
          <w:iCs/>
        </w:rPr>
        <w:t xml:space="preserve"> </w:t>
      </w:r>
      <w:r>
        <w:t xml:space="preserve">at 26; </w:t>
      </w:r>
      <w:r w:rsidRPr="00EA46DA">
        <w:t>Ørsted</w:t>
      </w:r>
      <w:r>
        <w:t xml:space="preserve"> Rehearing Request at 3.</w:t>
      </w:r>
    </w:p>
  </w:footnote>
  <w:footnote w:id="224">
    <w:p w:rsidR="00760048" w:rsidP="00071614" w14:paraId="675F96D3" w14:textId="77777777">
      <w:pPr>
        <w:pStyle w:val="FootnoteText"/>
      </w:pPr>
      <w:r w:rsidRPr="0072600F">
        <w:rPr>
          <w:rStyle w:val="FootnoteReference"/>
        </w:rPr>
        <w:footnoteRef/>
      </w:r>
      <w:r>
        <w:t xml:space="preserve"> Clean Energy Associations Rehearing Request at 27-28; </w:t>
      </w:r>
      <w:r w:rsidRPr="00EA46DA">
        <w:t>Ørsted</w:t>
      </w:r>
      <w:r>
        <w:t xml:space="preserve"> Rehearing Request at 3-4.</w:t>
      </w:r>
    </w:p>
  </w:footnote>
  <w:footnote w:id="225">
    <w:p w:rsidR="00760048" w:rsidP="00071614" w14:paraId="592A0EEB" w14:textId="77777777">
      <w:pPr>
        <w:pStyle w:val="FootnoteText"/>
      </w:pPr>
      <w:r w:rsidRPr="0072600F">
        <w:rPr>
          <w:rStyle w:val="FootnoteReference"/>
        </w:rPr>
        <w:footnoteRef/>
      </w:r>
      <w:r>
        <w:t xml:space="preserve"> </w:t>
      </w:r>
      <w:r w:rsidRPr="00EA46DA">
        <w:t>Ørsted</w:t>
      </w:r>
      <w:r>
        <w:t xml:space="preserve"> Rehearing Request at 4-5.</w:t>
      </w:r>
    </w:p>
  </w:footnote>
  <w:footnote w:id="226">
    <w:p w:rsidR="00760048" w:rsidP="00071614" w14:paraId="3D8B2749" w14:textId="77777777">
      <w:pPr>
        <w:pStyle w:val="FootnoteText"/>
      </w:pPr>
      <w:r w:rsidRPr="0072600F">
        <w:rPr>
          <w:rStyle w:val="FootnoteReference"/>
        </w:rPr>
        <w:footnoteRef/>
      </w:r>
      <w:r>
        <w:t xml:space="preserve"> EEI Rehearing Request at 13-14; </w:t>
      </w:r>
      <w:r w:rsidRPr="00C50CF5">
        <w:t xml:space="preserve">NYISO Rehearing Request at </w:t>
      </w:r>
      <w:r>
        <w:t xml:space="preserve">11; NYTOs Rehearing Request at 6; </w:t>
      </w:r>
      <w:r>
        <w:rPr>
          <w:i/>
          <w:iCs/>
        </w:rPr>
        <w:t xml:space="preserve">see also </w:t>
      </w:r>
      <w:r>
        <w:t xml:space="preserve">WIRES Rehearing Request at 12 (asking the Commission to clarify that feasibility studies can continue to be performed under the “Independent Entity Regional Variation Standard”). </w:t>
      </w:r>
    </w:p>
  </w:footnote>
  <w:footnote w:id="227">
    <w:p w:rsidR="00760048" w:rsidP="00071614" w14:paraId="1E6EF429" w14:textId="77777777">
      <w:pPr>
        <w:pStyle w:val="FootnoteText"/>
      </w:pPr>
      <w:r w:rsidRPr="0072600F">
        <w:rPr>
          <w:rStyle w:val="FootnoteReference"/>
        </w:rPr>
        <w:footnoteRef/>
      </w:r>
      <w:r>
        <w:t xml:space="preserve"> EEI Rehearing Request at 13-14.</w:t>
      </w:r>
    </w:p>
  </w:footnote>
  <w:footnote w:id="228">
    <w:p w:rsidR="00760048" w:rsidP="00071614" w14:paraId="21999E2A" w14:textId="77777777">
      <w:pPr>
        <w:pStyle w:val="FootnoteText"/>
      </w:pPr>
      <w:r w:rsidRPr="0072600F">
        <w:rPr>
          <w:rStyle w:val="FootnoteReference"/>
        </w:rPr>
        <w:footnoteRef/>
      </w:r>
      <w:r>
        <w:t xml:space="preserve"> NYTOs Rehearing Request at 8.</w:t>
      </w:r>
    </w:p>
  </w:footnote>
  <w:footnote w:id="229">
    <w:p w:rsidR="00760048" w:rsidP="00071614" w14:paraId="1D557FDC" w14:textId="77777777">
      <w:pPr>
        <w:pStyle w:val="FootnoteText"/>
      </w:pPr>
      <w:r w:rsidRPr="0072600F">
        <w:rPr>
          <w:rStyle w:val="FootnoteReference"/>
        </w:rPr>
        <w:footnoteRef/>
      </w:r>
      <w:r>
        <w:t xml:space="preserve"> </w:t>
      </w:r>
      <w:r w:rsidRPr="005C2089">
        <w:rPr>
          <w:i/>
          <w:iCs/>
        </w:rPr>
        <w:t>Id.</w:t>
      </w:r>
      <w:r>
        <w:t xml:space="preserve"> at 7; </w:t>
      </w:r>
      <w:r w:rsidRPr="00C50CF5">
        <w:t xml:space="preserve">NYISO Rehearing Request at </w:t>
      </w:r>
      <w:r>
        <w:t>11</w:t>
      </w:r>
      <w:r w:rsidRPr="00C50CF5">
        <w:t>.</w:t>
      </w:r>
    </w:p>
  </w:footnote>
  <w:footnote w:id="230">
    <w:p w:rsidR="00760048" w:rsidP="00071614" w14:paraId="7416E326" w14:textId="77777777">
      <w:pPr>
        <w:pStyle w:val="FootnoteText"/>
      </w:pPr>
      <w:r w:rsidRPr="0072600F">
        <w:rPr>
          <w:rStyle w:val="FootnoteReference"/>
        </w:rPr>
        <w:footnoteRef/>
      </w:r>
      <w:r>
        <w:t xml:space="preserve"> EEI Rehearing Request at 14-15.</w:t>
      </w:r>
    </w:p>
  </w:footnote>
  <w:footnote w:id="231">
    <w:p w:rsidR="00760048" w:rsidP="00071614" w14:paraId="2D152CE8" w14:textId="77777777">
      <w:pPr>
        <w:pStyle w:val="FootnoteText"/>
      </w:pPr>
      <w:r w:rsidRPr="0072600F">
        <w:rPr>
          <w:rStyle w:val="FootnoteReference"/>
        </w:rPr>
        <w:footnoteRef/>
      </w:r>
      <w:r>
        <w:t xml:space="preserve"> </w:t>
      </w:r>
      <w:r w:rsidRPr="005C2089">
        <w:rPr>
          <w:i/>
          <w:iCs/>
        </w:rPr>
        <w:t>Id.</w:t>
      </w:r>
      <w:r>
        <w:rPr>
          <w:i/>
        </w:rPr>
        <w:t xml:space="preserve"> </w:t>
      </w:r>
      <w:r>
        <w:t>at 15-16.</w:t>
      </w:r>
    </w:p>
  </w:footnote>
  <w:footnote w:id="232">
    <w:p w:rsidR="00760048" w14:paraId="20687CC0" w14:textId="77777777">
      <w:pPr>
        <w:pStyle w:val="FootnoteText"/>
      </w:pPr>
      <w:r w:rsidRPr="0072600F">
        <w:rPr>
          <w:rStyle w:val="FootnoteReference"/>
        </w:rPr>
        <w:footnoteRef/>
      </w:r>
      <w:r>
        <w:t xml:space="preserve"> MISO Rehearing </w:t>
      </w:r>
      <w:r w:rsidR="00F91353">
        <w:t>Request</w:t>
      </w:r>
      <w:r>
        <w:t xml:space="preserve"> at 26.</w:t>
      </w:r>
    </w:p>
  </w:footnote>
  <w:footnote w:id="233">
    <w:p w:rsidR="00760048" w14:paraId="63869BA1" w14:textId="77777777">
      <w:pPr>
        <w:pStyle w:val="FootnoteText"/>
      </w:pPr>
      <w:r w:rsidRPr="0072600F">
        <w:rPr>
          <w:rStyle w:val="FootnoteReference"/>
        </w:rPr>
        <w:footnoteRef/>
      </w:r>
      <w:r>
        <w:t xml:space="preserve"> </w:t>
      </w:r>
      <w:r w:rsidRPr="00C50CF5">
        <w:t>NYISO Rehearing Request at 4</w:t>
      </w:r>
      <w:r>
        <w:t>-5</w:t>
      </w:r>
      <w:r w:rsidRPr="00C50CF5">
        <w:t>.</w:t>
      </w:r>
    </w:p>
  </w:footnote>
  <w:footnote w:id="234">
    <w:p w:rsidR="00760048" w:rsidRPr="00F4560D" w14:paraId="3E0D4D13" w14:textId="77777777">
      <w:pPr>
        <w:pStyle w:val="FootnoteText"/>
      </w:pPr>
      <w:r w:rsidRPr="0072600F">
        <w:rPr>
          <w:rStyle w:val="FootnoteReference"/>
        </w:rPr>
        <w:footnoteRef/>
      </w:r>
      <w:r>
        <w:t xml:space="preserve"> </w:t>
      </w:r>
      <w:r w:rsidRPr="005C2089">
        <w:rPr>
          <w:i/>
          <w:iCs/>
        </w:rPr>
        <w:t>Id.</w:t>
      </w:r>
      <w:r>
        <w:t xml:space="preserve"> at 6-7.</w:t>
      </w:r>
    </w:p>
  </w:footnote>
  <w:footnote w:id="235">
    <w:p w:rsidR="00760048" w14:paraId="1F52A6B9" w14:textId="77777777">
      <w:pPr>
        <w:pStyle w:val="FootnoteText"/>
      </w:pPr>
      <w:r w:rsidRPr="0072600F">
        <w:rPr>
          <w:rStyle w:val="FootnoteReference"/>
        </w:rPr>
        <w:footnoteRef/>
      </w:r>
      <w:r>
        <w:t xml:space="preserve"> </w:t>
      </w:r>
      <w:r w:rsidRPr="005C2089">
        <w:rPr>
          <w:i/>
          <w:iCs/>
        </w:rPr>
        <w:t>Id.</w:t>
      </w:r>
      <w:r>
        <w:t xml:space="preserve"> at 8.</w:t>
      </w:r>
    </w:p>
  </w:footnote>
  <w:footnote w:id="236">
    <w:p w:rsidR="00760048" w14:paraId="40D2D25C" w14:textId="77777777">
      <w:pPr>
        <w:pStyle w:val="FootnoteText"/>
      </w:pPr>
      <w:r w:rsidRPr="0072600F">
        <w:rPr>
          <w:rStyle w:val="FootnoteReference"/>
        </w:rPr>
        <w:footnoteRef/>
      </w:r>
      <w:r>
        <w:t xml:space="preserve"> </w:t>
      </w:r>
      <w:r w:rsidRPr="005C2089">
        <w:rPr>
          <w:i/>
          <w:iCs/>
        </w:rPr>
        <w:t>Id.</w:t>
      </w:r>
      <w:r>
        <w:t xml:space="preserve"> </w:t>
      </w:r>
      <w:r w:rsidRPr="00C50CF5">
        <w:t xml:space="preserve">at </w:t>
      </w:r>
      <w:r>
        <w:t>9-10</w:t>
      </w:r>
      <w:r w:rsidRPr="00C50CF5">
        <w:t>.</w:t>
      </w:r>
    </w:p>
  </w:footnote>
  <w:footnote w:id="237">
    <w:p w:rsidR="00760048" w14:paraId="72DCF460" w14:textId="77777777">
      <w:pPr>
        <w:pStyle w:val="FootnoteText"/>
      </w:pPr>
      <w:r w:rsidRPr="0072600F">
        <w:rPr>
          <w:rStyle w:val="FootnoteReference"/>
        </w:rPr>
        <w:footnoteRef/>
      </w:r>
      <w:r>
        <w:t xml:space="preserve"> </w:t>
      </w:r>
      <w:r w:rsidRPr="005C2089">
        <w:rPr>
          <w:i/>
          <w:iCs/>
        </w:rPr>
        <w:t>Id.</w:t>
      </w:r>
      <w:r>
        <w:t xml:space="preserve"> </w:t>
      </w:r>
      <w:r w:rsidRPr="00C50CF5">
        <w:t xml:space="preserve">at </w:t>
      </w:r>
      <w:r>
        <w:t>11</w:t>
      </w:r>
      <w:r w:rsidRPr="00C50CF5">
        <w:t>.</w:t>
      </w:r>
    </w:p>
  </w:footnote>
  <w:footnote w:id="238">
    <w:p w:rsidR="00760048" w14:paraId="219808BA" w14:textId="77777777">
      <w:pPr>
        <w:pStyle w:val="FootnoteText"/>
      </w:pPr>
      <w:r w:rsidRPr="0072600F">
        <w:rPr>
          <w:rStyle w:val="FootnoteReference"/>
        </w:rPr>
        <w:footnoteRef/>
      </w:r>
      <w:r>
        <w:t xml:space="preserve"> </w:t>
      </w:r>
      <w:r w:rsidRPr="005C2089">
        <w:rPr>
          <w:i/>
          <w:iCs/>
        </w:rPr>
        <w:t>Id.</w:t>
      </w:r>
      <w:r>
        <w:t xml:space="preserve"> </w:t>
      </w:r>
      <w:r w:rsidRPr="00C50CF5">
        <w:t xml:space="preserve">at </w:t>
      </w:r>
      <w:r>
        <w:t>12</w:t>
      </w:r>
      <w:r w:rsidRPr="00C50CF5">
        <w:t>.</w:t>
      </w:r>
    </w:p>
  </w:footnote>
  <w:footnote w:id="239">
    <w:p w:rsidR="00760048" w14:paraId="6093992A" w14:textId="77777777">
      <w:pPr>
        <w:pStyle w:val="FootnoteText"/>
      </w:pPr>
      <w:r w:rsidRPr="0072600F">
        <w:rPr>
          <w:rStyle w:val="FootnoteReference"/>
        </w:rPr>
        <w:footnoteRef/>
      </w:r>
      <w:r>
        <w:t xml:space="preserve"> </w:t>
      </w:r>
      <w:r w:rsidRPr="00BD4A9E">
        <w:rPr>
          <w:i/>
          <w:iCs/>
        </w:rPr>
        <w:t>Id.</w:t>
      </w:r>
      <w:r w:rsidRPr="00022D15">
        <w:t xml:space="preserve"> </w:t>
      </w:r>
      <w:r>
        <w:t>(</w:t>
      </w:r>
      <w:r w:rsidRPr="00022D15">
        <w:t>citing Order No. 2023</w:t>
      </w:r>
      <w:r>
        <w:t xml:space="preserve">, </w:t>
      </w:r>
      <w:r w:rsidRPr="006D008A">
        <w:t>184 FERC ¶ 61,054</w:t>
      </w:r>
      <w:r w:rsidRPr="00022D15">
        <w:t xml:space="preserve"> at </w:t>
      </w:r>
      <w:r>
        <w:t xml:space="preserve">P </w:t>
      </w:r>
      <w:r w:rsidRPr="00022D15">
        <w:t>326</w:t>
      </w:r>
      <w:r>
        <w:t>)</w:t>
      </w:r>
      <w:r w:rsidRPr="00022D15">
        <w:t>.</w:t>
      </w:r>
    </w:p>
  </w:footnote>
  <w:footnote w:id="240">
    <w:p w:rsidR="00760048" w14:paraId="1967D90B" w14:textId="77777777">
      <w:pPr>
        <w:pStyle w:val="FootnoteText"/>
      </w:pPr>
      <w:r w:rsidRPr="0072600F">
        <w:rPr>
          <w:rStyle w:val="FootnoteReference"/>
        </w:rPr>
        <w:footnoteRef/>
      </w:r>
      <w:r>
        <w:t xml:space="preserve"> </w:t>
      </w:r>
      <w:r w:rsidRPr="005C2089">
        <w:rPr>
          <w:i/>
          <w:iCs/>
        </w:rPr>
        <w:t>Id.</w:t>
      </w:r>
      <w:r>
        <w:rPr>
          <w:i/>
          <w:iCs/>
        </w:rPr>
        <w:t xml:space="preserve"> </w:t>
      </w:r>
      <w:r w:rsidRPr="00C50CF5">
        <w:t xml:space="preserve">at </w:t>
      </w:r>
      <w:r>
        <w:t>13.</w:t>
      </w:r>
    </w:p>
  </w:footnote>
  <w:footnote w:id="241">
    <w:p w:rsidR="00760048" w:rsidRPr="00BD4A9E" w14:paraId="3FFE4D58" w14:textId="77777777">
      <w:pPr>
        <w:pStyle w:val="FootnoteText"/>
      </w:pPr>
      <w:r w:rsidRPr="0072600F">
        <w:rPr>
          <w:rStyle w:val="FootnoteReference"/>
        </w:rPr>
        <w:footnoteRef/>
      </w:r>
      <w:r>
        <w:t xml:space="preserve"> </w:t>
      </w:r>
      <w:r w:rsidRPr="005C2089">
        <w:rPr>
          <w:i/>
          <w:iCs/>
        </w:rPr>
        <w:t>Id.</w:t>
      </w:r>
      <w:r>
        <w:t xml:space="preserve"> at 14.</w:t>
      </w:r>
    </w:p>
  </w:footnote>
  <w:footnote w:id="242">
    <w:p w:rsidR="00760048" w14:paraId="19E9F459" w14:textId="77777777">
      <w:pPr>
        <w:pStyle w:val="FootnoteText"/>
      </w:pPr>
      <w:r w:rsidRPr="0072600F">
        <w:rPr>
          <w:rStyle w:val="FootnoteReference"/>
        </w:rPr>
        <w:footnoteRef/>
      </w:r>
      <w:r>
        <w:t xml:space="preserve"> </w:t>
      </w:r>
      <w:r w:rsidRPr="005C2089">
        <w:rPr>
          <w:i/>
          <w:iCs/>
        </w:rPr>
        <w:t>Id.</w:t>
      </w:r>
      <w:r>
        <w:rPr>
          <w:i/>
        </w:rPr>
        <w:t xml:space="preserve"> </w:t>
      </w:r>
      <w:r>
        <w:t>(</w:t>
      </w:r>
      <w:r w:rsidRPr="000D1441">
        <w:t>citing</w:t>
      </w:r>
      <w:r>
        <w:t>, for example,</w:t>
      </w:r>
      <w:r w:rsidRPr="000D1441">
        <w:t xml:space="preserve"> Midcontinent Independent System Operator Presentation, Generator Interconnection Queue Improvements, Planning Advisory Committee (July 19, 2023) (proposing increasing initial milestone payment from $4000/MW to $10,000/MW)</w:t>
      </w:r>
      <w:r w:rsidR="002D51B9">
        <w:t>,</w:t>
      </w:r>
      <w:r w:rsidRPr="000D1441">
        <w:t xml:space="preserve"> at:  https://cdn.misoenergy.org/20230719%20PAC%20Item%2006%20GI%20Queue%20Improvements%20Propos al629634.pdf</w:t>
      </w:r>
      <w:r w:rsidR="002D51B9">
        <w:t>)</w:t>
      </w:r>
      <w:r w:rsidRPr="000D1441">
        <w:t>.</w:t>
      </w:r>
    </w:p>
  </w:footnote>
  <w:footnote w:id="243">
    <w:p w:rsidR="00760048" w14:paraId="3F4FC9D5" w14:textId="77777777">
      <w:pPr>
        <w:pStyle w:val="FootnoteText"/>
      </w:pPr>
      <w:r w:rsidRPr="0072600F">
        <w:rPr>
          <w:rStyle w:val="FootnoteReference"/>
        </w:rPr>
        <w:footnoteRef/>
      </w:r>
      <w:r>
        <w:t xml:space="preserve"> </w:t>
      </w:r>
      <w:r w:rsidRPr="005C2089">
        <w:rPr>
          <w:i/>
          <w:iCs/>
        </w:rPr>
        <w:t>Id.</w:t>
      </w:r>
      <w:r>
        <w:rPr>
          <w:i/>
          <w:iCs/>
        </w:rPr>
        <w:t xml:space="preserve"> </w:t>
      </w:r>
      <w:r w:rsidRPr="00C124D0">
        <w:t>at 15</w:t>
      </w:r>
      <w:r>
        <w:t>-16</w:t>
      </w:r>
      <w:r w:rsidRPr="00C124D0">
        <w:t>.</w:t>
      </w:r>
    </w:p>
  </w:footnote>
  <w:footnote w:id="244">
    <w:p w:rsidR="00760048" w14:paraId="72FEBF80" w14:textId="77777777">
      <w:pPr>
        <w:pStyle w:val="FootnoteText"/>
      </w:pPr>
      <w:r w:rsidRPr="0072600F">
        <w:rPr>
          <w:rStyle w:val="FootnoteReference"/>
        </w:rPr>
        <w:footnoteRef/>
      </w:r>
      <w:r>
        <w:t xml:space="preserve"> </w:t>
      </w:r>
      <w:r w:rsidRPr="005C2089">
        <w:rPr>
          <w:i/>
          <w:iCs/>
        </w:rPr>
        <w:t>Id.</w:t>
      </w:r>
      <w:r>
        <w:rPr>
          <w:i/>
          <w:iCs/>
        </w:rPr>
        <w:t xml:space="preserve"> </w:t>
      </w:r>
      <w:r w:rsidRPr="009833EE">
        <w:t xml:space="preserve">at </w:t>
      </w:r>
      <w:r>
        <w:t>44-45</w:t>
      </w:r>
      <w:r w:rsidRPr="009833EE">
        <w:t>.</w:t>
      </w:r>
    </w:p>
  </w:footnote>
  <w:footnote w:id="245">
    <w:p w:rsidR="00760048" w14:paraId="32058A83" w14:textId="77777777">
      <w:pPr>
        <w:pStyle w:val="FootnoteText"/>
      </w:pPr>
      <w:r w:rsidRPr="0072600F">
        <w:rPr>
          <w:rStyle w:val="FootnoteReference"/>
        </w:rPr>
        <w:footnoteRef/>
      </w:r>
      <w:r>
        <w:t xml:space="preserve"> </w:t>
      </w:r>
      <w:r w:rsidRPr="005C2089">
        <w:rPr>
          <w:i/>
          <w:iCs/>
        </w:rPr>
        <w:t>Id.</w:t>
      </w:r>
      <w:r>
        <w:rPr>
          <w:i/>
          <w:iCs/>
        </w:rPr>
        <w:t xml:space="preserve"> </w:t>
      </w:r>
      <w:r w:rsidRPr="009833EE">
        <w:t xml:space="preserve">at </w:t>
      </w:r>
      <w:r>
        <w:t>45</w:t>
      </w:r>
      <w:r w:rsidRPr="009833EE">
        <w:t>.</w:t>
      </w:r>
    </w:p>
  </w:footnote>
  <w:footnote w:id="246">
    <w:p w:rsidR="00760048" w14:paraId="199F848E" w14:textId="77777777">
      <w:pPr>
        <w:pStyle w:val="FootnoteText"/>
      </w:pPr>
      <w:r w:rsidRPr="0072600F">
        <w:rPr>
          <w:rStyle w:val="FootnoteReference"/>
        </w:rPr>
        <w:footnoteRef/>
      </w:r>
      <w:r>
        <w:t xml:space="preserve"> </w:t>
      </w:r>
      <w:r w:rsidRPr="005C2089">
        <w:rPr>
          <w:i/>
          <w:iCs/>
        </w:rPr>
        <w:t>Id.</w:t>
      </w:r>
      <w:r>
        <w:rPr>
          <w:i/>
          <w:iCs/>
        </w:rPr>
        <w:t xml:space="preserve"> </w:t>
      </w:r>
      <w:r>
        <w:t>(citing</w:t>
      </w:r>
      <w:r w:rsidRPr="00706851">
        <w:t xml:space="preserve"> </w:t>
      </w:r>
      <w:r>
        <w:rPr>
          <w:i/>
          <w:iCs/>
        </w:rPr>
        <w:t>pro forma</w:t>
      </w:r>
      <w:r w:rsidRPr="00706851">
        <w:t xml:space="preserve"> LGIP </w:t>
      </w:r>
      <w:r>
        <w:t>section</w:t>
      </w:r>
      <w:r w:rsidRPr="00706851">
        <w:t xml:space="preserve"> 3.4.5</w:t>
      </w:r>
      <w:r>
        <w:t>)</w:t>
      </w:r>
      <w:r w:rsidRPr="00706851">
        <w:t>.</w:t>
      </w:r>
      <w:r>
        <w:t xml:space="preserve"> </w:t>
      </w:r>
    </w:p>
  </w:footnote>
  <w:footnote w:id="247">
    <w:p w:rsidR="00760048" w14:paraId="17AD0192" w14:textId="77777777">
      <w:pPr>
        <w:pStyle w:val="FootnoteText"/>
      </w:pPr>
      <w:r w:rsidRPr="0072600F">
        <w:rPr>
          <w:rStyle w:val="FootnoteReference"/>
        </w:rPr>
        <w:footnoteRef/>
      </w:r>
      <w:r>
        <w:t xml:space="preserve"> </w:t>
      </w:r>
      <w:r w:rsidRPr="005C2089">
        <w:rPr>
          <w:i/>
          <w:iCs/>
        </w:rPr>
        <w:t>Id.</w:t>
      </w:r>
    </w:p>
  </w:footnote>
  <w:footnote w:id="248">
    <w:p w:rsidR="00760048" w14:paraId="63220A8A" w14:textId="77777777">
      <w:pPr>
        <w:pStyle w:val="FootnoteText"/>
      </w:pPr>
      <w:r w:rsidRPr="0072600F">
        <w:rPr>
          <w:rStyle w:val="FootnoteReference"/>
        </w:rPr>
        <w:footnoteRef/>
      </w:r>
      <w:r>
        <w:t xml:space="preserve"> </w:t>
      </w:r>
      <w:r w:rsidRPr="005C2089">
        <w:rPr>
          <w:i/>
          <w:iCs/>
        </w:rPr>
        <w:t>Id.</w:t>
      </w:r>
      <w:r>
        <w:rPr>
          <w:i/>
        </w:rPr>
        <w:t xml:space="preserve"> </w:t>
      </w:r>
      <w:r w:rsidRPr="00AC1B6C">
        <w:t xml:space="preserve">at 46 </w:t>
      </w:r>
      <w:r>
        <w:t>(</w:t>
      </w:r>
      <w:r w:rsidRPr="00AC1B6C">
        <w:t>citing Order No. 2023</w:t>
      </w:r>
      <w:r>
        <w:t>,</w:t>
      </w:r>
      <w:r w:rsidRPr="00403C31">
        <w:t xml:space="preserve"> </w:t>
      </w:r>
      <w:r w:rsidRPr="006D008A">
        <w:t>184 FERC ¶ 61,054</w:t>
      </w:r>
      <w:r w:rsidRPr="00AC1B6C">
        <w:t xml:space="preserve"> at P 237</w:t>
      </w:r>
      <w:r>
        <w:t>)</w:t>
      </w:r>
      <w:r w:rsidRPr="00AC1B6C">
        <w:t>.</w:t>
      </w:r>
    </w:p>
  </w:footnote>
  <w:footnote w:id="249">
    <w:p w:rsidR="00760048" w14:paraId="2BFB3B6F" w14:textId="77777777">
      <w:pPr>
        <w:pStyle w:val="FootnoteText"/>
      </w:pPr>
      <w:r w:rsidRPr="0072600F">
        <w:rPr>
          <w:rStyle w:val="FootnoteReference"/>
        </w:rPr>
        <w:footnoteRef/>
      </w:r>
      <w:r>
        <w:t xml:space="preserve"> </w:t>
      </w:r>
      <w:r w:rsidRPr="005C2089">
        <w:rPr>
          <w:i/>
          <w:iCs/>
        </w:rPr>
        <w:t>Id.</w:t>
      </w:r>
      <w:r>
        <w:rPr>
          <w:i/>
          <w:iCs/>
        </w:rPr>
        <w:t xml:space="preserve"> </w:t>
      </w:r>
      <w:r w:rsidRPr="00986A95">
        <w:t>at 4</w:t>
      </w:r>
      <w:r>
        <w:t>6-47</w:t>
      </w:r>
      <w:r w:rsidRPr="00986A95">
        <w:t>.</w:t>
      </w:r>
    </w:p>
  </w:footnote>
  <w:footnote w:id="250">
    <w:p w:rsidR="00760048" w:rsidP="00071614" w14:paraId="6023C8FF" w14:textId="77777777">
      <w:pPr>
        <w:pStyle w:val="FootnoteText"/>
      </w:pPr>
      <w:r w:rsidRPr="0072600F">
        <w:rPr>
          <w:rStyle w:val="FootnoteReference"/>
        </w:rPr>
        <w:footnoteRef/>
      </w:r>
      <w:r>
        <w:t xml:space="preserve"> </w:t>
      </w:r>
      <w:r>
        <w:t>NewSun Rehearing Request at 7-8.</w:t>
      </w:r>
    </w:p>
  </w:footnote>
  <w:footnote w:id="251">
    <w:p w:rsidR="00760048" w:rsidP="00071614" w14:paraId="57E2B6E7" w14:textId="77777777">
      <w:pPr>
        <w:pStyle w:val="FootnoteText"/>
      </w:pPr>
      <w:r w:rsidRPr="0072600F">
        <w:rPr>
          <w:rStyle w:val="FootnoteReference"/>
        </w:rPr>
        <w:footnoteRef/>
      </w:r>
      <w:r>
        <w:t xml:space="preserve"> </w:t>
      </w:r>
      <w:r w:rsidRPr="005C2089">
        <w:rPr>
          <w:i/>
          <w:iCs/>
        </w:rPr>
        <w:t>Id.</w:t>
      </w:r>
      <w:r>
        <w:rPr>
          <w:i/>
        </w:rPr>
        <w:t xml:space="preserve"> </w:t>
      </w:r>
      <w:r>
        <w:t>at 8-9.</w:t>
      </w:r>
    </w:p>
  </w:footnote>
  <w:footnote w:id="252">
    <w:p w:rsidR="00EB6A29" w14:paraId="2F8F94B6" w14:textId="77777777">
      <w:pPr>
        <w:pStyle w:val="FootnoteText"/>
      </w:pPr>
      <w:r>
        <w:rPr>
          <w:rStyle w:val="FootnoteReference"/>
        </w:rPr>
        <w:footnoteRef/>
      </w:r>
      <w:r>
        <w:t xml:space="preserve"> </w:t>
      </w:r>
      <w:r w:rsidRPr="005C2089">
        <w:rPr>
          <w:i/>
          <w:iCs/>
        </w:rPr>
        <w:t>Id.</w:t>
      </w:r>
      <w:r>
        <w:rPr>
          <w:i/>
        </w:rPr>
        <w:t xml:space="preserve"> </w:t>
      </w:r>
      <w:r>
        <w:t>at 9.</w:t>
      </w:r>
    </w:p>
  </w:footnote>
  <w:footnote w:id="253">
    <w:p w:rsidR="00760048" w:rsidP="00071614" w14:paraId="3248C6F6" w14:textId="77777777">
      <w:pPr>
        <w:pStyle w:val="FootnoteText"/>
      </w:pPr>
      <w:r w:rsidRPr="0072600F">
        <w:rPr>
          <w:rStyle w:val="FootnoteReference"/>
        </w:rPr>
        <w:footnoteRef/>
      </w:r>
      <w:r>
        <w:t xml:space="preserve"> </w:t>
      </w:r>
      <w:r w:rsidRPr="005C2089">
        <w:rPr>
          <w:i/>
          <w:iCs/>
        </w:rPr>
        <w:t>Id.</w:t>
      </w:r>
      <w:r>
        <w:rPr>
          <w:i/>
        </w:rPr>
        <w:t xml:space="preserve"> </w:t>
      </w:r>
      <w:r>
        <w:t>at 10.</w:t>
      </w:r>
    </w:p>
  </w:footnote>
  <w:footnote w:id="254">
    <w:p w:rsidR="00760048" w:rsidP="00071614" w14:paraId="2D0591BA" w14:textId="77777777">
      <w:pPr>
        <w:pStyle w:val="FootnoteText"/>
      </w:pPr>
      <w:r w:rsidRPr="0072600F">
        <w:rPr>
          <w:rStyle w:val="FootnoteReference"/>
        </w:rPr>
        <w:footnoteRef/>
      </w:r>
      <w:r>
        <w:t xml:space="preserve"> </w:t>
      </w:r>
      <w:r w:rsidRPr="005C2089">
        <w:rPr>
          <w:i/>
          <w:iCs/>
        </w:rPr>
        <w:t>Id.</w:t>
      </w:r>
      <w:r>
        <w:rPr>
          <w:i/>
        </w:rPr>
        <w:t xml:space="preserve"> </w:t>
      </w:r>
      <w:r>
        <w:t xml:space="preserve">at 13 (citing </w:t>
      </w:r>
      <w:r>
        <w:rPr>
          <w:i/>
          <w:iCs/>
        </w:rPr>
        <w:t xml:space="preserve">pro forma </w:t>
      </w:r>
      <w:r w:rsidRPr="006C5E09">
        <w:t xml:space="preserve">LGIP </w:t>
      </w:r>
      <w:r>
        <w:t>section</w:t>
      </w:r>
      <w:r w:rsidRPr="006C5E09">
        <w:t xml:space="preserve"> 7.5(3)-(4)</w:t>
      </w:r>
      <w:r>
        <w:t>).</w:t>
      </w:r>
    </w:p>
  </w:footnote>
  <w:footnote w:id="255">
    <w:p w:rsidR="00760048" w:rsidP="00071614" w14:paraId="49B4558D" w14:textId="77777777">
      <w:pPr>
        <w:pStyle w:val="FootnoteText"/>
      </w:pPr>
      <w:r w:rsidRPr="0072600F">
        <w:rPr>
          <w:rStyle w:val="FootnoteReference"/>
        </w:rPr>
        <w:footnoteRef/>
      </w:r>
      <w:r>
        <w:t xml:space="preserve"> </w:t>
      </w:r>
      <w:r w:rsidRPr="005C2089">
        <w:rPr>
          <w:i/>
          <w:iCs/>
        </w:rPr>
        <w:t>Id.</w:t>
      </w:r>
      <w:r>
        <w:rPr>
          <w:i/>
        </w:rPr>
        <w:t xml:space="preserve"> </w:t>
      </w:r>
      <w:r>
        <w:t>at 22-24.</w:t>
      </w:r>
    </w:p>
  </w:footnote>
  <w:footnote w:id="256">
    <w:p w:rsidR="00760048" w:rsidP="00071614" w14:paraId="2642D8EB" w14:textId="77777777">
      <w:pPr>
        <w:pStyle w:val="FootnoteText"/>
      </w:pPr>
      <w:r w:rsidRPr="0072600F">
        <w:rPr>
          <w:rStyle w:val="FootnoteReference"/>
        </w:rPr>
        <w:footnoteRef/>
      </w:r>
      <w:r>
        <w:t xml:space="preserve"> PJM Rehearing Request at 44-45.</w:t>
      </w:r>
    </w:p>
  </w:footnote>
  <w:footnote w:id="257">
    <w:p w:rsidR="00760048" w:rsidP="00071614" w14:paraId="6D8868EA" w14:textId="77777777">
      <w:pPr>
        <w:pStyle w:val="FootnoteText"/>
      </w:pPr>
      <w:r w:rsidRPr="0072600F">
        <w:rPr>
          <w:rStyle w:val="FootnoteReference"/>
        </w:rPr>
        <w:footnoteRef/>
      </w:r>
      <w:r>
        <w:t xml:space="preserve"> NYTOs Rehearing Request at 9-10. </w:t>
      </w:r>
    </w:p>
  </w:footnote>
  <w:footnote w:id="258">
    <w:p w:rsidR="00760048" w:rsidP="00071614" w14:paraId="252DC608" w14:textId="77777777">
      <w:pPr>
        <w:pStyle w:val="FootnoteText"/>
      </w:pPr>
      <w:r w:rsidRPr="0072600F">
        <w:rPr>
          <w:rStyle w:val="FootnoteReference"/>
        </w:rPr>
        <w:footnoteRef/>
      </w:r>
      <w:r>
        <w:t xml:space="preserve"> AEP Rehearing Request at 6.</w:t>
      </w:r>
    </w:p>
  </w:footnote>
  <w:footnote w:id="259">
    <w:p w:rsidR="00760048" w:rsidP="00071614" w14:paraId="6812DF78" w14:textId="77777777">
      <w:pPr>
        <w:pStyle w:val="FootnoteText"/>
      </w:pPr>
      <w:r w:rsidRPr="0072600F">
        <w:rPr>
          <w:rStyle w:val="FootnoteReference"/>
        </w:rPr>
        <w:footnoteRef/>
      </w:r>
      <w:r>
        <w:t xml:space="preserve"> </w:t>
      </w:r>
      <w:r w:rsidRPr="005C2089">
        <w:rPr>
          <w:i/>
          <w:iCs/>
        </w:rPr>
        <w:t>Id.</w:t>
      </w:r>
      <w:r w:rsidRPr="005C2089">
        <w:rPr>
          <w:i/>
        </w:rPr>
        <w:t xml:space="preserve"> </w:t>
      </w:r>
      <w:r>
        <w:t>at 24.</w:t>
      </w:r>
    </w:p>
  </w:footnote>
  <w:footnote w:id="260">
    <w:p w:rsidR="00760048" w:rsidP="00071614" w14:paraId="3713F222" w14:textId="77777777">
      <w:pPr>
        <w:pStyle w:val="FootnoteText"/>
      </w:pPr>
      <w:r w:rsidRPr="0072600F">
        <w:rPr>
          <w:rStyle w:val="FootnoteReference"/>
        </w:rPr>
        <w:footnoteRef/>
      </w:r>
      <w:r>
        <w:t xml:space="preserve"> MISO Rehearing Request at 21-22.</w:t>
      </w:r>
    </w:p>
  </w:footnote>
  <w:footnote w:id="261">
    <w:p w:rsidR="00760048" w:rsidP="00071614" w14:paraId="133CDFA4" w14:textId="77777777">
      <w:pPr>
        <w:pStyle w:val="FootnoteText"/>
      </w:pPr>
      <w:r w:rsidRPr="0072600F">
        <w:rPr>
          <w:rStyle w:val="FootnoteReference"/>
        </w:rPr>
        <w:footnoteRef/>
      </w:r>
      <w:r>
        <w:t xml:space="preserve"> </w:t>
      </w:r>
      <w:r w:rsidRPr="005C2089">
        <w:rPr>
          <w:i/>
          <w:iCs/>
        </w:rPr>
        <w:t>Id.</w:t>
      </w:r>
      <w:r>
        <w:rPr>
          <w:i/>
          <w:iCs/>
        </w:rPr>
        <w:t xml:space="preserve"> </w:t>
      </w:r>
      <w:r>
        <w:t>at 23.</w:t>
      </w:r>
    </w:p>
  </w:footnote>
  <w:footnote w:id="262">
    <w:p w:rsidR="00760048" w:rsidP="00071614" w14:paraId="215C4F87" w14:textId="77777777">
      <w:pPr>
        <w:pStyle w:val="FootnoteText"/>
      </w:pPr>
      <w:r w:rsidRPr="0072600F">
        <w:rPr>
          <w:rStyle w:val="FootnoteReference"/>
        </w:rPr>
        <w:footnoteRef/>
      </w:r>
      <w:r>
        <w:t xml:space="preserve"> </w:t>
      </w:r>
      <w:r>
        <w:rPr>
          <w:i/>
          <w:iCs/>
        </w:rPr>
        <w:t xml:space="preserve"> </w:t>
      </w:r>
      <w:r>
        <w:t>AEP Rehearing Request at 24</w:t>
      </w:r>
      <w:r>
        <w:t>-25</w:t>
      </w:r>
      <w:r>
        <w:t>.</w:t>
      </w:r>
    </w:p>
  </w:footnote>
  <w:footnote w:id="263">
    <w:p w:rsidR="00760048" w:rsidP="00071614" w14:paraId="6D63A351" w14:textId="77777777">
      <w:pPr>
        <w:pStyle w:val="FootnoteText"/>
      </w:pPr>
      <w:r w:rsidRPr="0072600F">
        <w:rPr>
          <w:rStyle w:val="FootnoteReference"/>
        </w:rPr>
        <w:footnoteRef/>
      </w:r>
      <w:r>
        <w:t xml:space="preserve"> </w:t>
      </w:r>
      <w:r w:rsidRPr="005C2089">
        <w:rPr>
          <w:i/>
          <w:iCs/>
        </w:rPr>
        <w:t>Id.</w:t>
      </w:r>
      <w:r w:rsidRPr="005C2089">
        <w:rPr>
          <w:i/>
        </w:rPr>
        <w:t xml:space="preserve"> </w:t>
      </w:r>
      <w:r>
        <w:t>at 25-26.</w:t>
      </w:r>
    </w:p>
  </w:footnote>
  <w:footnote w:id="264">
    <w:p w:rsidR="00760048" w:rsidRPr="00051AC4" w14:paraId="227D39E3" w14:textId="77777777">
      <w:pPr>
        <w:pStyle w:val="FootnoteText"/>
      </w:pPr>
      <w:r w:rsidRPr="0072600F">
        <w:rPr>
          <w:rStyle w:val="FootnoteReference"/>
        </w:rPr>
        <w:footnoteRef/>
      </w:r>
      <w:r>
        <w:t xml:space="preserve"> Order No. 2023, </w:t>
      </w:r>
      <w:r w:rsidRPr="00901C19">
        <w:t>184 FERC ¶ 61,054</w:t>
      </w:r>
      <w:r>
        <w:t xml:space="preserve"> at</w:t>
      </w:r>
      <w:r>
        <w:rPr>
          <w:i/>
        </w:rPr>
        <w:t xml:space="preserve"> </w:t>
      </w:r>
      <w:r>
        <w:t>P 193.</w:t>
      </w:r>
    </w:p>
  </w:footnote>
  <w:footnote w:id="265">
    <w:p w:rsidR="00760048" w14:paraId="39227CD3" w14:textId="77777777">
      <w:pPr>
        <w:pStyle w:val="FootnoteText"/>
      </w:pPr>
      <w:r w:rsidRPr="0072600F">
        <w:rPr>
          <w:rStyle w:val="FootnoteReference"/>
        </w:rPr>
        <w:footnoteRef/>
      </w:r>
      <w:r>
        <w:t xml:space="preserve"> </w:t>
      </w:r>
      <w:r w:rsidRPr="009B6A89">
        <w:rPr>
          <w:i/>
          <w:iCs/>
        </w:rPr>
        <w:t>Id.</w:t>
      </w:r>
      <w:r w:rsidRPr="009B6A89">
        <w:rPr>
          <w:i/>
        </w:rPr>
        <w:t xml:space="preserve"> </w:t>
      </w:r>
      <w:r>
        <w:t>P 691.</w:t>
      </w:r>
    </w:p>
  </w:footnote>
  <w:footnote w:id="266">
    <w:p w:rsidR="00760048" w:rsidP="00071614" w14:paraId="7B1B8FCD" w14:textId="77777777">
      <w:pPr>
        <w:pStyle w:val="FootnoteText"/>
      </w:pPr>
      <w:r w:rsidRPr="0072600F">
        <w:rPr>
          <w:rStyle w:val="FootnoteReference"/>
        </w:rPr>
        <w:footnoteRef/>
      </w:r>
      <w:r>
        <w:t xml:space="preserve"> </w:t>
      </w:r>
      <w:r w:rsidRPr="009B6A89">
        <w:rPr>
          <w:i/>
          <w:iCs/>
        </w:rPr>
        <w:t>Id.</w:t>
      </w:r>
      <w:r>
        <w:rPr>
          <w:i/>
        </w:rPr>
        <w:t xml:space="preserve"> </w:t>
      </w:r>
      <w:r>
        <w:t>P 200.</w:t>
      </w:r>
    </w:p>
  </w:footnote>
  <w:footnote w:id="267">
    <w:p w:rsidR="00760048" w:rsidRPr="00E6511E" w14:paraId="6B68B3EA" w14:textId="77777777">
      <w:pPr>
        <w:pStyle w:val="FootnoteText"/>
      </w:pPr>
      <w:r w:rsidRPr="0072600F">
        <w:rPr>
          <w:rStyle w:val="FootnoteReference"/>
        </w:rPr>
        <w:footnoteRef/>
      </w:r>
      <w:r>
        <w:t xml:space="preserve"> </w:t>
      </w:r>
      <w:r>
        <w:rPr>
          <w:i/>
          <w:iCs/>
        </w:rPr>
        <w:t>Pro forma</w:t>
      </w:r>
      <w:r>
        <w:t xml:space="preserve"> LGIP, section 1 (Definitions).</w:t>
      </w:r>
    </w:p>
  </w:footnote>
  <w:footnote w:id="268">
    <w:p w:rsidR="00760048" w14:paraId="2ACB0F5F" w14:textId="77777777">
      <w:pPr>
        <w:pStyle w:val="FootnoteText"/>
      </w:pPr>
      <w:r w:rsidRPr="0072600F">
        <w:rPr>
          <w:rStyle w:val="FootnoteReference"/>
        </w:rPr>
        <w:footnoteRef/>
      </w:r>
      <w:r>
        <w:t xml:space="preserve"> PJM Rehearing Request at 44.</w:t>
      </w:r>
    </w:p>
  </w:footnote>
  <w:footnote w:id="269">
    <w:p w:rsidR="00760048" w14:paraId="4B1970A0" w14:textId="77777777">
      <w:pPr>
        <w:pStyle w:val="FootnoteText"/>
      </w:pPr>
      <w:r w:rsidRPr="0072600F">
        <w:rPr>
          <w:rStyle w:val="FootnoteReference"/>
        </w:rPr>
        <w:footnoteRef/>
      </w:r>
      <w:r>
        <w:t xml:space="preserve"> </w:t>
      </w:r>
      <w:r>
        <w:rPr>
          <w:i/>
          <w:iCs/>
        </w:rPr>
        <w:t xml:space="preserve">See </w:t>
      </w:r>
      <w:r w:rsidRPr="00CC1214">
        <w:t>Order No. 2023, 184 FERC ¶ 61,054 at</w:t>
      </w:r>
      <w:r w:rsidRPr="00CC1214">
        <w:t xml:space="preserve"> </w:t>
      </w:r>
      <w:r>
        <w:t>P 226.</w:t>
      </w:r>
    </w:p>
  </w:footnote>
  <w:footnote w:id="270">
    <w:p w:rsidR="00760048" w14:paraId="2A027E0C" w14:textId="77777777">
      <w:pPr>
        <w:pStyle w:val="FootnoteText"/>
      </w:pPr>
      <w:r w:rsidRPr="0072600F">
        <w:rPr>
          <w:rStyle w:val="FootnoteReference"/>
        </w:rPr>
        <w:footnoteRef/>
      </w:r>
      <w:r>
        <w:t xml:space="preserve"> </w:t>
      </w:r>
      <w:r w:rsidRPr="00BE45F4">
        <w:rPr>
          <w:i/>
        </w:rPr>
        <w:t>See</w:t>
      </w:r>
      <w:r>
        <w:t xml:space="preserve"> </w:t>
      </w:r>
      <w:r w:rsidRPr="008C002B">
        <w:rPr>
          <w:i/>
          <w:iCs/>
        </w:rPr>
        <w:t>id.</w:t>
      </w:r>
      <w:r w:rsidRPr="0097244F">
        <w:t xml:space="preserve"> P</w:t>
      </w:r>
      <w:r>
        <w:t xml:space="preserve"> 962.  We also note that </w:t>
      </w:r>
      <w:r w:rsidRPr="004A53D1">
        <w:t xml:space="preserve">MISO and SPP currently only provide for 15 days to enter the facilities study phase (called Decision Point 2 in their respective generator interconnection procedures), and they each require a 20% commercial readiness deposit to enter the facilities study, whereas </w:t>
      </w:r>
      <w:r w:rsidR="009D0C98">
        <w:t>Order No. 2023</w:t>
      </w:r>
      <w:r w:rsidRPr="004A53D1">
        <w:t xml:space="preserve"> only requires a 10% deposit</w:t>
      </w:r>
      <w:r>
        <w:t>.</w:t>
      </w:r>
    </w:p>
  </w:footnote>
  <w:footnote w:id="271">
    <w:p w:rsidR="00760048" w:rsidP="00071614" w14:paraId="3CAA569F" w14:textId="77777777">
      <w:pPr>
        <w:pStyle w:val="FootnoteText"/>
      </w:pPr>
      <w:r w:rsidRPr="0072600F">
        <w:rPr>
          <w:rStyle w:val="FootnoteReference"/>
        </w:rPr>
        <w:footnoteRef/>
      </w:r>
      <w:r>
        <w:t xml:space="preserve"> </w:t>
      </w:r>
      <w:r w:rsidRPr="009B6A89">
        <w:rPr>
          <w:i/>
          <w:iCs/>
        </w:rPr>
        <w:t>Id.</w:t>
      </w:r>
      <w:r>
        <w:rPr>
          <w:i/>
        </w:rPr>
        <w:t xml:space="preserve"> </w:t>
      </w:r>
      <w:r w:rsidRPr="00D54765">
        <w:t xml:space="preserve">P 858.  </w:t>
      </w:r>
    </w:p>
  </w:footnote>
  <w:footnote w:id="272">
    <w:p w:rsidR="00760048" w:rsidRPr="002D2228" w:rsidP="00071614" w14:paraId="6DC9D771" w14:textId="77777777">
      <w:pPr>
        <w:pStyle w:val="FootnoteText"/>
      </w:pPr>
      <w:r w:rsidRPr="0072600F">
        <w:rPr>
          <w:rStyle w:val="FootnoteReference"/>
        </w:rPr>
        <w:footnoteRef/>
      </w:r>
      <w:r>
        <w:t xml:space="preserve"> </w:t>
      </w:r>
      <w:r>
        <w:rPr>
          <w:i/>
          <w:iCs/>
        </w:rPr>
        <w:t>See</w:t>
      </w:r>
      <w:r>
        <w:t xml:space="preserve"> </w:t>
      </w:r>
      <w:r>
        <w:rPr>
          <w:i/>
          <w:iCs/>
        </w:rPr>
        <w:t>id.</w:t>
      </w:r>
      <w:r>
        <w:t xml:space="preserve"> PP 1736, 1743.</w:t>
      </w:r>
    </w:p>
  </w:footnote>
  <w:footnote w:id="273">
    <w:p w:rsidR="00760048" w:rsidP="00071614" w14:paraId="735B0767" w14:textId="77777777">
      <w:pPr>
        <w:pStyle w:val="FootnoteText"/>
      </w:pPr>
      <w:r w:rsidRPr="0072600F">
        <w:rPr>
          <w:rStyle w:val="FootnoteReference"/>
        </w:rPr>
        <w:footnoteRef/>
      </w:r>
      <w:r>
        <w:t xml:space="preserve"> </w:t>
      </w:r>
      <w:r w:rsidRPr="009B6A89">
        <w:rPr>
          <w:i/>
          <w:iCs/>
        </w:rPr>
        <w:t>Id.</w:t>
      </w:r>
      <w:r w:rsidRPr="009B6A89">
        <w:rPr>
          <w:i/>
        </w:rPr>
        <w:t xml:space="preserve"> </w:t>
      </w:r>
      <w:r>
        <w:t>P 392.</w:t>
      </w:r>
    </w:p>
  </w:footnote>
  <w:footnote w:id="274">
    <w:p w:rsidR="00760048" w14:paraId="0637F647" w14:textId="77777777">
      <w:pPr>
        <w:pStyle w:val="FootnoteText"/>
      </w:pPr>
      <w:r w:rsidRPr="0072600F">
        <w:rPr>
          <w:rStyle w:val="FootnoteReference"/>
        </w:rPr>
        <w:footnoteRef/>
      </w:r>
      <w:r>
        <w:t xml:space="preserve"> </w:t>
      </w:r>
      <w:r w:rsidRPr="009B6A89">
        <w:rPr>
          <w:i/>
          <w:iCs/>
        </w:rPr>
        <w:t>Id.</w:t>
      </w:r>
      <w:r>
        <w:t xml:space="preserve"> P 247.</w:t>
      </w:r>
    </w:p>
  </w:footnote>
  <w:footnote w:id="275">
    <w:p w:rsidR="00760048" w:rsidRPr="00DD0C7B" w:rsidP="00071614" w14:paraId="2BEFBF03" w14:textId="77777777">
      <w:pPr>
        <w:pStyle w:val="FootnoteText"/>
      </w:pPr>
      <w:r w:rsidRPr="0072600F">
        <w:rPr>
          <w:rStyle w:val="FootnoteReference"/>
        </w:rPr>
        <w:footnoteRef/>
      </w:r>
      <w:r>
        <w:t xml:space="preserve"> </w:t>
      </w:r>
      <w:r>
        <w:rPr>
          <w:i/>
          <w:iCs/>
        </w:rPr>
        <w:t xml:space="preserve">Id. </w:t>
      </w:r>
      <w:r>
        <w:t xml:space="preserve">P 202 (declining to permit interconnection customers to submit multiple alternative points of interconnection).  </w:t>
      </w:r>
    </w:p>
  </w:footnote>
  <w:footnote w:id="276">
    <w:p w:rsidR="00760048" w:rsidP="00071614" w14:paraId="277F98ED" w14:textId="77777777">
      <w:pPr>
        <w:pStyle w:val="FootnoteText"/>
      </w:pPr>
      <w:r w:rsidRPr="0072600F">
        <w:rPr>
          <w:rStyle w:val="FootnoteReference"/>
        </w:rPr>
        <w:footnoteRef/>
      </w:r>
      <w:r>
        <w:t xml:space="preserve"> </w:t>
      </w:r>
      <w:r w:rsidRPr="00B74941">
        <w:rPr>
          <w:i/>
          <w:iCs/>
        </w:rPr>
        <w:t>Id.</w:t>
      </w:r>
      <w:r>
        <w:t xml:space="preserve"> P 453.</w:t>
      </w:r>
    </w:p>
  </w:footnote>
  <w:footnote w:id="277">
    <w:p w:rsidR="00760048" w:rsidRPr="006F6B0F" w14:paraId="651A96D5" w14:textId="77777777">
      <w:pPr>
        <w:pStyle w:val="FootnoteText"/>
      </w:pPr>
      <w:r w:rsidRPr="0072600F">
        <w:rPr>
          <w:rStyle w:val="FootnoteReference"/>
        </w:rPr>
        <w:footnoteRef/>
      </w:r>
      <w:r>
        <w:t xml:space="preserve"> </w:t>
      </w:r>
      <w:r>
        <w:rPr>
          <w:i/>
          <w:iCs/>
        </w:rPr>
        <w:t>Id.</w:t>
      </w:r>
      <w:r>
        <w:t xml:space="preserve"> P 454.</w:t>
      </w:r>
    </w:p>
  </w:footnote>
  <w:footnote w:id="278">
    <w:p w:rsidR="00760048" w:rsidRPr="000E6438" w14:paraId="4819684F" w14:textId="77777777">
      <w:pPr>
        <w:pStyle w:val="FootnoteText"/>
      </w:pPr>
      <w:r w:rsidRPr="0072600F">
        <w:rPr>
          <w:rStyle w:val="FootnoteReference"/>
        </w:rPr>
        <w:footnoteRef/>
      </w:r>
      <w:r>
        <w:t xml:space="preserve"> </w:t>
      </w:r>
      <w:r>
        <w:rPr>
          <w:i/>
          <w:iCs/>
        </w:rPr>
        <w:t xml:space="preserve">Id. </w:t>
      </w:r>
      <w:r>
        <w:t>P 462.</w:t>
      </w:r>
    </w:p>
  </w:footnote>
  <w:footnote w:id="279">
    <w:p w:rsidR="00760048" w:rsidRPr="00416AE5" w14:paraId="11C36D01" w14:textId="77777777">
      <w:pPr>
        <w:pStyle w:val="FootnoteText"/>
      </w:pPr>
      <w:r w:rsidRPr="0072600F">
        <w:rPr>
          <w:rStyle w:val="FootnoteReference"/>
        </w:rPr>
        <w:footnoteRef/>
      </w:r>
      <w:r>
        <w:t xml:space="preserve"> </w:t>
      </w:r>
      <w:r>
        <w:rPr>
          <w:i/>
          <w:iCs/>
        </w:rPr>
        <w:t xml:space="preserve">Id. </w:t>
      </w:r>
      <w:r>
        <w:t>P 463.</w:t>
      </w:r>
    </w:p>
  </w:footnote>
  <w:footnote w:id="280">
    <w:p w:rsidR="00760048" w:rsidP="00071614" w14:paraId="11396BB9" w14:textId="77777777">
      <w:pPr>
        <w:pStyle w:val="FootnoteText"/>
      </w:pPr>
      <w:r w:rsidRPr="0072600F">
        <w:rPr>
          <w:rStyle w:val="FootnoteReference"/>
        </w:rPr>
        <w:footnoteRef/>
      </w:r>
      <w:r>
        <w:t xml:space="preserve"> Generation Developers Rehearing Request at 3-5.</w:t>
      </w:r>
    </w:p>
  </w:footnote>
  <w:footnote w:id="281">
    <w:p w:rsidR="00760048" w14:paraId="62E66010" w14:textId="77777777">
      <w:pPr>
        <w:pStyle w:val="FootnoteText"/>
      </w:pPr>
      <w:r w:rsidRPr="0072600F">
        <w:rPr>
          <w:rStyle w:val="FootnoteReference"/>
        </w:rPr>
        <w:footnoteRef/>
      </w:r>
      <w:r>
        <w:t xml:space="preserve"> </w:t>
      </w:r>
      <w:r w:rsidRPr="00D53EFC">
        <w:rPr>
          <w:i/>
          <w:iCs/>
        </w:rPr>
        <w:t>Id.</w:t>
      </w:r>
      <w:r>
        <w:t xml:space="preserve"> at 4 (citing </w:t>
      </w:r>
      <w:r w:rsidRPr="00E25E44">
        <w:rPr>
          <w:i/>
        </w:rPr>
        <w:t>Cal. Indep. Sys. Operator Corp.</w:t>
      </w:r>
      <w:r w:rsidRPr="00EB3FA9">
        <w:t>,</w:t>
      </w:r>
      <w:r>
        <w:t xml:space="preserve"> </w:t>
      </w:r>
      <w:r w:rsidRPr="00EB3FA9">
        <w:t>141 FERC ¶ 61,237</w:t>
      </w:r>
      <w:r>
        <w:t xml:space="preserve">, at P 35 (2012)).  </w:t>
      </w:r>
    </w:p>
  </w:footnote>
  <w:footnote w:id="282">
    <w:p w:rsidR="00760048" w:rsidP="00071614" w14:paraId="3B002712" w14:textId="77777777">
      <w:pPr>
        <w:pStyle w:val="FootnoteText"/>
      </w:pPr>
      <w:r w:rsidRPr="0072600F">
        <w:rPr>
          <w:rStyle w:val="FootnoteReference"/>
        </w:rPr>
        <w:footnoteRef/>
      </w:r>
      <w:r>
        <w:t xml:space="preserve"> </w:t>
      </w:r>
      <w:r w:rsidRPr="006A3120">
        <w:t>Longroad Energy</w:t>
      </w:r>
      <w:r w:rsidRPr="006A3120">
        <w:t xml:space="preserve"> </w:t>
      </w:r>
      <w:r>
        <w:t>Rehearing Request at 4-9.</w:t>
      </w:r>
    </w:p>
  </w:footnote>
  <w:footnote w:id="283">
    <w:p w:rsidR="00760048" w:rsidP="00071614" w14:paraId="0FE7AE8A" w14:textId="77777777">
      <w:pPr>
        <w:pStyle w:val="FootnoteText"/>
      </w:pPr>
      <w:r w:rsidRPr="0072600F">
        <w:rPr>
          <w:rStyle w:val="FootnoteReference"/>
        </w:rPr>
        <w:footnoteRef/>
      </w:r>
      <w:r>
        <w:t xml:space="preserve"> </w:t>
      </w:r>
      <w:r w:rsidRPr="00936B78">
        <w:rPr>
          <w:i/>
          <w:iCs/>
        </w:rPr>
        <w:t>Id.</w:t>
      </w:r>
      <w:r>
        <w:rPr>
          <w:i/>
        </w:rPr>
        <w:t xml:space="preserve"> </w:t>
      </w:r>
      <w:r>
        <w:t>at 5-6.</w:t>
      </w:r>
    </w:p>
  </w:footnote>
  <w:footnote w:id="284">
    <w:p w:rsidR="00760048" w:rsidP="00071614" w14:paraId="461FA52C" w14:textId="77777777">
      <w:pPr>
        <w:pStyle w:val="FootnoteText"/>
      </w:pPr>
      <w:r w:rsidRPr="0072600F">
        <w:rPr>
          <w:rStyle w:val="FootnoteReference"/>
        </w:rPr>
        <w:footnoteRef/>
      </w:r>
      <w:r>
        <w:t xml:space="preserve"> </w:t>
      </w:r>
      <w:r w:rsidRPr="00936B78">
        <w:rPr>
          <w:i/>
          <w:iCs/>
        </w:rPr>
        <w:t>Id.</w:t>
      </w:r>
      <w:r>
        <w:rPr>
          <w:i/>
        </w:rPr>
        <w:t xml:space="preserve"> </w:t>
      </w:r>
      <w:r>
        <w:t xml:space="preserve">at 7-8 (citing </w:t>
      </w:r>
      <w:r w:rsidRPr="00CE03A9">
        <w:rPr>
          <w:i/>
          <w:iCs/>
        </w:rPr>
        <w:t>Tenaska Clear Creek Wind, LLC v. Sw. Power Pool, Inc.</w:t>
      </w:r>
      <w:r w:rsidRPr="00CE03A9">
        <w:t>, 177 FERC ¶ 61,200</w:t>
      </w:r>
      <w:r>
        <w:t xml:space="preserve">, </w:t>
      </w:r>
      <w:r w:rsidRPr="00745303">
        <w:rPr>
          <w:i/>
          <w:iCs/>
        </w:rPr>
        <w:t>order on compliance and reh’g</w:t>
      </w:r>
      <w:r w:rsidRPr="00FF25C9">
        <w:t xml:space="preserve">, 180 FERC ¶ 61,160, </w:t>
      </w:r>
      <w:r w:rsidR="00A84F87">
        <w:t xml:space="preserve">at </w:t>
      </w:r>
      <w:r w:rsidRPr="00FF25C9">
        <w:t>P 99</w:t>
      </w:r>
      <w:r w:rsidR="00787941">
        <w:t xml:space="preserve"> (2021)</w:t>
      </w:r>
      <w:r w:rsidRPr="00FF25C9">
        <w:t xml:space="preserve">, </w:t>
      </w:r>
      <w:r w:rsidRPr="00745303">
        <w:rPr>
          <w:i/>
          <w:iCs/>
        </w:rPr>
        <w:t>reh’g denied by operation of law</w:t>
      </w:r>
      <w:r w:rsidRPr="00FF25C9">
        <w:t xml:space="preserve">, 181 FERC ¶ 62,090 (2022), </w:t>
      </w:r>
      <w:r w:rsidRPr="00745303">
        <w:rPr>
          <w:i/>
          <w:iCs/>
        </w:rPr>
        <w:t>order addressing arguments on reh’g and denying motion for stay</w:t>
      </w:r>
      <w:r w:rsidRPr="00FF25C9">
        <w:t xml:space="preserve">, 182 FERC ¶ 61,084, </w:t>
      </w:r>
      <w:r w:rsidR="0009281F">
        <w:t xml:space="preserve">at </w:t>
      </w:r>
      <w:r w:rsidRPr="00FF25C9">
        <w:t>PP 33, 36 (2023)</w:t>
      </w:r>
      <w:r>
        <w:t xml:space="preserve">; </w:t>
      </w:r>
      <w:r w:rsidRPr="00CE03A9">
        <w:rPr>
          <w:i/>
          <w:iCs/>
        </w:rPr>
        <w:t>Midcontinent Indep. Sys. Operator, Inc.</w:t>
      </w:r>
      <w:r w:rsidRPr="00CE03A9">
        <w:t>, 171 FERC ¶ 61,236</w:t>
      </w:r>
      <w:r w:rsidRPr="003E4B3F">
        <w:t xml:space="preserve">, </w:t>
      </w:r>
      <w:r w:rsidR="0009281F">
        <w:t xml:space="preserve">at </w:t>
      </w:r>
      <w:r w:rsidRPr="003E4B3F">
        <w:t xml:space="preserve">PP 44, 56, </w:t>
      </w:r>
      <w:r w:rsidRPr="00745303">
        <w:rPr>
          <w:i/>
          <w:iCs/>
        </w:rPr>
        <w:t>reh’g denied by operation of law</w:t>
      </w:r>
      <w:r w:rsidRPr="003E4B3F">
        <w:t xml:space="preserve">, 172 FERC ¶ 62,102, </w:t>
      </w:r>
      <w:r w:rsidRPr="00745303">
        <w:rPr>
          <w:i/>
          <w:iCs/>
        </w:rPr>
        <w:t>order addressing arguments on reh’g</w:t>
      </w:r>
      <w:r w:rsidRPr="003E4B3F">
        <w:t>, 172 FERC ¶ 61,235 (2020)</w:t>
      </w:r>
      <w:r>
        <w:t>).</w:t>
      </w:r>
    </w:p>
  </w:footnote>
  <w:footnote w:id="285">
    <w:p w:rsidR="00760048" w:rsidP="00071614" w14:paraId="471055F0" w14:textId="77777777">
      <w:pPr>
        <w:pStyle w:val="FootnoteText"/>
      </w:pPr>
      <w:r w:rsidRPr="0072600F">
        <w:rPr>
          <w:rStyle w:val="FootnoteReference"/>
        </w:rPr>
        <w:footnoteRef/>
      </w:r>
      <w:r>
        <w:t xml:space="preserve"> </w:t>
      </w:r>
      <w:r w:rsidRPr="00936B78">
        <w:rPr>
          <w:i/>
          <w:iCs/>
        </w:rPr>
        <w:t>Id.</w:t>
      </w:r>
      <w:r>
        <w:rPr>
          <w:i/>
        </w:rPr>
        <w:t xml:space="preserve"> </w:t>
      </w:r>
      <w:r>
        <w:t>at 8-9.</w:t>
      </w:r>
    </w:p>
  </w:footnote>
  <w:footnote w:id="286">
    <w:p w:rsidR="00760048" w:rsidP="00071614" w14:paraId="58BDA091" w14:textId="77777777">
      <w:pPr>
        <w:pStyle w:val="FootnoteText"/>
      </w:pPr>
      <w:r w:rsidRPr="0072600F">
        <w:rPr>
          <w:rStyle w:val="FootnoteReference"/>
        </w:rPr>
        <w:footnoteRef/>
      </w:r>
      <w:r>
        <w:t xml:space="preserve"> Clean Energy Associations Rehearing Request at 54-55.</w:t>
      </w:r>
    </w:p>
  </w:footnote>
  <w:footnote w:id="287">
    <w:p w:rsidR="00760048" w:rsidP="00071614" w14:paraId="7DC5C658" w14:textId="77777777">
      <w:pPr>
        <w:pStyle w:val="FootnoteText"/>
      </w:pPr>
      <w:r w:rsidRPr="0072600F">
        <w:rPr>
          <w:rStyle w:val="FootnoteReference"/>
        </w:rPr>
        <w:footnoteRef/>
      </w:r>
      <w:r>
        <w:t xml:space="preserve"> </w:t>
      </w:r>
      <w:r w:rsidRPr="00936B78">
        <w:rPr>
          <w:i/>
          <w:iCs/>
        </w:rPr>
        <w:t>Id.</w:t>
      </w:r>
      <w:r>
        <w:rPr>
          <w:i/>
        </w:rPr>
        <w:t xml:space="preserve"> </w:t>
      </w:r>
      <w:r>
        <w:t>at 55-56.</w:t>
      </w:r>
    </w:p>
  </w:footnote>
  <w:footnote w:id="288">
    <w:p w:rsidR="00760048" w14:paraId="27571ED9" w14:textId="77777777">
      <w:pPr>
        <w:pStyle w:val="FootnoteText"/>
      </w:pPr>
      <w:r w:rsidRPr="0072600F">
        <w:rPr>
          <w:rStyle w:val="FootnoteReference"/>
        </w:rPr>
        <w:footnoteRef/>
      </w:r>
      <w:r>
        <w:t xml:space="preserve"> Order No. 2023, </w:t>
      </w:r>
      <w:r w:rsidRPr="00B76700">
        <w:t>184 FERC ¶ 61,054</w:t>
      </w:r>
      <w:r>
        <w:t xml:space="preserve"> at P 463.</w:t>
      </w:r>
    </w:p>
  </w:footnote>
  <w:footnote w:id="289">
    <w:p w:rsidR="00760048" w:rsidP="00071614" w14:paraId="54472E7E" w14:textId="77777777">
      <w:pPr>
        <w:pStyle w:val="FootnoteText"/>
      </w:pPr>
      <w:r w:rsidRPr="0072600F">
        <w:rPr>
          <w:rStyle w:val="FootnoteReference"/>
        </w:rPr>
        <w:footnoteRef/>
      </w:r>
      <w:r>
        <w:t xml:space="preserve"> </w:t>
      </w:r>
      <w:r w:rsidRPr="009B6A89">
        <w:rPr>
          <w:i/>
          <w:iCs/>
        </w:rPr>
        <w:t>Id.</w:t>
      </w:r>
      <w:r>
        <w:t xml:space="preserve"> PP 486-488.</w:t>
      </w:r>
    </w:p>
  </w:footnote>
  <w:footnote w:id="290">
    <w:p w:rsidR="00760048" w:rsidP="00071614" w14:paraId="49CF7270" w14:textId="77777777">
      <w:pPr>
        <w:pStyle w:val="FootnoteText"/>
      </w:pPr>
      <w:r w:rsidRPr="0072600F">
        <w:rPr>
          <w:rStyle w:val="FootnoteReference"/>
        </w:rPr>
        <w:footnoteRef/>
      </w:r>
      <w:r>
        <w:t xml:space="preserve"> Shell Rehearing Request at 14-15.</w:t>
      </w:r>
    </w:p>
  </w:footnote>
  <w:footnote w:id="291">
    <w:p w:rsidR="00760048" w14:paraId="36660449" w14:textId="77777777">
      <w:pPr>
        <w:pStyle w:val="FootnoteText"/>
      </w:pPr>
      <w:r w:rsidRPr="0072600F">
        <w:rPr>
          <w:rStyle w:val="FootnoteReference"/>
        </w:rPr>
        <w:footnoteRef/>
      </w:r>
      <w:r>
        <w:t xml:space="preserve"> Order No. 2023, </w:t>
      </w:r>
      <w:r w:rsidRPr="00B76700">
        <w:t>184 FERC ¶ 61,054</w:t>
      </w:r>
      <w:r>
        <w:t xml:space="preserve"> at P 690.</w:t>
      </w:r>
    </w:p>
  </w:footnote>
  <w:footnote w:id="292">
    <w:p w:rsidR="00760048" w14:paraId="02BF36F2" w14:textId="77777777">
      <w:pPr>
        <w:pStyle w:val="FootnoteText"/>
      </w:pPr>
      <w:r w:rsidRPr="0072600F">
        <w:rPr>
          <w:rStyle w:val="FootnoteReference"/>
        </w:rPr>
        <w:footnoteRef/>
      </w:r>
      <w:r>
        <w:t xml:space="preserve"> </w:t>
      </w:r>
      <w:r w:rsidRPr="00EF0E6F">
        <w:rPr>
          <w:i/>
        </w:rPr>
        <w:t>Id.</w:t>
      </w:r>
      <w:r>
        <w:t xml:space="preserve"> P 1193.</w:t>
      </w:r>
    </w:p>
  </w:footnote>
  <w:footnote w:id="293">
    <w:p w:rsidR="00760048" w:rsidP="00071614" w14:paraId="7CAB8DE5" w14:textId="77777777">
      <w:pPr>
        <w:pStyle w:val="FootnoteText"/>
      </w:pPr>
      <w:r w:rsidRPr="0072600F">
        <w:rPr>
          <w:rStyle w:val="FootnoteReference"/>
        </w:rPr>
        <w:footnoteRef/>
      </w:r>
      <w:r>
        <w:t xml:space="preserve"> Clean Energy Associations Rehearing Request at 63-65.</w:t>
      </w:r>
    </w:p>
  </w:footnote>
  <w:footnote w:id="294">
    <w:p w:rsidR="00760048" w:rsidP="00071614" w14:paraId="5C6F7BEF" w14:textId="77777777">
      <w:pPr>
        <w:pStyle w:val="FootnoteText"/>
      </w:pPr>
      <w:r w:rsidRPr="0072600F">
        <w:rPr>
          <w:rStyle w:val="FootnoteReference"/>
        </w:rPr>
        <w:footnoteRef/>
      </w:r>
      <w:r>
        <w:t xml:space="preserve"> </w:t>
      </w:r>
      <w:r>
        <w:t>Longroad Energy Rehearing Request at 12.</w:t>
      </w:r>
    </w:p>
  </w:footnote>
  <w:footnote w:id="295">
    <w:p w:rsidR="00760048" w:rsidP="00071614" w14:paraId="3BF26667" w14:textId="77777777">
      <w:pPr>
        <w:pStyle w:val="FootnoteText"/>
      </w:pPr>
      <w:r w:rsidRPr="0072600F">
        <w:rPr>
          <w:rStyle w:val="FootnoteReference"/>
        </w:rPr>
        <w:footnoteRef/>
      </w:r>
      <w:r>
        <w:t xml:space="preserve"> </w:t>
      </w:r>
      <w:r w:rsidRPr="00B51276">
        <w:rPr>
          <w:i/>
          <w:iCs/>
        </w:rPr>
        <w:t>Id.</w:t>
      </w:r>
      <w:r w:rsidRPr="00B51276">
        <w:rPr>
          <w:i/>
        </w:rPr>
        <w:t xml:space="preserve"> </w:t>
      </w:r>
      <w:r>
        <w:t>at 9-14.</w:t>
      </w:r>
    </w:p>
  </w:footnote>
  <w:footnote w:id="296">
    <w:p w:rsidR="00760048" w:rsidP="00071614" w14:paraId="5D4F4A71" w14:textId="77777777">
      <w:pPr>
        <w:pStyle w:val="FootnoteText"/>
      </w:pPr>
      <w:r w:rsidRPr="0072600F">
        <w:rPr>
          <w:rStyle w:val="FootnoteReference"/>
        </w:rPr>
        <w:footnoteRef/>
      </w:r>
      <w:r>
        <w:t xml:space="preserve"> </w:t>
      </w:r>
      <w:r w:rsidRPr="00936B78">
        <w:rPr>
          <w:i/>
          <w:iCs/>
        </w:rPr>
        <w:t xml:space="preserve">Id. </w:t>
      </w:r>
      <w:r>
        <w:t>at 10-11.</w:t>
      </w:r>
    </w:p>
  </w:footnote>
  <w:footnote w:id="297">
    <w:p w:rsidR="00760048" w:rsidP="00071614" w14:paraId="45E7C6C3" w14:textId="77777777">
      <w:pPr>
        <w:pStyle w:val="FootnoteText"/>
      </w:pPr>
      <w:r w:rsidRPr="0072600F">
        <w:rPr>
          <w:rStyle w:val="FootnoteReference"/>
        </w:rPr>
        <w:footnoteRef/>
      </w:r>
      <w:r>
        <w:t xml:space="preserve"> </w:t>
      </w:r>
      <w:r w:rsidRPr="00936B78">
        <w:rPr>
          <w:i/>
          <w:iCs/>
        </w:rPr>
        <w:t>Id.</w:t>
      </w:r>
      <w:r w:rsidRPr="00936B78">
        <w:rPr>
          <w:i/>
        </w:rPr>
        <w:t xml:space="preserve"> </w:t>
      </w:r>
      <w:r>
        <w:t>at 12-13.</w:t>
      </w:r>
    </w:p>
  </w:footnote>
  <w:footnote w:id="298">
    <w:p w:rsidR="00760048" w:rsidRPr="000D1B00" w:rsidP="00071614" w14:paraId="67C10E63" w14:textId="77777777">
      <w:pPr>
        <w:pStyle w:val="FootnoteText"/>
      </w:pPr>
      <w:r w:rsidRPr="0072600F">
        <w:rPr>
          <w:rStyle w:val="FootnoteReference"/>
        </w:rPr>
        <w:footnoteRef/>
      </w:r>
      <w:r>
        <w:t xml:space="preserve"> Order No. 2023, </w:t>
      </w:r>
      <w:r w:rsidRPr="00014E33">
        <w:t>184 FERC ¶ 61,054</w:t>
      </w:r>
      <w:r>
        <w:t xml:space="preserve"> at PP 502-503; </w:t>
      </w:r>
      <w:r>
        <w:rPr>
          <w:i/>
          <w:iCs/>
        </w:rPr>
        <w:t xml:space="preserve">pro forma </w:t>
      </w:r>
      <w:r>
        <w:t>LGIP section 3.1.1.1.</w:t>
      </w:r>
    </w:p>
  </w:footnote>
  <w:footnote w:id="299">
    <w:p w:rsidR="00760048" w14:paraId="7451ED37" w14:textId="77777777">
      <w:pPr>
        <w:pStyle w:val="FootnoteText"/>
      </w:pPr>
      <w:r w:rsidRPr="0072600F">
        <w:rPr>
          <w:rStyle w:val="FootnoteReference"/>
        </w:rPr>
        <w:footnoteRef/>
      </w:r>
      <w:r>
        <w:t xml:space="preserve"> Order No. 2023, </w:t>
      </w:r>
      <w:r w:rsidRPr="00014E33">
        <w:t>184 FERC ¶ 61,054</w:t>
      </w:r>
      <w:r>
        <w:t xml:space="preserve"> at P 505.</w:t>
      </w:r>
    </w:p>
  </w:footnote>
  <w:footnote w:id="300">
    <w:p w:rsidR="00760048" w14:paraId="06063D7C" w14:textId="77777777">
      <w:pPr>
        <w:pStyle w:val="FootnoteText"/>
      </w:pPr>
      <w:r w:rsidRPr="0072600F">
        <w:rPr>
          <w:rStyle w:val="FootnoteReference"/>
        </w:rPr>
        <w:footnoteRef/>
      </w:r>
      <w:r>
        <w:t xml:space="preserve"> </w:t>
      </w:r>
      <w:r w:rsidRPr="00B51276">
        <w:rPr>
          <w:i/>
        </w:rPr>
        <w:t xml:space="preserve">Small Generator Interconnection Agreements </w:t>
      </w:r>
      <w:r w:rsidR="00787941">
        <w:rPr>
          <w:i/>
        </w:rPr>
        <w:t>&amp;</w:t>
      </w:r>
      <w:r w:rsidRPr="00B51276" w:rsidR="00787941">
        <w:rPr>
          <w:i/>
        </w:rPr>
        <w:t xml:space="preserve"> </w:t>
      </w:r>
      <w:r w:rsidRPr="00B51276">
        <w:rPr>
          <w:i/>
        </w:rPr>
        <w:t>Procs</w:t>
      </w:r>
      <w:r w:rsidR="00787941">
        <w:rPr>
          <w:i/>
        </w:rPr>
        <w:t>.</w:t>
      </w:r>
      <w:r>
        <w:t xml:space="preserve">, Order No. 792, </w:t>
      </w:r>
      <w:r w:rsidRPr="00787941" w:rsidR="00787941">
        <w:t>78 FR 73240 (Dec. 5, 2013),</w:t>
      </w:r>
      <w:r w:rsidR="00787941">
        <w:t xml:space="preserve"> </w:t>
      </w:r>
      <w:r>
        <w:t>145 FERC ¶ 61,159, at PP 232, 235 (2013).</w:t>
      </w:r>
    </w:p>
  </w:footnote>
  <w:footnote w:id="301">
    <w:p w:rsidR="00760048" w:rsidRPr="006F7C2B" w:rsidP="00071614" w14:paraId="3871841B" w14:textId="77777777">
      <w:pPr>
        <w:pStyle w:val="FootnoteText"/>
        <w:rPr>
          <w:b/>
        </w:rPr>
      </w:pPr>
      <w:r w:rsidRPr="0072600F">
        <w:rPr>
          <w:rStyle w:val="FootnoteReference"/>
        </w:rPr>
        <w:footnoteRef/>
      </w:r>
      <w:r w:rsidRPr="006F7C2B">
        <w:t xml:space="preserve"> </w:t>
      </w:r>
      <w:r>
        <w:t>Order No. 2023,</w:t>
      </w:r>
      <w:r w:rsidRPr="006F7C2B">
        <w:t xml:space="preserve"> </w:t>
      </w:r>
      <w:r w:rsidRPr="00FA0D4C">
        <w:t>184 FERC</w:t>
      </w:r>
      <w:r>
        <w:t xml:space="preserve"> ¶</w:t>
      </w:r>
      <w:r w:rsidRPr="00FA0D4C">
        <w:t xml:space="preserve"> 61,054</w:t>
      </w:r>
      <w:r>
        <w:t xml:space="preserve"> </w:t>
      </w:r>
      <w:r w:rsidRPr="006F7C2B">
        <w:t xml:space="preserve">at P </w:t>
      </w:r>
      <w:r>
        <w:t>583</w:t>
      </w:r>
      <w:r w:rsidRPr="006F7C2B">
        <w:t>.</w:t>
      </w:r>
    </w:p>
  </w:footnote>
  <w:footnote w:id="302">
    <w:p w:rsidR="00760048" w:rsidRPr="00B454FA" w:rsidP="00071614" w14:paraId="75E5D347" w14:textId="77777777">
      <w:pPr>
        <w:pStyle w:val="FootnoteText"/>
        <w:rPr>
          <w:szCs w:val="26"/>
        </w:rPr>
      </w:pPr>
      <w:r w:rsidRPr="0072600F">
        <w:rPr>
          <w:rStyle w:val="FootnoteReference"/>
        </w:rPr>
        <w:footnoteRef/>
      </w:r>
      <w:r>
        <w:t xml:space="preserve"> </w:t>
      </w:r>
      <w:r w:rsidRPr="00936B78">
        <w:rPr>
          <w:i/>
          <w:iCs/>
        </w:rPr>
        <w:t>Id.</w:t>
      </w:r>
      <w:r>
        <w:rPr>
          <w:i/>
        </w:rPr>
        <w:t xml:space="preserve"> </w:t>
      </w:r>
      <w:r w:rsidRPr="006F7C2B">
        <w:t xml:space="preserve">P </w:t>
      </w:r>
      <w:r w:rsidRPr="00B454FA">
        <w:rPr>
          <w:szCs w:val="26"/>
        </w:rPr>
        <w:t xml:space="preserve">584 (“Site Control shall mean the exclusive land right to develop, construct, operate, and maintain the Generating Facility over the term of expected operation of the Generating Facility.  Site Control may be demonstrated by documentation establishing: </w:t>
      </w:r>
      <w:r>
        <w:rPr>
          <w:szCs w:val="26"/>
        </w:rPr>
        <w:t xml:space="preserve"> </w:t>
      </w:r>
      <w:r w:rsidRPr="00B454FA">
        <w:rPr>
          <w:szCs w:val="26"/>
        </w:rPr>
        <w:t>(1) ownership of, a leasehold interest in, or a right to develop a site of sufficient size to construct and operate the Generating Facility; (2) an option to purchase or acquire a leasehold site of sufficient size to construct and operate the Generating Facility for such purpose; or (3) any other documentation that clearly demonstrates the right of Interconnection Customer to exclusively occupy a site of sufficient size to construct and operate the Generating Facility.  Transmission Provider will maintain acreage requirements for each Generating Facility type on its OASIS or public website.”).</w:t>
      </w:r>
    </w:p>
  </w:footnote>
  <w:footnote w:id="303">
    <w:p w:rsidR="00760048" w:rsidRPr="00FA0D4C" w:rsidP="00071614" w14:paraId="0CE731F9" w14:textId="77777777">
      <w:pPr>
        <w:pStyle w:val="FootnoteText"/>
        <w:rPr>
          <w:b/>
        </w:rPr>
      </w:pPr>
      <w:r w:rsidRPr="0072600F">
        <w:rPr>
          <w:rStyle w:val="FootnoteReference"/>
        </w:rPr>
        <w:footnoteRef/>
      </w:r>
      <w:r>
        <w:t xml:space="preserve"> </w:t>
      </w:r>
      <w:r w:rsidRPr="00936B78">
        <w:rPr>
          <w:i/>
          <w:iCs/>
        </w:rPr>
        <w:t>Id.</w:t>
      </w:r>
      <w:r>
        <w:rPr>
          <w:i/>
        </w:rPr>
        <w:t xml:space="preserve"> </w:t>
      </w:r>
      <w:r w:rsidRPr="006F7C2B">
        <w:t xml:space="preserve">P </w:t>
      </w:r>
      <w:r>
        <w:t>605</w:t>
      </w:r>
      <w:r w:rsidRPr="006F7C2B">
        <w:t>.</w:t>
      </w:r>
    </w:p>
  </w:footnote>
  <w:footnote w:id="304">
    <w:p w:rsidR="00760048" w:rsidP="00071614" w14:paraId="1C74D595" w14:textId="77777777">
      <w:pPr>
        <w:pStyle w:val="FootnoteText"/>
      </w:pPr>
      <w:r w:rsidRPr="0072600F">
        <w:rPr>
          <w:rStyle w:val="FootnoteReference"/>
        </w:rPr>
        <w:footnoteRef/>
      </w:r>
      <w:r>
        <w:t xml:space="preserve"> </w:t>
      </w:r>
      <w:r w:rsidRPr="00936B78">
        <w:rPr>
          <w:i/>
          <w:iCs/>
        </w:rPr>
        <w:t>Id.</w:t>
      </w:r>
      <w:r>
        <w:rPr>
          <w:i/>
        </w:rPr>
        <w:t xml:space="preserve"> </w:t>
      </w:r>
      <w:r w:rsidRPr="006F7C2B">
        <w:t xml:space="preserve">P </w:t>
      </w:r>
      <w:r>
        <w:t>612</w:t>
      </w:r>
      <w:r w:rsidRPr="006F7C2B">
        <w:t>.</w:t>
      </w:r>
    </w:p>
  </w:footnote>
  <w:footnote w:id="305">
    <w:p w:rsidR="00760048" w:rsidRPr="00FA0D4C" w:rsidP="00071614" w14:paraId="49326A7A" w14:textId="77777777">
      <w:pPr>
        <w:pStyle w:val="FootnoteText"/>
        <w:rPr>
          <w:b/>
        </w:rPr>
      </w:pPr>
      <w:r w:rsidRPr="0072600F">
        <w:rPr>
          <w:rStyle w:val="FootnoteReference"/>
        </w:rPr>
        <w:footnoteRef/>
      </w:r>
      <w:r>
        <w:t xml:space="preserve"> </w:t>
      </w:r>
      <w:r w:rsidRPr="00936B78">
        <w:rPr>
          <w:i/>
          <w:iCs/>
        </w:rPr>
        <w:t>Id.</w:t>
      </w:r>
      <w:r>
        <w:rPr>
          <w:i/>
        </w:rPr>
        <w:t xml:space="preserve"> </w:t>
      </w:r>
      <w:r w:rsidRPr="006F7C2B">
        <w:t xml:space="preserve">P </w:t>
      </w:r>
      <w:r>
        <w:t>604</w:t>
      </w:r>
      <w:r w:rsidRPr="006F7C2B">
        <w:t>.</w:t>
      </w:r>
    </w:p>
  </w:footnote>
  <w:footnote w:id="306">
    <w:p w:rsidR="00760048" w:rsidP="00071614" w14:paraId="2E2BB0C0" w14:textId="77777777">
      <w:pPr>
        <w:pStyle w:val="FootnoteText"/>
      </w:pPr>
      <w:r w:rsidRPr="0072600F">
        <w:rPr>
          <w:rStyle w:val="FootnoteReference"/>
        </w:rPr>
        <w:footnoteRef/>
      </w:r>
      <w:r>
        <w:t xml:space="preserve"> </w:t>
      </w:r>
      <w:r w:rsidRPr="0051242C">
        <w:t>IPP Coalition</w:t>
      </w:r>
      <w:r w:rsidRPr="0051242C">
        <w:t xml:space="preserve"> </w:t>
      </w:r>
      <w:r>
        <w:t>Rehearing Request at 6.</w:t>
      </w:r>
    </w:p>
  </w:footnote>
  <w:footnote w:id="307">
    <w:p w:rsidR="00760048" w:rsidP="00071614" w14:paraId="5D2874D7" w14:textId="77777777">
      <w:pPr>
        <w:pStyle w:val="FootnoteText"/>
      </w:pPr>
      <w:r w:rsidRPr="0072600F">
        <w:rPr>
          <w:rStyle w:val="FootnoteReference"/>
        </w:rPr>
        <w:footnoteRef/>
      </w:r>
      <w:r>
        <w:t xml:space="preserve"> </w:t>
      </w:r>
      <w:r w:rsidRPr="00936B78">
        <w:rPr>
          <w:i/>
          <w:iCs/>
        </w:rPr>
        <w:t>Id.</w:t>
      </w:r>
      <w:r>
        <w:rPr>
          <w:i/>
        </w:rPr>
        <w:t xml:space="preserve"> </w:t>
      </w:r>
      <w:r>
        <w:t>at 3-4 (citing AEE Initial Comments at 18; AEP Initial Comments at 21-23; Cypress Creek Initial Comments at 22; Enel Initial Comments at 41-42; MISO Initial Comments at 56; National Grid Initial Comments at 22-23; and Shell Reply Comments at 23).</w:t>
      </w:r>
    </w:p>
  </w:footnote>
  <w:footnote w:id="308">
    <w:p w:rsidR="00760048" w:rsidP="00071614" w14:paraId="741733B2" w14:textId="77777777">
      <w:pPr>
        <w:pStyle w:val="FootnoteText"/>
      </w:pPr>
      <w:r w:rsidRPr="0072600F">
        <w:rPr>
          <w:rStyle w:val="FootnoteReference"/>
        </w:rPr>
        <w:footnoteRef/>
      </w:r>
      <w:r>
        <w:t xml:space="preserve"> </w:t>
      </w:r>
      <w:r w:rsidRPr="00936B78">
        <w:rPr>
          <w:i/>
          <w:iCs/>
        </w:rPr>
        <w:t>Id.</w:t>
      </w:r>
      <w:r>
        <w:rPr>
          <w:i/>
        </w:rPr>
        <w:t xml:space="preserve"> </w:t>
      </w:r>
      <w:r>
        <w:t>at 4-5 (citing</w:t>
      </w:r>
      <w:r w:rsidRPr="00347F83">
        <w:t xml:space="preserve"> Order No. 2023</w:t>
      </w:r>
      <w:r>
        <w:t xml:space="preserve">, </w:t>
      </w:r>
      <w:r w:rsidRPr="00FA0D4C">
        <w:t>184 FERC</w:t>
      </w:r>
      <w:r>
        <w:t xml:space="preserve"> ¶</w:t>
      </w:r>
      <w:r w:rsidRPr="00FA0D4C">
        <w:t xml:space="preserve"> 61,054</w:t>
      </w:r>
      <w:r w:rsidRPr="00347F83">
        <w:t xml:space="preserve"> at P</w:t>
      </w:r>
      <w:r>
        <w:t>P</w:t>
      </w:r>
      <w:r w:rsidRPr="00347F83">
        <w:t xml:space="preserve"> 53</w:t>
      </w:r>
      <w:r>
        <w:t>7-539).</w:t>
      </w:r>
    </w:p>
  </w:footnote>
  <w:footnote w:id="309">
    <w:p w:rsidR="00760048" w:rsidP="00071614" w14:paraId="39271A77" w14:textId="77777777">
      <w:pPr>
        <w:pStyle w:val="FootnoteText"/>
      </w:pPr>
      <w:r w:rsidRPr="0072600F">
        <w:rPr>
          <w:rStyle w:val="FootnoteReference"/>
        </w:rPr>
        <w:footnoteRef/>
      </w:r>
      <w:r>
        <w:t xml:space="preserve"> Clean Energy Associations Rehearing Request at 63.</w:t>
      </w:r>
    </w:p>
  </w:footnote>
  <w:footnote w:id="310">
    <w:p w:rsidR="00760048" w:rsidP="00071614" w14:paraId="2C2F292A" w14:textId="77777777">
      <w:pPr>
        <w:pStyle w:val="FootnoteText"/>
      </w:pPr>
      <w:r w:rsidRPr="0072600F">
        <w:rPr>
          <w:rStyle w:val="FootnoteReference"/>
        </w:rPr>
        <w:footnoteRef/>
      </w:r>
      <w:r>
        <w:t xml:space="preserve"> </w:t>
      </w:r>
      <w:r w:rsidRPr="00936B78">
        <w:rPr>
          <w:i/>
          <w:iCs/>
        </w:rPr>
        <w:t>Id.</w:t>
      </w:r>
      <w:r>
        <w:rPr>
          <w:i/>
        </w:rPr>
        <w:t xml:space="preserve"> </w:t>
      </w:r>
      <w:r>
        <w:t>at 61.</w:t>
      </w:r>
    </w:p>
  </w:footnote>
  <w:footnote w:id="311">
    <w:p w:rsidR="00760048" w:rsidP="00071614" w14:paraId="284AF33F" w14:textId="77777777">
      <w:pPr>
        <w:pStyle w:val="FootnoteText"/>
      </w:pPr>
      <w:r w:rsidRPr="0072600F">
        <w:rPr>
          <w:rStyle w:val="FootnoteReference"/>
        </w:rPr>
        <w:footnoteRef/>
      </w:r>
      <w:r>
        <w:t xml:space="preserve"> Clean Energy Associations states that the standard industry practice is to execute a development lease with a development term and an extended term.  Clean Energy Associations explain that the development term typically lasts until the start of construction, is less than ten years, and expires if not extended by the interconnection customer.  Clean Energy Associations further explain that, when an interconnection customer is ready to begin construction, the lease grants the customer the unilateral right to enter the extended term at a pre-determined higher payment rate.  </w:t>
      </w:r>
      <w:r w:rsidRPr="007D44F5">
        <w:rPr>
          <w:i/>
          <w:iCs/>
        </w:rPr>
        <w:t>Id.</w:t>
      </w:r>
      <w:r>
        <w:t xml:space="preserve"> </w:t>
      </w:r>
    </w:p>
  </w:footnote>
  <w:footnote w:id="312">
    <w:p w:rsidR="00760048" w14:paraId="5E627A32" w14:textId="77777777">
      <w:pPr>
        <w:pStyle w:val="FootnoteText"/>
      </w:pPr>
      <w:r w:rsidRPr="0072600F">
        <w:rPr>
          <w:rStyle w:val="FootnoteReference"/>
        </w:rPr>
        <w:footnoteRef/>
      </w:r>
      <w:r>
        <w:t xml:space="preserve"> </w:t>
      </w:r>
      <w:r w:rsidRPr="00936B78">
        <w:rPr>
          <w:i/>
          <w:iCs/>
        </w:rPr>
        <w:t>Id.</w:t>
      </w:r>
      <w:r>
        <w:rPr>
          <w:i/>
        </w:rPr>
        <w:t xml:space="preserve"> </w:t>
      </w:r>
      <w:r>
        <w:t>at 62-63.</w:t>
      </w:r>
    </w:p>
  </w:footnote>
  <w:footnote w:id="313">
    <w:p w:rsidR="00760048" w:rsidP="00071614" w14:paraId="02F6C6DB" w14:textId="77777777">
      <w:pPr>
        <w:pStyle w:val="FootnoteText"/>
      </w:pPr>
      <w:r w:rsidRPr="0072600F">
        <w:rPr>
          <w:rStyle w:val="FootnoteReference"/>
        </w:rPr>
        <w:footnoteRef/>
      </w:r>
      <w:r>
        <w:t xml:space="preserve"> </w:t>
      </w:r>
      <w:r>
        <w:t>ACP Clarification Request at 1-3.</w:t>
      </w:r>
    </w:p>
  </w:footnote>
  <w:footnote w:id="314">
    <w:p w:rsidR="00760048" w:rsidP="00071614" w14:paraId="5037683E" w14:textId="77777777">
      <w:pPr>
        <w:pStyle w:val="FootnoteText"/>
      </w:pPr>
      <w:r w:rsidRPr="0072600F">
        <w:rPr>
          <w:rStyle w:val="FootnoteReference"/>
        </w:rPr>
        <w:footnoteRef/>
      </w:r>
      <w:r>
        <w:t xml:space="preserve"> </w:t>
      </w:r>
      <w:r w:rsidRPr="00936B78">
        <w:rPr>
          <w:i/>
          <w:iCs/>
        </w:rPr>
        <w:t>Id.</w:t>
      </w:r>
      <w:r>
        <w:t xml:space="preserve"> at 3 (also arguing that </w:t>
      </w:r>
      <w:r w:rsidRPr="00997838">
        <w:t>lease options available in dense urban areas typically have shorter terms than the phases of interconnection studies that determine project feasibility and capacity deliverability, which in turn can serve to justify more definitive site control</w:t>
      </w:r>
      <w:r>
        <w:t>).</w:t>
      </w:r>
    </w:p>
  </w:footnote>
  <w:footnote w:id="315">
    <w:p w:rsidR="00760048" w:rsidP="00071614" w14:paraId="78A70490" w14:textId="77777777">
      <w:pPr>
        <w:pStyle w:val="FootnoteText"/>
      </w:pPr>
      <w:r w:rsidRPr="0072600F">
        <w:rPr>
          <w:rStyle w:val="FootnoteReference"/>
        </w:rPr>
        <w:footnoteRef/>
      </w:r>
      <w:r>
        <w:t xml:space="preserve"> </w:t>
      </w:r>
      <w:r w:rsidRPr="00936B78">
        <w:rPr>
          <w:i/>
          <w:iCs/>
        </w:rPr>
        <w:t>Id.</w:t>
      </w:r>
      <w:r>
        <w:rPr>
          <w:i/>
        </w:rPr>
        <w:t xml:space="preserve"> </w:t>
      </w:r>
      <w:r>
        <w:t>at 4.</w:t>
      </w:r>
    </w:p>
  </w:footnote>
  <w:footnote w:id="316">
    <w:p w:rsidR="002C71EE" w14:paraId="3A670AB0" w14:textId="77777777">
      <w:pPr>
        <w:pStyle w:val="FootnoteText"/>
      </w:pPr>
      <w:r>
        <w:rPr>
          <w:rStyle w:val="FootnoteReference"/>
        </w:rPr>
        <w:footnoteRef/>
      </w:r>
      <w:r>
        <w:t xml:space="preserve"> </w:t>
      </w:r>
      <w:r w:rsidRPr="00AB3FCA" w:rsidR="00AB3FCA">
        <w:t>Ørsted</w:t>
      </w:r>
      <w:r w:rsidR="00AB3FCA">
        <w:t xml:space="preserve"> </w:t>
      </w:r>
      <w:r w:rsidR="006B26D3">
        <w:t xml:space="preserve">Rehearing Request at </w:t>
      </w:r>
      <w:r w:rsidR="00413E3C">
        <w:t>11.</w:t>
      </w:r>
    </w:p>
  </w:footnote>
  <w:footnote w:id="317">
    <w:p w:rsidR="00760048" w:rsidP="00071614" w14:paraId="1E11DDE0" w14:textId="77777777">
      <w:pPr>
        <w:pStyle w:val="FootnoteText"/>
      </w:pPr>
      <w:r w:rsidRPr="0072600F">
        <w:rPr>
          <w:rStyle w:val="FootnoteReference"/>
        </w:rPr>
        <w:footnoteRef/>
      </w:r>
      <w:r>
        <w:t xml:space="preserve"> Order No. 2023, </w:t>
      </w:r>
      <w:r w:rsidRPr="00F93738">
        <w:t>184 FERC ¶ 61,054</w:t>
      </w:r>
      <w:r>
        <w:t xml:space="preserve"> at PP 535-539.</w:t>
      </w:r>
    </w:p>
  </w:footnote>
  <w:footnote w:id="318">
    <w:p w:rsidR="00760048" w14:paraId="2E79AF58" w14:textId="77777777">
      <w:pPr>
        <w:pStyle w:val="FootnoteText"/>
      </w:pPr>
      <w:r w:rsidRPr="0072600F">
        <w:rPr>
          <w:rStyle w:val="FootnoteReference"/>
        </w:rPr>
        <w:footnoteRef/>
      </w:r>
      <w:r w:rsidRPr="004A0314">
        <w:t xml:space="preserve"> </w:t>
      </w:r>
      <w:r w:rsidRPr="00936B78">
        <w:rPr>
          <w:i/>
          <w:iCs/>
        </w:rPr>
        <w:t>Id.</w:t>
      </w:r>
      <w:r>
        <w:rPr>
          <w:i/>
        </w:rPr>
        <w:t xml:space="preserve"> </w:t>
      </w:r>
      <w:r>
        <w:t>P 535.</w:t>
      </w:r>
    </w:p>
  </w:footnote>
  <w:footnote w:id="319">
    <w:p w:rsidR="00760048" w14:paraId="0D489C10" w14:textId="77777777">
      <w:pPr>
        <w:pStyle w:val="FootnoteText"/>
      </w:pPr>
      <w:r w:rsidRPr="0072600F">
        <w:rPr>
          <w:rStyle w:val="FootnoteReference"/>
        </w:rPr>
        <w:footnoteRef/>
      </w:r>
      <w:r>
        <w:t xml:space="preserve"> </w:t>
      </w:r>
      <w:r w:rsidRPr="005F542A">
        <w:t xml:space="preserve">NOPR, 179 FERC ¶ 61,194, </w:t>
      </w:r>
      <w:r w:rsidR="00787941">
        <w:t>at a</w:t>
      </w:r>
      <w:r w:rsidRPr="005F542A">
        <w:t xml:space="preserve">pp. </w:t>
      </w:r>
      <w:r>
        <w:t>B</w:t>
      </w:r>
      <w:r w:rsidRPr="005F542A">
        <w:t xml:space="preserve">, </w:t>
      </w:r>
      <w:r w:rsidR="00EB2161">
        <w:t>section</w:t>
      </w:r>
      <w:r>
        <w:t xml:space="preserve"> 1.</w:t>
      </w:r>
    </w:p>
  </w:footnote>
  <w:footnote w:id="320">
    <w:p w:rsidR="00760048" w14:paraId="3597C42A" w14:textId="77777777">
      <w:pPr>
        <w:pStyle w:val="FootnoteText"/>
      </w:pPr>
      <w:r w:rsidRPr="0072600F">
        <w:rPr>
          <w:rStyle w:val="FootnoteReference"/>
        </w:rPr>
        <w:footnoteRef/>
      </w:r>
      <w:r>
        <w:t xml:space="preserve"> Order No. 2023, </w:t>
      </w:r>
      <w:r w:rsidRPr="00F93738">
        <w:t>184 FERC ¶ 61,054</w:t>
      </w:r>
      <w:r>
        <w:t xml:space="preserve"> at P 690.</w:t>
      </w:r>
    </w:p>
  </w:footnote>
  <w:footnote w:id="321">
    <w:p w:rsidR="00760048" w14:paraId="1A4D5B7F" w14:textId="77777777">
      <w:pPr>
        <w:pStyle w:val="FootnoteText"/>
      </w:pPr>
      <w:r w:rsidRPr="0072600F">
        <w:rPr>
          <w:rStyle w:val="FootnoteReference"/>
        </w:rPr>
        <w:footnoteRef/>
      </w:r>
      <w:r>
        <w:t xml:space="preserve"> </w:t>
      </w:r>
      <w:r w:rsidRPr="00D57DF4">
        <w:rPr>
          <w:i/>
          <w:iCs/>
        </w:rPr>
        <w:t>Id.</w:t>
      </w:r>
      <w:r>
        <w:t xml:space="preserve"> P 691.</w:t>
      </w:r>
    </w:p>
  </w:footnote>
  <w:footnote w:id="322">
    <w:p w:rsidR="00760048" w14:paraId="24BBE19E" w14:textId="77777777">
      <w:pPr>
        <w:pStyle w:val="FootnoteText"/>
      </w:pPr>
      <w:r w:rsidRPr="0072600F">
        <w:rPr>
          <w:rStyle w:val="FootnoteReference"/>
        </w:rPr>
        <w:footnoteRef/>
      </w:r>
      <w:r>
        <w:t xml:space="preserve"> </w:t>
      </w:r>
      <w:r w:rsidRPr="00D57DF4">
        <w:rPr>
          <w:i/>
          <w:iCs/>
        </w:rPr>
        <w:t>Id.</w:t>
      </w:r>
      <w:r>
        <w:t xml:space="preserve"> P 694.</w:t>
      </w:r>
    </w:p>
  </w:footnote>
  <w:footnote w:id="323">
    <w:p w:rsidR="00760048" w14:paraId="56CB3301" w14:textId="77777777">
      <w:pPr>
        <w:pStyle w:val="FootnoteText"/>
      </w:pPr>
      <w:r w:rsidRPr="0072600F">
        <w:rPr>
          <w:rStyle w:val="FootnoteReference"/>
        </w:rPr>
        <w:footnoteRef/>
      </w:r>
      <w:r>
        <w:t xml:space="preserve"> </w:t>
      </w:r>
      <w:r w:rsidRPr="00D57DF4">
        <w:rPr>
          <w:i/>
          <w:iCs/>
        </w:rPr>
        <w:t>Id.</w:t>
      </w:r>
      <w:r>
        <w:t xml:space="preserve"> PP 695-696.</w:t>
      </w:r>
    </w:p>
  </w:footnote>
  <w:footnote w:id="324">
    <w:p w:rsidR="00760048" w14:paraId="4C708794" w14:textId="77777777">
      <w:pPr>
        <w:pStyle w:val="FootnoteText"/>
      </w:pPr>
      <w:r w:rsidRPr="0072600F">
        <w:rPr>
          <w:rStyle w:val="FootnoteReference"/>
        </w:rPr>
        <w:footnoteRef/>
      </w:r>
      <w:r>
        <w:t xml:space="preserve"> </w:t>
      </w:r>
      <w:r w:rsidRPr="00D57DF4">
        <w:rPr>
          <w:i/>
          <w:iCs/>
        </w:rPr>
        <w:t>Id.</w:t>
      </w:r>
      <w:r>
        <w:t xml:space="preserve"> P 698.</w:t>
      </w:r>
    </w:p>
  </w:footnote>
  <w:footnote w:id="325">
    <w:p w:rsidR="00760048" w14:paraId="140E06EB" w14:textId="77777777">
      <w:pPr>
        <w:pStyle w:val="FootnoteText"/>
      </w:pPr>
      <w:r w:rsidRPr="0072600F">
        <w:rPr>
          <w:rStyle w:val="FootnoteReference"/>
        </w:rPr>
        <w:footnoteRef/>
      </w:r>
      <w:r>
        <w:t xml:space="preserve"> </w:t>
      </w:r>
      <w:r w:rsidRPr="00D57DF4">
        <w:rPr>
          <w:i/>
          <w:iCs/>
        </w:rPr>
        <w:t>Id.</w:t>
      </w:r>
      <w:r>
        <w:t xml:space="preserve"> P 700.</w:t>
      </w:r>
    </w:p>
  </w:footnote>
  <w:footnote w:id="326">
    <w:p w:rsidR="00760048" w14:paraId="792C2A27" w14:textId="77777777">
      <w:pPr>
        <w:pStyle w:val="FootnoteText"/>
      </w:pPr>
      <w:r w:rsidRPr="0072600F">
        <w:rPr>
          <w:rStyle w:val="FootnoteReference"/>
        </w:rPr>
        <w:footnoteRef/>
      </w:r>
      <w:r>
        <w:t xml:space="preserve"> </w:t>
      </w:r>
      <w:r w:rsidRPr="00D57DF4">
        <w:rPr>
          <w:i/>
          <w:iCs/>
        </w:rPr>
        <w:t>Id.</w:t>
      </w:r>
      <w:r>
        <w:t xml:space="preserve"> P 701.</w:t>
      </w:r>
    </w:p>
  </w:footnote>
  <w:footnote w:id="327">
    <w:p w:rsidR="00760048" w:rsidP="00071614" w14:paraId="2E5A10A2" w14:textId="77777777">
      <w:pPr>
        <w:pStyle w:val="FootnoteText"/>
      </w:pPr>
      <w:r w:rsidRPr="0072600F">
        <w:rPr>
          <w:rStyle w:val="FootnoteReference"/>
        </w:rPr>
        <w:footnoteRef/>
      </w:r>
      <w:r>
        <w:t xml:space="preserve"> Clean Energy Associations Rehearing Request at 67.</w:t>
      </w:r>
    </w:p>
  </w:footnote>
  <w:footnote w:id="328">
    <w:p w:rsidR="00760048" w:rsidP="00071614" w14:paraId="503CD112" w14:textId="77777777">
      <w:pPr>
        <w:pStyle w:val="FootnoteText"/>
      </w:pPr>
      <w:r w:rsidRPr="0072600F">
        <w:rPr>
          <w:rStyle w:val="FootnoteReference"/>
        </w:rPr>
        <w:footnoteRef/>
      </w:r>
      <w:r>
        <w:t xml:space="preserve"> </w:t>
      </w:r>
      <w:r w:rsidRPr="00D57DF4">
        <w:rPr>
          <w:i/>
          <w:iCs/>
        </w:rPr>
        <w:t>Id.</w:t>
      </w:r>
      <w:r>
        <w:t xml:space="preserve"> (citing ACORE Reply Comments at 4; </w:t>
      </w:r>
      <w:r w:rsidR="00753757">
        <w:t>ACPA And Renew Northeast Reply Comments at 4-6</w:t>
      </w:r>
      <w:r>
        <w:t xml:space="preserve">; AEE Initial Comments at 20; AEE Reply Comments at 12; Alliant Energy Initial Comments at 5-6; Clean Energy Associations Initial Comments at 34-35; CREA/New Sun Initial Comments at 57; CREA and </w:t>
      </w:r>
      <w:r>
        <w:t>NewSun Energy Reply Comments at 22-45; Cypress Creek Initial Comments at 22-23; Enel Initial Comments at 44; ENGIE Initial Comments at 5; ENGIE Reply Comments at 2-3; EPSA Initial Comments at 9; Fervo Energy Reply Comments at 6-7; New Jersey Commission Reply Comments at 6-8; NextEra Initial Comments at 25; NextEra Reply Comments at 14-16; Pine Gate Initial Comments at 27; PIOs Initial Comments at 29-30; R Street Initial Comments at 13; SEIA Initial Comments at 25; and Vistra Initial Comments at 6).</w:t>
      </w:r>
    </w:p>
  </w:footnote>
  <w:footnote w:id="329">
    <w:p w:rsidR="00760048" w:rsidP="00071614" w14:paraId="482D7E8C" w14:textId="77777777">
      <w:pPr>
        <w:pStyle w:val="FootnoteText"/>
      </w:pPr>
      <w:r w:rsidRPr="0072600F">
        <w:rPr>
          <w:rStyle w:val="FootnoteReference"/>
        </w:rPr>
        <w:footnoteRef/>
      </w:r>
      <w:r>
        <w:t xml:space="preserve"> </w:t>
      </w:r>
      <w:r w:rsidRPr="00D57DF4">
        <w:rPr>
          <w:i/>
          <w:iCs/>
        </w:rPr>
        <w:t>Id.</w:t>
      </w:r>
      <w:r>
        <w:t xml:space="preserve"> at 68-69 (citing </w:t>
      </w:r>
      <w:r w:rsidRPr="007E084B">
        <w:t>Order No. 2023</w:t>
      </w:r>
      <w:r>
        <w:t xml:space="preserve">, </w:t>
      </w:r>
      <w:r w:rsidRPr="00F93738">
        <w:t>184 FERC ¶ 61,054</w:t>
      </w:r>
      <w:r w:rsidRPr="007E084B">
        <w:t xml:space="preserve"> at P 667</w:t>
      </w:r>
      <w:r>
        <w:t>).</w:t>
      </w:r>
    </w:p>
  </w:footnote>
  <w:footnote w:id="330">
    <w:p w:rsidR="00760048" w14:paraId="145CA6FD" w14:textId="77777777">
      <w:pPr>
        <w:pStyle w:val="FootnoteText"/>
      </w:pPr>
      <w:r w:rsidRPr="0072600F">
        <w:rPr>
          <w:rStyle w:val="FootnoteReference"/>
        </w:rPr>
        <w:footnoteRef/>
      </w:r>
      <w:r>
        <w:t xml:space="preserve"> Order No. 2023,</w:t>
      </w:r>
      <w:r w:rsidRPr="00AA586F">
        <w:t xml:space="preserve"> </w:t>
      </w:r>
      <w:r w:rsidRPr="00F93738">
        <w:t>184 FERC ¶ 61,054</w:t>
      </w:r>
      <w:r>
        <w:t xml:space="preserve"> at P 1764.</w:t>
      </w:r>
    </w:p>
  </w:footnote>
  <w:footnote w:id="331">
    <w:p w:rsidR="00760048" w:rsidP="00071614" w14:paraId="417F017D" w14:textId="77777777">
      <w:pPr>
        <w:pStyle w:val="FootnoteText"/>
      </w:pPr>
      <w:r w:rsidRPr="0072600F">
        <w:rPr>
          <w:rStyle w:val="FootnoteReference"/>
        </w:rPr>
        <w:footnoteRef/>
      </w:r>
      <w:r>
        <w:t xml:space="preserve"> </w:t>
      </w:r>
      <w:r w:rsidRPr="00D57DF4">
        <w:rPr>
          <w:i/>
          <w:iCs/>
        </w:rPr>
        <w:t>Id.</w:t>
      </w:r>
      <w:r>
        <w:rPr>
          <w:i/>
        </w:rPr>
        <w:t xml:space="preserve"> </w:t>
      </w:r>
      <w:r>
        <w:t>P 780.</w:t>
      </w:r>
    </w:p>
  </w:footnote>
  <w:footnote w:id="332">
    <w:p w:rsidR="00760048" w:rsidP="00071614" w14:paraId="4069007C" w14:textId="77777777">
      <w:pPr>
        <w:pStyle w:val="FootnoteText"/>
      </w:pPr>
      <w:r w:rsidRPr="0072600F">
        <w:rPr>
          <w:rStyle w:val="FootnoteReference"/>
        </w:rPr>
        <w:footnoteRef/>
      </w:r>
      <w:r>
        <w:t xml:space="preserve"> </w:t>
      </w:r>
      <w:r w:rsidRPr="00D57DF4">
        <w:rPr>
          <w:i/>
          <w:iCs/>
        </w:rPr>
        <w:t>Id.</w:t>
      </w:r>
      <w:r>
        <w:rPr>
          <w:i/>
        </w:rPr>
        <w:t xml:space="preserve"> </w:t>
      </w:r>
      <w:r>
        <w:t>P 783.</w:t>
      </w:r>
    </w:p>
  </w:footnote>
  <w:footnote w:id="333">
    <w:p w:rsidR="00760048" w:rsidP="00071614" w14:paraId="17447A5A" w14:textId="77777777">
      <w:pPr>
        <w:pStyle w:val="FootnoteText"/>
      </w:pPr>
      <w:r w:rsidRPr="0072600F">
        <w:rPr>
          <w:rStyle w:val="FootnoteReference"/>
        </w:rPr>
        <w:footnoteRef/>
      </w:r>
      <w:r>
        <w:t xml:space="preserve"> </w:t>
      </w:r>
      <w:r w:rsidRPr="00D57DF4">
        <w:rPr>
          <w:i/>
          <w:iCs/>
        </w:rPr>
        <w:t>Id.</w:t>
      </w:r>
      <w:r>
        <w:rPr>
          <w:i/>
        </w:rPr>
        <w:t xml:space="preserve"> </w:t>
      </w:r>
      <w:r>
        <w:t>P 784.</w:t>
      </w:r>
    </w:p>
  </w:footnote>
  <w:footnote w:id="334">
    <w:p w:rsidR="00760048" w:rsidP="00071614" w14:paraId="3916985A" w14:textId="77777777">
      <w:pPr>
        <w:pStyle w:val="FootnoteText"/>
      </w:pPr>
      <w:r w:rsidRPr="0072600F">
        <w:rPr>
          <w:rStyle w:val="FootnoteReference"/>
        </w:rPr>
        <w:footnoteRef/>
      </w:r>
      <w:r>
        <w:t xml:space="preserve"> </w:t>
      </w:r>
      <w:r w:rsidRPr="00D57DF4">
        <w:rPr>
          <w:i/>
          <w:iCs/>
        </w:rPr>
        <w:t>Id.</w:t>
      </w:r>
      <w:r>
        <w:rPr>
          <w:i/>
        </w:rPr>
        <w:t xml:space="preserve"> </w:t>
      </w:r>
      <w:r>
        <w:t>P 791.</w:t>
      </w:r>
    </w:p>
  </w:footnote>
  <w:footnote w:id="335">
    <w:p w:rsidR="00760048" w:rsidP="00071614" w14:paraId="32DF7D60" w14:textId="77777777">
      <w:pPr>
        <w:pStyle w:val="FootnoteText"/>
      </w:pPr>
      <w:r w:rsidRPr="0072600F">
        <w:rPr>
          <w:rStyle w:val="FootnoteReference"/>
        </w:rPr>
        <w:footnoteRef/>
      </w:r>
      <w:r>
        <w:t xml:space="preserve"> </w:t>
      </w:r>
      <w:r w:rsidRPr="00D57DF4">
        <w:rPr>
          <w:i/>
          <w:iCs/>
        </w:rPr>
        <w:t>Id.</w:t>
      </w:r>
      <w:r>
        <w:rPr>
          <w:i/>
        </w:rPr>
        <w:t xml:space="preserve"> </w:t>
      </w:r>
      <w:r>
        <w:t>P 798.</w:t>
      </w:r>
    </w:p>
  </w:footnote>
  <w:footnote w:id="336">
    <w:p w:rsidR="00760048" w:rsidP="00071614" w14:paraId="42D9AD0F" w14:textId="77777777">
      <w:pPr>
        <w:pStyle w:val="FootnoteText"/>
      </w:pPr>
      <w:r w:rsidRPr="0072600F">
        <w:rPr>
          <w:rStyle w:val="FootnoteReference"/>
        </w:rPr>
        <w:footnoteRef/>
      </w:r>
      <w:r>
        <w:t xml:space="preserve"> </w:t>
      </w:r>
      <w:r w:rsidRPr="00D57DF4">
        <w:rPr>
          <w:i/>
          <w:iCs/>
        </w:rPr>
        <w:t>Id.</w:t>
      </w:r>
      <w:r>
        <w:rPr>
          <w:i/>
        </w:rPr>
        <w:t xml:space="preserve"> </w:t>
      </w:r>
      <w:r>
        <w:t>P 801.</w:t>
      </w:r>
    </w:p>
  </w:footnote>
  <w:footnote w:id="337">
    <w:p w:rsidR="00760048" w:rsidP="00071614" w14:paraId="33D0E27B" w14:textId="77777777">
      <w:pPr>
        <w:pStyle w:val="FootnoteText"/>
      </w:pPr>
      <w:r w:rsidRPr="0072600F">
        <w:rPr>
          <w:rStyle w:val="FootnoteReference"/>
        </w:rPr>
        <w:footnoteRef/>
      </w:r>
      <w:r>
        <w:t xml:space="preserve"> </w:t>
      </w:r>
      <w:r w:rsidRPr="00D57DF4">
        <w:rPr>
          <w:i/>
          <w:iCs/>
        </w:rPr>
        <w:t>Id.</w:t>
      </w:r>
      <w:r>
        <w:rPr>
          <w:i/>
        </w:rPr>
        <w:t xml:space="preserve"> </w:t>
      </w:r>
      <w:r>
        <w:t>P 802.</w:t>
      </w:r>
    </w:p>
  </w:footnote>
  <w:footnote w:id="338">
    <w:p w:rsidR="00760048" w:rsidP="00071614" w14:paraId="6F8D4DD7" w14:textId="77777777">
      <w:pPr>
        <w:pStyle w:val="FootnoteText"/>
      </w:pPr>
      <w:r w:rsidRPr="0072600F">
        <w:rPr>
          <w:rStyle w:val="FootnoteReference"/>
        </w:rPr>
        <w:footnoteRef/>
      </w:r>
      <w:r>
        <w:t xml:space="preserve"> </w:t>
      </w:r>
      <w:r w:rsidRPr="00D57DF4">
        <w:rPr>
          <w:i/>
          <w:iCs/>
        </w:rPr>
        <w:t>Id.</w:t>
      </w:r>
      <w:r>
        <w:rPr>
          <w:i/>
        </w:rPr>
        <w:t xml:space="preserve"> </w:t>
      </w:r>
      <w:r>
        <w:t>P 803.</w:t>
      </w:r>
    </w:p>
  </w:footnote>
  <w:footnote w:id="339">
    <w:p w:rsidR="00760048" w:rsidP="00071614" w14:paraId="1AF0240C" w14:textId="77777777">
      <w:pPr>
        <w:pStyle w:val="FootnoteText"/>
      </w:pPr>
      <w:r w:rsidRPr="0072600F">
        <w:rPr>
          <w:rStyle w:val="FootnoteReference"/>
        </w:rPr>
        <w:footnoteRef/>
      </w:r>
      <w:r>
        <w:t xml:space="preserve"> </w:t>
      </w:r>
      <w:r w:rsidRPr="00D57DF4">
        <w:rPr>
          <w:i/>
          <w:iCs/>
        </w:rPr>
        <w:t>Id.</w:t>
      </w:r>
      <w:r>
        <w:rPr>
          <w:i/>
        </w:rPr>
        <w:t xml:space="preserve"> </w:t>
      </w:r>
      <w:r>
        <w:t>P 804.</w:t>
      </w:r>
    </w:p>
  </w:footnote>
  <w:footnote w:id="340">
    <w:p w:rsidR="00760048" w:rsidP="00071614" w14:paraId="09A3AC6A" w14:textId="77777777">
      <w:pPr>
        <w:pStyle w:val="FootnoteText"/>
      </w:pPr>
      <w:r w:rsidRPr="0072600F">
        <w:rPr>
          <w:rStyle w:val="FootnoteReference"/>
        </w:rPr>
        <w:footnoteRef/>
      </w:r>
      <w:r>
        <w:t xml:space="preserve"> </w:t>
      </w:r>
      <w:r w:rsidRPr="00D57DF4">
        <w:rPr>
          <w:i/>
          <w:iCs/>
        </w:rPr>
        <w:t>Id.</w:t>
      </w:r>
      <w:r>
        <w:rPr>
          <w:i/>
        </w:rPr>
        <w:t xml:space="preserve"> </w:t>
      </w:r>
      <w:r>
        <w:t>P 805.</w:t>
      </w:r>
    </w:p>
  </w:footnote>
  <w:footnote w:id="341">
    <w:p w:rsidR="00760048" w:rsidP="00071614" w14:paraId="671A1FFE" w14:textId="77777777">
      <w:pPr>
        <w:pStyle w:val="FootnoteText"/>
      </w:pPr>
      <w:r w:rsidRPr="0072600F">
        <w:rPr>
          <w:rStyle w:val="FootnoteReference"/>
        </w:rPr>
        <w:footnoteRef/>
      </w:r>
      <w:r>
        <w:t xml:space="preserve"> </w:t>
      </w:r>
      <w:r w:rsidRPr="00D57DF4">
        <w:rPr>
          <w:i/>
          <w:iCs/>
        </w:rPr>
        <w:t>Id.</w:t>
      </w:r>
      <w:r>
        <w:rPr>
          <w:i/>
        </w:rPr>
        <w:t xml:space="preserve"> </w:t>
      </w:r>
      <w:r>
        <w:t>P 806.</w:t>
      </w:r>
    </w:p>
  </w:footnote>
  <w:footnote w:id="342">
    <w:p w:rsidR="00760048" w:rsidP="00071614" w14:paraId="704A4A08" w14:textId="77777777">
      <w:pPr>
        <w:pStyle w:val="FootnoteText"/>
      </w:pPr>
      <w:r w:rsidRPr="0072600F">
        <w:rPr>
          <w:rStyle w:val="FootnoteReference"/>
        </w:rPr>
        <w:footnoteRef/>
      </w:r>
      <w:r>
        <w:t xml:space="preserve"> </w:t>
      </w:r>
      <w:r w:rsidRPr="00D57DF4">
        <w:rPr>
          <w:i/>
          <w:iCs/>
        </w:rPr>
        <w:t>Id.</w:t>
      </w:r>
      <w:r>
        <w:rPr>
          <w:i/>
        </w:rPr>
        <w:t xml:space="preserve"> </w:t>
      </w:r>
      <w:r>
        <w:t>P 807.</w:t>
      </w:r>
    </w:p>
  </w:footnote>
  <w:footnote w:id="343">
    <w:p w:rsidR="00760048" w:rsidP="00071614" w14:paraId="6D071149" w14:textId="77777777">
      <w:pPr>
        <w:pStyle w:val="FootnoteText"/>
      </w:pPr>
      <w:r w:rsidRPr="0072600F">
        <w:rPr>
          <w:rStyle w:val="FootnoteReference"/>
        </w:rPr>
        <w:footnoteRef/>
      </w:r>
      <w:r>
        <w:t xml:space="preserve"> </w:t>
      </w:r>
      <w:r w:rsidRPr="00D57DF4">
        <w:rPr>
          <w:i/>
          <w:iCs/>
        </w:rPr>
        <w:t>Id.</w:t>
      </w:r>
      <w:r>
        <w:rPr>
          <w:i/>
        </w:rPr>
        <w:t xml:space="preserve"> </w:t>
      </w:r>
      <w:r>
        <w:t>P 809.</w:t>
      </w:r>
    </w:p>
  </w:footnote>
  <w:footnote w:id="344">
    <w:p w:rsidR="00760048" w:rsidP="00071614" w14:paraId="432F0B71" w14:textId="77777777">
      <w:pPr>
        <w:pStyle w:val="FootnoteText"/>
      </w:pPr>
      <w:r w:rsidRPr="0072600F">
        <w:rPr>
          <w:rStyle w:val="FootnoteReference"/>
        </w:rPr>
        <w:footnoteRef/>
      </w:r>
      <w:r>
        <w:t xml:space="preserve"> NYISO Rehearing Request at 47-48.</w:t>
      </w:r>
    </w:p>
  </w:footnote>
  <w:footnote w:id="345">
    <w:p w:rsidR="00760048" w:rsidP="00071614" w14:paraId="7ED6B381" w14:textId="77777777">
      <w:pPr>
        <w:pStyle w:val="FootnoteText"/>
      </w:pPr>
      <w:r w:rsidRPr="0072600F">
        <w:rPr>
          <w:rStyle w:val="FootnoteReference"/>
        </w:rPr>
        <w:footnoteRef/>
      </w:r>
      <w:r>
        <w:t xml:space="preserve"> </w:t>
      </w:r>
      <w:r w:rsidRPr="00D57DF4">
        <w:rPr>
          <w:i/>
          <w:iCs/>
        </w:rPr>
        <w:t>Id.</w:t>
      </w:r>
      <w:r>
        <w:rPr>
          <w:i/>
          <w:iCs/>
        </w:rPr>
        <w:t xml:space="preserve"> </w:t>
      </w:r>
      <w:r>
        <w:t>at 48-49.</w:t>
      </w:r>
    </w:p>
  </w:footnote>
  <w:footnote w:id="346">
    <w:p w:rsidR="00760048" w:rsidP="00071614" w14:paraId="0DB16AAE" w14:textId="77777777">
      <w:pPr>
        <w:pStyle w:val="FootnoteText"/>
      </w:pPr>
      <w:r w:rsidRPr="0072600F">
        <w:rPr>
          <w:rStyle w:val="FootnoteReference"/>
        </w:rPr>
        <w:footnoteRef/>
      </w:r>
      <w:r>
        <w:t xml:space="preserve"> </w:t>
      </w:r>
      <w:r w:rsidRPr="00D57DF4">
        <w:rPr>
          <w:i/>
          <w:iCs/>
        </w:rPr>
        <w:t>Id.</w:t>
      </w:r>
      <w:r>
        <w:rPr>
          <w:i/>
          <w:iCs/>
        </w:rPr>
        <w:t xml:space="preserve"> </w:t>
      </w:r>
      <w:r>
        <w:t>at 49-50.</w:t>
      </w:r>
    </w:p>
  </w:footnote>
  <w:footnote w:id="347">
    <w:p w:rsidR="00760048" w:rsidP="00071614" w14:paraId="6A5650C7" w14:textId="77777777">
      <w:pPr>
        <w:pStyle w:val="FootnoteText"/>
      </w:pPr>
      <w:r w:rsidRPr="0072600F">
        <w:rPr>
          <w:rStyle w:val="FootnoteReference"/>
        </w:rPr>
        <w:footnoteRef/>
      </w:r>
      <w:r>
        <w:t xml:space="preserve"> Clean Energy Associations Rehearing Request at 29-30.</w:t>
      </w:r>
    </w:p>
  </w:footnote>
  <w:footnote w:id="348">
    <w:p w:rsidR="00760048" w:rsidP="00071614" w14:paraId="0C65CBA5" w14:textId="77777777">
      <w:pPr>
        <w:pStyle w:val="FootnoteText"/>
      </w:pPr>
      <w:r w:rsidRPr="0072600F">
        <w:rPr>
          <w:rStyle w:val="FootnoteReference"/>
        </w:rPr>
        <w:footnoteRef/>
      </w:r>
      <w:r>
        <w:t xml:space="preserve"> </w:t>
      </w:r>
      <w:r w:rsidRPr="00D57DF4">
        <w:rPr>
          <w:i/>
          <w:iCs/>
        </w:rPr>
        <w:t>Id.</w:t>
      </w:r>
      <w:r>
        <w:rPr>
          <w:i/>
        </w:rPr>
        <w:t xml:space="preserve"> </w:t>
      </w:r>
      <w:r>
        <w:t>at 30-31 (citing Order No. 2023,</w:t>
      </w:r>
      <w:r w:rsidRPr="00A562AB">
        <w:rPr>
          <w:rFonts w:ascii="TimesNewRoman" w:hAnsi="TimesNewRoman" w:cs="TimesNewRoman"/>
          <w:szCs w:val="26"/>
        </w:rPr>
        <w:t xml:space="preserve"> </w:t>
      </w:r>
      <w:r w:rsidRPr="00A562AB">
        <w:t>184 FERC ¶ 61,054</w:t>
      </w:r>
      <w:r>
        <w:t xml:space="preserve"> at P 691).</w:t>
      </w:r>
    </w:p>
  </w:footnote>
  <w:footnote w:id="349">
    <w:p w:rsidR="00760048" w:rsidP="00071614" w14:paraId="38423B41" w14:textId="77777777">
      <w:pPr>
        <w:pStyle w:val="FootnoteText"/>
      </w:pPr>
      <w:r w:rsidRPr="0072600F">
        <w:rPr>
          <w:rStyle w:val="FootnoteReference"/>
        </w:rPr>
        <w:footnoteRef/>
      </w:r>
      <w:r>
        <w:t xml:space="preserve"> </w:t>
      </w:r>
      <w:r w:rsidRPr="00D57DF4">
        <w:rPr>
          <w:i/>
          <w:iCs/>
        </w:rPr>
        <w:t>Id.</w:t>
      </w:r>
      <w:r>
        <w:rPr>
          <w:i/>
        </w:rPr>
        <w:t xml:space="preserve"> </w:t>
      </w:r>
      <w:r>
        <w:t>at 31 (citations omitted).</w:t>
      </w:r>
    </w:p>
  </w:footnote>
  <w:footnote w:id="350">
    <w:p w:rsidR="00760048" w:rsidP="00071614" w14:paraId="5FE7FCEF" w14:textId="77777777">
      <w:pPr>
        <w:pStyle w:val="FootnoteText"/>
      </w:pPr>
      <w:r w:rsidRPr="0072600F">
        <w:rPr>
          <w:rStyle w:val="FootnoteReference"/>
        </w:rPr>
        <w:footnoteRef/>
      </w:r>
      <w:r>
        <w:t xml:space="preserve"> NYISO Rehearing Request at 50-51.</w:t>
      </w:r>
    </w:p>
  </w:footnote>
  <w:footnote w:id="351">
    <w:p w:rsidR="00760048" w:rsidP="00071614" w14:paraId="61DF523C" w14:textId="77777777">
      <w:pPr>
        <w:pStyle w:val="FootnoteText"/>
      </w:pPr>
      <w:r w:rsidRPr="0072600F">
        <w:rPr>
          <w:rStyle w:val="FootnoteReference"/>
        </w:rPr>
        <w:footnoteRef/>
      </w:r>
      <w:r>
        <w:t xml:space="preserve"> </w:t>
      </w:r>
      <w:r w:rsidRPr="00D57DF4">
        <w:rPr>
          <w:i/>
          <w:iCs/>
        </w:rPr>
        <w:t>Id.</w:t>
      </w:r>
      <w:r>
        <w:rPr>
          <w:i/>
          <w:iCs/>
        </w:rPr>
        <w:t xml:space="preserve"> </w:t>
      </w:r>
      <w:r>
        <w:t>at 51.</w:t>
      </w:r>
    </w:p>
  </w:footnote>
  <w:footnote w:id="352">
    <w:p w:rsidR="00760048" w:rsidP="00071614" w14:paraId="4F62B9D6" w14:textId="77777777">
      <w:pPr>
        <w:pStyle w:val="FootnoteText"/>
      </w:pPr>
      <w:r w:rsidRPr="0072600F">
        <w:rPr>
          <w:rStyle w:val="FootnoteReference"/>
        </w:rPr>
        <w:footnoteRef/>
      </w:r>
      <w:r>
        <w:t xml:space="preserve"> Clean Energy Associations Rehearing Request at 56.</w:t>
      </w:r>
    </w:p>
  </w:footnote>
  <w:footnote w:id="353">
    <w:p w:rsidR="00760048" w:rsidP="00071614" w14:paraId="1980321E" w14:textId="77777777">
      <w:pPr>
        <w:pStyle w:val="FootnoteText"/>
      </w:pPr>
      <w:r w:rsidRPr="0072600F">
        <w:rPr>
          <w:rStyle w:val="FootnoteReference"/>
        </w:rPr>
        <w:footnoteRef/>
      </w:r>
      <w:r>
        <w:t xml:space="preserve"> </w:t>
      </w:r>
      <w:r w:rsidRPr="00D57DF4">
        <w:rPr>
          <w:i/>
          <w:iCs/>
        </w:rPr>
        <w:t>Id.</w:t>
      </w:r>
      <w:r>
        <w:rPr>
          <w:i/>
          <w:iCs/>
        </w:rPr>
        <w:t xml:space="preserve"> </w:t>
      </w:r>
      <w:r>
        <w:t>at 58-59.</w:t>
      </w:r>
    </w:p>
  </w:footnote>
  <w:footnote w:id="354">
    <w:p w:rsidR="00760048" w:rsidP="00071614" w14:paraId="660F6789" w14:textId="77777777">
      <w:pPr>
        <w:pStyle w:val="FootnoteText"/>
      </w:pPr>
      <w:r w:rsidRPr="0072600F">
        <w:rPr>
          <w:rStyle w:val="FootnoteReference"/>
        </w:rPr>
        <w:footnoteRef/>
      </w:r>
      <w:r>
        <w:t xml:space="preserve"> WIRES Rehearing Request at 9-10.</w:t>
      </w:r>
    </w:p>
  </w:footnote>
  <w:footnote w:id="355">
    <w:p w:rsidR="00760048" w:rsidP="00071614" w14:paraId="7803ED46" w14:textId="77777777">
      <w:pPr>
        <w:pStyle w:val="FootnoteText"/>
      </w:pPr>
      <w:r w:rsidRPr="0072600F">
        <w:rPr>
          <w:rStyle w:val="FootnoteReference"/>
        </w:rPr>
        <w:footnoteRef/>
      </w:r>
      <w:r>
        <w:t xml:space="preserve"> </w:t>
      </w:r>
      <w:r w:rsidRPr="00D57DF4">
        <w:rPr>
          <w:i/>
          <w:iCs/>
        </w:rPr>
        <w:t>Id.</w:t>
      </w:r>
      <w:r>
        <w:rPr>
          <w:i/>
          <w:iCs/>
        </w:rPr>
        <w:t xml:space="preserve"> </w:t>
      </w:r>
      <w:r>
        <w:t>at 11.</w:t>
      </w:r>
    </w:p>
  </w:footnote>
  <w:footnote w:id="356">
    <w:p w:rsidR="00760048" w:rsidP="00071614" w14:paraId="49B295F5" w14:textId="77777777">
      <w:pPr>
        <w:pStyle w:val="FootnoteText"/>
      </w:pPr>
      <w:r w:rsidRPr="0072600F">
        <w:rPr>
          <w:rStyle w:val="FootnoteReference"/>
        </w:rPr>
        <w:footnoteRef/>
      </w:r>
      <w:r>
        <w:t xml:space="preserve"> NYISO Rehearing Request at 52-53.</w:t>
      </w:r>
    </w:p>
  </w:footnote>
  <w:footnote w:id="357">
    <w:p w:rsidR="00760048" w:rsidP="00071614" w14:paraId="632FB7D6" w14:textId="77777777">
      <w:pPr>
        <w:pStyle w:val="FootnoteText"/>
      </w:pPr>
      <w:r w:rsidRPr="0072600F">
        <w:rPr>
          <w:rStyle w:val="FootnoteReference"/>
        </w:rPr>
        <w:footnoteRef/>
      </w:r>
      <w:r>
        <w:t xml:space="preserve"> </w:t>
      </w:r>
      <w:r w:rsidRPr="00D57DF4">
        <w:rPr>
          <w:i/>
          <w:iCs/>
        </w:rPr>
        <w:t>Id.</w:t>
      </w:r>
      <w:r>
        <w:rPr>
          <w:i/>
          <w:iCs/>
        </w:rPr>
        <w:t xml:space="preserve"> </w:t>
      </w:r>
      <w:r>
        <w:t>at 53 (citing r</w:t>
      </w:r>
      <w:r w:rsidRPr="00F94F21">
        <w:t xml:space="preserve">evised </w:t>
      </w:r>
      <w:r w:rsidRPr="00F94F21">
        <w:rPr>
          <w:i/>
          <w:iCs/>
        </w:rPr>
        <w:t>pro forma</w:t>
      </w:r>
      <w:r w:rsidRPr="00F94F21">
        <w:t xml:space="preserve"> LGIP </w:t>
      </w:r>
      <w:r>
        <w:t>s</w:t>
      </w:r>
      <w:r w:rsidRPr="00F94F21">
        <w:t>ection 1</w:t>
      </w:r>
      <w:r>
        <w:t>).</w:t>
      </w:r>
    </w:p>
  </w:footnote>
  <w:footnote w:id="358">
    <w:p w:rsidR="00760048" w:rsidP="00071614" w14:paraId="38AC72CC" w14:textId="77777777">
      <w:pPr>
        <w:pStyle w:val="FootnoteText"/>
      </w:pPr>
      <w:r w:rsidRPr="0072600F">
        <w:rPr>
          <w:rStyle w:val="FootnoteReference"/>
        </w:rPr>
        <w:footnoteRef/>
      </w:r>
      <w:r>
        <w:t xml:space="preserve"> </w:t>
      </w:r>
      <w:r w:rsidRPr="00D57DF4">
        <w:rPr>
          <w:i/>
          <w:iCs/>
        </w:rPr>
        <w:t>Id.</w:t>
      </w:r>
    </w:p>
  </w:footnote>
  <w:footnote w:id="359">
    <w:p w:rsidR="00760048" w:rsidP="00071614" w14:paraId="4ABCBEB8" w14:textId="77777777">
      <w:pPr>
        <w:pStyle w:val="FootnoteText"/>
      </w:pPr>
      <w:r w:rsidRPr="0072600F">
        <w:rPr>
          <w:rStyle w:val="FootnoteReference"/>
        </w:rPr>
        <w:footnoteRef/>
      </w:r>
      <w:r>
        <w:t xml:space="preserve"> Clean Energy Associations Rehearing Request at 59-60; Shell Rehearing Request at 10.</w:t>
      </w:r>
    </w:p>
  </w:footnote>
  <w:footnote w:id="360">
    <w:p w:rsidR="00760048" w:rsidP="00071614" w14:paraId="45ED850A" w14:textId="77777777">
      <w:pPr>
        <w:pStyle w:val="FootnoteText"/>
      </w:pPr>
      <w:r w:rsidRPr="0072600F">
        <w:rPr>
          <w:rStyle w:val="FootnoteReference"/>
        </w:rPr>
        <w:footnoteRef/>
      </w:r>
      <w:r>
        <w:t xml:space="preserve"> Clean Energy Associations Rehearing Request at 60.</w:t>
      </w:r>
    </w:p>
  </w:footnote>
  <w:footnote w:id="361">
    <w:p w:rsidR="00760048" w:rsidP="00071614" w14:paraId="4415B590" w14:textId="77777777">
      <w:pPr>
        <w:pStyle w:val="FootnoteText"/>
      </w:pPr>
      <w:r w:rsidRPr="0072600F">
        <w:rPr>
          <w:rStyle w:val="FootnoteReference"/>
        </w:rPr>
        <w:footnoteRef/>
      </w:r>
      <w:r>
        <w:t xml:space="preserve"> </w:t>
      </w:r>
      <w:r w:rsidRPr="00D57DF4">
        <w:rPr>
          <w:i/>
          <w:iCs/>
        </w:rPr>
        <w:t>Id.</w:t>
      </w:r>
      <w:r>
        <w:t>; Shell Rehearing Request at 10.</w:t>
      </w:r>
    </w:p>
  </w:footnote>
  <w:footnote w:id="362">
    <w:p w:rsidR="00760048" w:rsidP="00071614" w14:paraId="0FE3227E" w14:textId="77777777">
      <w:pPr>
        <w:pStyle w:val="FootnoteText"/>
      </w:pPr>
      <w:r w:rsidRPr="0072600F">
        <w:rPr>
          <w:rStyle w:val="FootnoteReference"/>
        </w:rPr>
        <w:footnoteRef/>
      </w:r>
      <w:r>
        <w:t xml:space="preserve"> Clean Energy Associations Rehearing Request at 60-61; </w:t>
      </w:r>
      <w:r w:rsidRPr="008771CA">
        <w:rPr>
          <w:i/>
          <w:iCs/>
        </w:rPr>
        <w:t>see also</w:t>
      </w:r>
      <w:r>
        <w:t xml:space="preserve"> Shell Rehearing Request at 11.</w:t>
      </w:r>
    </w:p>
  </w:footnote>
  <w:footnote w:id="363">
    <w:p w:rsidR="00760048" w:rsidP="00071614" w14:paraId="17AEF2B3" w14:textId="77777777">
      <w:pPr>
        <w:pStyle w:val="FootnoteText"/>
      </w:pPr>
      <w:r w:rsidRPr="0072600F">
        <w:rPr>
          <w:rStyle w:val="FootnoteReference"/>
        </w:rPr>
        <w:footnoteRef/>
      </w:r>
      <w:r>
        <w:t xml:space="preserve"> Clean Energy Associations Rehearing Request at 74-75.</w:t>
      </w:r>
    </w:p>
  </w:footnote>
  <w:footnote w:id="364">
    <w:p w:rsidR="00760048" w14:paraId="2DA175F9" w14:textId="77777777">
      <w:pPr>
        <w:pStyle w:val="FootnoteText"/>
      </w:pPr>
      <w:r w:rsidRPr="0072600F">
        <w:rPr>
          <w:rStyle w:val="FootnoteReference"/>
        </w:rPr>
        <w:footnoteRef/>
      </w:r>
      <w:r>
        <w:t xml:space="preserve"> Order No. 2023, </w:t>
      </w:r>
      <w:r w:rsidRPr="00901C19">
        <w:t>184 FERC ¶ 61,054</w:t>
      </w:r>
      <w:r>
        <w:t xml:space="preserve"> at P 799.</w:t>
      </w:r>
    </w:p>
  </w:footnote>
  <w:footnote w:id="365">
    <w:p w:rsidR="00760048" w:rsidP="00071614" w14:paraId="2637AD19" w14:textId="77777777">
      <w:pPr>
        <w:pStyle w:val="FootnoteText"/>
      </w:pPr>
      <w:r w:rsidRPr="0072600F">
        <w:rPr>
          <w:rStyle w:val="FootnoteReference"/>
        </w:rPr>
        <w:footnoteRef/>
      </w:r>
      <w:r>
        <w:t xml:space="preserve"> Order No. 2003, </w:t>
      </w:r>
      <w:r w:rsidRPr="0016075C">
        <w:t>106 FERC ¶ 61,220</w:t>
      </w:r>
      <w:r>
        <w:t xml:space="preserve"> at P 168.</w:t>
      </w:r>
    </w:p>
  </w:footnote>
  <w:footnote w:id="366">
    <w:p w:rsidR="00760048" w:rsidP="00071614" w14:paraId="40F8512D" w14:textId="77777777">
      <w:pPr>
        <w:pStyle w:val="FootnoteText"/>
      </w:pPr>
      <w:r w:rsidRPr="0072600F">
        <w:rPr>
          <w:rStyle w:val="FootnoteReference"/>
        </w:rPr>
        <w:footnoteRef/>
      </w:r>
      <w:r>
        <w:t xml:space="preserve"> Order No. 2023, </w:t>
      </w:r>
      <w:r w:rsidRPr="00901C19">
        <w:t>184 FERC ¶ 61,054</w:t>
      </w:r>
      <w:r>
        <w:t xml:space="preserve"> at P 806.</w:t>
      </w:r>
    </w:p>
  </w:footnote>
  <w:footnote w:id="367">
    <w:p w:rsidR="00760048" w:rsidRPr="00231B9A" w:rsidP="00071614" w14:paraId="114F14ED" w14:textId="77777777">
      <w:pPr>
        <w:pStyle w:val="FootnoteText"/>
      </w:pPr>
      <w:r w:rsidRPr="0072600F">
        <w:rPr>
          <w:rStyle w:val="FootnoteReference"/>
        </w:rPr>
        <w:footnoteRef/>
      </w:r>
      <w:r>
        <w:t xml:space="preserve"> </w:t>
      </w:r>
      <w:r w:rsidRPr="00231B9A">
        <w:rPr>
          <w:bCs/>
          <w:iCs/>
        </w:rPr>
        <w:t xml:space="preserve">Transitional Withdrawal Penalty shall mean the penalty assessed by Transmission Provider to an Interconnection Customer that has entered the Transitional Cluster Study or Transitional Serial Interconnection Facilities Study and chooses to withdraw or is deemed withdrawn from Transmission Provider’s interconnection queue or whose Generating Facility does not otherwise reach Commercial Operation.  The calculation of the Transitional Withdrawal Penalty is set forth in </w:t>
      </w:r>
      <w:r>
        <w:rPr>
          <w:bCs/>
          <w:iCs/>
        </w:rPr>
        <w:t>s</w:t>
      </w:r>
      <w:r w:rsidRPr="00231B9A">
        <w:rPr>
          <w:bCs/>
          <w:iCs/>
        </w:rPr>
        <w:t>ections 5.1.1.1 and 5.1.1.2 of this LGIP</w:t>
      </w:r>
      <w:r w:rsidRPr="00231B9A">
        <w:rPr>
          <w:i/>
        </w:rPr>
        <w:t>.</w:t>
      </w:r>
    </w:p>
    <w:p w:rsidR="00760048" w:rsidP="00071614" w14:paraId="21E278F4" w14:textId="77777777">
      <w:pPr>
        <w:pStyle w:val="FootnoteText"/>
      </w:pPr>
    </w:p>
  </w:footnote>
  <w:footnote w:id="368">
    <w:p w:rsidR="00760048" w:rsidP="00071614" w14:paraId="0846EC9B" w14:textId="77777777">
      <w:pPr>
        <w:pStyle w:val="FootnoteText"/>
      </w:pPr>
      <w:r w:rsidRPr="0072600F">
        <w:rPr>
          <w:rStyle w:val="FootnoteReference"/>
        </w:rPr>
        <w:footnoteRef/>
      </w:r>
      <w:r>
        <w:t xml:space="preserve"> Order No. 2023, 184 FERC ¶ 61,054 at P 855.</w:t>
      </w:r>
    </w:p>
  </w:footnote>
  <w:footnote w:id="369">
    <w:p w:rsidR="00760048" w:rsidP="00071614" w14:paraId="23EFA01F" w14:textId="77777777">
      <w:pPr>
        <w:pStyle w:val="FootnoteText"/>
      </w:pPr>
      <w:r w:rsidRPr="0072600F">
        <w:rPr>
          <w:rStyle w:val="FootnoteReference"/>
        </w:rPr>
        <w:footnoteRef/>
      </w:r>
      <w:r>
        <w:t xml:space="preserve"> </w:t>
      </w:r>
      <w:r w:rsidRPr="00255701">
        <w:rPr>
          <w:i/>
          <w:iCs/>
        </w:rPr>
        <w:t>Id.</w:t>
      </w:r>
      <w:r>
        <w:t xml:space="preserve"> P 856.</w:t>
      </w:r>
    </w:p>
  </w:footnote>
  <w:footnote w:id="370">
    <w:p w:rsidR="00760048" w:rsidP="00071614" w14:paraId="3ADE8660" w14:textId="77777777">
      <w:pPr>
        <w:pStyle w:val="FootnoteText"/>
      </w:pPr>
      <w:r w:rsidRPr="0072600F">
        <w:rPr>
          <w:rStyle w:val="FootnoteReference"/>
        </w:rPr>
        <w:footnoteRef/>
      </w:r>
      <w:r>
        <w:t xml:space="preserve"> </w:t>
      </w:r>
      <w:r w:rsidRPr="00255701">
        <w:rPr>
          <w:i/>
          <w:iCs/>
        </w:rPr>
        <w:t>Id.</w:t>
      </w:r>
      <w:r>
        <w:rPr>
          <w:i/>
          <w:iCs/>
        </w:rPr>
        <w:t xml:space="preserve"> </w:t>
      </w:r>
      <w:r>
        <w:t>P 855.</w:t>
      </w:r>
    </w:p>
  </w:footnote>
  <w:footnote w:id="371">
    <w:p w:rsidR="00760048" w:rsidP="00071614" w14:paraId="05D5E4CC" w14:textId="77777777">
      <w:pPr>
        <w:pStyle w:val="FootnoteText"/>
      </w:pPr>
      <w:r w:rsidRPr="0072600F">
        <w:rPr>
          <w:rStyle w:val="FootnoteReference"/>
        </w:rPr>
        <w:footnoteRef/>
      </w:r>
      <w:r>
        <w:t xml:space="preserve"> </w:t>
      </w:r>
      <w:r w:rsidRPr="00255701">
        <w:rPr>
          <w:i/>
          <w:iCs/>
        </w:rPr>
        <w:t>Id.</w:t>
      </w:r>
      <w:r>
        <w:rPr>
          <w:i/>
          <w:iCs/>
        </w:rPr>
        <w:t xml:space="preserve"> </w:t>
      </w:r>
      <w:r>
        <w:t>P 856.</w:t>
      </w:r>
    </w:p>
  </w:footnote>
  <w:footnote w:id="372">
    <w:p w:rsidR="00760048" w:rsidP="00071614" w14:paraId="79B72A5E" w14:textId="77777777">
      <w:pPr>
        <w:pStyle w:val="FootnoteText"/>
      </w:pPr>
      <w:r w:rsidRPr="0072600F">
        <w:rPr>
          <w:rStyle w:val="FootnoteReference"/>
        </w:rPr>
        <w:footnoteRef/>
      </w:r>
      <w:r>
        <w:t xml:space="preserve"> </w:t>
      </w:r>
      <w:r w:rsidRPr="00255701">
        <w:rPr>
          <w:i/>
          <w:iCs/>
        </w:rPr>
        <w:t>Id.</w:t>
      </w:r>
      <w:r>
        <w:rPr>
          <w:i/>
          <w:iCs/>
        </w:rPr>
        <w:t xml:space="preserve"> </w:t>
      </w:r>
      <w:r>
        <w:t xml:space="preserve">P 866.  On rehearing, the Commission extended the compliance date to 150 calendar days of the effective date of the final rule but did not adjust the transition date.  </w:t>
      </w:r>
      <w:r w:rsidRPr="00DB0092">
        <w:rPr>
          <w:i/>
          <w:iCs/>
        </w:rPr>
        <w:t>Improvements to Generator Interconnection Procs</w:t>
      </w:r>
      <w:r w:rsidR="009C615B">
        <w:rPr>
          <w:i/>
          <w:iCs/>
        </w:rPr>
        <w:t>.</w:t>
      </w:r>
      <w:r w:rsidRPr="00DB0092">
        <w:rPr>
          <w:i/>
          <w:iCs/>
        </w:rPr>
        <w:t xml:space="preserve"> </w:t>
      </w:r>
      <w:r w:rsidR="00236A9D">
        <w:rPr>
          <w:i/>
          <w:iCs/>
        </w:rPr>
        <w:t>&amp;</w:t>
      </w:r>
      <w:r w:rsidRPr="00DB0092" w:rsidR="00236A9D">
        <w:rPr>
          <w:i/>
          <w:iCs/>
        </w:rPr>
        <w:t xml:space="preserve"> </w:t>
      </w:r>
      <w:r w:rsidRPr="00DB0092">
        <w:rPr>
          <w:i/>
          <w:iCs/>
        </w:rPr>
        <w:t>Agreements</w:t>
      </w:r>
      <w:r>
        <w:t xml:space="preserve">, 185 FERC ¶ 61,063 (2023).     </w:t>
      </w:r>
    </w:p>
  </w:footnote>
  <w:footnote w:id="373">
    <w:p w:rsidR="00760048" w:rsidP="00071614" w14:paraId="02E14433" w14:textId="77777777">
      <w:pPr>
        <w:pStyle w:val="FootnoteText"/>
      </w:pPr>
      <w:r w:rsidRPr="0072600F">
        <w:rPr>
          <w:rStyle w:val="FootnoteReference"/>
        </w:rPr>
        <w:footnoteRef/>
      </w:r>
      <w:r>
        <w:t xml:space="preserve"> Order No. 2023, 184 FERC ¶ 61,054 at P 867.</w:t>
      </w:r>
    </w:p>
  </w:footnote>
  <w:footnote w:id="374">
    <w:p w:rsidR="00760048" w:rsidP="00071614" w14:paraId="1702094F" w14:textId="77777777">
      <w:pPr>
        <w:pStyle w:val="FootnoteText"/>
      </w:pPr>
      <w:r w:rsidRPr="0072600F">
        <w:rPr>
          <w:rStyle w:val="FootnoteReference"/>
        </w:rPr>
        <w:footnoteRef/>
      </w:r>
      <w:r>
        <w:t xml:space="preserve"> </w:t>
      </w:r>
      <w:r w:rsidRPr="00255701">
        <w:rPr>
          <w:i/>
          <w:iCs/>
        </w:rPr>
        <w:t>Id.</w:t>
      </w:r>
      <w:r>
        <w:rPr>
          <w:i/>
          <w:iCs/>
        </w:rPr>
        <w:t xml:space="preserve"> </w:t>
      </w:r>
      <w:r>
        <w:t>P 855.</w:t>
      </w:r>
    </w:p>
  </w:footnote>
  <w:footnote w:id="375">
    <w:p w:rsidR="00760048" w:rsidP="00071614" w14:paraId="442BD8B1" w14:textId="77777777">
      <w:pPr>
        <w:pStyle w:val="FootnoteText"/>
      </w:pPr>
      <w:r w:rsidRPr="0072600F">
        <w:rPr>
          <w:rStyle w:val="FootnoteReference"/>
        </w:rPr>
        <w:footnoteRef/>
      </w:r>
      <w:r>
        <w:t xml:space="preserve"> </w:t>
      </w:r>
      <w:r w:rsidRPr="00255701">
        <w:rPr>
          <w:i/>
          <w:iCs/>
        </w:rPr>
        <w:t>Id.</w:t>
      </w:r>
      <w:r>
        <w:rPr>
          <w:i/>
          <w:iCs/>
        </w:rPr>
        <w:t xml:space="preserve"> </w:t>
      </w:r>
      <w:r>
        <w:t>P 859.</w:t>
      </w:r>
    </w:p>
  </w:footnote>
  <w:footnote w:id="376">
    <w:p w:rsidR="00760048" w:rsidP="00071614" w14:paraId="6124E999" w14:textId="77777777">
      <w:pPr>
        <w:pStyle w:val="FootnoteText"/>
      </w:pPr>
      <w:r w:rsidRPr="0072600F">
        <w:rPr>
          <w:rStyle w:val="FootnoteReference"/>
        </w:rPr>
        <w:footnoteRef/>
      </w:r>
      <w:r>
        <w:t xml:space="preserve"> </w:t>
      </w:r>
      <w:r w:rsidRPr="00255701">
        <w:rPr>
          <w:i/>
          <w:iCs/>
        </w:rPr>
        <w:t>Id.</w:t>
      </w:r>
    </w:p>
  </w:footnote>
  <w:footnote w:id="377">
    <w:p w:rsidR="00760048" w:rsidRPr="004B58D0" w14:paraId="6022709E" w14:textId="77777777">
      <w:pPr>
        <w:pStyle w:val="FootnoteText"/>
      </w:pPr>
      <w:r w:rsidRPr="0072600F">
        <w:rPr>
          <w:rStyle w:val="FootnoteReference"/>
        </w:rPr>
        <w:footnoteRef/>
      </w:r>
      <w:r>
        <w:t xml:space="preserve"> EDF Renewables Initial Comments at 9 (stating that Order No. 2003 specifically rejected requiring interconnection customers, at the time of execution of the transitional serial study agreement, to provide a deposit equal to 100% of the interconnection facility and network upgrade costs allocated to them in the system impact study report in favor of requiring security for discrete portions of these costs).</w:t>
      </w:r>
    </w:p>
  </w:footnote>
  <w:footnote w:id="378">
    <w:p w:rsidR="00760048" w:rsidP="00071614" w14:paraId="244735AA" w14:textId="77777777">
      <w:pPr>
        <w:pStyle w:val="FootnoteText"/>
      </w:pPr>
      <w:r w:rsidRPr="0072600F">
        <w:rPr>
          <w:rStyle w:val="FootnoteReference"/>
        </w:rPr>
        <w:footnoteRef/>
      </w:r>
      <w:r>
        <w:t xml:space="preserve"> </w:t>
      </w:r>
      <w:r w:rsidR="00666F1A">
        <w:t>Order No. 2023, 184 FERC ¶ 61,054 at P 859.</w:t>
      </w:r>
    </w:p>
  </w:footnote>
  <w:footnote w:id="379">
    <w:p w:rsidR="00760048" w:rsidP="00071614" w14:paraId="5AE2938C" w14:textId="77777777">
      <w:pPr>
        <w:pStyle w:val="FootnoteText"/>
      </w:pPr>
      <w:r w:rsidRPr="0072600F">
        <w:rPr>
          <w:rStyle w:val="FootnoteReference"/>
        </w:rPr>
        <w:footnoteRef/>
      </w:r>
      <w:r>
        <w:t xml:space="preserve"> </w:t>
      </w:r>
      <w:r w:rsidRPr="00255701">
        <w:rPr>
          <w:i/>
          <w:iCs/>
        </w:rPr>
        <w:t>Id.</w:t>
      </w:r>
      <w:r>
        <w:rPr>
          <w:i/>
          <w:iCs/>
        </w:rPr>
        <w:t xml:space="preserve"> </w:t>
      </w:r>
      <w:r>
        <w:t>P 860.</w:t>
      </w:r>
    </w:p>
  </w:footnote>
  <w:footnote w:id="380">
    <w:p w:rsidR="00760048" w:rsidP="00071614" w14:paraId="41434511" w14:textId="77777777">
      <w:pPr>
        <w:pStyle w:val="FootnoteText"/>
      </w:pPr>
      <w:r w:rsidRPr="0072600F">
        <w:rPr>
          <w:rStyle w:val="FootnoteReference"/>
        </w:rPr>
        <w:footnoteRef/>
      </w:r>
      <w:r>
        <w:t xml:space="preserve"> Clean Energy Associations Rehearing Request at 36-39.</w:t>
      </w:r>
    </w:p>
  </w:footnote>
  <w:footnote w:id="381">
    <w:p w:rsidR="00760048" w:rsidP="00071614" w14:paraId="4CBD6388" w14:textId="77777777">
      <w:pPr>
        <w:pStyle w:val="FootnoteText"/>
      </w:pPr>
      <w:r w:rsidRPr="0072600F">
        <w:rPr>
          <w:rStyle w:val="FootnoteReference"/>
        </w:rPr>
        <w:footnoteRef/>
      </w:r>
      <w:r>
        <w:t xml:space="preserve"> </w:t>
      </w:r>
      <w:r w:rsidRPr="00255701">
        <w:rPr>
          <w:i/>
          <w:iCs/>
        </w:rPr>
        <w:t>Id.</w:t>
      </w:r>
      <w:r>
        <w:rPr>
          <w:i/>
          <w:iCs/>
        </w:rPr>
        <w:t xml:space="preserve"> </w:t>
      </w:r>
      <w:r>
        <w:t xml:space="preserve">at 36 (citing </w:t>
      </w:r>
      <w:r w:rsidRPr="004D46AA">
        <w:rPr>
          <w:i/>
          <w:iCs/>
        </w:rPr>
        <w:t xml:space="preserve">Motor Vehicle </w:t>
      </w:r>
      <w:r w:rsidR="003C3E9E">
        <w:rPr>
          <w:i/>
        </w:rPr>
        <w:t>Manufacturers</w:t>
      </w:r>
      <w:r w:rsidRPr="004D46AA">
        <w:t>, 463 U.S. at 43 (action arbitrary and capricious if agency “failed to consider an</w:t>
      </w:r>
      <w:r>
        <w:t xml:space="preserve"> </w:t>
      </w:r>
      <w:r w:rsidRPr="004D46AA">
        <w:t>important aspect of the problem” or “offered an</w:t>
      </w:r>
      <w:r>
        <w:t xml:space="preserve"> </w:t>
      </w:r>
      <w:r w:rsidRPr="004D46AA">
        <w:t xml:space="preserve">explanation for its decision that runs counter to the evidence before the agency”); </w:t>
      </w:r>
      <w:r w:rsidRPr="004D46AA">
        <w:rPr>
          <w:i/>
          <w:iCs/>
        </w:rPr>
        <w:t>Allentown</w:t>
      </w:r>
      <w:r>
        <w:rPr>
          <w:i/>
          <w:iCs/>
        </w:rPr>
        <w:t xml:space="preserve"> Mack Sales &amp; Serv., Inc. v. </w:t>
      </w:r>
      <w:r>
        <w:rPr>
          <w:i/>
          <w:iCs/>
        </w:rPr>
        <w:t>Nat’l Labor Relations Bd.</w:t>
      </w:r>
      <w:r w:rsidRPr="004D46AA">
        <w:t>, 522 U.S. 359 (1998);</w:t>
      </w:r>
      <w:r>
        <w:t xml:space="preserve"> </w:t>
      </w:r>
      <w:r w:rsidRPr="004D46AA">
        <w:rPr>
          <w:i/>
          <w:iCs/>
        </w:rPr>
        <w:t>Del</w:t>
      </w:r>
      <w:r>
        <w:rPr>
          <w:i/>
          <w:iCs/>
        </w:rPr>
        <w:t>.</w:t>
      </w:r>
      <w:r w:rsidRPr="004D46AA">
        <w:rPr>
          <w:i/>
          <w:iCs/>
        </w:rPr>
        <w:t xml:space="preserve"> </w:t>
      </w:r>
      <w:r>
        <w:rPr>
          <w:i/>
          <w:iCs/>
        </w:rPr>
        <w:t xml:space="preserve">Div. of </w:t>
      </w:r>
      <w:r w:rsidRPr="004D46AA">
        <w:rPr>
          <w:i/>
          <w:iCs/>
        </w:rPr>
        <w:t>Pub</w:t>
      </w:r>
      <w:r>
        <w:rPr>
          <w:i/>
          <w:iCs/>
        </w:rPr>
        <w:t>.</w:t>
      </w:r>
      <w:r w:rsidRPr="004D46AA">
        <w:rPr>
          <w:i/>
          <w:iCs/>
        </w:rPr>
        <w:t xml:space="preserve"> Advoc</w:t>
      </w:r>
      <w:r w:rsidR="00787941">
        <w:rPr>
          <w:i/>
          <w:iCs/>
        </w:rPr>
        <w:t>.</w:t>
      </w:r>
      <w:r w:rsidRPr="004D46AA">
        <w:rPr>
          <w:i/>
          <w:iCs/>
        </w:rPr>
        <w:t xml:space="preserve"> </w:t>
      </w:r>
      <w:r>
        <w:rPr>
          <w:i/>
          <w:iCs/>
        </w:rPr>
        <w:t>v. FERC</w:t>
      </w:r>
      <w:r>
        <w:t>, 3 F.4</w:t>
      </w:r>
      <w:r w:rsidRPr="006A72F0">
        <w:rPr>
          <w:vertAlign w:val="superscript"/>
        </w:rPr>
        <w:t>th</w:t>
      </w:r>
      <w:r>
        <w:t xml:space="preserve"> 461,</w:t>
      </w:r>
      <w:r w:rsidRPr="004D46AA">
        <w:t xml:space="preserve"> at 469</w:t>
      </w:r>
      <w:r>
        <w:t xml:space="preserve"> (D.C. Cir. 2021)</w:t>
      </w:r>
      <w:r w:rsidR="003C3E9E">
        <w:t xml:space="preserve"> (</w:t>
      </w:r>
      <w:r w:rsidRPr="00127D2F" w:rsidR="003C3E9E">
        <w:rPr>
          <w:i/>
          <w:iCs/>
        </w:rPr>
        <w:t>Delaware Public Advocate</w:t>
      </w:r>
      <w:r w:rsidRPr="00B047E8" w:rsidR="003C3E9E">
        <w:t>)</w:t>
      </w:r>
      <w:r w:rsidRPr="004D46AA">
        <w:t xml:space="preserve">; </w:t>
      </w:r>
      <w:r>
        <w:rPr>
          <w:i/>
          <w:iCs/>
        </w:rPr>
        <w:t>Pub. Utils. Comm’n of Cal.</w:t>
      </w:r>
      <w:r w:rsidR="00787941">
        <w:rPr>
          <w:i/>
          <w:iCs/>
        </w:rPr>
        <w:t xml:space="preserve"> v. FERC</w:t>
      </w:r>
      <w:r w:rsidRPr="004D46AA">
        <w:t xml:space="preserve">, 462 F.3d 1027, 1051 (9th Cir. 2006); </w:t>
      </w:r>
      <w:r w:rsidRPr="004D46AA">
        <w:rPr>
          <w:i/>
          <w:iCs/>
        </w:rPr>
        <w:t>PPL Wallingford Energy</w:t>
      </w:r>
      <w:r w:rsidR="00787941">
        <w:rPr>
          <w:i/>
          <w:iCs/>
        </w:rPr>
        <w:t xml:space="preserve"> v. FERC</w:t>
      </w:r>
      <w:r w:rsidRPr="004D46AA">
        <w:t>, 419 F.3d</w:t>
      </w:r>
      <w:r>
        <w:t xml:space="preserve"> 1134,</w:t>
      </w:r>
      <w:r w:rsidRPr="004D46AA">
        <w:t xml:space="preserve"> 1198</w:t>
      </w:r>
      <w:r>
        <w:t xml:space="preserve"> (D.C. Cir. 2005)</w:t>
      </w:r>
      <w:r w:rsidRPr="004D46AA">
        <w:t xml:space="preserve">; </w:t>
      </w:r>
      <w:r w:rsidRPr="004D46AA">
        <w:rPr>
          <w:i/>
          <w:iCs/>
        </w:rPr>
        <w:t xml:space="preserve">N. States Power </w:t>
      </w:r>
      <w:r>
        <w:rPr>
          <w:i/>
          <w:iCs/>
        </w:rPr>
        <w:t>Co. v. FERC</w:t>
      </w:r>
      <w:r>
        <w:t>, 30 F.3d 177,</w:t>
      </w:r>
      <w:r w:rsidRPr="004D46AA">
        <w:t xml:space="preserve"> 180</w:t>
      </w:r>
      <w:r>
        <w:t xml:space="preserve"> (D.C. Cir. 1994)). </w:t>
      </w:r>
    </w:p>
  </w:footnote>
  <w:footnote w:id="382">
    <w:p w:rsidR="00760048" w:rsidP="00071614" w14:paraId="18A047C1" w14:textId="77777777">
      <w:pPr>
        <w:pStyle w:val="FootnoteText"/>
      </w:pPr>
      <w:r w:rsidRPr="0072600F">
        <w:rPr>
          <w:rStyle w:val="FootnoteReference"/>
        </w:rPr>
        <w:footnoteRef/>
      </w:r>
      <w:r>
        <w:t xml:space="preserve"> </w:t>
      </w:r>
      <w:r w:rsidRPr="00255701">
        <w:rPr>
          <w:i/>
          <w:iCs/>
        </w:rPr>
        <w:t>Id.</w:t>
      </w:r>
      <w:r>
        <w:rPr>
          <w:i/>
          <w:iCs/>
        </w:rPr>
        <w:t xml:space="preserve"> </w:t>
      </w:r>
      <w:r>
        <w:t xml:space="preserve">at 37 (citing Advanced Energy Economy Initial Comments at 19-20; Clean Energy Associations Initial Comments at 43; CREA and </w:t>
      </w:r>
      <w:r>
        <w:t>NewSun Energy Initial Comments at 81; EDF Renewables Initial Comments at 9; Pine Gate Initial Comments at 36).</w:t>
      </w:r>
    </w:p>
  </w:footnote>
  <w:footnote w:id="383">
    <w:p w:rsidR="00760048" w:rsidP="00071614" w14:paraId="57ED6771" w14:textId="77777777">
      <w:pPr>
        <w:pStyle w:val="FootnoteText"/>
      </w:pPr>
      <w:r w:rsidRPr="0072600F">
        <w:rPr>
          <w:rStyle w:val="FootnoteReference"/>
        </w:rPr>
        <w:footnoteRef/>
      </w:r>
      <w:r>
        <w:t xml:space="preserve"> </w:t>
      </w:r>
      <w:r w:rsidRPr="00255701">
        <w:rPr>
          <w:i/>
          <w:iCs/>
        </w:rPr>
        <w:t>Id.</w:t>
      </w:r>
      <w:r>
        <w:rPr>
          <w:i/>
          <w:iCs/>
        </w:rPr>
        <w:t xml:space="preserve"> </w:t>
      </w:r>
      <w:r>
        <w:t xml:space="preserve">at 38-39 (citing </w:t>
      </w:r>
      <w:r w:rsidRPr="00127D2F">
        <w:t>Order No. 2023</w:t>
      </w:r>
      <w:r>
        <w:t>,</w:t>
      </w:r>
      <w:r w:rsidRPr="00CC63C9">
        <w:rPr>
          <w:rFonts w:ascii="TimesNewRoman" w:hAnsi="TimesNewRoman" w:cs="TimesNewRoman"/>
          <w:szCs w:val="26"/>
        </w:rPr>
        <w:t xml:space="preserve"> </w:t>
      </w:r>
      <w:r w:rsidRPr="00CC63C9">
        <w:t>184 FERC ¶ 61,054</w:t>
      </w:r>
      <w:r w:rsidRPr="00127D2F">
        <w:t xml:space="preserve"> at P 859</w:t>
      </w:r>
      <w:r>
        <w:t xml:space="preserve">; </w:t>
      </w:r>
      <w:r w:rsidRPr="00127D2F">
        <w:rPr>
          <w:i/>
          <w:iCs/>
        </w:rPr>
        <w:t>Del</w:t>
      </w:r>
      <w:r w:rsidR="00787941">
        <w:rPr>
          <w:i/>
          <w:iCs/>
        </w:rPr>
        <w:t>.</w:t>
      </w:r>
      <w:r w:rsidRPr="00127D2F">
        <w:rPr>
          <w:i/>
          <w:iCs/>
        </w:rPr>
        <w:t xml:space="preserve"> </w:t>
      </w:r>
      <w:r w:rsidR="00787941">
        <w:rPr>
          <w:i/>
          <w:iCs/>
        </w:rPr>
        <w:t xml:space="preserve">Div. of </w:t>
      </w:r>
      <w:r w:rsidRPr="00127D2F">
        <w:rPr>
          <w:i/>
          <w:iCs/>
        </w:rPr>
        <w:t>Pub</w:t>
      </w:r>
      <w:r w:rsidR="00787941">
        <w:rPr>
          <w:i/>
          <w:iCs/>
        </w:rPr>
        <w:t>.</w:t>
      </w:r>
      <w:r w:rsidRPr="00127D2F">
        <w:rPr>
          <w:i/>
          <w:iCs/>
        </w:rPr>
        <w:t xml:space="preserve"> </w:t>
      </w:r>
      <w:r w:rsidRPr="00127D2F">
        <w:rPr>
          <w:i/>
          <w:iCs/>
        </w:rPr>
        <w:t>Advoc</w:t>
      </w:r>
      <w:r w:rsidR="00787941">
        <w:rPr>
          <w:i/>
          <w:iCs/>
        </w:rPr>
        <w:t>.</w:t>
      </w:r>
      <w:r w:rsidRPr="00127D2F">
        <w:t>, 3 F.4th at 469</w:t>
      </w:r>
      <w:r>
        <w:t>)</w:t>
      </w:r>
      <w:r w:rsidRPr="00127D2F">
        <w:t>.</w:t>
      </w:r>
    </w:p>
  </w:footnote>
  <w:footnote w:id="384">
    <w:p w:rsidR="00760048" w:rsidP="00071614" w14:paraId="49A639F5" w14:textId="77777777">
      <w:pPr>
        <w:pStyle w:val="FootnoteText"/>
      </w:pPr>
      <w:r w:rsidRPr="0072600F">
        <w:rPr>
          <w:rStyle w:val="FootnoteReference"/>
        </w:rPr>
        <w:footnoteRef/>
      </w:r>
      <w:r>
        <w:t xml:space="preserve"> </w:t>
      </w:r>
      <w:r w:rsidRPr="00255701">
        <w:rPr>
          <w:i/>
          <w:iCs/>
        </w:rPr>
        <w:t>Id.</w:t>
      </w:r>
      <w:r>
        <w:rPr>
          <w:i/>
          <w:iCs/>
        </w:rPr>
        <w:t xml:space="preserve"> </w:t>
      </w:r>
      <w:r>
        <w:t xml:space="preserve">(citing </w:t>
      </w:r>
      <w:r w:rsidRPr="00832799">
        <w:t>Order No. 2023</w:t>
      </w:r>
      <w:r>
        <w:t xml:space="preserve">, </w:t>
      </w:r>
      <w:r w:rsidRPr="00CC63C9">
        <w:t>184 FERC ¶ 61,054</w:t>
      </w:r>
      <w:r w:rsidRPr="00832799">
        <w:t xml:space="preserve"> at PP 502, 690</w:t>
      </w:r>
      <w:r>
        <w:t xml:space="preserve">).  </w:t>
      </w:r>
    </w:p>
  </w:footnote>
  <w:footnote w:id="385">
    <w:p w:rsidR="00760048" w:rsidP="00071614" w14:paraId="090A5907" w14:textId="77777777">
      <w:pPr>
        <w:pStyle w:val="FootnoteText"/>
      </w:pPr>
      <w:r w:rsidRPr="0072600F">
        <w:rPr>
          <w:rStyle w:val="FootnoteReference"/>
        </w:rPr>
        <w:footnoteRef/>
      </w:r>
      <w:r>
        <w:t xml:space="preserve"> </w:t>
      </w:r>
      <w:r w:rsidRPr="00255701">
        <w:rPr>
          <w:i/>
          <w:iCs/>
        </w:rPr>
        <w:t>Id.</w:t>
      </w:r>
      <w:r>
        <w:rPr>
          <w:i/>
          <w:iCs/>
        </w:rPr>
        <w:t xml:space="preserve"> </w:t>
      </w:r>
      <w:r>
        <w:t xml:space="preserve">at 39 (citing </w:t>
      </w:r>
      <w:r w:rsidRPr="007C1A58">
        <w:t>Order No. 2003</w:t>
      </w:r>
      <w:r>
        <w:t xml:space="preserve">, </w:t>
      </w:r>
      <w:r w:rsidRPr="00F049F9">
        <w:t>104 FERC ¶ 61,103</w:t>
      </w:r>
      <w:r w:rsidRPr="007C1A58">
        <w:t xml:space="preserve"> at PP 1, 171</w:t>
      </w:r>
      <w:r>
        <w:t>, 596).</w:t>
      </w:r>
    </w:p>
  </w:footnote>
  <w:footnote w:id="386">
    <w:p w:rsidR="00760048" w:rsidP="00071614" w14:paraId="6D062008" w14:textId="77777777">
      <w:pPr>
        <w:pStyle w:val="FootnoteText"/>
      </w:pPr>
      <w:r w:rsidRPr="0072600F">
        <w:rPr>
          <w:rStyle w:val="FootnoteReference"/>
        </w:rPr>
        <w:footnoteRef/>
      </w:r>
      <w:r>
        <w:t xml:space="preserve"> </w:t>
      </w:r>
      <w:r w:rsidRPr="00255701">
        <w:rPr>
          <w:i/>
          <w:iCs/>
        </w:rPr>
        <w:t>Id.</w:t>
      </w:r>
      <w:r>
        <w:rPr>
          <w:i/>
          <w:iCs/>
        </w:rPr>
        <w:t xml:space="preserve"> </w:t>
      </w:r>
      <w:r>
        <w:t xml:space="preserve">at 44 (citing </w:t>
      </w:r>
      <w:r w:rsidRPr="0080718D">
        <w:t>Order No. 2023</w:t>
      </w:r>
      <w:r>
        <w:t xml:space="preserve">, </w:t>
      </w:r>
      <w:r w:rsidRPr="00CC63C9">
        <w:t>184 FERC ¶ 61,054</w:t>
      </w:r>
      <w:r w:rsidRPr="0080718D">
        <w:t xml:space="preserve"> at P 1583</w:t>
      </w:r>
      <w:r>
        <w:t>).</w:t>
      </w:r>
    </w:p>
  </w:footnote>
  <w:footnote w:id="387">
    <w:p w:rsidR="00760048" w:rsidP="00071614" w14:paraId="1F07BF7B" w14:textId="77777777">
      <w:pPr>
        <w:pStyle w:val="FootnoteText"/>
      </w:pPr>
      <w:r w:rsidRPr="0072600F">
        <w:rPr>
          <w:rStyle w:val="FootnoteReference"/>
        </w:rPr>
        <w:footnoteRef/>
      </w:r>
      <w:r>
        <w:t xml:space="preserve"> </w:t>
      </w:r>
      <w:r w:rsidRPr="00255701">
        <w:rPr>
          <w:i/>
          <w:iCs/>
        </w:rPr>
        <w:t>Id.</w:t>
      </w:r>
      <w:r>
        <w:rPr>
          <w:i/>
          <w:iCs/>
        </w:rPr>
        <w:t xml:space="preserve"> </w:t>
      </w:r>
      <w:r>
        <w:t xml:space="preserve">at 44-45 (citing </w:t>
      </w:r>
      <w:r w:rsidRPr="0080718D">
        <w:t>Order No. 2023</w:t>
      </w:r>
      <w:r w:rsidR="00787941">
        <w:t xml:space="preserve">, </w:t>
      </w:r>
      <w:r w:rsidRPr="00787941" w:rsidR="00787941">
        <w:t xml:space="preserve">184 FERC ¶ 61,054 at P 6 </w:t>
      </w:r>
      <w:r w:rsidRPr="0080718D">
        <w:t xml:space="preserve"> (Comm’r Christie, Concurring)</w:t>
      </w:r>
      <w:r>
        <w:t>).</w:t>
      </w:r>
    </w:p>
  </w:footnote>
  <w:footnote w:id="388">
    <w:p w:rsidR="00760048" w:rsidRPr="00F2568A" w:rsidP="00071614" w14:paraId="07498CCE" w14:textId="77777777">
      <w:pPr>
        <w:pStyle w:val="FootnoteText"/>
        <w:rPr>
          <w:i/>
          <w:iCs/>
        </w:rPr>
      </w:pPr>
      <w:r w:rsidRPr="0072600F">
        <w:rPr>
          <w:rStyle w:val="FootnoteReference"/>
        </w:rPr>
        <w:footnoteRef/>
      </w:r>
      <w:r>
        <w:t xml:space="preserve"> </w:t>
      </w:r>
      <w:r w:rsidRPr="00255701">
        <w:rPr>
          <w:i/>
          <w:iCs/>
        </w:rPr>
        <w:t>Id.</w:t>
      </w:r>
      <w:r>
        <w:rPr>
          <w:i/>
          <w:iCs/>
        </w:rPr>
        <w:t xml:space="preserve"> </w:t>
      </w:r>
      <w:r>
        <w:t xml:space="preserve">at 45 (noting PJM’s recently implemented generator interconnection process tariff reforms, with a transition process that made projects </w:t>
      </w:r>
      <w:r w:rsidRPr="001107F5">
        <w:t>assigned queue positions in the existing interconnection queue between April 1, 2018 through</w:t>
      </w:r>
      <w:r>
        <w:t xml:space="preserve"> </w:t>
      </w:r>
      <w:r w:rsidRPr="001107F5">
        <w:t>September 30, 2021, subject to “Transition Period Rules,” requiring a “retool” study and</w:t>
      </w:r>
      <w:r>
        <w:t xml:space="preserve"> </w:t>
      </w:r>
      <w:r w:rsidRPr="001107F5">
        <w:t>commercial readiness deposits and site control evidence</w:t>
      </w:r>
      <w:r>
        <w:t xml:space="preserve">) (citing </w:t>
      </w:r>
      <w:r w:rsidRPr="001107F5">
        <w:rPr>
          <w:i/>
          <w:iCs/>
        </w:rPr>
        <w:t xml:space="preserve">PJM Interconnection, L.L.C., </w:t>
      </w:r>
      <w:r w:rsidRPr="001107F5">
        <w:t>181 FERC ¶ 61,162</w:t>
      </w:r>
      <w:r w:rsidR="007A12B6">
        <w:t xml:space="preserve"> at</w:t>
      </w:r>
      <w:r w:rsidRPr="001107F5">
        <w:t xml:space="preserve"> PP 1, 8, 31, </w:t>
      </w:r>
      <w:r w:rsidRPr="001107F5">
        <w:rPr>
          <w:i/>
          <w:iCs/>
        </w:rPr>
        <w:t>reh’g</w:t>
      </w:r>
      <w:r>
        <w:rPr>
          <w:i/>
          <w:iCs/>
        </w:rPr>
        <w:t xml:space="preserve"> </w:t>
      </w:r>
      <w:r w:rsidRPr="001107F5">
        <w:rPr>
          <w:i/>
          <w:iCs/>
        </w:rPr>
        <w:t xml:space="preserve">denied by operation of law, </w:t>
      </w:r>
      <w:r w:rsidRPr="001107F5">
        <w:t xml:space="preserve">182 FERC ¶ 62,055, </w:t>
      </w:r>
      <w:r w:rsidRPr="001107F5">
        <w:rPr>
          <w:i/>
          <w:iCs/>
        </w:rPr>
        <w:t xml:space="preserve">order addressing arguments raised on reh’g, </w:t>
      </w:r>
      <w:r w:rsidRPr="001107F5">
        <w:t>184 FERC ¶ 61,006</w:t>
      </w:r>
      <w:r>
        <w:rPr>
          <w:i/>
          <w:iCs/>
        </w:rPr>
        <w:t xml:space="preserve"> </w:t>
      </w:r>
      <w:r w:rsidRPr="001107F5">
        <w:t>(2023)</w:t>
      </w:r>
      <w:r>
        <w:t>)</w:t>
      </w:r>
      <w:r w:rsidRPr="001107F5">
        <w:t xml:space="preserve">. </w:t>
      </w:r>
      <w:r>
        <w:t xml:space="preserve"> </w:t>
      </w:r>
    </w:p>
  </w:footnote>
  <w:footnote w:id="389">
    <w:p w:rsidR="00760048" w:rsidP="00071614" w14:paraId="2BAB7A60" w14:textId="77777777">
      <w:pPr>
        <w:pStyle w:val="FootnoteText"/>
      </w:pPr>
      <w:r w:rsidRPr="0072600F">
        <w:rPr>
          <w:rStyle w:val="FootnoteReference"/>
        </w:rPr>
        <w:footnoteRef/>
      </w:r>
      <w:r>
        <w:t xml:space="preserve"> </w:t>
      </w:r>
      <w:r w:rsidRPr="00255701">
        <w:rPr>
          <w:i/>
          <w:iCs/>
        </w:rPr>
        <w:t>Id.</w:t>
      </w:r>
      <w:r>
        <w:rPr>
          <w:i/>
          <w:iCs/>
        </w:rPr>
        <w:t xml:space="preserve"> </w:t>
      </w:r>
      <w:r>
        <w:t>at 46; Shell Rehearing Request at 6.</w:t>
      </w:r>
    </w:p>
  </w:footnote>
  <w:footnote w:id="390">
    <w:p w:rsidR="00760048" w:rsidP="00071614" w14:paraId="6C828FE9" w14:textId="77777777">
      <w:pPr>
        <w:pStyle w:val="FootnoteText"/>
      </w:pPr>
      <w:r w:rsidRPr="0072600F">
        <w:rPr>
          <w:rStyle w:val="FootnoteReference"/>
        </w:rPr>
        <w:footnoteRef/>
      </w:r>
      <w:r>
        <w:t xml:space="preserve"> Shell Rehearing Request at 4-5.</w:t>
      </w:r>
    </w:p>
  </w:footnote>
  <w:footnote w:id="391">
    <w:p w:rsidR="00760048" w14:paraId="67D7D215" w14:textId="77777777">
      <w:pPr>
        <w:pStyle w:val="FootnoteText"/>
      </w:pPr>
      <w:r w:rsidRPr="0072600F">
        <w:rPr>
          <w:rStyle w:val="FootnoteReference"/>
        </w:rPr>
        <w:footnoteRef/>
      </w:r>
      <w:r>
        <w:t xml:space="preserve"> </w:t>
      </w:r>
      <w:r w:rsidRPr="00255701">
        <w:rPr>
          <w:i/>
          <w:iCs/>
        </w:rPr>
        <w:t>Id.</w:t>
      </w:r>
      <w:r>
        <w:rPr>
          <w:i/>
          <w:iCs/>
        </w:rPr>
        <w:t xml:space="preserve"> </w:t>
      </w:r>
      <w:r>
        <w:t>at 6-7.</w:t>
      </w:r>
    </w:p>
  </w:footnote>
  <w:footnote w:id="392">
    <w:p w:rsidR="00760048" w14:paraId="5DA353F5" w14:textId="77777777">
      <w:pPr>
        <w:pStyle w:val="FootnoteText"/>
      </w:pPr>
      <w:r w:rsidRPr="0072600F">
        <w:rPr>
          <w:rStyle w:val="FootnoteReference"/>
        </w:rPr>
        <w:footnoteRef/>
      </w:r>
      <w:r>
        <w:t xml:space="preserve"> Clean Energy Associations Rehearing Request at 46.</w:t>
      </w:r>
    </w:p>
  </w:footnote>
  <w:footnote w:id="393">
    <w:p w:rsidR="00760048" w14:paraId="5DD8C029" w14:textId="77777777">
      <w:pPr>
        <w:pStyle w:val="FootnoteText"/>
      </w:pPr>
      <w:r w:rsidRPr="0072600F">
        <w:rPr>
          <w:rStyle w:val="FootnoteReference"/>
        </w:rPr>
        <w:footnoteRef/>
      </w:r>
      <w:r>
        <w:t xml:space="preserve"> Shell Rehearing Request at 7.</w:t>
      </w:r>
    </w:p>
  </w:footnote>
  <w:footnote w:id="394">
    <w:p w:rsidR="00760048" w:rsidP="00071614" w14:paraId="5F50BCC9" w14:textId="77777777">
      <w:pPr>
        <w:pStyle w:val="FootnoteText"/>
      </w:pPr>
      <w:r w:rsidRPr="0072600F">
        <w:rPr>
          <w:rStyle w:val="FootnoteReference"/>
        </w:rPr>
        <w:footnoteRef/>
      </w:r>
      <w:r>
        <w:t xml:space="preserve"> Order No. 2023, 184 FERC ¶ 61,054 at P 859.</w:t>
      </w:r>
    </w:p>
  </w:footnote>
  <w:footnote w:id="395">
    <w:p w:rsidR="00760048" w14:paraId="37674755" w14:textId="77777777">
      <w:pPr>
        <w:pStyle w:val="FootnoteText"/>
      </w:pPr>
      <w:r w:rsidRPr="0072600F">
        <w:rPr>
          <w:rStyle w:val="FootnoteReference"/>
        </w:rPr>
        <w:footnoteRef/>
      </w:r>
      <w:r>
        <w:t xml:space="preserve"> </w:t>
      </w:r>
      <w:r w:rsidRPr="00255701">
        <w:rPr>
          <w:i/>
          <w:iCs/>
        </w:rPr>
        <w:t>Id.</w:t>
      </w:r>
      <w:r>
        <w:rPr>
          <w:i/>
          <w:iCs/>
        </w:rPr>
        <w:t xml:space="preserve"> </w:t>
      </w:r>
      <w:r>
        <w:t>P 860.</w:t>
      </w:r>
    </w:p>
  </w:footnote>
  <w:footnote w:id="396">
    <w:p w:rsidR="00760048" w:rsidRPr="00745303" w:rsidP="00071614" w14:paraId="10285954" w14:textId="77777777">
      <w:pPr>
        <w:pStyle w:val="FootnoteText"/>
        <w:rPr>
          <w:b/>
        </w:rPr>
      </w:pPr>
      <w:r w:rsidRPr="0072600F">
        <w:rPr>
          <w:rStyle w:val="FootnoteReference"/>
        </w:rPr>
        <w:footnoteRef/>
      </w:r>
      <w:r>
        <w:t xml:space="preserve"> </w:t>
      </w:r>
      <w:r>
        <w:rPr>
          <w:i/>
          <w:iCs/>
        </w:rPr>
        <w:t xml:space="preserve">See </w:t>
      </w:r>
      <w:r w:rsidRPr="00637664">
        <w:t>Pub. Serv. Co. of Colo.</w:t>
      </w:r>
      <w:r w:rsidRPr="00320280">
        <w:t>,</w:t>
      </w:r>
      <w:r>
        <w:rPr>
          <w:i/>
          <w:iCs/>
        </w:rPr>
        <w:t xml:space="preserve"> </w:t>
      </w:r>
      <w:r>
        <w:t>Transmittal Letter, Docket No. ER19-2774-000, at 86-87 (filed Sept. 9, 2019) (explaining that $5 million is “likely on the low end” of estimated network upgrade costs that may be allocated to any individual interconnection customer);</w:t>
      </w:r>
      <w:r>
        <w:rPr>
          <w:i/>
          <w:iCs/>
        </w:rPr>
        <w:t xml:space="preserve"> </w:t>
      </w:r>
      <w:r w:rsidRPr="00F97571">
        <w:rPr>
          <w:i/>
          <w:iCs/>
        </w:rPr>
        <w:t>Pub. Serv. Co. of Colo.</w:t>
      </w:r>
      <w:r w:rsidRPr="00F97571">
        <w:t>,</w:t>
      </w:r>
      <w:r w:rsidRPr="00F97571">
        <w:rPr>
          <w:i/>
          <w:iCs/>
        </w:rPr>
        <w:t xml:space="preserve"> </w:t>
      </w:r>
      <w:r w:rsidRPr="00F97571">
        <w:t>169 FERC ¶ 61,182</w:t>
      </w:r>
      <w:r>
        <w:t>, at P 65 n.83 (</w:t>
      </w:r>
      <w:r w:rsidR="006F580C">
        <w:t xml:space="preserve">2019) </w:t>
      </w:r>
      <w:r>
        <w:t>(approving transitional cluster study deposit at $5 million)</w:t>
      </w:r>
      <w:r w:rsidRPr="00F97571">
        <w:t xml:space="preserve">; </w:t>
      </w:r>
      <w:r w:rsidRPr="00F97571">
        <w:rPr>
          <w:i/>
          <w:iCs/>
        </w:rPr>
        <w:t>Tri-State Generation &amp; Transmission Ass’n, Inc.</w:t>
      </w:r>
      <w:r w:rsidRPr="00F97571">
        <w:t>,</w:t>
      </w:r>
      <w:r w:rsidRPr="00F97571">
        <w:rPr>
          <w:i/>
          <w:iCs/>
        </w:rPr>
        <w:t xml:space="preserve"> </w:t>
      </w:r>
      <w:r w:rsidRPr="00F97571">
        <w:t>173 FERC ¶ 61,015</w:t>
      </w:r>
      <w:r>
        <w:t>, at PP 19, 56 (</w:t>
      </w:r>
      <w:r w:rsidR="00DF227C">
        <w:t xml:space="preserve">2020) </w:t>
      </w:r>
      <w:r>
        <w:t>(same)</w:t>
      </w:r>
      <w:r w:rsidRPr="00F97571">
        <w:t xml:space="preserve">; </w:t>
      </w:r>
      <w:r w:rsidRPr="00F97571">
        <w:rPr>
          <w:i/>
          <w:iCs/>
        </w:rPr>
        <w:t xml:space="preserve">Tri-State Generation &amp; Transmission Ass’n, Inc., </w:t>
      </w:r>
      <w:r w:rsidRPr="00F97571">
        <w:t>174 FERC ¶ 61,021</w:t>
      </w:r>
      <w:r>
        <w:t xml:space="preserve">, at P 19 </w:t>
      </w:r>
      <w:r w:rsidRPr="00F97571">
        <w:t>(2021)</w:t>
      </w:r>
      <w:r>
        <w:t xml:space="preserve"> (same)</w:t>
      </w:r>
      <w:r w:rsidRPr="00F97571">
        <w:t>.</w:t>
      </w:r>
    </w:p>
  </w:footnote>
  <w:footnote w:id="397">
    <w:p w:rsidR="00760048" w:rsidP="00071614" w14:paraId="76F7AFFF" w14:textId="77777777">
      <w:pPr>
        <w:pStyle w:val="FootnoteText"/>
      </w:pPr>
      <w:r w:rsidRPr="0072600F">
        <w:rPr>
          <w:rStyle w:val="FootnoteReference"/>
        </w:rPr>
        <w:footnoteRef/>
      </w:r>
      <w:r>
        <w:t xml:space="preserve"> Order No. 2023, 184 FERC ¶ 61,054 at P 859.</w:t>
      </w:r>
    </w:p>
  </w:footnote>
  <w:footnote w:id="398">
    <w:p w:rsidR="00760048" w14:paraId="1727CA97" w14:textId="77777777">
      <w:pPr>
        <w:pStyle w:val="FootnoteText"/>
      </w:pPr>
      <w:r w:rsidRPr="0072600F">
        <w:rPr>
          <w:rStyle w:val="FootnoteReference"/>
        </w:rPr>
        <w:footnoteRef/>
      </w:r>
      <w:r>
        <w:t xml:space="preserve"> </w:t>
      </w:r>
      <w:r w:rsidRPr="001107F5">
        <w:rPr>
          <w:i/>
        </w:rPr>
        <w:t>PJM</w:t>
      </w:r>
      <w:r w:rsidRPr="001107F5">
        <w:rPr>
          <w:i/>
          <w:iCs/>
        </w:rPr>
        <w:t xml:space="preserve"> Interconnection, L.L.C.</w:t>
      </w:r>
      <w:r w:rsidRPr="00C55D9A">
        <w:t>, 181 FERC ¶ 61,162 at P 60</w:t>
      </w:r>
      <w:r>
        <w:t>;</w:t>
      </w:r>
      <w:r w:rsidRPr="00C55D9A">
        <w:t xml:space="preserve"> </w:t>
      </w:r>
      <w:r w:rsidRPr="00F97571">
        <w:rPr>
          <w:i/>
        </w:rPr>
        <w:t>Tri-State Generation</w:t>
      </w:r>
      <w:r w:rsidRPr="00F97571">
        <w:rPr>
          <w:i/>
          <w:iCs/>
        </w:rPr>
        <w:t xml:space="preserve"> &amp; Transmission Ass’n, Inc</w:t>
      </w:r>
      <w:r w:rsidRPr="00C55D9A">
        <w:t>, 175 FERC ¶ 61,128, at P 14 (2021);</w:t>
      </w:r>
      <w:r>
        <w:t xml:space="preserve"> </w:t>
      </w:r>
      <w:r w:rsidRPr="00624863">
        <w:rPr>
          <w:i/>
        </w:rPr>
        <w:t>PacifiCorp</w:t>
      </w:r>
      <w:r w:rsidRPr="00C55D9A">
        <w:t>, 173 FERC ¶ 61,016, at P 25 (2020).</w:t>
      </w:r>
      <w:r>
        <w:t xml:space="preserve"> </w:t>
      </w:r>
    </w:p>
  </w:footnote>
  <w:footnote w:id="399">
    <w:p w:rsidR="00760048" w:rsidRPr="00F217D3" w14:paraId="6C93CD8E" w14:textId="77777777">
      <w:pPr>
        <w:pStyle w:val="FootnoteText"/>
      </w:pPr>
      <w:r w:rsidRPr="0072600F">
        <w:rPr>
          <w:rStyle w:val="FootnoteReference"/>
        </w:rPr>
        <w:footnoteRef/>
      </w:r>
      <w:r>
        <w:t xml:space="preserve"> </w:t>
      </w:r>
      <w:r>
        <w:rPr>
          <w:i/>
          <w:iCs/>
        </w:rPr>
        <w:t>Compare</w:t>
      </w:r>
      <w:r>
        <w:t xml:space="preserve"> </w:t>
      </w:r>
      <w:r>
        <w:rPr>
          <w:i/>
          <w:iCs/>
        </w:rPr>
        <w:t>pro forma</w:t>
      </w:r>
      <w:r>
        <w:t xml:space="preserve"> LGIP section 5.1.1.2 (Transitional Cluster Study) </w:t>
      </w:r>
      <w:r>
        <w:rPr>
          <w:i/>
          <w:iCs/>
        </w:rPr>
        <w:t xml:space="preserve">and </w:t>
      </w:r>
      <w:r>
        <w:t>section 3.4.2 (Initiating an Interconnection Request).</w:t>
      </w:r>
    </w:p>
  </w:footnote>
  <w:footnote w:id="400">
    <w:p w:rsidR="00760048" w:rsidP="00071614" w14:paraId="7D41C475" w14:textId="77777777">
      <w:pPr>
        <w:pStyle w:val="FootnoteText"/>
      </w:pPr>
      <w:r w:rsidRPr="0072600F">
        <w:rPr>
          <w:rStyle w:val="FootnoteReference"/>
        </w:rPr>
        <w:footnoteRef/>
      </w:r>
      <w:r>
        <w:t xml:space="preserve"> </w:t>
      </w:r>
      <w:r w:rsidR="00E8710A">
        <w:t xml:space="preserve">Order No. 2023, 184 FERC ¶ 61,054 at </w:t>
      </w:r>
      <w:r>
        <w:t xml:space="preserve">P </w:t>
      </w:r>
      <w:r>
        <w:t>962.</w:t>
      </w:r>
    </w:p>
  </w:footnote>
  <w:footnote w:id="401">
    <w:p w:rsidR="00760048" w14:paraId="5F1AB0B7" w14:textId="77777777">
      <w:pPr>
        <w:pStyle w:val="FootnoteText"/>
      </w:pPr>
      <w:r w:rsidRPr="0072600F">
        <w:rPr>
          <w:rStyle w:val="FootnoteReference"/>
        </w:rPr>
        <w:footnoteRef/>
      </w:r>
      <w:r>
        <w:t xml:space="preserve"> </w:t>
      </w:r>
      <w:r w:rsidRPr="00255701">
        <w:rPr>
          <w:i/>
          <w:iCs/>
        </w:rPr>
        <w:t>Id.</w:t>
      </w:r>
      <w:r>
        <w:rPr>
          <w:i/>
          <w:iCs/>
        </w:rPr>
        <w:t xml:space="preserve"> </w:t>
      </w:r>
      <w:r>
        <w:t>PP 974-978.</w:t>
      </w:r>
    </w:p>
  </w:footnote>
  <w:footnote w:id="402">
    <w:p w:rsidR="00760048" w:rsidRPr="00107A34" w14:paraId="1DFA5232" w14:textId="77777777">
      <w:pPr>
        <w:pStyle w:val="FootnoteText"/>
      </w:pPr>
      <w:r w:rsidRPr="0072600F">
        <w:rPr>
          <w:rStyle w:val="FootnoteReference"/>
        </w:rPr>
        <w:footnoteRef/>
      </w:r>
      <w:r>
        <w:t xml:space="preserve"> </w:t>
      </w:r>
      <w:r w:rsidRPr="00255701">
        <w:rPr>
          <w:i/>
          <w:iCs/>
        </w:rPr>
        <w:t>Id.</w:t>
      </w:r>
      <w:r>
        <w:rPr>
          <w:i/>
          <w:iCs/>
        </w:rPr>
        <w:t xml:space="preserve"> </w:t>
      </w:r>
      <w:r w:rsidRPr="00DA7CDF">
        <w:t>P 972.</w:t>
      </w:r>
    </w:p>
  </w:footnote>
  <w:footnote w:id="403">
    <w:p w:rsidR="00760048" w:rsidP="00071614" w14:paraId="2730095B" w14:textId="77777777">
      <w:pPr>
        <w:pStyle w:val="FootnoteText"/>
      </w:pPr>
      <w:r w:rsidRPr="0072600F">
        <w:rPr>
          <w:rStyle w:val="FootnoteReference"/>
        </w:rPr>
        <w:footnoteRef/>
      </w:r>
      <w:r>
        <w:t xml:space="preserve"> The typical standard of review under FPA section 205 would apply to these filings: i.e., the filer must show that any proposal to recover study delay penalties is just, reasonable, and not unduly discriminatory or preferential.  </w:t>
      </w:r>
      <w:r w:rsidRPr="00A72EDA">
        <w:rPr>
          <w:i/>
          <w:iCs/>
        </w:rPr>
        <w:t>See</w:t>
      </w:r>
      <w:r>
        <w:t xml:space="preserve"> 16 U.S.C. </w:t>
      </w:r>
      <w:r w:rsidR="00787941">
        <w:t xml:space="preserve">§ </w:t>
      </w:r>
      <w:r>
        <w:t xml:space="preserve">824d.  </w:t>
      </w:r>
    </w:p>
  </w:footnote>
  <w:footnote w:id="404">
    <w:p w:rsidR="00760048" w:rsidP="00071614" w14:paraId="78E39C95" w14:textId="77777777">
      <w:pPr>
        <w:pStyle w:val="FootnoteText"/>
      </w:pPr>
      <w:r w:rsidRPr="0072600F">
        <w:rPr>
          <w:rStyle w:val="FootnoteReference"/>
        </w:rPr>
        <w:footnoteRef/>
      </w:r>
      <w:r>
        <w:t xml:space="preserve"> Order No. 2023, </w:t>
      </w:r>
      <w:r w:rsidRPr="00107A34">
        <w:t>184 FERC ¶ 61,054</w:t>
      </w:r>
      <w:r>
        <w:t xml:space="preserve"> at P 963.</w:t>
      </w:r>
    </w:p>
  </w:footnote>
  <w:footnote w:id="405">
    <w:p w:rsidR="00760048" w14:paraId="4EFAE6A1" w14:textId="77777777">
      <w:pPr>
        <w:pStyle w:val="FootnoteText"/>
      </w:pPr>
      <w:r w:rsidRPr="0072600F">
        <w:rPr>
          <w:rStyle w:val="FootnoteReference"/>
        </w:rPr>
        <w:footnoteRef/>
      </w:r>
      <w:r>
        <w:t xml:space="preserve"> </w:t>
      </w:r>
      <w:r w:rsidRPr="00255701">
        <w:rPr>
          <w:i/>
          <w:iCs/>
        </w:rPr>
        <w:t>Id.</w:t>
      </w:r>
      <w:r>
        <w:rPr>
          <w:i/>
          <w:iCs/>
        </w:rPr>
        <w:t xml:space="preserve"> </w:t>
      </w:r>
      <w:r>
        <w:t>P 995.</w:t>
      </w:r>
    </w:p>
  </w:footnote>
  <w:footnote w:id="406">
    <w:p w:rsidR="00760048" w:rsidP="00071614" w14:paraId="0A6E9AEA" w14:textId="77777777">
      <w:pPr>
        <w:pStyle w:val="FootnoteText"/>
      </w:pPr>
      <w:r w:rsidRPr="0072600F">
        <w:rPr>
          <w:rStyle w:val="FootnoteReference"/>
        </w:rPr>
        <w:footnoteRef/>
      </w:r>
      <w:r>
        <w:t xml:space="preserve"> </w:t>
      </w:r>
      <w:r w:rsidRPr="00255701">
        <w:rPr>
          <w:i/>
          <w:iCs/>
        </w:rPr>
        <w:t>Id.</w:t>
      </w:r>
      <w:r>
        <w:rPr>
          <w:i/>
          <w:iCs/>
        </w:rPr>
        <w:t xml:space="preserve"> </w:t>
      </w:r>
      <w:r>
        <w:t>P 966.</w:t>
      </w:r>
    </w:p>
  </w:footnote>
  <w:footnote w:id="407">
    <w:p w:rsidR="00760048" w14:paraId="5039B01D" w14:textId="77777777">
      <w:pPr>
        <w:pStyle w:val="FootnoteText"/>
      </w:pPr>
      <w:r w:rsidRPr="0072600F">
        <w:rPr>
          <w:rStyle w:val="FootnoteReference"/>
        </w:rPr>
        <w:footnoteRef/>
      </w:r>
      <w:r>
        <w:t xml:space="preserve"> </w:t>
      </w:r>
      <w:r w:rsidRPr="00255701">
        <w:rPr>
          <w:i/>
          <w:iCs/>
        </w:rPr>
        <w:t>Id.</w:t>
      </w:r>
      <w:r>
        <w:rPr>
          <w:i/>
          <w:iCs/>
        </w:rPr>
        <w:t xml:space="preserve"> </w:t>
      </w:r>
      <w:r>
        <w:t>P 967.</w:t>
      </w:r>
    </w:p>
  </w:footnote>
  <w:footnote w:id="408">
    <w:p w:rsidR="00760048" w14:paraId="50262FB6" w14:textId="77777777">
      <w:pPr>
        <w:pStyle w:val="FootnoteText"/>
      </w:pPr>
      <w:r w:rsidRPr="0072600F">
        <w:rPr>
          <w:rStyle w:val="FootnoteReference"/>
        </w:rPr>
        <w:footnoteRef/>
      </w:r>
      <w:r>
        <w:t xml:space="preserve"> </w:t>
      </w:r>
      <w:r w:rsidRPr="00255701">
        <w:rPr>
          <w:i/>
          <w:iCs/>
        </w:rPr>
        <w:t>Id.</w:t>
      </w:r>
      <w:r>
        <w:rPr>
          <w:i/>
          <w:iCs/>
        </w:rPr>
        <w:t xml:space="preserve"> </w:t>
      </w:r>
      <w:r>
        <w:t>P 968.</w:t>
      </w:r>
    </w:p>
  </w:footnote>
  <w:footnote w:id="409">
    <w:p w:rsidR="00760048" w14:paraId="64013786" w14:textId="77777777">
      <w:pPr>
        <w:pStyle w:val="FootnoteText"/>
      </w:pPr>
      <w:r w:rsidRPr="0072600F">
        <w:rPr>
          <w:rStyle w:val="FootnoteReference"/>
        </w:rPr>
        <w:footnoteRef/>
      </w:r>
      <w:r>
        <w:t xml:space="preserve"> </w:t>
      </w:r>
      <w:r w:rsidRPr="00255701">
        <w:rPr>
          <w:i/>
          <w:iCs/>
        </w:rPr>
        <w:t>Id.</w:t>
      </w:r>
      <w:r>
        <w:rPr>
          <w:i/>
          <w:iCs/>
        </w:rPr>
        <w:t xml:space="preserve"> </w:t>
      </w:r>
      <w:r>
        <w:t>P 966.</w:t>
      </w:r>
    </w:p>
  </w:footnote>
  <w:footnote w:id="410">
    <w:p w:rsidR="00760048" w14:paraId="1DBC0ACA" w14:textId="77777777">
      <w:pPr>
        <w:pStyle w:val="FootnoteText"/>
      </w:pPr>
      <w:r w:rsidRPr="0072600F">
        <w:rPr>
          <w:rStyle w:val="FootnoteReference"/>
        </w:rPr>
        <w:footnoteRef/>
      </w:r>
      <w:r>
        <w:t xml:space="preserve"> </w:t>
      </w:r>
      <w:r w:rsidRPr="00255701">
        <w:rPr>
          <w:i/>
          <w:iCs/>
        </w:rPr>
        <w:t>Id.</w:t>
      </w:r>
      <w:r>
        <w:rPr>
          <w:i/>
          <w:iCs/>
        </w:rPr>
        <w:t xml:space="preserve"> </w:t>
      </w:r>
      <w:r>
        <w:t>P 972.</w:t>
      </w:r>
    </w:p>
  </w:footnote>
  <w:footnote w:id="411">
    <w:p w:rsidR="00760048" w14:paraId="51F6AB91" w14:textId="77777777">
      <w:pPr>
        <w:pStyle w:val="FootnoteText"/>
      </w:pPr>
      <w:r w:rsidRPr="0072600F">
        <w:rPr>
          <w:rStyle w:val="FootnoteReference"/>
        </w:rPr>
        <w:footnoteRef/>
      </w:r>
      <w:r>
        <w:t xml:space="preserve"> </w:t>
      </w:r>
      <w:r w:rsidRPr="00255701">
        <w:rPr>
          <w:i/>
          <w:iCs/>
        </w:rPr>
        <w:t>Id.</w:t>
      </w:r>
      <w:r>
        <w:rPr>
          <w:i/>
          <w:iCs/>
        </w:rPr>
        <w:t xml:space="preserve"> </w:t>
      </w:r>
      <w:r>
        <w:t>P 987.</w:t>
      </w:r>
    </w:p>
  </w:footnote>
  <w:footnote w:id="412">
    <w:p w:rsidR="00760048" w14:paraId="7F20BEC0" w14:textId="77777777">
      <w:pPr>
        <w:pStyle w:val="FootnoteText"/>
      </w:pPr>
      <w:r w:rsidRPr="0072600F">
        <w:rPr>
          <w:rStyle w:val="FootnoteReference"/>
        </w:rPr>
        <w:footnoteRef/>
      </w:r>
      <w:r>
        <w:t xml:space="preserve"> </w:t>
      </w:r>
      <w:r w:rsidRPr="00255701">
        <w:rPr>
          <w:i/>
          <w:iCs/>
        </w:rPr>
        <w:t>Id.</w:t>
      </w:r>
      <w:r>
        <w:rPr>
          <w:i/>
          <w:iCs/>
        </w:rPr>
        <w:t xml:space="preserve"> </w:t>
      </w:r>
      <w:r>
        <w:t>P 988.</w:t>
      </w:r>
    </w:p>
  </w:footnote>
  <w:footnote w:id="413">
    <w:p w:rsidR="00760048" w14:paraId="2642CD3A" w14:textId="77777777">
      <w:pPr>
        <w:pStyle w:val="FootnoteText"/>
      </w:pPr>
      <w:r w:rsidRPr="0072600F">
        <w:rPr>
          <w:rStyle w:val="FootnoteReference"/>
        </w:rPr>
        <w:footnoteRef/>
      </w:r>
      <w:r>
        <w:t xml:space="preserve"> </w:t>
      </w:r>
      <w:r w:rsidRPr="00255701">
        <w:rPr>
          <w:i/>
          <w:iCs/>
        </w:rPr>
        <w:t>Id.</w:t>
      </w:r>
      <w:r>
        <w:rPr>
          <w:i/>
          <w:iCs/>
        </w:rPr>
        <w:t xml:space="preserve"> </w:t>
      </w:r>
      <w:r>
        <w:t>P 990.</w:t>
      </w:r>
    </w:p>
  </w:footnote>
  <w:footnote w:id="414">
    <w:p w:rsidR="00760048" w14:paraId="6BC7FF1D" w14:textId="77777777">
      <w:pPr>
        <w:pStyle w:val="FootnoteText"/>
      </w:pPr>
      <w:r w:rsidRPr="0072600F">
        <w:rPr>
          <w:rStyle w:val="FootnoteReference"/>
        </w:rPr>
        <w:footnoteRef/>
      </w:r>
      <w:r>
        <w:t xml:space="preserve"> </w:t>
      </w:r>
      <w:r w:rsidRPr="00255701">
        <w:rPr>
          <w:i/>
          <w:iCs/>
        </w:rPr>
        <w:t>Id.</w:t>
      </w:r>
      <w:r>
        <w:rPr>
          <w:i/>
          <w:iCs/>
        </w:rPr>
        <w:t xml:space="preserve"> </w:t>
      </w:r>
      <w:r>
        <w:t>P 991.</w:t>
      </w:r>
    </w:p>
  </w:footnote>
  <w:footnote w:id="415">
    <w:p w:rsidR="00760048" w:rsidP="00071614" w14:paraId="7292DB97" w14:textId="77777777">
      <w:pPr>
        <w:pStyle w:val="FootnoteText"/>
      </w:pPr>
      <w:r w:rsidRPr="0072600F">
        <w:rPr>
          <w:rStyle w:val="FootnoteReference"/>
        </w:rPr>
        <w:footnoteRef/>
      </w:r>
      <w:r>
        <w:t xml:space="preserve"> </w:t>
      </w:r>
      <w:r w:rsidRPr="00255701">
        <w:rPr>
          <w:i/>
          <w:iCs/>
        </w:rPr>
        <w:t>Id.</w:t>
      </w:r>
      <w:r>
        <w:rPr>
          <w:i/>
          <w:iCs/>
        </w:rPr>
        <w:t xml:space="preserve"> </w:t>
      </w:r>
      <w:r>
        <w:t>PP 963, 1003.</w:t>
      </w:r>
    </w:p>
  </w:footnote>
  <w:footnote w:id="416">
    <w:p w:rsidR="00760048" w14:paraId="06FF2AF7" w14:textId="77777777">
      <w:pPr>
        <w:pStyle w:val="FootnoteText"/>
      </w:pPr>
      <w:r w:rsidRPr="0072600F">
        <w:rPr>
          <w:rStyle w:val="FootnoteReference"/>
        </w:rPr>
        <w:footnoteRef/>
      </w:r>
      <w:r>
        <w:t xml:space="preserve"> </w:t>
      </w:r>
      <w:r w:rsidRPr="00255701">
        <w:rPr>
          <w:i/>
          <w:iCs/>
        </w:rPr>
        <w:t>Id.</w:t>
      </w:r>
      <w:r>
        <w:rPr>
          <w:i/>
          <w:iCs/>
        </w:rPr>
        <w:t xml:space="preserve"> </w:t>
      </w:r>
      <w:r>
        <w:t>P 1003.</w:t>
      </w:r>
    </w:p>
  </w:footnote>
  <w:footnote w:id="417">
    <w:p w:rsidR="00760048" w:rsidP="00071614" w14:paraId="062009FE" w14:textId="77777777">
      <w:pPr>
        <w:pStyle w:val="FootnoteText"/>
      </w:pPr>
      <w:r w:rsidRPr="0072600F">
        <w:rPr>
          <w:rStyle w:val="FootnoteReference"/>
        </w:rPr>
        <w:footnoteRef/>
      </w:r>
      <w:r>
        <w:t xml:space="preserve"> AEP Rehearing </w:t>
      </w:r>
      <w:r w:rsidR="00F91353">
        <w:t xml:space="preserve">Request </w:t>
      </w:r>
      <w:r>
        <w:t>at 10; Avangrid Rehearing Request at 8-9; MISO TOs Rehearing Request at 11-13; NYISO Rehearing Request at 39-40; NYTOs Rehearing Request at 15-19; PJM Rehearing Request at 30; WIRES Rehearing Request at 4-6.</w:t>
      </w:r>
    </w:p>
  </w:footnote>
  <w:footnote w:id="418">
    <w:p w:rsidR="00760048" w14:paraId="162C1AF6" w14:textId="77777777">
      <w:pPr>
        <w:pStyle w:val="FootnoteText"/>
      </w:pPr>
      <w:r w:rsidRPr="0072600F">
        <w:rPr>
          <w:rStyle w:val="FootnoteReference"/>
        </w:rPr>
        <w:footnoteRef/>
      </w:r>
      <w:r>
        <w:t xml:space="preserve"> AEP Rehearing </w:t>
      </w:r>
      <w:r w:rsidR="00F91353">
        <w:t>Request</w:t>
      </w:r>
      <w:r>
        <w:t xml:space="preserve"> at 11-13; Avangrid Rehearing Request at 8-9, 13-14; MISO TOs Rehearing Request at 11-13; NYTOs Rehearing Request at 15-17; WIRES Rehearing Request at 4-6.</w:t>
      </w:r>
    </w:p>
  </w:footnote>
  <w:footnote w:id="419">
    <w:p w:rsidR="00760048" w:rsidP="00071614" w14:paraId="3512FFFF" w14:textId="77777777">
      <w:pPr>
        <w:pStyle w:val="FootnoteText"/>
      </w:pPr>
      <w:r w:rsidRPr="0072600F">
        <w:rPr>
          <w:rStyle w:val="FootnoteReference"/>
        </w:rPr>
        <w:footnoteRef/>
      </w:r>
      <w:r>
        <w:t xml:space="preserve"> NYTOs Rehearing Request at 15-17 (asserting that the Commission has not undertaken a “root cause assessment” to determine the extent to which the reasonable efforts standard causes or contributes to study delays or shown that this standard is a “material contributing cause of study delays”); </w:t>
      </w:r>
      <w:r>
        <w:rPr>
          <w:i/>
          <w:iCs/>
        </w:rPr>
        <w:t>see id.</w:t>
      </w:r>
      <w:r>
        <w:t xml:space="preserve"> at 18-19 (noting the Commission’s recognition that there are factors outside of the transmission providers’ control that may contribute to delays, that timeframes for such studies have historically been treated by transmission providers as estimates, and that transmission customers may cause delays); </w:t>
      </w:r>
      <w:r>
        <w:rPr>
          <w:i/>
          <w:iCs/>
        </w:rPr>
        <w:t xml:space="preserve">see also </w:t>
      </w:r>
      <w:r w:rsidRPr="00863D28">
        <w:t xml:space="preserve">Avangrid Rehearing Request at 8-9; Dominion Rehearing Request at 19; </w:t>
      </w:r>
      <w:r>
        <w:t xml:space="preserve">NYISO Rehearing Request at 40; </w:t>
      </w:r>
      <w:r w:rsidRPr="00863D28">
        <w:t>WIRES Rehearing Request at 4-6</w:t>
      </w:r>
      <w:r>
        <w:t>.</w:t>
      </w:r>
    </w:p>
  </w:footnote>
  <w:footnote w:id="420">
    <w:p w:rsidR="00760048" w:rsidRPr="00141561" w:rsidP="00071614" w14:paraId="34F3AF0E" w14:textId="77777777">
      <w:pPr>
        <w:pStyle w:val="FootnoteText"/>
      </w:pPr>
      <w:r w:rsidRPr="0072600F">
        <w:rPr>
          <w:rStyle w:val="FootnoteReference"/>
        </w:rPr>
        <w:footnoteRef/>
      </w:r>
      <w:r>
        <w:t xml:space="preserve"> Avangrid Rehearing Request at 9-11; NYTOs Rehearing Request at 14; PJM Rehearing Request at 30.</w:t>
      </w:r>
    </w:p>
  </w:footnote>
  <w:footnote w:id="421">
    <w:p w:rsidR="00760048" w:rsidRPr="00141561" w:rsidP="00071614" w14:paraId="038F88A0" w14:textId="77777777">
      <w:pPr>
        <w:pStyle w:val="FootnoteText"/>
      </w:pPr>
      <w:r w:rsidRPr="0072600F">
        <w:rPr>
          <w:rStyle w:val="FootnoteReference"/>
        </w:rPr>
        <w:footnoteRef/>
      </w:r>
      <w:r>
        <w:t xml:space="preserve"> Avangrid Rehearing Request at 11-13 (“[T]</w:t>
      </w:r>
      <w:r w:rsidRPr="00141561">
        <w:t>here is scant evidence in the record that the easing of</w:t>
      </w:r>
      <w:r>
        <w:t xml:space="preserve"> </w:t>
      </w:r>
      <w:r w:rsidRPr="00141561">
        <w:t>burdens will be sufficient to justify the broad imposition of arbitrary, strict, one-size-fits-all</w:t>
      </w:r>
      <w:r>
        <w:t xml:space="preserve"> </w:t>
      </w:r>
      <w:r w:rsidRPr="00141561">
        <w:t>deadlines and penalties for non-attainment</w:t>
      </w:r>
      <w:r>
        <w:t>.”).</w:t>
      </w:r>
    </w:p>
  </w:footnote>
  <w:footnote w:id="422">
    <w:p w:rsidR="00760048" w:rsidP="00071614" w14:paraId="3479221D" w14:textId="77777777">
      <w:pPr>
        <w:pStyle w:val="FootnoteText"/>
      </w:pPr>
      <w:r w:rsidRPr="0072600F">
        <w:rPr>
          <w:rStyle w:val="FootnoteReference"/>
        </w:rPr>
        <w:footnoteRef/>
      </w:r>
      <w:r>
        <w:t xml:space="preserve"> AEP Rehearing </w:t>
      </w:r>
      <w:r w:rsidR="00F91353">
        <w:t>Request</w:t>
      </w:r>
      <w:r>
        <w:t xml:space="preserve"> at 12-13; Dominion Rehearing Request at 18; EEI Rehearing Request at 4-7 (noting that the Commission identifies other factors as contributing to such delays and backlogs and has never found a transmission provider at fault for delays in the interconnection process); ITC Rehearing Request at 5; PacifiCorp Rehearing Request at 4-7 (noting that the Commission confirmed that it was not finding that transmission providers necessarily acted in bad faith or were the sole reason for queue delays); SPP Rehearing Request at 5-6 (noting that the Commission has never found a transmission provider to have violated the reasonable efforts standard, and commenters did not provide evidence that transmission providers have failed to use reasonable efforts).</w:t>
      </w:r>
    </w:p>
  </w:footnote>
  <w:footnote w:id="423">
    <w:p w:rsidR="00760048" w:rsidRPr="006E2A11" w:rsidP="00071614" w14:paraId="261E9106" w14:textId="77777777">
      <w:pPr>
        <w:pStyle w:val="FootnoteText"/>
      </w:pPr>
      <w:r w:rsidRPr="0072600F">
        <w:rPr>
          <w:rStyle w:val="FootnoteReference"/>
        </w:rPr>
        <w:footnoteRef/>
      </w:r>
      <w:r>
        <w:t xml:space="preserve"> ITC Rehearing Request at 6; SPP Rehearing Request at 6-7.</w:t>
      </w:r>
    </w:p>
  </w:footnote>
  <w:footnote w:id="424">
    <w:p w:rsidR="00760048" w:rsidRPr="00141561" w:rsidP="00071614" w14:paraId="7DAE4886" w14:textId="77777777">
      <w:pPr>
        <w:pStyle w:val="FootnoteText"/>
      </w:pPr>
      <w:r w:rsidRPr="0072600F">
        <w:rPr>
          <w:rStyle w:val="FootnoteReference"/>
        </w:rPr>
        <w:footnoteRef/>
      </w:r>
      <w:r>
        <w:t xml:space="preserve"> Avangrid Rehearing Request at 4-5, 12-13; Dominion Rehearing Request at 19-22; MISO TOs Rehearing Request at 14; PacifiCorp Rehearing Request at 11-13; SPP Rehearing Request at 6-7.  Dominion also asserts that Order No. 2023 will increase demand for qualified engineers, such that hiring additional staff may not be feasible.  Dominion Rehearing Request at 20-21.</w:t>
      </w:r>
    </w:p>
  </w:footnote>
  <w:footnote w:id="425">
    <w:p w:rsidR="00760048" w:rsidRPr="0033557E" w:rsidP="00071614" w14:paraId="22214979" w14:textId="77777777">
      <w:pPr>
        <w:pStyle w:val="FootnoteText"/>
      </w:pPr>
      <w:r w:rsidRPr="0072600F">
        <w:rPr>
          <w:rStyle w:val="FootnoteReference"/>
        </w:rPr>
        <w:footnoteRef/>
      </w:r>
      <w:r>
        <w:t xml:space="preserve"> </w:t>
      </w:r>
      <w:r w:rsidR="00395BDC">
        <w:t>AEP Rehearing Request at 11-12;</w:t>
      </w:r>
      <w:r>
        <w:t xml:space="preserve"> EEI Rehearing Request at 5, 7 (asserting that the Commission eliminated the reasonable efforts standard and imposed penalties to “ensure that transmission providers are ‘doing their part’” and to establish “a strange kind of parity in its reforms”);</w:t>
      </w:r>
      <w:r w:rsidRPr="00CA0A29">
        <w:t xml:space="preserve"> </w:t>
      </w:r>
      <w:r>
        <w:t xml:space="preserve">MISO TOs Rehearing Request at 19 (arguing that the Commission </w:t>
      </w:r>
      <w:r w:rsidRPr="00B50BC1">
        <w:t xml:space="preserve">has not found bad faith </w:t>
      </w:r>
      <w:r>
        <w:t xml:space="preserve">on the part of transmission providers </w:t>
      </w:r>
      <w:r w:rsidRPr="00B50BC1">
        <w:t>or that they are the sole reason for delays</w:t>
      </w:r>
      <w:r>
        <w:t xml:space="preserve"> and transmission providers—unlike interconnection customers, who have control over burdens that the Commission has imposed on them—</w:t>
      </w:r>
      <w:r w:rsidRPr="00B50BC1">
        <w:t>will be penalized regardless of whether they had control of the factors causing</w:t>
      </w:r>
      <w:r>
        <w:t xml:space="preserve"> a study delay); </w:t>
      </w:r>
      <w:r w:rsidRPr="00656186">
        <w:rPr>
          <w:i/>
        </w:rPr>
        <w:t>see also</w:t>
      </w:r>
      <w:r>
        <w:t xml:space="preserve"> Indicated PJM TOs Rehearing Request at 39-40 (claiming that the Commission failed to address their comments that the testimony of Chairm</w:t>
      </w:r>
      <w:r w:rsidRPr="00BD0926">
        <w:t>an LeVar of the Utah Public Service Commission</w:t>
      </w:r>
      <w:r>
        <w:t xml:space="preserve"> does not support the use of penalties as incentives). </w:t>
      </w:r>
    </w:p>
  </w:footnote>
  <w:footnote w:id="426">
    <w:p w:rsidR="00760048" w:rsidRPr="0033557E" w:rsidP="00071614" w14:paraId="720C661E" w14:textId="77777777">
      <w:pPr>
        <w:pStyle w:val="FootnoteText"/>
      </w:pPr>
      <w:r w:rsidRPr="0072600F">
        <w:rPr>
          <w:rStyle w:val="FootnoteReference"/>
        </w:rPr>
        <w:footnoteRef/>
      </w:r>
      <w:r>
        <w:t xml:space="preserve"> EEI Rehearing Request at 6-7.</w:t>
      </w:r>
    </w:p>
  </w:footnote>
  <w:footnote w:id="427">
    <w:p w:rsidR="00760048" w14:paraId="60B691D2" w14:textId="77777777">
      <w:pPr>
        <w:pStyle w:val="FootnoteText"/>
      </w:pPr>
      <w:r w:rsidRPr="0072600F">
        <w:rPr>
          <w:rStyle w:val="FootnoteReference"/>
        </w:rPr>
        <w:footnoteRef/>
      </w:r>
      <w:r>
        <w:t xml:space="preserve"> </w:t>
      </w:r>
      <w:r w:rsidRPr="001137F3" w:rsidR="00090319">
        <w:rPr>
          <w:i/>
          <w:iCs/>
        </w:rPr>
        <w:t xml:space="preserve">Id. </w:t>
      </w:r>
      <w:r w:rsidR="00090319">
        <w:t>at</w:t>
      </w:r>
      <w:r w:rsidRPr="00471E42">
        <w:t xml:space="preserve"> 8-9</w:t>
      </w:r>
      <w:r>
        <w:t>; Indicated PJM TOs Rehearing Request at 5-6; ITC Rehearing Request at 4; MISO TOs Rehearing Request at 8-10; NYTOs Rehearing Request at 17-20.</w:t>
      </w:r>
    </w:p>
  </w:footnote>
  <w:footnote w:id="428">
    <w:p w:rsidR="00760048" w:rsidP="00071614" w14:paraId="5705081E" w14:textId="77777777">
      <w:pPr>
        <w:pStyle w:val="FootnoteText"/>
      </w:pPr>
      <w:r w:rsidRPr="0072600F">
        <w:rPr>
          <w:rStyle w:val="FootnoteReference"/>
        </w:rPr>
        <w:footnoteRef/>
      </w:r>
      <w:r>
        <w:t xml:space="preserve"> ITC Rehearing Request at 4 (arguing that this strikes an appropriate balance between competing interests); </w:t>
      </w:r>
      <w:r>
        <w:rPr>
          <w:i/>
          <w:iCs/>
        </w:rPr>
        <w:t xml:space="preserve">see also </w:t>
      </w:r>
      <w:r>
        <w:t>MISO TOs Rehearing Request at 8-10 (similar argument);</w:t>
      </w:r>
      <w:r>
        <w:rPr>
          <w:i/>
        </w:rPr>
        <w:t xml:space="preserve"> </w:t>
      </w:r>
      <w:r>
        <w:rPr>
          <w:i/>
          <w:iCs/>
        </w:rPr>
        <w:t xml:space="preserve">id. </w:t>
      </w:r>
      <w:r>
        <w:t xml:space="preserve">at 20-24 (arguing that </w:t>
      </w:r>
      <w:r w:rsidRPr="00471E42">
        <w:t>the Commission has long recognized the need for flexibility in the study process</w:t>
      </w:r>
      <w:r>
        <w:t xml:space="preserve">, which reflects </w:t>
      </w:r>
      <w:r w:rsidRPr="00471E42">
        <w:t>why a “no fault”</w:t>
      </w:r>
      <w:r>
        <w:t xml:space="preserve"> and less flexible</w:t>
      </w:r>
      <w:r w:rsidRPr="00471E42">
        <w:t xml:space="preserve"> regime </w:t>
      </w:r>
      <w:r>
        <w:t xml:space="preserve">of </w:t>
      </w:r>
      <w:r w:rsidRPr="00471E42">
        <w:t>automatic penalties</w:t>
      </w:r>
      <w:r>
        <w:t xml:space="preserve"> is illogical, particularly given </w:t>
      </w:r>
      <w:r w:rsidRPr="00471E42">
        <w:t>increasing workload and complexity</w:t>
      </w:r>
      <w:r>
        <w:t xml:space="preserve"> of interconnection studies).</w:t>
      </w:r>
    </w:p>
  </w:footnote>
  <w:footnote w:id="429">
    <w:p w:rsidR="00760048" w:rsidRPr="00FB5439" w:rsidP="00071614" w14:paraId="77155723" w14:textId="77777777">
      <w:pPr>
        <w:pStyle w:val="FootnoteText"/>
        <w:rPr>
          <w:u w:val="single"/>
        </w:rPr>
      </w:pPr>
      <w:r w:rsidRPr="0072600F">
        <w:rPr>
          <w:rStyle w:val="FootnoteReference"/>
        </w:rPr>
        <w:footnoteRef/>
      </w:r>
      <w:r>
        <w:t xml:space="preserve"> NYTOs Rehearing Request at 17-20; </w:t>
      </w:r>
      <w:r>
        <w:rPr>
          <w:i/>
          <w:iCs/>
        </w:rPr>
        <w:t>cf.</w:t>
      </w:r>
      <w:r w:rsidRPr="00FB5439">
        <w:rPr>
          <w:i/>
          <w:iCs/>
          <w:szCs w:val="22"/>
        </w:rPr>
        <w:t xml:space="preserve"> </w:t>
      </w:r>
      <w:r w:rsidRPr="00471E42">
        <w:rPr>
          <w:i/>
          <w:iCs/>
        </w:rPr>
        <w:t xml:space="preserve">id. </w:t>
      </w:r>
      <w:r w:rsidRPr="00471E42">
        <w:t>at 26 (</w:t>
      </w:r>
      <w:r>
        <w:t>asserting that r</w:t>
      </w:r>
      <w:r w:rsidRPr="00471E42">
        <w:t>igid deadlines</w:t>
      </w:r>
      <w:r>
        <w:t xml:space="preserve"> and </w:t>
      </w:r>
      <w:r w:rsidRPr="00471E42">
        <w:t>penalties are inconsistent with flexibility that O</w:t>
      </w:r>
      <w:r>
        <w:t xml:space="preserve">rder No. </w:t>
      </w:r>
      <w:r w:rsidRPr="00471E42">
        <w:t>2023 claims to support)</w:t>
      </w:r>
      <w:r>
        <w:t xml:space="preserve">.  </w:t>
      </w:r>
    </w:p>
  </w:footnote>
  <w:footnote w:id="430">
    <w:p w:rsidR="00760048" w:rsidRPr="00EF0F03" w:rsidP="00071614" w14:paraId="08BCDDAB" w14:textId="77777777">
      <w:pPr>
        <w:pStyle w:val="FootnoteText"/>
      </w:pPr>
      <w:r w:rsidRPr="0072600F">
        <w:rPr>
          <w:rStyle w:val="FootnoteReference"/>
        </w:rPr>
        <w:footnoteRef/>
      </w:r>
      <w:r w:rsidRPr="00EF0F03">
        <w:rPr>
          <w:szCs w:val="22"/>
        </w:rPr>
        <w:t xml:space="preserve"> </w:t>
      </w:r>
      <w:r w:rsidRPr="00471E42">
        <w:t>EEI Rehearing Request at 8-9</w:t>
      </w:r>
      <w:r>
        <w:t>.</w:t>
      </w:r>
    </w:p>
  </w:footnote>
  <w:footnote w:id="431">
    <w:p w:rsidR="00760048" w:rsidP="00071614" w14:paraId="509097A7" w14:textId="77777777">
      <w:pPr>
        <w:pStyle w:val="FootnoteText"/>
      </w:pPr>
      <w:r w:rsidRPr="0072600F">
        <w:rPr>
          <w:rStyle w:val="FootnoteReference"/>
        </w:rPr>
        <w:footnoteRef/>
      </w:r>
      <w:r>
        <w:t xml:space="preserve"> Indicated PJM TOs Rehearing Request at 5-6.</w:t>
      </w:r>
    </w:p>
  </w:footnote>
  <w:footnote w:id="432">
    <w:p w:rsidR="00760048" w:rsidP="00071614" w14:paraId="5616B3CA" w14:textId="77777777">
      <w:pPr>
        <w:pStyle w:val="FootnoteText"/>
      </w:pPr>
      <w:r w:rsidRPr="0072600F">
        <w:rPr>
          <w:rStyle w:val="FootnoteReference"/>
        </w:rPr>
        <w:footnoteRef/>
      </w:r>
      <w:r w:rsidRPr="001B1D32">
        <w:t xml:space="preserve"> </w:t>
      </w:r>
      <w:r w:rsidRPr="0007586C" w:rsidR="003C239A">
        <w:rPr>
          <w:i/>
          <w:iCs/>
        </w:rPr>
        <w:t>See</w:t>
      </w:r>
      <w:r w:rsidRPr="001B1D32">
        <w:t xml:space="preserve"> Order No. 2023</w:t>
      </w:r>
      <w:r>
        <w:t>,</w:t>
      </w:r>
      <w:r w:rsidRPr="008540DB">
        <w:rPr>
          <w:rFonts w:ascii="TimesNewRoman" w:hAnsi="TimesNewRoman" w:cs="TimesNewRoman"/>
          <w:szCs w:val="26"/>
        </w:rPr>
        <w:t xml:space="preserve"> </w:t>
      </w:r>
      <w:r w:rsidRPr="008540DB">
        <w:t>184 FERC ¶ 61,054</w:t>
      </w:r>
      <w:r w:rsidRPr="001B1D32">
        <w:t xml:space="preserve"> at P 967.</w:t>
      </w:r>
    </w:p>
  </w:footnote>
  <w:footnote w:id="433">
    <w:p w:rsidR="00760048" w:rsidRPr="00B87DB2" w:rsidP="00071614" w14:paraId="3FFC2938" w14:textId="77777777">
      <w:pPr>
        <w:pStyle w:val="FootnoteText"/>
      </w:pPr>
      <w:r w:rsidRPr="0072600F">
        <w:rPr>
          <w:rStyle w:val="FootnoteReference"/>
        </w:rPr>
        <w:footnoteRef/>
      </w:r>
      <w:r>
        <w:t xml:space="preserve"> </w:t>
      </w:r>
      <w:r w:rsidR="002D19E7">
        <w:t>AEP Rehearing Request at 12;</w:t>
      </w:r>
      <w:r>
        <w:t xml:space="preserve"> </w:t>
      </w:r>
      <w:r w:rsidRPr="00471E42">
        <w:t xml:space="preserve">EEI Rehearing Request </w:t>
      </w:r>
      <w:r>
        <w:t>at 6-7; MISO TOs Rehearing Request at 18 (arguing that the Commission acknowledges the shortage of qualified engineers but simply dismisses this problem); PJM Rehearing Request at 32-33; SPP Rehearing Request at 7; WIRES Rehearing Request at 7-8 (contending that these steps are “more hopeful thinking than discrete, tangible actions”).</w:t>
      </w:r>
    </w:p>
  </w:footnote>
  <w:footnote w:id="434">
    <w:p w:rsidR="00760048" w:rsidP="00071614" w14:paraId="47C62535" w14:textId="77777777">
      <w:pPr>
        <w:pStyle w:val="FootnoteText"/>
      </w:pPr>
      <w:r w:rsidRPr="0072600F">
        <w:rPr>
          <w:rStyle w:val="FootnoteReference"/>
        </w:rPr>
        <w:footnoteRef/>
      </w:r>
      <w:r>
        <w:t xml:space="preserve"> </w:t>
      </w:r>
      <w:r w:rsidRPr="00471E42">
        <w:t>EEI</w:t>
      </w:r>
      <w:r>
        <w:t xml:space="preserve"> Rehearing Request at 6.</w:t>
      </w:r>
    </w:p>
  </w:footnote>
  <w:footnote w:id="435">
    <w:p w:rsidR="00760048" w:rsidP="00071614" w14:paraId="178E3042" w14:textId="77777777">
      <w:pPr>
        <w:pStyle w:val="FootnoteText"/>
      </w:pPr>
      <w:r w:rsidRPr="0072600F">
        <w:rPr>
          <w:rStyle w:val="FootnoteReference"/>
        </w:rPr>
        <w:footnoteRef/>
      </w:r>
      <w:r>
        <w:t xml:space="preserve"> SPP Rehearing Request at 7.</w:t>
      </w:r>
    </w:p>
  </w:footnote>
  <w:footnote w:id="436">
    <w:p w:rsidR="00760048" w14:paraId="44DE0AD3" w14:textId="77777777">
      <w:pPr>
        <w:pStyle w:val="FootnoteText"/>
      </w:pPr>
      <w:r w:rsidRPr="0072600F">
        <w:rPr>
          <w:rStyle w:val="FootnoteReference"/>
        </w:rPr>
        <w:footnoteRef/>
      </w:r>
      <w:r>
        <w:t xml:space="preserve"> AEP Rehearing Request at 15-16; Avangrid Rehearing Request at 9; EEI Rehearing Request at 5; NYTOs Rehearing Request at 17, 20-22 (“</w:t>
      </w:r>
      <w:r w:rsidRPr="009543EE">
        <w:t>Only if the variables outside of a transmission provider’s control are removed will the Commission have a sufficient evidentiary foundation to make the determinations required under Section 206 with respect to whether the Reasonable Efforts standard is unjust and unreasonable as applied in context of actual performance.</w:t>
      </w:r>
      <w:r>
        <w:t xml:space="preserve">”); </w:t>
      </w:r>
      <w:r w:rsidRPr="008273C1">
        <w:t>PacifiCorp Rehearing Request at 4-5</w:t>
      </w:r>
      <w:r>
        <w:t>.</w:t>
      </w:r>
    </w:p>
  </w:footnote>
  <w:footnote w:id="437">
    <w:p w:rsidR="00760048" w:rsidP="00071614" w14:paraId="155218FF" w14:textId="77777777">
      <w:pPr>
        <w:pStyle w:val="FootnoteText"/>
      </w:pPr>
      <w:r w:rsidRPr="0072600F">
        <w:rPr>
          <w:rStyle w:val="FootnoteReference"/>
        </w:rPr>
        <w:footnoteRef/>
      </w:r>
      <w:r>
        <w:t xml:space="preserve"> AEP Rehearing Request at 15-16 (setting forth AEP’s view on how to augment those reports and noting other areas where reporting requirements were required and arguing that such reporting would incentivize transmission providers to perform studies in a timely fashion).</w:t>
      </w:r>
    </w:p>
  </w:footnote>
  <w:footnote w:id="438">
    <w:p w:rsidR="00760048" w14:paraId="0995A809" w14:textId="77777777">
      <w:pPr>
        <w:pStyle w:val="FootnoteText"/>
      </w:pPr>
      <w:r w:rsidRPr="0072600F">
        <w:rPr>
          <w:rStyle w:val="FootnoteReference"/>
        </w:rPr>
        <w:footnoteRef/>
      </w:r>
      <w:r>
        <w:t xml:space="preserve"> Indicated PJM TOs Rehearing Request at 17-18; NYISO Rehearing Request at 39-40; </w:t>
      </w:r>
      <w:r w:rsidRPr="008273C1">
        <w:t xml:space="preserve">PacifiCorp Rehearing Request at </w:t>
      </w:r>
      <w:r>
        <w:t>7-8.</w:t>
      </w:r>
    </w:p>
  </w:footnote>
  <w:footnote w:id="439">
    <w:p w:rsidR="00760048" w:rsidP="00071614" w14:paraId="4D5C19FD" w14:textId="77777777">
      <w:pPr>
        <w:pStyle w:val="FootnoteText"/>
      </w:pPr>
      <w:r w:rsidRPr="0072600F">
        <w:rPr>
          <w:rStyle w:val="FootnoteReference"/>
        </w:rPr>
        <w:footnoteRef/>
      </w:r>
      <w:r>
        <w:t xml:space="preserve"> Indicated PJM TOs Rehearing Request at 17-18 (arguing that, while the Commission points to deficiencies with serial study approaches, they do not apply to regions that have already implemented cluster studies and that those regions should be allowed to fully implement those new approaches).</w:t>
      </w:r>
    </w:p>
  </w:footnote>
  <w:footnote w:id="440">
    <w:p w:rsidR="00760048" w:rsidRPr="002C7F95" w:rsidP="00071614" w14:paraId="615DEC01" w14:textId="77777777">
      <w:pPr>
        <w:pStyle w:val="FootnoteText"/>
      </w:pPr>
      <w:r w:rsidRPr="0072600F">
        <w:rPr>
          <w:rStyle w:val="FootnoteReference"/>
        </w:rPr>
        <w:footnoteRef/>
      </w:r>
      <w:r>
        <w:t xml:space="preserve"> </w:t>
      </w:r>
      <w:r>
        <w:rPr>
          <w:i/>
          <w:iCs/>
        </w:rPr>
        <w:t>Id.</w:t>
      </w:r>
      <w:r>
        <w:t xml:space="preserve"> at 18-19 (arguing that the “world has changed” in certain respects since Order No. 890 was issued, that the Order No. 890 deadlines were consistent with what was historically achievable, and the penalties in Order No. 890 were less draconian than those imposed by Order No. 2023).</w:t>
      </w:r>
    </w:p>
  </w:footnote>
  <w:footnote w:id="441">
    <w:p w:rsidR="00760048" w:rsidP="00071614" w14:paraId="6B33CE2F" w14:textId="77777777">
      <w:pPr>
        <w:pStyle w:val="FootnoteText"/>
      </w:pPr>
      <w:r w:rsidRPr="0072600F">
        <w:rPr>
          <w:rStyle w:val="FootnoteReference"/>
        </w:rPr>
        <w:footnoteRef/>
      </w:r>
      <w:r>
        <w:t xml:space="preserve"> </w:t>
      </w:r>
      <w:r w:rsidRPr="008273C1">
        <w:t xml:space="preserve">PacifiCorp Rehearing Request at </w:t>
      </w:r>
      <w:r>
        <w:t>7-8</w:t>
      </w:r>
      <w:r w:rsidR="00AD65FF">
        <w:t xml:space="preserve"> (</w:t>
      </w:r>
      <w:r w:rsidR="00F66A44">
        <w:t xml:space="preserve">referencing </w:t>
      </w:r>
      <w:r w:rsidRPr="00C37D26" w:rsidR="00F66A44">
        <w:rPr>
          <w:i/>
          <w:iCs/>
        </w:rPr>
        <w:t>Nat’l Fuel Gas Supply Corp. v. FERC</w:t>
      </w:r>
      <w:r w:rsidRPr="00F66A44" w:rsidR="00F66A44">
        <w:t>, 468 F.3d 831</w:t>
      </w:r>
      <w:r w:rsidR="000C7A37">
        <w:t>, 842</w:t>
      </w:r>
      <w:r w:rsidRPr="00F66A44" w:rsidR="00F66A44">
        <w:t xml:space="preserve"> (D.C. Cir. 2006)</w:t>
      </w:r>
      <w:r w:rsidR="00286C80">
        <w:t xml:space="preserve"> (</w:t>
      </w:r>
      <w:r w:rsidRPr="005E5F96" w:rsidR="00286C80">
        <w:rPr>
          <w:i/>
          <w:iCs/>
        </w:rPr>
        <w:t>National Fuel</w:t>
      </w:r>
      <w:r w:rsidR="00286C80">
        <w:t>)</w:t>
      </w:r>
      <w:r w:rsidR="009770F8">
        <w:t xml:space="preserve">, in which </w:t>
      </w:r>
      <w:r w:rsidRPr="009770F8" w:rsidR="009770F8">
        <w:t>the D.C. Circuit vacated the prior version of the Commission’s Standards of Conduct on the basis that, inter alia, the purported record evidence FERC relied upon were rulemaking comments that did not identify any actual examples of wrongdoing</w:t>
      </w:r>
      <w:r w:rsidR="00286C80">
        <w:t>)</w:t>
      </w:r>
      <w:r>
        <w:t>.</w:t>
      </w:r>
    </w:p>
  </w:footnote>
  <w:footnote w:id="442">
    <w:p w:rsidR="00760048" w:rsidP="00071614" w14:paraId="3D79C986" w14:textId="77777777">
      <w:pPr>
        <w:pStyle w:val="FootnoteText"/>
      </w:pPr>
      <w:r w:rsidRPr="0072600F">
        <w:rPr>
          <w:rStyle w:val="FootnoteReference"/>
        </w:rPr>
        <w:footnoteRef/>
      </w:r>
      <w:r>
        <w:t xml:space="preserve"> NYISO Rehearing Request at 39-40.</w:t>
      </w:r>
    </w:p>
  </w:footnote>
  <w:footnote w:id="443">
    <w:p w:rsidR="00760048" w14:paraId="0434FB9D" w14:textId="77777777">
      <w:pPr>
        <w:pStyle w:val="FootnoteText"/>
      </w:pPr>
      <w:r w:rsidRPr="0072600F">
        <w:rPr>
          <w:rStyle w:val="FootnoteReference"/>
        </w:rPr>
        <w:footnoteRef/>
      </w:r>
      <w:r>
        <w:t xml:space="preserve"> </w:t>
      </w:r>
      <w:r w:rsidRPr="00854AC9">
        <w:rPr>
          <w:i/>
          <w:iCs/>
        </w:rPr>
        <w:t>Id.</w:t>
      </w:r>
      <w:r>
        <w:t xml:space="preserve"> at 40; Indicated </w:t>
      </w:r>
      <w:r w:rsidRPr="006F2411">
        <w:t>PJM TOs Rehearing Request at 1</w:t>
      </w:r>
      <w:r>
        <w:t>3</w:t>
      </w:r>
      <w:r w:rsidRPr="006F2411">
        <w:t>-17</w:t>
      </w:r>
      <w:r>
        <w:t>.</w:t>
      </w:r>
    </w:p>
  </w:footnote>
  <w:footnote w:id="444">
    <w:p w:rsidR="00760048" w:rsidP="00071614" w14:paraId="7FA57904" w14:textId="77777777">
      <w:pPr>
        <w:pStyle w:val="FootnoteText"/>
      </w:pPr>
      <w:r w:rsidRPr="0072600F">
        <w:rPr>
          <w:rStyle w:val="FootnoteReference"/>
        </w:rPr>
        <w:footnoteRef/>
      </w:r>
      <w:r>
        <w:t xml:space="preserve"> Indicated </w:t>
      </w:r>
      <w:r w:rsidRPr="006F2411">
        <w:t>PJM TOs Rehearing Request at 1</w:t>
      </w:r>
      <w:r>
        <w:t>3</w:t>
      </w:r>
      <w:r w:rsidRPr="006F2411">
        <w:t>-17</w:t>
      </w:r>
      <w:r>
        <w:t>.</w:t>
      </w:r>
    </w:p>
  </w:footnote>
  <w:footnote w:id="445">
    <w:p w:rsidR="00760048" w:rsidRPr="0082004E" w:rsidP="00071614" w14:paraId="0A209D7F" w14:textId="77777777">
      <w:pPr>
        <w:pStyle w:val="FootnoteText"/>
      </w:pPr>
      <w:r w:rsidRPr="0072600F">
        <w:rPr>
          <w:rStyle w:val="FootnoteReference"/>
        </w:rPr>
        <w:footnoteRef/>
      </w:r>
      <w:r>
        <w:t xml:space="preserve"> </w:t>
      </w:r>
      <w:r>
        <w:rPr>
          <w:i/>
          <w:iCs/>
        </w:rPr>
        <w:t>Id.</w:t>
      </w:r>
      <w:r>
        <w:t xml:space="preserve"> at 14 (citing </w:t>
      </w:r>
      <w:r w:rsidRPr="0082004E">
        <w:rPr>
          <w:i/>
          <w:iCs/>
        </w:rPr>
        <w:t>S.C. Pub. Serv. Auth.</w:t>
      </w:r>
      <w:r w:rsidRPr="0082004E">
        <w:t xml:space="preserve">, 762 F.3d </w:t>
      </w:r>
      <w:r>
        <w:t>at</w:t>
      </w:r>
      <w:r w:rsidRPr="0082004E">
        <w:t xml:space="preserve"> 66-67</w:t>
      </w:r>
      <w:r>
        <w:t xml:space="preserve">; </w:t>
      </w:r>
      <w:r w:rsidRPr="0082004E">
        <w:rPr>
          <w:i/>
          <w:iCs/>
        </w:rPr>
        <w:t>Assoc. Gas</w:t>
      </w:r>
      <w:r w:rsidRPr="0082004E">
        <w:t xml:space="preserve">, 824 F.2d </w:t>
      </w:r>
      <w:r>
        <w:t>at</w:t>
      </w:r>
      <w:r w:rsidRPr="0082004E">
        <w:t xml:space="preserve"> 1019; </w:t>
      </w:r>
      <w:r w:rsidRPr="0082004E">
        <w:rPr>
          <w:i/>
          <w:iCs/>
        </w:rPr>
        <w:t>Wis. Gas.</w:t>
      </w:r>
      <w:r w:rsidRPr="0082004E">
        <w:t xml:space="preserve">, 770 F.2d </w:t>
      </w:r>
      <w:r>
        <w:t>at</w:t>
      </w:r>
      <w:r w:rsidRPr="0082004E">
        <w:t xml:space="preserve"> 1151, 1168</w:t>
      </w:r>
      <w:r>
        <w:t xml:space="preserve">); </w:t>
      </w:r>
      <w:r>
        <w:rPr>
          <w:i/>
          <w:iCs/>
        </w:rPr>
        <w:t>see also id.</w:t>
      </w:r>
      <w:r w:rsidRPr="00CC65B5">
        <w:t xml:space="preserve"> </w:t>
      </w:r>
      <w:r>
        <w:t>at 15-16 (discussing the Order No. 845 data, noting that 14 of 24 non-RTOs/ISOs experienced no study delays; as to RTOs/ISOs, CAISO experienced no study delays, SPP’s data was excluded, and urging that PJM’s data should also have been excluded).</w:t>
      </w:r>
    </w:p>
  </w:footnote>
  <w:footnote w:id="446">
    <w:p w:rsidR="00760048" w:rsidP="00071614" w14:paraId="2046BB2C" w14:textId="77777777">
      <w:pPr>
        <w:pStyle w:val="FootnoteText"/>
      </w:pPr>
      <w:r w:rsidRPr="0072600F">
        <w:rPr>
          <w:rStyle w:val="FootnoteReference"/>
        </w:rPr>
        <w:footnoteRef/>
      </w:r>
      <w:r>
        <w:t xml:space="preserve"> </w:t>
      </w:r>
      <w:r w:rsidRPr="006F2411">
        <w:t>NYISO Rehearing Request at 40</w:t>
      </w:r>
      <w:r>
        <w:t>.</w:t>
      </w:r>
    </w:p>
  </w:footnote>
  <w:footnote w:id="447">
    <w:p w:rsidR="00760048" w:rsidRPr="00A42014" w:rsidP="00071614" w14:paraId="54875D00" w14:textId="77777777">
      <w:pPr>
        <w:pStyle w:val="FootnoteText"/>
      </w:pPr>
      <w:r w:rsidRPr="0072600F">
        <w:rPr>
          <w:rStyle w:val="FootnoteReference"/>
        </w:rPr>
        <w:footnoteRef/>
      </w:r>
      <w:r>
        <w:t xml:space="preserve"> The Commission explained in Order No. 2023 how interconnection queue backlogs result in unjust and unreasonable rates, including by hindering the development of new generation, stifling competition in wholesale electric markets, and creating uncertainty that increases costs.  </w:t>
      </w:r>
      <w:r>
        <w:rPr>
          <w:i/>
          <w:iCs/>
        </w:rPr>
        <w:t>See, e.g.</w:t>
      </w:r>
      <w:r>
        <w:t xml:space="preserve">, Order No. 2023, </w:t>
      </w:r>
      <w:r w:rsidRPr="00B20B40">
        <w:t>184 FERC ¶ 61,054</w:t>
      </w:r>
      <w:r>
        <w:t xml:space="preserve"> at PP 3, 27-29, 37-60; </w:t>
      </w:r>
      <w:r>
        <w:rPr>
          <w:i/>
          <w:iCs/>
        </w:rPr>
        <w:t xml:space="preserve">supra </w:t>
      </w:r>
      <w:r>
        <w:t xml:space="preserve">section II.A.  We disagree with arguments that the Commission failed to adequately explain or that the record does not support this conclusion.  </w:t>
      </w:r>
      <w:r>
        <w:rPr>
          <w:i/>
          <w:iCs/>
        </w:rPr>
        <w:t>See, e.g.</w:t>
      </w:r>
      <w:r>
        <w:t xml:space="preserve">, </w:t>
      </w:r>
      <w:r w:rsidRPr="0036717F">
        <w:t>Indicated PJM TOs Rehearing Request at 29-30</w:t>
      </w:r>
      <w:r>
        <w:t>.</w:t>
      </w:r>
    </w:p>
  </w:footnote>
  <w:footnote w:id="448">
    <w:p w:rsidR="00760048" w:rsidP="00071614" w14:paraId="6807B6EB" w14:textId="77777777">
      <w:pPr>
        <w:pStyle w:val="FootnoteText"/>
      </w:pPr>
      <w:r w:rsidRPr="0072600F">
        <w:rPr>
          <w:rStyle w:val="FootnoteReference"/>
        </w:rPr>
        <w:footnoteRef/>
      </w:r>
      <w:r>
        <w:t xml:space="preserve"> Order No. 2023, </w:t>
      </w:r>
      <w:r w:rsidRPr="00B20B40">
        <w:t>184 FERC ¶ 61,054</w:t>
      </w:r>
      <w:r>
        <w:t xml:space="preserve"> at P 50.</w:t>
      </w:r>
    </w:p>
  </w:footnote>
  <w:footnote w:id="449">
    <w:p w:rsidR="00760048" w:rsidP="00071614" w14:paraId="0B01411F" w14:textId="77777777">
      <w:pPr>
        <w:pStyle w:val="FootnoteText"/>
      </w:pPr>
      <w:r w:rsidRPr="0072600F">
        <w:rPr>
          <w:rStyle w:val="FootnoteReference"/>
        </w:rPr>
        <w:footnoteRef/>
      </w:r>
      <w:r>
        <w:t xml:space="preserve"> </w:t>
      </w:r>
      <w:r w:rsidRPr="00B20B40">
        <w:rPr>
          <w:i/>
          <w:iCs/>
        </w:rPr>
        <w:t>Id.</w:t>
      </w:r>
      <w:r>
        <w:t xml:space="preserve"> P 872.</w:t>
      </w:r>
    </w:p>
  </w:footnote>
  <w:footnote w:id="450">
    <w:p w:rsidR="00760048" w:rsidP="00071614" w14:paraId="4A2BFD61" w14:textId="77777777">
      <w:pPr>
        <w:pStyle w:val="FootnoteText"/>
      </w:pPr>
      <w:r w:rsidRPr="0072600F">
        <w:rPr>
          <w:rStyle w:val="FootnoteReference"/>
        </w:rPr>
        <w:footnoteRef/>
      </w:r>
      <w:r>
        <w:t xml:space="preserve"> </w:t>
      </w:r>
      <w:r w:rsidRPr="00476BF2">
        <w:rPr>
          <w:i/>
          <w:iCs/>
        </w:rPr>
        <w:t>Id.</w:t>
      </w:r>
      <w:r>
        <w:rPr>
          <w:i/>
          <w:iCs/>
        </w:rPr>
        <w:t xml:space="preserve"> </w:t>
      </w:r>
      <w:r>
        <w:t>P 50 (noting that despite “pe</w:t>
      </w:r>
      <w:r w:rsidRPr="00B9447D">
        <w:t>rvasive delays in completing interconnection studies by transmission providers</w:t>
      </w:r>
      <w:r>
        <w:t xml:space="preserve"> . . . </w:t>
      </w:r>
      <w:r w:rsidRPr="00B9447D">
        <w:t>transmission providers have faced few, if any, consequences for failing to meet their tariff-imposed study deadlines under the reasonable efforts standard</w:t>
      </w:r>
      <w:r>
        <w:t>”).</w:t>
      </w:r>
    </w:p>
  </w:footnote>
  <w:footnote w:id="451">
    <w:p w:rsidR="00760048" w:rsidP="00071614" w14:paraId="14A45825" w14:textId="77777777">
      <w:pPr>
        <w:pStyle w:val="FootnoteText"/>
      </w:pPr>
      <w:r w:rsidRPr="0072600F">
        <w:rPr>
          <w:rStyle w:val="FootnoteReference"/>
        </w:rPr>
        <w:footnoteRef/>
      </w:r>
      <w:r>
        <w:t xml:space="preserve"> </w:t>
      </w:r>
      <w:r w:rsidRPr="00476BF2">
        <w:rPr>
          <w:i/>
          <w:iCs/>
        </w:rPr>
        <w:t>Id.</w:t>
      </w:r>
      <w:r>
        <w:t xml:space="preserve"> (concluding that the reasonable efforts standard results in rates that are unjust and unreasonable).</w:t>
      </w:r>
    </w:p>
  </w:footnote>
  <w:footnote w:id="452">
    <w:p w:rsidR="00760048" w:rsidRPr="00FE716A" w:rsidP="00071614" w14:paraId="7FD6381D" w14:textId="77777777">
      <w:pPr>
        <w:pStyle w:val="FootnoteText"/>
        <w:rPr>
          <w:b/>
          <w:bCs/>
        </w:rPr>
      </w:pPr>
      <w:r w:rsidRPr="0072600F">
        <w:rPr>
          <w:rStyle w:val="FootnoteReference"/>
        </w:rPr>
        <w:footnoteRef/>
      </w:r>
      <w:r>
        <w:t xml:space="preserve"> </w:t>
      </w:r>
      <w:r w:rsidRPr="00BA233F">
        <w:t>Order No. 2003, 104 FERC ¶ 61,103 (</w:t>
      </w:r>
      <w:r w:rsidRPr="00E21FC4">
        <w:rPr>
          <w:i/>
        </w:rPr>
        <w:t>pro forma</w:t>
      </w:r>
      <w:r w:rsidRPr="00BA233F">
        <w:t xml:space="preserve"> LGIP </w:t>
      </w:r>
      <w:r>
        <w:t>sections</w:t>
      </w:r>
      <w:r w:rsidRPr="00BA233F">
        <w:t xml:space="preserve"> 7.4, 8.3).</w:t>
      </w:r>
    </w:p>
  </w:footnote>
  <w:footnote w:id="453">
    <w:p w:rsidR="00760048" w:rsidP="00071614" w14:paraId="5833A4F9" w14:textId="77777777">
      <w:pPr>
        <w:pStyle w:val="FootnoteText"/>
      </w:pPr>
      <w:r w:rsidRPr="0072600F">
        <w:rPr>
          <w:rStyle w:val="FootnoteReference"/>
        </w:rPr>
        <w:footnoteRef/>
      </w:r>
      <w:r>
        <w:t xml:space="preserve"> Order No. 2023,</w:t>
      </w:r>
      <w:r w:rsidRPr="00B20B40">
        <w:t xml:space="preserve"> 184 FERC ¶ 61,054</w:t>
      </w:r>
      <w:r>
        <w:t xml:space="preserve"> at P 50.</w:t>
      </w:r>
    </w:p>
  </w:footnote>
  <w:footnote w:id="454">
    <w:p w:rsidR="00760048" w:rsidP="00071614" w14:paraId="504CC8C9" w14:textId="77777777">
      <w:pPr>
        <w:pStyle w:val="FootnoteText"/>
      </w:pPr>
      <w:r w:rsidRPr="0072600F">
        <w:rPr>
          <w:rStyle w:val="FootnoteReference"/>
        </w:rPr>
        <w:footnoteRef/>
      </w:r>
      <w:r>
        <w:t xml:space="preserve"> </w:t>
      </w:r>
      <w:r>
        <w:rPr>
          <w:i/>
          <w:iCs/>
        </w:rPr>
        <w:t xml:space="preserve">See </w:t>
      </w:r>
      <w:r>
        <w:t xml:space="preserve">Order No. 845, </w:t>
      </w:r>
      <w:r w:rsidRPr="00FE716A">
        <w:t xml:space="preserve">163 FERC ¶ 61,043 </w:t>
      </w:r>
      <w:r>
        <w:t xml:space="preserve">at PP 315-21; </w:t>
      </w:r>
      <w:r>
        <w:rPr>
          <w:i/>
          <w:iCs/>
        </w:rPr>
        <w:t>id.</w:t>
      </w:r>
      <w:r>
        <w:t xml:space="preserve"> at 322 (noting that the Commission had not proposed, in its notice of proposed rulemaking for Order No. 845, such firm study deadlines).</w:t>
      </w:r>
    </w:p>
  </w:footnote>
  <w:footnote w:id="455">
    <w:p w:rsidR="00760048" w:rsidP="00071614" w14:paraId="2CBFA92D" w14:textId="77777777">
      <w:pPr>
        <w:pStyle w:val="FootnoteText"/>
      </w:pPr>
      <w:r w:rsidRPr="0072600F">
        <w:rPr>
          <w:rStyle w:val="FootnoteReference"/>
        </w:rPr>
        <w:footnoteRef/>
      </w:r>
      <w:r>
        <w:t xml:space="preserve"> </w:t>
      </w:r>
      <w:r w:rsidRPr="00476BF2">
        <w:rPr>
          <w:i/>
          <w:iCs/>
        </w:rPr>
        <w:t>Id.</w:t>
      </w:r>
      <w:r>
        <w:rPr>
          <w:i/>
        </w:rPr>
        <w:t xml:space="preserve"> </w:t>
      </w:r>
      <w:r>
        <w:t>P 323.</w:t>
      </w:r>
    </w:p>
  </w:footnote>
  <w:footnote w:id="456">
    <w:p w:rsidR="00760048" w:rsidP="00071614" w14:paraId="4FC9FB3D" w14:textId="77777777">
      <w:pPr>
        <w:pStyle w:val="FootnoteText"/>
      </w:pPr>
      <w:r w:rsidRPr="0072600F">
        <w:rPr>
          <w:rStyle w:val="FootnoteReference"/>
        </w:rPr>
        <w:footnoteRef/>
      </w:r>
      <w:r>
        <w:t xml:space="preserve"> </w:t>
      </w:r>
      <w:r w:rsidRPr="00476BF2">
        <w:rPr>
          <w:i/>
          <w:iCs/>
        </w:rPr>
        <w:t>Id.</w:t>
      </w:r>
      <w:r>
        <w:rPr>
          <w:i/>
        </w:rPr>
        <w:t xml:space="preserve"> </w:t>
      </w:r>
      <w:r>
        <w:t>P 309 (“</w:t>
      </w:r>
      <w:r w:rsidRPr="00E81207">
        <w:t>Such information could highlight systemic problems for individual transmission providers and interconnection customers.</w:t>
      </w:r>
      <w:r>
        <w:t>”).</w:t>
      </w:r>
    </w:p>
  </w:footnote>
  <w:footnote w:id="457">
    <w:p w:rsidR="00760048" w:rsidP="00071614" w14:paraId="12B82F7A" w14:textId="77777777">
      <w:pPr>
        <w:pStyle w:val="FootnoteText"/>
      </w:pPr>
      <w:r w:rsidRPr="0072600F">
        <w:rPr>
          <w:rStyle w:val="FootnoteReference"/>
        </w:rPr>
        <w:footnoteRef/>
      </w:r>
      <w:r>
        <w:t xml:space="preserve"> </w:t>
      </w:r>
      <w:r w:rsidRPr="00476BF2">
        <w:rPr>
          <w:i/>
          <w:iCs/>
        </w:rPr>
        <w:t>Id.</w:t>
      </w:r>
      <w:r>
        <w:rPr>
          <w:i/>
          <w:iCs/>
        </w:rPr>
        <w:t xml:space="preserve"> </w:t>
      </w:r>
    </w:p>
  </w:footnote>
  <w:footnote w:id="458">
    <w:p w:rsidR="00760048" w:rsidRPr="001A7F09" w14:paraId="3F020668" w14:textId="77777777">
      <w:pPr>
        <w:pStyle w:val="FootnoteText"/>
      </w:pPr>
      <w:r w:rsidRPr="0072600F">
        <w:rPr>
          <w:rStyle w:val="FootnoteReference"/>
        </w:rPr>
        <w:footnoteRef/>
      </w:r>
      <w:r>
        <w:t xml:space="preserve"> </w:t>
      </w:r>
      <w:r>
        <w:rPr>
          <w:i/>
          <w:iCs/>
        </w:rPr>
        <w:t>See, e.g.</w:t>
      </w:r>
      <w:r>
        <w:t xml:space="preserve">, Order No. 2023, </w:t>
      </w:r>
      <w:r w:rsidRPr="00EB2072">
        <w:t>184 FERC ¶ 61,054</w:t>
      </w:r>
      <w:r>
        <w:t xml:space="preserve"> at PP 38-43 (summarizing evidence of growing queue backlogs and study delays as contributors to those backlogs); </w:t>
      </w:r>
      <w:r>
        <w:rPr>
          <w:i/>
          <w:iCs/>
        </w:rPr>
        <w:t xml:space="preserve">supra </w:t>
      </w:r>
      <w:r>
        <w:t xml:space="preserve">section </w:t>
      </w:r>
      <w:r w:rsidRPr="007368E2">
        <w:t>II.A.3.</w:t>
      </w:r>
    </w:p>
  </w:footnote>
  <w:footnote w:id="459">
    <w:p w:rsidR="00760048" w:rsidRPr="00E20E94" w:rsidP="00071614" w14:paraId="4BBC8844" w14:textId="77777777">
      <w:pPr>
        <w:pStyle w:val="FootnoteText"/>
      </w:pPr>
      <w:r w:rsidRPr="0072600F">
        <w:rPr>
          <w:rStyle w:val="FootnoteReference"/>
        </w:rPr>
        <w:footnoteRef/>
      </w:r>
      <w:r>
        <w:t xml:space="preserve"> </w:t>
      </w:r>
      <w:r>
        <w:rPr>
          <w:i/>
          <w:iCs/>
        </w:rPr>
        <w:t xml:space="preserve">See </w:t>
      </w:r>
      <w:r>
        <w:t xml:space="preserve">Order No. 2023, </w:t>
      </w:r>
      <w:r w:rsidRPr="00EB2072">
        <w:t>184 FERC ¶ 61,054</w:t>
      </w:r>
      <w:r>
        <w:t xml:space="preserve"> at P 30.</w:t>
      </w:r>
    </w:p>
  </w:footnote>
  <w:footnote w:id="460">
    <w:p w:rsidR="00760048" w:rsidRPr="00961E29" w:rsidP="00071614" w14:paraId="1AC4734B" w14:textId="77777777">
      <w:pPr>
        <w:pStyle w:val="FootnoteText"/>
      </w:pPr>
      <w:r w:rsidRPr="0072600F">
        <w:rPr>
          <w:rStyle w:val="FootnoteReference"/>
        </w:rPr>
        <w:footnoteRef/>
      </w:r>
      <w:r>
        <w:t xml:space="preserve"> </w:t>
      </w:r>
      <w:r w:rsidRPr="00476BF2">
        <w:rPr>
          <w:i/>
          <w:iCs/>
        </w:rPr>
        <w:t>Id.</w:t>
      </w:r>
      <w:r>
        <w:t xml:space="preserve"> P 965; </w:t>
      </w:r>
      <w:r>
        <w:rPr>
          <w:i/>
          <w:iCs/>
        </w:rPr>
        <w:t>see also id.</w:t>
      </w:r>
      <w:r>
        <w:t xml:space="preserve"> P 964 (“</w:t>
      </w:r>
      <w:r w:rsidRPr="00961E29">
        <w:t>We adopt these reforms to remedy the unjust and unreasonable rates stemming from interconnection queue backlogs and to ensure that interconnection customers are able to interconnect to the transmission system in a reliable, efficient, transparent, and timely manner.</w:t>
      </w:r>
      <w:r>
        <w:t>”).</w:t>
      </w:r>
    </w:p>
  </w:footnote>
  <w:footnote w:id="461">
    <w:p w:rsidR="00760048" w:rsidRPr="00E20E94" w:rsidP="00071614" w14:paraId="7D87CEDF" w14:textId="77777777">
      <w:pPr>
        <w:pStyle w:val="FootnoteText"/>
      </w:pPr>
      <w:r w:rsidRPr="0072600F">
        <w:rPr>
          <w:rStyle w:val="FootnoteReference"/>
        </w:rPr>
        <w:footnoteRef/>
      </w:r>
      <w:r>
        <w:t xml:space="preserve"> </w:t>
      </w:r>
      <w:r>
        <w:rPr>
          <w:i/>
          <w:iCs/>
        </w:rPr>
        <w:t xml:space="preserve">See supra </w:t>
      </w:r>
      <w:r>
        <w:t>section II.D.1.b.i.</w:t>
      </w:r>
    </w:p>
  </w:footnote>
  <w:footnote w:id="462">
    <w:p w:rsidR="00760048" w:rsidRPr="00CE3DF2" w:rsidP="00071614" w14:paraId="5E183DEA" w14:textId="77777777">
      <w:pPr>
        <w:pStyle w:val="FootnoteText"/>
        <w:rPr>
          <w:b/>
          <w:bCs/>
        </w:rPr>
      </w:pPr>
      <w:r w:rsidRPr="0072600F">
        <w:rPr>
          <w:rStyle w:val="FootnoteReference"/>
        </w:rPr>
        <w:footnoteRef/>
      </w:r>
      <w:r>
        <w:t xml:space="preserve"> </w:t>
      </w:r>
      <w:r w:rsidRPr="00CE3DF2">
        <w:rPr>
          <w:i/>
          <w:iCs/>
        </w:rPr>
        <w:t xml:space="preserve">See </w:t>
      </w:r>
      <w:r w:rsidRPr="00CE3DF2">
        <w:t>Order No. 2023</w:t>
      </w:r>
      <w:r>
        <w:t xml:space="preserve">, </w:t>
      </w:r>
      <w:r w:rsidRPr="00EB2072">
        <w:t>184 FERC ¶ 61,054</w:t>
      </w:r>
      <w:r w:rsidRPr="00CE3DF2">
        <w:t xml:space="preserve"> at P 966.</w:t>
      </w:r>
    </w:p>
  </w:footnote>
  <w:footnote w:id="463">
    <w:p w:rsidR="00760048" w:rsidP="00071614" w14:paraId="630C326A" w14:textId="77777777">
      <w:pPr>
        <w:pStyle w:val="FootnoteText"/>
      </w:pPr>
      <w:r w:rsidRPr="0072600F">
        <w:rPr>
          <w:rStyle w:val="FootnoteReference"/>
        </w:rPr>
        <w:footnoteRef/>
      </w:r>
      <w:r w:rsidRPr="00CE3DF2">
        <w:t xml:space="preserve"> </w:t>
      </w:r>
      <w:r>
        <w:rPr>
          <w:i/>
          <w:iCs/>
        </w:rPr>
        <w:t>See i</w:t>
      </w:r>
      <w:r w:rsidRPr="00476BF2">
        <w:rPr>
          <w:i/>
          <w:iCs/>
        </w:rPr>
        <w:t>d.</w:t>
      </w:r>
      <w:r w:rsidRPr="00CE3DF2">
        <w:t xml:space="preserve"> </w:t>
      </w:r>
      <w:r>
        <w:t xml:space="preserve">P </w:t>
      </w:r>
      <w:r w:rsidRPr="00CE3DF2">
        <w:t>995.</w:t>
      </w:r>
    </w:p>
  </w:footnote>
  <w:footnote w:id="464">
    <w:p w:rsidR="00760048" w14:paraId="65F708BD" w14:textId="77777777">
      <w:pPr>
        <w:pStyle w:val="FootnoteText"/>
      </w:pPr>
      <w:r w:rsidRPr="0072600F">
        <w:rPr>
          <w:rStyle w:val="FootnoteReference"/>
        </w:rPr>
        <w:footnoteRef/>
      </w:r>
      <w:r>
        <w:t xml:space="preserve"> </w:t>
      </w:r>
      <w:r>
        <w:rPr>
          <w:i/>
          <w:iCs/>
        </w:rPr>
        <w:t>See, e.g.</w:t>
      </w:r>
      <w:r>
        <w:t xml:space="preserve">, </w:t>
      </w:r>
      <w:r>
        <w:rPr>
          <w:i/>
          <w:iCs/>
        </w:rPr>
        <w:t>id.</w:t>
      </w:r>
      <w:r>
        <w:t xml:space="preserve"> PP 967, 975, 1007 (noting transmission providers’ ability deploy resources, hire additional personnel, invest in new software, and employ innovative study approaches).</w:t>
      </w:r>
    </w:p>
  </w:footnote>
  <w:footnote w:id="465">
    <w:p w:rsidR="00760048" w:rsidRPr="00573C15" w14:paraId="51171AA5" w14:textId="77777777">
      <w:pPr>
        <w:pStyle w:val="FootnoteText"/>
      </w:pPr>
      <w:r w:rsidRPr="0072600F">
        <w:rPr>
          <w:rStyle w:val="FootnoteReference"/>
        </w:rPr>
        <w:footnoteRef/>
      </w:r>
      <w:r>
        <w:t xml:space="preserve"> </w:t>
      </w:r>
      <w:r>
        <w:rPr>
          <w:i/>
          <w:iCs/>
        </w:rPr>
        <w:t>See, e.g.</w:t>
      </w:r>
      <w:r>
        <w:t xml:space="preserve">, </w:t>
      </w:r>
      <w:r>
        <w:rPr>
          <w:i/>
          <w:iCs/>
        </w:rPr>
        <w:t>id.</w:t>
      </w:r>
      <w:r>
        <w:t xml:space="preserve"> P 201 (noting “</w:t>
      </w:r>
      <w:r w:rsidRPr="002D3450">
        <w:t>the transmission provider's detailed knowledge of its transmission system</w:t>
      </w:r>
      <w:r>
        <w:t>”); Order No. 1000</w:t>
      </w:r>
      <w:r w:rsidRPr="000575B5">
        <w:t>, 136 FERC ¶ 61,051</w:t>
      </w:r>
      <w:r>
        <w:t xml:space="preserve"> at P 260</w:t>
      </w:r>
      <w:r w:rsidRPr="000575B5">
        <w:t xml:space="preserve"> </w:t>
      </w:r>
      <w:r>
        <w:t xml:space="preserve">(“[W]e </w:t>
      </w:r>
      <w:r w:rsidRPr="000575B5">
        <w:t>acknowledge that incumbent transmission providers may have unique knowledge of their own transmission systems</w:t>
      </w:r>
      <w:r>
        <w:t xml:space="preserve"> . . . .”).</w:t>
      </w:r>
    </w:p>
  </w:footnote>
  <w:footnote w:id="466">
    <w:p w:rsidR="00760048" w:rsidRPr="00447C0D" w:rsidP="00071614" w14:paraId="7E65F990" w14:textId="77777777">
      <w:pPr>
        <w:pStyle w:val="FootnoteText"/>
      </w:pPr>
      <w:r w:rsidRPr="0072600F">
        <w:rPr>
          <w:rStyle w:val="FootnoteReference"/>
        </w:rPr>
        <w:footnoteRef/>
      </w:r>
      <w:r>
        <w:t xml:space="preserve"> </w:t>
      </w:r>
      <w:r>
        <w:rPr>
          <w:i/>
          <w:iCs/>
        </w:rPr>
        <w:t>See</w:t>
      </w:r>
      <w:r>
        <w:t xml:space="preserve"> </w:t>
      </w:r>
      <w:r w:rsidRPr="001A5E4B">
        <w:rPr>
          <w:i/>
        </w:rPr>
        <w:t xml:space="preserve">pro forma </w:t>
      </w:r>
      <w:r w:rsidRPr="001A5E4B">
        <w:t xml:space="preserve">LGIP </w:t>
      </w:r>
      <w:r>
        <w:t>section</w:t>
      </w:r>
      <w:r w:rsidRPr="001A5E4B">
        <w:t xml:space="preserve"> 3.7</w:t>
      </w:r>
      <w:r>
        <w:t xml:space="preserve"> (“</w:t>
      </w:r>
      <w:r w:rsidRPr="00447C0D">
        <w:t>Transmission Provider shall deem the Interconnection Request to be withdrawn and shall provide written notice to Interconnection Customer of the deemed withdrawal and an explanation of the reasons for such deemed withdrawal.</w:t>
      </w:r>
      <w:r>
        <w:t xml:space="preserve"> . . . </w:t>
      </w:r>
      <w:r w:rsidRPr="00447C0D">
        <w:t>Withdrawal shall result in the loss of Interconnection Customer</w:t>
      </w:r>
      <w:r>
        <w:t>’</w:t>
      </w:r>
      <w:r w:rsidRPr="00447C0D">
        <w:t xml:space="preserve">s Queue Position. </w:t>
      </w:r>
      <w:r>
        <w:t xml:space="preserve"> </w:t>
      </w:r>
      <w:r w:rsidRPr="00447C0D">
        <w:t>If an Interconnection Customer disputes the withdrawal and loss of its Queue Position, then during Dispute Resolution, Interconnection Customer</w:t>
      </w:r>
      <w:r>
        <w:t>’</w:t>
      </w:r>
      <w:r w:rsidRPr="00447C0D">
        <w:t>s Interconnection Request is eliminated from the queue until such time that the outcome of Dispute Resolution would restore its Queue Position.</w:t>
      </w:r>
      <w:r>
        <w:t>”).</w:t>
      </w:r>
    </w:p>
  </w:footnote>
  <w:footnote w:id="467">
    <w:p w:rsidR="00760048" w:rsidRPr="00A30998" w:rsidP="00071614" w14:paraId="29241069" w14:textId="77777777">
      <w:pPr>
        <w:pStyle w:val="FootnoteText"/>
        <w:rPr>
          <w:b/>
        </w:rPr>
      </w:pPr>
      <w:r w:rsidRPr="0072600F">
        <w:rPr>
          <w:rStyle w:val="FootnoteReference"/>
        </w:rPr>
        <w:footnoteRef/>
      </w:r>
      <w:r>
        <w:t xml:space="preserve"> </w:t>
      </w:r>
      <w:r>
        <w:rPr>
          <w:i/>
          <w:iCs/>
        </w:rPr>
        <w:t xml:space="preserve">See </w:t>
      </w:r>
      <w:r>
        <w:t>Order No. 2023,</w:t>
      </w:r>
      <w:r w:rsidRPr="00305814">
        <w:t xml:space="preserve"> </w:t>
      </w:r>
      <w:r w:rsidRPr="00EB2072">
        <w:t>184 FERC ¶ 61,054</w:t>
      </w:r>
      <w:r>
        <w:t xml:space="preserve"> at P 40; </w:t>
      </w:r>
      <w:r>
        <w:rPr>
          <w:i/>
          <w:iCs/>
        </w:rPr>
        <w:t xml:space="preserve">see also </w:t>
      </w:r>
      <w:r>
        <w:rPr>
          <w:i/>
          <w:iCs/>
        </w:rPr>
        <w:t xml:space="preserve">supra </w:t>
      </w:r>
      <w:r>
        <w:t xml:space="preserve">P </w:t>
      </w:r>
      <w:r>
        <w:fldChar w:fldCharType="begin"/>
      </w:r>
      <w:r>
        <w:instrText xml:space="preserve"> REF _Ref155249562 \r \h </w:instrText>
      </w:r>
      <w:r>
        <w:fldChar w:fldCharType="separate"/>
      </w:r>
      <w:r w:rsidR="00C46123">
        <w:t>39</w:t>
      </w:r>
      <w:r>
        <w:fldChar w:fldCharType="end"/>
      </w:r>
      <w:r w:rsidRPr="00720898">
        <w:t>.</w:t>
      </w:r>
      <w:r>
        <w:rPr>
          <w:b/>
          <w:bCs/>
        </w:rPr>
        <w:t xml:space="preserve">  </w:t>
      </w:r>
      <w:r>
        <w:t xml:space="preserve">While the rehearing requests generally point to factors that are beyond transmission </w:t>
      </w:r>
      <w:r w:rsidRPr="00A30998">
        <w:t>providers’</w:t>
      </w:r>
      <w:r>
        <w:t xml:space="preserve"> control (for instance, awaiting affected system study results or deficient information from interconnection customers), the record does not demonstrate that these are, in fact, the factors exclusively or even primarily causing study delays.  </w:t>
      </w:r>
      <w:r w:rsidRPr="00195FEB">
        <w:rPr>
          <w:i/>
        </w:rPr>
        <w:t>See, e.g.</w:t>
      </w:r>
      <w:r w:rsidRPr="00A30998">
        <w:t xml:space="preserve">, Order No. </w:t>
      </w:r>
      <w:r w:rsidRPr="00BC1B00">
        <w:t>2023</w:t>
      </w:r>
      <w:r>
        <w:t xml:space="preserve">, </w:t>
      </w:r>
      <w:r w:rsidRPr="00EB2072">
        <w:t>184 FERC ¶ 61,054</w:t>
      </w:r>
      <w:r w:rsidRPr="00BC1B00">
        <w:t xml:space="preserve"> at P 50</w:t>
      </w:r>
      <w:r w:rsidRPr="00A30998">
        <w:t>.</w:t>
      </w:r>
    </w:p>
  </w:footnote>
  <w:footnote w:id="468">
    <w:p w:rsidR="00760048" w:rsidRPr="00385D52" w:rsidP="00071614" w14:paraId="679652CD" w14:textId="77777777">
      <w:pPr>
        <w:pStyle w:val="FootnoteText"/>
        <w:rPr>
          <w:b/>
          <w:bCs/>
        </w:rPr>
      </w:pPr>
      <w:r w:rsidRPr="0072600F">
        <w:rPr>
          <w:rStyle w:val="FootnoteReference"/>
        </w:rPr>
        <w:footnoteRef/>
      </w:r>
      <w:r>
        <w:t xml:space="preserve"> </w:t>
      </w:r>
      <w:r w:rsidRPr="00B46F67">
        <w:rPr>
          <w:i/>
          <w:iCs/>
        </w:rPr>
        <w:t>See, e.g.</w:t>
      </w:r>
      <w:r w:rsidRPr="00B46F67">
        <w:t xml:space="preserve">, ACE NY Initial Comments at 11-12 (“The Commission’s review of the reported Order No. </w:t>
      </w:r>
      <w:r w:rsidRPr="009777B3">
        <w:t>845 metrics helps to corroborate the anecdotal experiences of interconnection customers</w:t>
      </w:r>
      <w:r w:rsidRPr="00B46F67">
        <w:t xml:space="preserve"> </w:t>
      </w:r>
      <w:r w:rsidRPr="009777B3">
        <w:t>throughout the nation and demonstrates the widespread failure to complete interconnection</w:t>
      </w:r>
      <w:r w:rsidRPr="00B46F67">
        <w:t xml:space="preserve"> studies consistent with the timelines identified in the </w:t>
      </w:r>
      <w:r w:rsidRPr="00B46F67">
        <w:rPr>
          <w:i/>
          <w:iCs/>
        </w:rPr>
        <w:t xml:space="preserve">pro forma </w:t>
      </w:r>
      <w:r w:rsidRPr="00B46F67">
        <w:t xml:space="preserve">LGIP.”); CAISO Initial Comments at 25 (“The reasonable efforts standard has only served as the exception that swallows the rule of study deadlines.”); EPSA Initial Comments at 10-11 (acknowledging that other factors may contribute to delays but “there have also been vast failures by Transmission Providers to process interconnection studies and provide necessary information to prospective and existing interconnection customers in a timely manner”); </w:t>
      </w:r>
      <w:r w:rsidRPr="00B46F67" w:rsidR="00881BC4">
        <w:t>Invenergy Initial Comments at 29-30 (“</w:t>
      </w:r>
      <w:r w:rsidR="00881BC4">
        <w:t>[I]</w:t>
      </w:r>
      <w:r w:rsidRPr="00886B54" w:rsidR="00881BC4">
        <w:t>nterconnection studies are routinely delayed by several years. This is an ongoing problem and</w:t>
      </w:r>
      <w:r w:rsidRPr="00B46F67" w:rsidR="00881BC4">
        <w:t xml:space="preserve"> may reflect, among other things, an apparently low priority placed on adequate staffing and the lack of any accountability under the existing interconnection procedures.”)</w:t>
      </w:r>
      <w:r w:rsidR="00881BC4">
        <w:t xml:space="preserve">; </w:t>
      </w:r>
      <w:r w:rsidRPr="00B46F67">
        <w:t>Public Interest Organizations Initial Comments at 33 (“[T]he slow pace at which interconnection requests are evaluated has contributed to a ballooning of interconnection queues across the country. . . . [B]inding deadlines are the most effective option for ensuring that prospective generation receives timely responses to interconnection requests.”)</w:t>
      </w:r>
      <w:r w:rsidR="00881BC4">
        <w:t>.</w:t>
      </w:r>
      <w:r w:rsidRPr="00B46F67">
        <w:t xml:space="preserve">  </w:t>
      </w:r>
    </w:p>
  </w:footnote>
  <w:footnote w:id="469">
    <w:p w:rsidR="00760048" w:rsidP="00071614" w14:paraId="0CF36754" w14:textId="77777777">
      <w:pPr>
        <w:pStyle w:val="FootnoteText"/>
      </w:pPr>
      <w:r w:rsidRPr="0072600F">
        <w:rPr>
          <w:rStyle w:val="FootnoteReference"/>
        </w:rPr>
        <w:footnoteRef/>
      </w:r>
      <w:r>
        <w:t xml:space="preserve"> Order No. 2023, </w:t>
      </w:r>
      <w:r w:rsidRPr="00C84DE9">
        <w:t>184 FERC ¶ 61,054</w:t>
      </w:r>
      <w:r>
        <w:t xml:space="preserve"> at PP 40-45. </w:t>
      </w:r>
    </w:p>
  </w:footnote>
  <w:footnote w:id="470">
    <w:p w:rsidR="00760048" w:rsidRPr="00B2366A" w:rsidP="00071614" w14:paraId="70CFC7B9" w14:textId="77777777">
      <w:pPr>
        <w:pStyle w:val="FootnoteText"/>
      </w:pPr>
      <w:r w:rsidRPr="0072600F">
        <w:rPr>
          <w:rStyle w:val="FootnoteReference"/>
        </w:rPr>
        <w:footnoteRef/>
      </w:r>
      <w:r>
        <w:t xml:space="preserve"> </w:t>
      </w:r>
      <w:r>
        <w:rPr>
          <w:i/>
          <w:iCs/>
        </w:rPr>
        <w:t>See id.</w:t>
      </w:r>
      <w:r>
        <w:rPr>
          <w:i/>
        </w:rPr>
        <w:t xml:space="preserve"> </w:t>
      </w:r>
      <w:r>
        <w:t xml:space="preserve">PP 45-56.  For example, Order No. 2023 acknowledged that affected system study delays are a key contributor to overall delays in the interconnection queue, and adopted several specific reforms aimed at standardizing and streamlining affected system study processes.  </w:t>
      </w:r>
      <w:r>
        <w:rPr>
          <w:i/>
          <w:iCs/>
        </w:rPr>
        <w:t xml:space="preserve">See id. </w:t>
      </w:r>
      <w:r>
        <w:t xml:space="preserve">P 51.  Order No. 2023 also acknowledged that speculative interconnection requests contribute to study delays and queue backlogs, and adopted commercial readiness deposits and site control requirements aimed at alleviating this factor.  </w:t>
      </w:r>
      <w:r>
        <w:rPr>
          <w:i/>
          <w:iCs/>
        </w:rPr>
        <w:t xml:space="preserve">See id. </w:t>
      </w:r>
      <w:r>
        <w:t>PP 47-48.</w:t>
      </w:r>
    </w:p>
  </w:footnote>
  <w:footnote w:id="471">
    <w:p w:rsidR="00760048" w:rsidRPr="00F10EA6" w:rsidP="00071614" w14:paraId="6E2DE59C" w14:textId="77777777">
      <w:pPr>
        <w:pStyle w:val="FootnoteText"/>
      </w:pPr>
      <w:r w:rsidRPr="0072600F">
        <w:rPr>
          <w:rStyle w:val="FootnoteReference"/>
        </w:rPr>
        <w:footnoteRef/>
      </w:r>
      <w:r>
        <w:t xml:space="preserve"> </w:t>
      </w:r>
      <w:r>
        <w:rPr>
          <w:i/>
          <w:iCs/>
        </w:rPr>
        <w:t>See id.</w:t>
      </w:r>
      <w:r>
        <w:rPr>
          <w:i/>
        </w:rPr>
        <w:t xml:space="preserve"> </w:t>
      </w:r>
      <w:r>
        <w:t xml:space="preserve">P 968; </w:t>
      </w:r>
      <w:r>
        <w:rPr>
          <w:i/>
          <w:iCs/>
        </w:rPr>
        <w:t>see also id.</w:t>
      </w:r>
      <w:r>
        <w:t xml:space="preserve"> P 966 (“</w:t>
      </w:r>
      <w:r w:rsidRPr="00F10EA6">
        <w:t>Indeed, throughout this final rule, we adopt numerous reforms to appropriately incentivize interconnection customers to help reduce interconnection delays that may result from their conduct.</w:t>
      </w:r>
      <w:r>
        <w:t>”).</w:t>
      </w:r>
    </w:p>
  </w:footnote>
  <w:footnote w:id="472">
    <w:p w:rsidR="00760048" w:rsidRPr="00B5033D" w:rsidP="00071614" w14:paraId="71CE96F7" w14:textId="77777777">
      <w:pPr>
        <w:pStyle w:val="FootnoteText"/>
      </w:pPr>
      <w:r w:rsidRPr="0072600F">
        <w:rPr>
          <w:rStyle w:val="FootnoteReference"/>
        </w:rPr>
        <w:footnoteRef/>
      </w:r>
      <w:r>
        <w:t xml:space="preserve"> </w:t>
      </w:r>
      <w:r>
        <w:rPr>
          <w:i/>
          <w:iCs/>
        </w:rPr>
        <w:t>See</w:t>
      </w:r>
      <w:r>
        <w:t xml:space="preserve"> </w:t>
      </w:r>
      <w:r>
        <w:rPr>
          <w:i/>
          <w:iCs/>
        </w:rPr>
        <w:t>id.</w:t>
      </w:r>
      <w:r>
        <w:t xml:space="preserve"> P 966 (“</w:t>
      </w:r>
      <w:r w:rsidRPr="00BE7AD9">
        <w:t>There is every reason to believe that many of the factors contributing to significant interconnection queue backlogs and delay—including the rapidly changing resource mix, market forces, and emerging technologies— will persist.</w:t>
      </w:r>
      <w:r>
        <w:t>”).</w:t>
      </w:r>
    </w:p>
  </w:footnote>
  <w:footnote w:id="473">
    <w:p w:rsidR="00760048" w:rsidRPr="00862717" w:rsidP="00071614" w14:paraId="1D828754" w14:textId="77777777">
      <w:pPr>
        <w:pStyle w:val="FootnoteText"/>
      </w:pPr>
      <w:r w:rsidRPr="0072600F">
        <w:rPr>
          <w:rStyle w:val="FootnoteReference"/>
        </w:rPr>
        <w:footnoteRef/>
      </w:r>
      <w:r>
        <w:t xml:space="preserve"> </w:t>
      </w:r>
      <w:r>
        <w:rPr>
          <w:i/>
          <w:iCs/>
        </w:rPr>
        <w:t>See id.</w:t>
      </w:r>
      <w:r>
        <w:t xml:space="preserve"> P 968 (“</w:t>
      </w:r>
      <w:r w:rsidRPr="00862717">
        <w:t xml:space="preserve">In this Section, we adopt reforms to ensure that transmission providers are doing their part as well by eliminating the reasonable efforts standard </w:t>
      </w:r>
      <w:r>
        <w:t xml:space="preserve">. . . </w:t>
      </w:r>
      <w:r w:rsidRPr="00862717">
        <w:t>. Based on the record, we find that the elimination of the reasonable efforts standard and its replacement with firm deadlines and penalties are needed to remedy unjust and unreasonable rates</w:t>
      </w:r>
      <w:r>
        <w:t xml:space="preserve"> . . . .”); </w:t>
      </w:r>
      <w:r>
        <w:rPr>
          <w:i/>
          <w:iCs/>
        </w:rPr>
        <w:t>see also id.</w:t>
      </w:r>
      <w:r>
        <w:t xml:space="preserve"> P 966 (reform to the reasonable efforts standard was warranted based on “ongoing challenges” that “will persist”).</w:t>
      </w:r>
    </w:p>
  </w:footnote>
  <w:footnote w:id="474">
    <w:p w:rsidR="00760048" w:rsidRPr="00AB1E99" w:rsidP="00071614" w14:paraId="338E7643" w14:textId="77777777">
      <w:pPr>
        <w:pStyle w:val="FootnoteText"/>
      </w:pPr>
      <w:r w:rsidRPr="0072600F">
        <w:rPr>
          <w:rStyle w:val="FootnoteReference"/>
        </w:rPr>
        <w:footnoteRef/>
      </w:r>
      <w:r>
        <w:t xml:space="preserve"> </w:t>
      </w:r>
      <w:r>
        <w:rPr>
          <w:i/>
          <w:iCs/>
        </w:rPr>
        <w:t>See id.</w:t>
      </w:r>
      <w:r>
        <w:rPr>
          <w:i/>
        </w:rPr>
        <w:t xml:space="preserve"> </w:t>
      </w:r>
      <w:r>
        <w:t>P 967 (noting that this standard “worsens current-day challenges” and there are “</w:t>
      </w:r>
      <w:r w:rsidRPr="00AB1E99">
        <w:t>steps within transmission providers</w:t>
      </w:r>
      <w:r>
        <w:t>’</w:t>
      </w:r>
      <w:r w:rsidRPr="00AB1E99">
        <w:t xml:space="preserve"> control, from deploying transmission providers' resources to exploring administrative efficiencies and innovative study approaches,</w:t>
      </w:r>
      <w:r>
        <w:rPr>
          <w:vertAlign w:val="superscript"/>
        </w:rPr>
        <w:t xml:space="preserve"> </w:t>
      </w:r>
      <w:r w:rsidRPr="00AB1E99">
        <w:t>to better ensure timely processing of interconnection studies to remedy existing deficiencies</w:t>
      </w:r>
      <w:r>
        <w:t>”).</w:t>
      </w:r>
    </w:p>
  </w:footnote>
  <w:footnote w:id="475">
    <w:p w:rsidR="00760048" w:rsidP="00071614" w14:paraId="7B5BAC85" w14:textId="77777777">
      <w:pPr>
        <w:pStyle w:val="FootnoteText"/>
      </w:pPr>
      <w:r w:rsidRPr="0072600F">
        <w:rPr>
          <w:rStyle w:val="FootnoteReference"/>
        </w:rPr>
        <w:footnoteRef/>
      </w:r>
      <w:r>
        <w:t xml:space="preserve"> </w:t>
      </w:r>
      <w:r w:rsidRPr="00AB1E99">
        <w:rPr>
          <w:i/>
          <w:iCs/>
        </w:rPr>
        <w:t>See, e.g</w:t>
      </w:r>
      <w:r w:rsidRPr="00AB1E99">
        <w:t xml:space="preserve">., </w:t>
      </w:r>
      <w:r w:rsidRPr="00CC18DD">
        <w:rPr>
          <w:i/>
          <w:iCs/>
        </w:rPr>
        <w:t>Cent. Hudson Gas &amp; Elec. Corp. v. FERC</w:t>
      </w:r>
      <w:r w:rsidRPr="00CC18DD">
        <w:t>, 783 F.3d 92, 109 (2d Cir. 2015)</w:t>
      </w:r>
      <w:r w:rsidRPr="00AB1E99">
        <w:t xml:space="preserve"> </w:t>
      </w:r>
      <w:r w:rsidR="0093232E">
        <w:t>(</w:t>
      </w:r>
      <w:r w:rsidRPr="00CC18DD" w:rsidR="0093232E">
        <w:rPr>
          <w:i/>
          <w:iCs/>
        </w:rPr>
        <w:t>Cent. Hudson</w:t>
      </w:r>
      <w:r w:rsidRPr="00CC18DD">
        <w:t>)</w:t>
      </w:r>
      <w:r>
        <w:rPr>
          <w:i/>
        </w:rPr>
        <w:t xml:space="preserve"> </w:t>
      </w:r>
      <w:r w:rsidRPr="00AB1E99">
        <w:t xml:space="preserve">(“FERC may permissibly rely on economic theory alone to support its conclusions so long as it has applied the relevant economic principles in a reasonable manner and adequately explained its reasoning”); </w:t>
      </w:r>
      <w:r w:rsidRPr="00CC18DD">
        <w:rPr>
          <w:i/>
          <w:iCs/>
        </w:rPr>
        <w:t>Sacramento Mun. Util. Dist. v. FERC</w:t>
      </w:r>
      <w:r w:rsidRPr="00CC18DD">
        <w:t>, 616 F.3d 520, 531 (2010)</w:t>
      </w:r>
      <w:r w:rsidRPr="00AB1E99">
        <w:t xml:space="preserve"> </w:t>
      </w:r>
      <w:r w:rsidR="00F2126F">
        <w:t>(</w:t>
      </w:r>
      <w:r w:rsidRPr="00CC18DD" w:rsidR="00F2126F">
        <w:rPr>
          <w:i/>
          <w:iCs/>
        </w:rPr>
        <w:t>Sacramento</w:t>
      </w:r>
      <w:r w:rsidR="00F2126F">
        <w:t xml:space="preserve">) </w:t>
      </w:r>
      <w:r w:rsidRPr="00AB1E99">
        <w:t>(“[I]t was perfectly legitimate for the Commission to base its findings about the benefits of marginal loss charges on basic economic theory</w:t>
      </w:r>
      <w:r>
        <w:t xml:space="preserve"> . . . </w:t>
      </w:r>
      <w:r w:rsidRPr="00AB1E99">
        <w:t xml:space="preserve">.”); </w:t>
      </w:r>
      <w:r w:rsidRPr="00CC18DD">
        <w:rPr>
          <w:i/>
          <w:iCs/>
        </w:rPr>
        <w:t>Assoc</w:t>
      </w:r>
      <w:r w:rsidR="005E35C2">
        <w:rPr>
          <w:i/>
          <w:iCs/>
        </w:rPr>
        <w:t>.</w:t>
      </w:r>
      <w:r w:rsidRPr="0082004E" w:rsidR="00531F8C">
        <w:rPr>
          <w:i/>
          <w:iCs/>
        </w:rPr>
        <w:t xml:space="preserve"> Gas</w:t>
      </w:r>
      <w:r w:rsidRPr="00CC18DD">
        <w:t xml:space="preserve">, 824 F.2d </w:t>
      </w:r>
      <w:r>
        <w:t>at</w:t>
      </w:r>
      <w:r w:rsidRPr="00CC18DD">
        <w:t xml:space="preserve"> 1008-09</w:t>
      </w:r>
      <w:r w:rsidRPr="00AB1E99">
        <w:t xml:space="preserve"> (“Agencies do not need to conduct experiments in order to rely on the prediction that an unsupported stone will fall</w:t>
      </w:r>
      <w:r>
        <w:t xml:space="preserve"> . . . .</w:t>
      </w:r>
      <w:r w:rsidRPr="00AB1E99">
        <w:t>”).</w:t>
      </w:r>
    </w:p>
  </w:footnote>
  <w:footnote w:id="476">
    <w:p w:rsidR="00760048" w:rsidP="00071614" w14:paraId="06F675C3" w14:textId="77777777">
      <w:pPr>
        <w:pStyle w:val="FootnoteText"/>
      </w:pPr>
      <w:r w:rsidRPr="0072600F">
        <w:rPr>
          <w:rStyle w:val="FootnoteReference"/>
        </w:rPr>
        <w:footnoteRef/>
      </w:r>
      <w:r>
        <w:t xml:space="preserve"> Indicated PJM TOs single out one piece of evidence that the Commission cited in the NOPR as supporting use of such incentives, the testimony of Chairm</w:t>
      </w:r>
      <w:r w:rsidRPr="00BD0926">
        <w:t xml:space="preserve">an LeVar of the Utah Public Service Commission, </w:t>
      </w:r>
      <w:r>
        <w:t xml:space="preserve">claiming that the Commission failed to address their comments that this testimony does not support the use of penalties as incentives.  </w:t>
      </w:r>
      <w:r>
        <w:rPr>
          <w:i/>
          <w:iCs/>
        </w:rPr>
        <w:t>See</w:t>
      </w:r>
      <w:r>
        <w:t xml:space="preserve"> Indicated PJM TOs Rehearing Request at 39-40; Indicated PJM TOs Initial Comments at 38.  We continue to find that this testimony is one piece of evidence that supports imposing such incentives: although Chairman LeVar testified that fines are not always the best approach, he described the need to impose consequences on transmission providers as “a pretty intuitive, important step,” testified that there “needs to be some clear, predictable consequence for transmission providers not meeting their obligations,” and identified such consequences as “the first step in queue reform.”  </w:t>
      </w:r>
      <w:r w:rsidRPr="00567A60">
        <w:t>May Joint Task Force Tr. 89:6-25</w:t>
      </w:r>
      <w:r>
        <w:t>.</w:t>
      </w:r>
    </w:p>
  </w:footnote>
  <w:footnote w:id="477">
    <w:p w:rsidR="00760048" w:rsidP="00071614" w14:paraId="38106EAA" w14:textId="77777777">
      <w:pPr>
        <w:pStyle w:val="FootnoteText"/>
      </w:pPr>
      <w:r w:rsidRPr="0072600F">
        <w:rPr>
          <w:rStyle w:val="FootnoteReference"/>
        </w:rPr>
        <w:footnoteRef/>
      </w:r>
      <w:r>
        <w:t xml:space="preserve"> PacifiCorp’s comparison of this case to </w:t>
      </w:r>
      <w:r w:rsidRPr="00155D0F">
        <w:rPr>
          <w:i/>
          <w:iCs/>
        </w:rPr>
        <w:t>Nat</w:t>
      </w:r>
      <w:r w:rsidR="00E3764F">
        <w:rPr>
          <w:i/>
          <w:iCs/>
        </w:rPr>
        <w:t>’</w:t>
      </w:r>
      <w:r w:rsidRPr="00155D0F">
        <w:rPr>
          <w:i/>
          <w:iCs/>
        </w:rPr>
        <w:t>l Fuel</w:t>
      </w:r>
      <w:r w:rsidR="00E3764F">
        <w:rPr>
          <w:i/>
          <w:iCs/>
        </w:rPr>
        <w:t xml:space="preserve"> Gas Supply Co. v. FERC</w:t>
      </w:r>
      <w:r w:rsidRPr="00155D0F">
        <w:t xml:space="preserve">, 468 F.3d </w:t>
      </w:r>
      <w:r w:rsidR="00E3764F">
        <w:t>831,</w:t>
      </w:r>
      <w:r w:rsidRPr="00155D0F">
        <w:t xml:space="preserve"> 842</w:t>
      </w:r>
      <w:r>
        <w:t xml:space="preserve"> (vacating Commission standards of conduct that had been justified in part by a claimed record of abuse, where the court found no such record was apparent), </w:t>
      </w:r>
      <w:r w:rsidR="009B2286">
        <w:t xml:space="preserve">  </w:t>
      </w:r>
      <w:r>
        <w:t xml:space="preserve">is therefore not apt.  </w:t>
      </w:r>
      <w:r>
        <w:rPr>
          <w:i/>
          <w:iCs/>
        </w:rPr>
        <w:t xml:space="preserve">See </w:t>
      </w:r>
      <w:r>
        <w:t xml:space="preserve">PacifiCorp Rehearing Request at 7.  The Commission has not relied on claims of wrongdoing, bad faith, or abuse to justify the reforms in Order </w:t>
      </w:r>
      <w:r w:rsidR="009B2286">
        <w:t xml:space="preserve">       </w:t>
      </w:r>
      <w:r>
        <w:t xml:space="preserve">No. 2023, but rather acted based the substantial record that interconnection queue backlogs, driven in part by untimely interconnection studies, are resulting in unjust and unreasonable rates and transmission providers’ </w:t>
      </w:r>
      <w:r w:rsidR="00C1743D">
        <w:t xml:space="preserve">have the </w:t>
      </w:r>
      <w:r>
        <w:t>ability to better ensure study timeliness.</w:t>
      </w:r>
    </w:p>
  </w:footnote>
  <w:footnote w:id="478">
    <w:p w:rsidR="00760048" w:rsidRPr="00B00E09" w:rsidP="00071614" w14:paraId="69724BC4" w14:textId="77777777">
      <w:pPr>
        <w:pStyle w:val="FootnoteText"/>
      </w:pPr>
      <w:r w:rsidRPr="0072600F">
        <w:rPr>
          <w:rStyle w:val="FootnoteReference"/>
        </w:rPr>
        <w:footnoteRef/>
      </w:r>
      <w:r>
        <w:t xml:space="preserve"> </w:t>
      </w:r>
      <w:r>
        <w:rPr>
          <w:i/>
          <w:iCs/>
        </w:rPr>
        <w:t>TAPS</w:t>
      </w:r>
      <w:r>
        <w:t xml:space="preserve">, </w:t>
      </w:r>
      <w:r w:rsidRPr="00B00E09">
        <w:t xml:space="preserve">225 F.3d </w:t>
      </w:r>
      <w:r>
        <w:t xml:space="preserve">at 687-88; </w:t>
      </w:r>
      <w:r>
        <w:rPr>
          <w:i/>
          <w:iCs/>
        </w:rPr>
        <w:t>INGAA</w:t>
      </w:r>
      <w:r>
        <w:t xml:space="preserve">, 285 F.3d at 37; </w:t>
      </w:r>
      <w:r w:rsidRPr="00B00E09">
        <w:rPr>
          <w:i/>
          <w:iCs/>
        </w:rPr>
        <w:t>S.C. Pub. Serv. Auth</w:t>
      </w:r>
      <w:r>
        <w:rPr>
          <w:i/>
          <w:iCs/>
        </w:rPr>
        <w:t>.</w:t>
      </w:r>
      <w:r>
        <w:t xml:space="preserve">, </w:t>
      </w:r>
      <w:r w:rsidR="009B2286">
        <w:t xml:space="preserve">     </w:t>
      </w:r>
      <w:r w:rsidRPr="00B00E09">
        <w:t>762 F.3d</w:t>
      </w:r>
      <w:r>
        <w:t xml:space="preserve"> at 67.</w:t>
      </w:r>
    </w:p>
  </w:footnote>
  <w:footnote w:id="479">
    <w:p w:rsidR="00760048" w:rsidRPr="009B5896" w:rsidP="00071614" w14:paraId="60D1A080" w14:textId="77777777">
      <w:pPr>
        <w:pStyle w:val="FootnoteText"/>
      </w:pPr>
      <w:r w:rsidRPr="0072600F">
        <w:rPr>
          <w:rStyle w:val="FootnoteReference"/>
        </w:rPr>
        <w:footnoteRef/>
      </w:r>
      <w:r>
        <w:t xml:space="preserve"> </w:t>
      </w:r>
      <w:r>
        <w:rPr>
          <w:i/>
          <w:iCs/>
        </w:rPr>
        <w:t xml:space="preserve">See </w:t>
      </w:r>
      <w:r w:rsidRPr="00ED20B2">
        <w:rPr>
          <w:i/>
          <w:iCs/>
        </w:rPr>
        <w:t>supra</w:t>
      </w:r>
      <w:r>
        <w:t xml:space="preserve"> </w:t>
      </w:r>
      <w:r w:rsidRPr="007545B5">
        <w:t>section II.A.3</w:t>
      </w:r>
      <w:r>
        <w:t>.</w:t>
      </w:r>
    </w:p>
  </w:footnote>
  <w:footnote w:id="480">
    <w:p w:rsidR="00760048" w:rsidP="00071614" w14:paraId="650749D4" w14:textId="77777777">
      <w:pPr>
        <w:pStyle w:val="FootnoteText"/>
      </w:pPr>
      <w:r w:rsidRPr="0072600F">
        <w:rPr>
          <w:rStyle w:val="FootnoteReference"/>
        </w:rPr>
        <w:footnoteRef/>
      </w:r>
      <w:r>
        <w:t xml:space="preserve"> Order No. 2023, </w:t>
      </w:r>
      <w:r w:rsidRPr="00C84DE9">
        <w:t>184 FERC ¶ 61,054</w:t>
      </w:r>
      <w:r>
        <w:t xml:space="preserve"> at PP 38, 40, </w:t>
      </w:r>
      <w:r w:rsidR="00A34A4D">
        <w:t>&amp; a</w:t>
      </w:r>
      <w:r>
        <w:t>pp. B.</w:t>
      </w:r>
    </w:p>
  </w:footnote>
  <w:footnote w:id="481">
    <w:p w:rsidR="00760048" w:rsidP="00071614" w14:paraId="63A84977" w14:textId="77777777">
      <w:pPr>
        <w:pStyle w:val="FootnoteText"/>
      </w:pPr>
      <w:r w:rsidRPr="0072600F">
        <w:rPr>
          <w:rStyle w:val="FootnoteReference"/>
        </w:rPr>
        <w:footnoteRef/>
      </w:r>
      <w:r>
        <w:t xml:space="preserve"> Indicated PJM TOs Rehearing Request at 15-16.</w:t>
      </w:r>
    </w:p>
  </w:footnote>
  <w:footnote w:id="482">
    <w:p w:rsidR="00760048" w:rsidP="00071614" w14:paraId="4A17594F" w14:textId="77777777">
      <w:pPr>
        <w:pStyle w:val="FootnoteText"/>
      </w:pPr>
      <w:r w:rsidRPr="0072600F">
        <w:rPr>
          <w:rStyle w:val="FootnoteReference"/>
        </w:rPr>
        <w:footnoteRef/>
      </w:r>
      <w:r>
        <w:t xml:space="preserve"> Order No. 2023, </w:t>
      </w:r>
      <w:r w:rsidRPr="00C84DE9">
        <w:t>184 FERC ¶ 61,054</w:t>
      </w:r>
      <w:r>
        <w:t xml:space="preserve"> at P 40</w:t>
      </w:r>
      <w:r w:rsidR="00A34A4D">
        <w:t xml:space="preserve"> &amp;</w:t>
      </w:r>
      <w:r>
        <w:t xml:space="preserve"> </w:t>
      </w:r>
      <w:r w:rsidR="00A34A4D">
        <w:t>a</w:t>
      </w:r>
      <w:r>
        <w:t xml:space="preserve">pp. B </w:t>
      </w:r>
      <w:r>
        <w:t>tbl</w:t>
      </w:r>
      <w:r w:rsidR="00A34A4D">
        <w:t>.</w:t>
      </w:r>
      <w:r>
        <w:t xml:space="preserve"> 3.</w:t>
      </w:r>
    </w:p>
  </w:footnote>
  <w:footnote w:id="483">
    <w:p w:rsidR="00760048" w:rsidP="00071614" w14:paraId="7CCA07EF" w14:textId="77777777">
      <w:pPr>
        <w:pStyle w:val="FootnoteText"/>
      </w:pPr>
      <w:r w:rsidRPr="0072600F">
        <w:rPr>
          <w:rStyle w:val="FootnoteReference"/>
        </w:rPr>
        <w:footnoteRef/>
      </w:r>
      <w:r>
        <w:t xml:space="preserve"> </w:t>
      </w:r>
      <w:r w:rsidRPr="00476BF2">
        <w:rPr>
          <w:i/>
          <w:iCs/>
        </w:rPr>
        <w:t>Id.</w:t>
      </w:r>
    </w:p>
  </w:footnote>
  <w:footnote w:id="484">
    <w:p w:rsidR="00760048" w:rsidP="00071614" w14:paraId="6D9F4CAA" w14:textId="77777777">
      <w:pPr>
        <w:pStyle w:val="FootnoteText"/>
      </w:pPr>
      <w:r w:rsidRPr="0072600F">
        <w:rPr>
          <w:rStyle w:val="FootnoteReference"/>
        </w:rPr>
        <w:footnoteRef/>
      </w:r>
      <w:r>
        <w:t xml:space="preserve"> </w:t>
      </w:r>
      <w:r w:rsidRPr="00476BF2">
        <w:rPr>
          <w:i/>
          <w:iCs/>
        </w:rPr>
        <w:t>Id.</w:t>
      </w:r>
      <w:r>
        <w:t xml:space="preserve"> at </w:t>
      </w:r>
      <w:r w:rsidR="00A34A4D">
        <w:t>a</w:t>
      </w:r>
      <w:r>
        <w:t>pp. B.</w:t>
      </w:r>
    </w:p>
  </w:footnote>
  <w:footnote w:id="485">
    <w:p w:rsidR="00760048" w:rsidRPr="00DF1C7A" w14:paraId="134D04E1" w14:textId="77777777">
      <w:pPr>
        <w:pStyle w:val="FootnoteText"/>
      </w:pPr>
      <w:r w:rsidRPr="0072600F">
        <w:rPr>
          <w:rStyle w:val="FootnoteReference"/>
        </w:rPr>
        <w:footnoteRef/>
      </w:r>
      <w:r>
        <w:t xml:space="preserve"> </w:t>
      </w:r>
      <w:r>
        <w:rPr>
          <w:i/>
          <w:iCs/>
        </w:rPr>
        <w:t>See i</w:t>
      </w:r>
      <w:r w:rsidRPr="00476BF2">
        <w:rPr>
          <w:i/>
          <w:iCs/>
        </w:rPr>
        <w:t>d.</w:t>
      </w:r>
      <w:r w:rsidRPr="00CB63A9">
        <w:t xml:space="preserve"> </w:t>
      </w:r>
      <w:r>
        <w:t xml:space="preserve">P 40, </w:t>
      </w:r>
      <w:r w:rsidR="001D09FF">
        <w:t>a</w:t>
      </w:r>
      <w:r>
        <w:t xml:space="preserve">pp. B, </w:t>
      </w:r>
      <w:r>
        <w:t>tbls</w:t>
      </w:r>
      <w:r w:rsidR="001D09FF">
        <w:t>.</w:t>
      </w:r>
      <w:r>
        <w:t xml:space="preserve"> 2 &amp; 4; NOPR, </w:t>
      </w:r>
      <w:r w:rsidRPr="00724998">
        <w:t>179 FERC ¶ 61,194</w:t>
      </w:r>
      <w:r>
        <w:t xml:space="preserve">, </w:t>
      </w:r>
      <w:r w:rsidR="001D09FF">
        <w:t>at a</w:t>
      </w:r>
      <w:r>
        <w:t>pp. A, tbl</w:t>
      </w:r>
      <w:r w:rsidR="001D09FF">
        <w:t>.</w:t>
      </w:r>
      <w:r>
        <w:t xml:space="preserve"> 1 n.489 (noting that SPP’s “</w:t>
      </w:r>
      <w:r w:rsidRPr="00A767B5">
        <w:t>normal interconnection queue processing has been modified to address its large queue backlog and transition to a new interconnection study process</w:t>
      </w:r>
      <w:r>
        <w:t>”).</w:t>
      </w:r>
    </w:p>
  </w:footnote>
  <w:footnote w:id="486">
    <w:p w:rsidR="00760048" w:rsidRPr="00197FC4" w:rsidP="00071614" w14:paraId="0CC0ED9B" w14:textId="77777777">
      <w:pPr>
        <w:pStyle w:val="FootnoteText"/>
      </w:pPr>
      <w:r w:rsidRPr="0072600F">
        <w:rPr>
          <w:rStyle w:val="FootnoteReference"/>
        </w:rPr>
        <w:footnoteRef/>
      </w:r>
      <w:r>
        <w:t xml:space="preserve"> Order No. 2023, </w:t>
      </w:r>
      <w:r w:rsidRPr="00C84DE9">
        <w:t>184 FERC ¶ 61,054</w:t>
      </w:r>
      <w:r>
        <w:t xml:space="preserve"> at P 40</w:t>
      </w:r>
      <w:r>
        <w:rPr>
          <w:i/>
          <w:iCs/>
        </w:rPr>
        <w:t xml:space="preserve"> </w:t>
      </w:r>
      <w:r>
        <w:t xml:space="preserve">(indicating that multiple transmission providers that have already adopted cluster studies—including, among others, MISO, APS, Dominion, Duke, El Paso, PNM, and </w:t>
      </w:r>
      <w:r>
        <w:t>PSCo—still have study delays).</w:t>
      </w:r>
    </w:p>
  </w:footnote>
  <w:footnote w:id="487">
    <w:p w:rsidR="00760048" w:rsidRPr="004A7770" w:rsidP="00071614" w14:paraId="6067F9D2" w14:textId="77777777">
      <w:pPr>
        <w:pStyle w:val="FootnoteText"/>
        <w:rPr>
          <w:i/>
          <w:iCs/>
        </w:rPr>
      </w:pPr>
      <w:r w:rsidRPr="0072600F">
        <w:rPr>
          <w:rStyle w:val="FootnoteReference"/>
        </w:rPr>
        <w:footnoteRef/>
      </w:r>
      <w:r>
        <w:rPr>
          <w:i/>
          <w:iCs/>
        </w:rPr>
        <w:t xml:space="preserve"> See </w:t>
      </w:r>
      <w:r w:rsidRPr="000F77A1">
        <w:rPr>
          <w:i/>
          <w:iCs/>
        </w:rPr>
        <w:t>ICC v. Jersey City</w:t>
      </w:r>
      <w:r w:rsidRPr="00293D33">
        <w:t>,</w:t>
      </w:r>
      <w:r w:rsidRPr="000F77A1">
        <w:t xml:space="preserve"> 322 U.S. 503, 514 (1944)</w:t>
      </w:r>
      <w:r>
        <w:t xml:space="preserve"> (“</w:t>
      </w:r>
      <w:r w:rsidRPr="00343E76">
        <w:t>Administrative consideration of evidence</w:t>
      </w:r>
      <w:r>
        <w:t xml:space="preserve"> . . . </w:t>
      </w:r>
      <w:r w:rsidRPr="00343E76">
        <w:t>always creates a gap between the time the record is closed and the time the administrative decision is promulgated</w:t>
      </w:r>
      <w:r>
        <w:t xml:space="preserve"> . . . [if]</w:t>
      </w:r>
      <w:r w:rsidRPr="00343E76">
        <w:t xml:space="preserve"> litigants might demand </w:t>
      </w:r>
      <w:r w:rsidRPr="00343E76">
        <w:t xml:space="preserve">rehearings </w:t>
      </w:r>
      <w:r>
        <w:t>. . .</w:t>
      </w:r>
      <w:r w:rsidRPr="00343E76">
        <w:t xml:space="preserve"> because some new circumstance has arisen</w:t>
      </w:r>
      <w:r>
        <w:t xml:space="preserve"> . . . </w:t>
      </w:r>
      <w:r w:rsidRPr="00343E76">
        <w:t>there would be little hope that the administrative process could ever be consummated</w:t>
      </w:r>
      <w:r>
        <w:t xml:space="preserve">[.]”); </w:t>
      </w:r>
      <w:r w:rsidRPr="00072139">
        <w:rPr>
          <w:i/>
          <w:iCs/>
        </w:rPr>
        <w:t>Wis</w:t>
      </w:r>
      <w:r w:rsidR="001D09FF">
        <w:rPr>
          <w:i/>
          <w:iCs/>
        </w:rPr>
        <w:t>.</w:t>
      </w:r>
      <w:r w:rsidRPr="00072139">
        <w:rPr>
          <w:i/>
          <w:iCs/>
        </w:rPr>
        <w:t xml:space="preserve"> Elec. Power Co. v. Costle</w:t>
      </w:r>
      <w:r w:rsidRPr="00072139">
        <w:t>, 715 F.2d 323, 327 (7th Cir. 1983)</w:t>
      </w:r>
      <w:r>
        <w:t xml:space="preserve"> (finding that the record was not stale just because it did not include data collected five days before the agency issued its decision);</w:t>
      </w:r>
      <w:r w:rsidRPr="001F7CF0">
        <w:rPr>
          <w:i/>
          <w:iCs/>
        </w:rPr>
        <w:t xml:space="preserve"> </w:t>
      </w:r>
      <w:r w:rsidRPr="000313D3">
        <w:rPr>
          <w:i/>
          <w:iCs/>
        </w:rPr>
        <w:t>Vill. of Logan v. U.S. Dep</w:t>
      </w:r>
      <w:r>
        <w:rPr>
          <w:i/>
          <w:iCs/>
        </w:rPr>
        <w:t>’</w:t>
      </w:r>
      <w:r w:rsidRPr="000313D3">
        <w:rPr>
          <w:i/>
          <w:iCs/>
        </w:rPr>
        <w:t>t of Interior</w:t>
      </w:r>
      <w:r w:rsidRPr="000313D3">
        <w:t>, 577 F. App</w:t>
      </w:r>
      <w:r>
        <w:t>’</w:t>
      </w:r>
      <w:r w:rsidRPr="000313D3">
        <w:t>x 760, 770 (10th Cir. 2014)</w:t>
      </w:r>
      <w:r>
        <w:t xml:space="preserve"> (“Defendants likewise cannot be faulted for failing to consider a study that was published after the [agency decision] was published[.]”).</w:t>
      </w:r>
    </w:p>
  </w:footnote>
  <w:footnote w:id="488">
    <w:p w:rsidR="00760048" w:rsidRPr="00F731D9" w:rsidP="00071614" w14:paraId="0FE7D511" w14:textId="77777777">
      <w:pPr>
        <w:pStyle w:val="FootnoteText"/>
      </w:pPr>
      <w:r w:rsidRPr="0072600F">
        <w:rPr>
          <w:rStyle w:val="FootnoteReference"/>
        </w:rPr>
        <w:footnoteRef/>
      </w:r>
      <w:r>
        <w:t xml:space="preserve"> </w:t>
      </w:r>
      <w:r>
        <w:rPr>
          <w:i/>
          <w:iCs/>
        </w:rPr>
        <w:t xml:space="preserve">See </w:t>
      </w:r>
      <w:r>
        <w:t xml:space="preserve">Order No. 2023, </w:t>
      </w:r>
      <w:r w:rsidRPr="00C84DE9">
        <w:t>184 FERC ¶ 61,</w:t>
      </w:r>
      <w:r w:rsidRPr="001C31CB">
        <w:t>054</w:t>
      </w:r>
      <w:r>
        <w:t xml:space="preserve"> at </w:t>
      </w:r>
      <w:r w:rsidR="001D09FF">
        <w:t>a</w:t>
      </w:r>
      <w:r>
        <w:t xml:space="preserve">pp. B (summarizing data from 2020-2022); </w:t>
      </w:r>
      <w:r>
        <w:rPr>
          <w:i/>
          <w:iCs/>
        </w:rPr>
        <w:t>id.</w:t>
      </w:r>
      <w:r>
        <w:t xml:space="preserve"> at P 38 (citing</w:t>
      </w:r>
      <w:r w:rsidR="00BF381E">
        <w:t xml:space="preserve"> Queued Up 2023 at</w:t>
      </w:r>
      <w:r>
        <w:t xml:space="preserve"> </w:t>
      </w:r>
      <w:r w:rsidRPr="00571EBE">
        <w:t>7-8</w:t>
      </w:r>
      <w:r>
        <w:t xml:space="preserve">).  Cases in which courts have found data to be stale involve significantly older data.  </w:t>
      </w:r>
      <w:r>
        <w:rPr>
          <w:i/>
          <w:iCs/>
        </w:rPr>
        <w:t xml:space="preserve">See </w:t>
      </w:r>
      <w:r w:rsidRPr="00E064D1">
        <w:rPr>
          <w:i/>
          <w:iCs/>
        </w:rPr>
        <w:t>N. Plains Res. Council, Inc. v. Surface Transp. Bd.</w:t>
      </w:r>
      <w:r w:rsidRPr="00E064D1">
        <w:t>, 668 F.3d 1067, 1086 (9th Cir. 2011)</w:t>
      </w:r>
      <w:r>
        <w:t xml:space="preserve"> (finding that ten-year-old data was stale); </w:t>
      </w:r>
      <w:r w:rsidRPr="00745303">
        <w:rPr>
          <w:i/>
          <w:iCs/>
        </w:rPr>
        <w:t>Lands Council v. Powell</w:t>
      </w:r>
      <w:r w:rsidR="005D5742">
        <w:t>,</w:t>
      </w:r>
      <w:r w:rsidRPr="00745303">
        <w:t> 395 F.3d 1019, 1031 (9th Cir. 2005)</w:t>
      </w:r>
      <w:r w:rsidRPr="008040F4">
        <w:t> (finding that six-year-old data</w:t>
      </w:r>
      <w:r>
        <w:t xml:space="preserve"> was</w:t>
      </w:r>
      <w:r w:rsidRPr="008040F4">
        <w:t xml:space="preserve"> stale)</w:t>
      </w:r>
      <w:r>
        <w:t>.</w:t>
      </w:r>
    </w:p>
  </w:footnote>
  <w:footnote w:id="489">
    <w:p w:rsidR="00760048" w:rsidP="00071614" w14:paraId="4BE5B69B" w14:textId="77777777">
      <w:pPr>
        <w:pStyle w:val="FootnoteText"/>
      </w:pPr>
      <w:r w:rsidRPr="0072600F">
        <w:rPr>
          <w:rStyle w:val="FootnoteReference"/>
        </w:rPr>
        <w:footnoteRef/>
      </w:r>
      <w:r>
        <w:t xml:space="preserve"> </w:t>
      </w:r>
      <w:r>
        <w:rPr>
          <w:i/>
          <w:iCs/>
        </w:rPr>
        <w:t xml:space="preserve">See </w:t>
      </w:r>
      <w:r w:rsidRPr="005D7ADB">
        <w:rPr>
          <w:i/>
          <w:iCs/>
        </w:rPr>
        <w:t>White Stallion Energy Ctr., LLC v. EPA</w:t>
      </w:r>
      <w:r w:rsidRPr="00293D33">
        <w:t>,</w:t>
      </w:r>
      <w:r w:rsidRPr="005D7ADB">
        <w:t xml:space="preserve"> 748 F.3d 1222, 1248 (D.C.</w:t>
      </w:r>
      <w:r>
        <w:t xml:space="preserve"> </w:t>
      </w:r>
      <w:r w:rsidRPr="005D7ADB">
        <w:t>Cir.</w:t>
      </w:r>
      <w:r>
        <w:t xml:space="preserve"> </w:t>
      </w:r>
      <w:r w:rsidRPr="005D7ADB">
        <w:t>2014) (agency</w:t>
      </w:r>
      <w:r>
        <w:t>’</w:t>
      </w:r>
      <w:r w:rsidRPr="005D7ADB">
        <w:t xml:space="preserve">s “data-collection process was reasonable, even if it may not have resulted in a perfect dataset”); </w:t>
      </w:r>
      <w:r w:rsidRPr="005D7ADB">
        <w:rPr>
          <w:i/>
          <w:iCs/>
        </w:rPr>
        <w:t>In re Polar Bear ESA Listing</w:t>
      </w:r>
      <w:r w:rsidRPr="00293D33">
        <w:t>,</w:t>
      </w:r>
      <w:r w:rsidRPr="005D7ADB">
        <w:t xml:space="preserve"> 709 F.3d 1, 13 (D.C.</w:t>
      </w:r>
      <w:r>
        <w:t xml:space="preserve"> </w:t>
      </w:r>
      <w:r w:rsidRPr="005D7ADB">
        <w:t>Cir.</w:t>
      </w:r>
      <w:r>
        <w:t xml:space="preserve"> </w:t>
      </w:r>
      <w:r w:rsidRPr="005D7ADB">
        <w:t xml:space="preserve">2013) (“That a model is limited or imperfect is not, in itself, a reason to remand agency decisions based upon it.”); </w:t>
      </w:r>
      <w:r w:rsidRPr="005D7ADB">
        <w:rPr>
          <w:i/>
          <w:iCs/>
        </w:rPr>
        <w:t xml:space="preserve">Allied Local </w:t>
      </w:r>
      <w:r w:rsidR="001D09FF">
        <w:rPr>
          <w:i/>
          <w:iCs/>
        </w:rPr>
        <w:t>&amp;</w:t>
      </w:r>
      <w:r w:rsidRPr="005D7ADB" w:rsidR="001D09FF">
        <w:rPr>
          <w:i/>
          <w:iCs/>
        </w:rPr>
        <w:t xml:space="preserve"> </w:t>
      </w:r>
      <w:r w:rsidRPr="005D7ADB">
        <w:rPr>
          <w:i/>
          <w:iCs/>
        </w:rPr>
        <w:t>Reg</w:t>
      </w:r>
      <w:r>
        <w:rPr>
          <w:i/>
          <w:iCs/>
        </w:rPr>
        <w:t>’</w:t>
      </w:r>
      <w:r w:rsidRPr="005D7ADB">
        <w:rPr>
          <w:i/>
          <w:iCs/>
        </w:rPr>
        <w:t>l Mfrs. Caucus v. EPA</w:t>
      </w:r>
      <w:r w:rsidRPr="00293D33">
        <w:t>,</w:t>
      </w:r>
      <w:r w:rsidRPr="005D7ADB">
        <w:t xml:space="preserve"> 215 F.3d 61, 71 (D.C.</w:t>
      </w:r>
      <w:r>
        <w:t xml:space="preserve"> </w:t>
      </w:r>
      <w:r w:rsidRPr="005D7ADB">
        <w:t>Cir.</w:t>
      </w:r>
      <w:r>
        <w:t xml:space="preserve"> </w:t>
      </w:r>
      <w:r w:rsidRPr="005D7ADB">
        <w:t>2000) (“</w:t>
      </w:r>
      <w:r w:rsidR="008C3073">
        <w:t>W</w:t>
      </w:r>
      <w:r w:rsidRPr="005D7ADB">
        <w:t>e generally defer to an agency</w:t>
      </w:r>
      <w:r w:rsidR="00191D74">
        <w:t>’</w:t>
      </w:r>
      <w:r w:rsidRPr="005D7ADB">
        <w:t>s decision to proceed on the basis of imperfect scientific information”);</w:t>
      </w:r>
      <w:r>
        <w:t xml:space="preserve"> </w:t>
      </w:r>
      <w:r w:rsidR="001D09FF">
        <w:rPr>
          <w:i/>
          <w:iCs/>
        </w:rPr>
        <w:t xml:space="preserve">State of </w:t>
      </w:r>
      <w:r w:rsidRPr="00A36611">
        <w:rPr>
          <w:i/>
          <w:iCs/>
        </w:rPr>
        <w:t>N</w:t>
      </w:r>
      <w:r w:rsidR="001D09FF">
        <w:rPr>
          <w:i/>
          <w:iCs/>
        </w:rPr>
        <w:t>.</w:t>
      </w:r>
      <w:r w:rsidRPr="00A36611">
        <w:rPr>
          <w:i/>
          <w:iCs/>
        </w:rPr>
        <w:t>C</w:t>
      </w:r>
      <w:r w:rsidR="001D09FF">
        <w:rPr>
          <w:i/>
          <w:iCs/>
        </w:rPr>
        <w:t>.</w:t>
      </w:r>
      <w:r w:rsidRPr="00A36611">
        <w:rPr>
          <w:i/>
          <w:iCs/>
        </w:rPr>
        <w:t xml:space="preserve"> v. FERC</w:t>
      </w:r>
      <w:r w:rsidRPr="00293D33">
        <w:t>,</w:t>
      </w:r>
      <w:r w:rsidRPr="00A36611">
        <w:t xml:space="preserve"> 112 F.3d 1175, 1190 (D.C.</w:t>
      </w:r>
      <w:r>
        <w:t xml:space="preserve"> </w:t>
      </w:r>
      <w:r w:rsidRPr="00A36611">
        <w:t>Cir.</w:t>
      </w:r>
      <w:r>
        <w:t xml:space="preserve"> </w:t>
      </w:r>
      <w:r w:rsidRPr="00A36611">
        <w:t xml:space="preserve">1997) (“The mere fact that the Commission relied on necessarily imperfect information ... does not render [its decision] arbitrary.”); </w:t>
      </w:r>
      <w:r w:rsidRPr="00A36611">
        <w:rPr>
          <w:i/>
          <w:iCs/>
        </w:rPr>
        <w:t>Chemical Mfrs. Ass</w:t>
      </w:r>
      <w:r>
        <w:rPr>
          <w:i/>
          <w:iCs/>
        </w:rPr>
        <w:t>’</w:t>
      </w:r>
      <w:r w:rsidRPr="00A36611">
        <w:rPr>
          <w:i/>
          <w:iCs/>
        </w:rPr>
        <w:t>n v. EPA</w:t>
      </w:r>
      <w:r w:rsidRPr="00293D33">
        <w:t>,</w:t>
      </w:r>
      <w:r w:rsidRPr="00A36611">
        <w:t xml:space="preserve"> 28 F.3d 1259, 1265 (D.C.</w:t>
      </w:r>
      <w:r>
        <w:t xml:space="preserve"> </w:t>
      </w:r>
      <w:r w:rsidRPr="00A36611">
        <w:t>Cir.</w:t>
      </w:r>
      <w:r>
        <w:t xml:space="preserve"> </w:t>
      </w:r>
      <w:r w:rsidRPr="00A36611">
        <w:t>1994) (agency may nonetheless use model “even when faced with data indicating that it is not a perfect fit”)</w:t>
      </w:r>
      <w:r>
        <w:t>.</w:t>
      </w:r>
    </w:p>
  </w:footnote>
  <w:footnote w:id="490">
    <w:p w:rsidR="00760048" w:rsidRPr="00791388" w:rsidP="00071614" w14:paraId="469B3272" w14:textId="77777777">
      <w:pPr>
        <w:pStyle w:val="FootnoteText"/>
        <w:rPr>
          <w:i/>
          <w:iCs/>
        </w:rPr>
      </w:pPr>
      <w:r w:rsidRPr="0072600F">
        <w:rPr>
          <w:rStyle w:val="FootnoteReference"/>
        </w:rPr>
        <w:footnoteRef/>
      </w:r>
      <w:r>
        <w:t xml:space="preserve"> </w:t>
      </w:r>
      <w:r>
        <w:rPr>
          <w:i/>
          <w:iCs/>
        </w:rPr>
        <w:t xml:space="preserve">See </w:t>
      </w:r>
      <w:r w:rsidRPr="00DF0339">
        <w:rPr>
          <w:i/>
          <w:iCs/>
        </w:rPr>
        <w:t>Vt</w:t>
      </w:r>
      <w:r w:rsidR="006926F3">
        <w:rPr>
          <w:i/>
          <w:iCs/>
        </w:rPr>
        <w:t>.</w:t>
      </w:r>
      <w:r w:rsidRPr="00DF0339">
        <w:rPr>
          <w:i/>
          <w:iCs/>
        </w:rPr>
        <w:t xml:space="preserve"> Yankee Nuclear Power Corp. v. Nat. Res. Def. Council, Inc</w:t>
      </w:r>
      <w:r w:rsidRPr="00DF0339">
        <w:t>., 435 U.S. 519, 554–55 (1978)</w:t>
      </w:r>
      <w:r w:rsidR="006926F3">
        <w:t xml:space="preserve"> (</w:t>
      </w:r>
      <w:r w:rsidRPr="006A72F0" w:rsidR="006926F3">
        <w:rPr>
          <w:i/>
          <w:iCs/>
        </w:rPr>
        <w:t>Vt. Yankee</w:t>
      </w:r>
      <w:r w:rsidR="006926F3">
        <w:t>)</w:t>
      </w:r>
      <w:r w:rsidRPr="00DF0339">
        <w:t xml:space="preserve"> </w:t>
      </w:r>
      <w:r>
        <w:t xml:space="preserve">(explaining that an agency decision “had to be judged by the information then available to it[.]”). </w:t>
      </w:r>
    </w:p>
  </w:footnote>
  <w:footnote w:id="491">
    <w:p w:rsidR="00760048" w:rsidRPr="001970B1" w:rsidP="00071614" w14:paraId="4AEB2CF5" w14:textId="77777777">
      <w:pPr>
        <w:pStyle w:val="FootnoteText"/>
      </w:pPr>
      <w:r w:rsidRPr="0072600F">
        <w:rPr>
          <w:rStyle w:val="FootnoteReference"/>
        </w:rPr>
        <w:footnoteRef/>
      </w:r>
      <w:r>
        <w:t xml:space="preserve"> </w:t>
      </w:r>
      <w:r>
        <w:rPr>
          <w:i/>
          <w:iCs/>
        </w:rPr>
        <w:t>See, e.g.</w:t>
      </w:r>
      <w:r>
        <w:t>, Order No. 2023,</w:t>
      </w:r>
      <w:r w:rsidRPr="002907DC">
        <w:t xml:space="preserve"> </w:t>
      </w:r>
      <w:r w:rsidRPr="00C84DE9">
        <w:t>184 FERC ¶ 61,</w:t>
      </w:r>
      <w:r w:rsidRPr="001C31CB">
        <w:t>054</w:t>
      </w:r>
      <w:r>
        <w:t xml:space="preserve"> at P 966.</w:t>
      </w:r>
    </w:p>
  </w:footnote>
  <w:footnote w:id="492">
    <w:p w:rsidR="00760048" w:rsidP="00071614" w14:paraId="3B28A246" w14:textId="77777777">
      <w:pPr>
        <w:pStyle w:val="FootnoteText"/>
      </w:pPr>
      <w:r w:rsidRPr="0072600F">
        <w:rPr>
          <w:rStyle w:val="FootnoteReference"/>
        </w:rPr>
        <w:footnoteRef/>
      </w:r>
      <w:r>
        <w:t xml:space="preserve"> </w:t>
      </w:r>
      <w:r>
        <w:rPr>
          <w:i/>
          <w:iCs/>
        </w:rPr>
        <w:t xml:space="preserve">See </w:t>
      </w:r>
      <w:r w:rsidRPr="000859FA">
        <w:rPr>
          <w:i/>
          <w:iCs/>
        </w:rPr>
        <w:t>Marsh v. Oregon Nat. Res. Council</w:t>
      </w:r>
      <w:r w:rsidRPr="00293D33">
        <w:t>,</w:t>
      </w:r>
      <w:r w:rsidRPr="000859FA">
        <w:rPr>
          <w:i/>
          <w:iCs/>
        </w:rPr>
        <w:t xml:space="preserve"> </w:t>
      </w:r>
      <w:r w:rsidRPr="000859FA">
        <w:t>490 U.S. 360, 373 (1989)</w:t>
      </w:r>
      <w:r>
        <w:t xml:space="preserve"> (“</w:t>
      </w:r>
      <w:r>
        <w:t xml:space="preserve">agenc[ies] need not supplement [a decision] every time new information comes to light[.]”); </w:t>
      </w:r>
      <w:r w:rsidRPr="00C748C2">
        <w:rPr>
          <w:i/>
          <w:iCs/>
        </w:rPr>
        <w:t>Friends of the River v. FERC</w:t>
      </w:r>
      <w:r w:rsidRPr="00C748C2">
        <w:t>, 720 F.2d 93, 109 (D.C. Cir. 1983) (</w:t>
      </w:r>
      <w:r w:rsidR="00187CF1">
        <w:t>“</w:t>
      </w:r>
      <w:r w:rsidRPr="00C748C2">
        <w:t>Were we to order the Commission to reassess its decisions every time new forecasts were released, we would risk immobilizing the agency</w:t>
      </w:r>
      <w:r>
        <w:t>.</w:t>
      </w:r>
      <w:r w:rsidR="00187CF1">
        <w:t>”</w:t>
      </w:r>
      <w:r w:rsidRPr="00C748C2">
        <w:t>)</w:t>
      </w:r>
      <w:r>
        <w:t>.</w:t>
      </w:r>
    </w:p>
  </w:footnote>
  <w:footnote w:id="493">
    <w:p w:rsidR="00760048" w:rsidRPr="007240E8" w:rsidP="00071614" w14:paraId="20E62728" w14:textId="77777777">
      <w:pPr>
        <w:pStyle w:val="FootnoteText"/>
      </w:pPr>
      <w:r w:rsidRPr="0072600F">
        <w:rPr>
          <w:rStyle w:val="FootnoteReference"/>
        </w:rPr>
        <w:footnoteRef/>
      </w:r>
      <w:r>
        <w:t xml:space="preserve"> </w:t>
      </w:r>
      <w:r>
        <w:rPr>
          <w:i/>
          <w:iCs/>
        </w:rPr>
        <w:t xml:space="preserve">See </w:t>
      </w:r>
      <w:r>
        <w:t>Order No. 2023,</w:t>
      </w:r>
      <w:r w:rsidRPr="002907DC">
        <w:t xml:space="preserve"> </w:t>
      </w:r>
      <w:r w:rsidRPr="00C84DE9">
        <w:t>184 FERC ¶ 61,</w:t>
      </w:r>
      <w:r w:rsidRPr="001C31CB">
        <w:t>054</w:t>
      </w:r>
      <w:r>
        <w:t xml:space="preserve"> at P 876.</w:t>
      </w:r>
    </w:p>
  </w:footnote>
  <w:footnote w:id="494">
    <w:p w:rsidR="00760048" w:rsidRPr="007240E8" w:rsidP="00071614" w14:paraId="3878E733" w14:textId="77777777">
      <w:pPr>
        <w:pStyle w:val="FootnoteText"/>
      </w:pPr>
      <w:r w:rsidRPr="0072600F">
        <w:rPr>
          <w:rStyle w:val="FootnoteReference"/>
        </w:rPr>
        <w:footnoteRef/>
      </w:r>
      <w:r>
        <w:t xml:space="preserve"> </w:t>
      </w:r>
      <w:r>
        <w:rPr>
          <w:i/>
          <w:iCs/>
        </w:rPr>
        <w:t xml:space="preserve">See </w:t>
      </w:r>
      <w:r w:rsidRPr="00656186">
        <w:rPr>
          <w:i/>
          <w:iCs/>
        </w:rPr>
        <w:t>id.</w:t>
      </w:r>
      <w:r>
        <w:t xml:space="preserve"> P 992.</w:t>
      </w:r>
    </w:p>
  </w:footnote>
  <w:footnote w:id="495">
    <w:p w:rsidR="00760048" w:rsidRPr="000A6395" w:rsidP="00071614" w14:paraId="114A55D0" w14:textId="77777777">
      <w:pPr>
        <w:pStyle w:val="FootnoteText"/>
      </w:pPr>
      <w:r w:rsidRPr="0072600F">
        <w:rPr>
          <w:rStyle w:val="FootnoteReference"/>
        </w:rPr>
        <w:footnoteRef/>
      </w:r>
      <w:r>
        <w:t xml:space="preserve"> </w:t>
      </w:r>
      <w:r>
        <w:rPr>
          <w:i/>
          <w:iCs/>
        </w:rPr>
        <w:t xml:space="preserve">See </w:t>
      </w:r>
      <w:r w:rsidRPr="00656186">
        <w:rPr>
          <w:i/>
          <w:iCs/>
        </w:rPr>
        <w:t>id.</w:t>
      </w:r>
      <w:r>
        <w:t xml:space="preserve"> P 1013.</w:t>
      </w:r>
    </w:p>
  </w:footnote>
  <w:footnote w:id="496">
    <w:p w:rsidR="00760048" w:rsidRPr="00DC7DD7" w:rsidP="00071614" w14:paraId="6BCACE92" w14:textId="77777777">
      <w:pPr>
        <w:pStyle w:val="FootnoteText"/>
      </w:pPr>
      <w:r w:rsidRPr="0072600F">
        <w:rPr>
          <w:rStyle w:val="FootnoteReference"/>
        </w:rPr>
        <w:footnoteRef/>
      </w:r>
      <w:r>
        <w:t xml:space="preserve"> </w:t>
      </w:r>
      <w:r w:rsidRPr="00B76A1D">
        <w:t xml:space="preserve">Notably, the </w:t>
      </w:r>
      <w:r w:rsidRPr="005B7EDE">
        <w:t xml:space="preserve">rehearing requests cite no authority precluding the Commission from adopting the more comprehensive approach embodied in Order No. 2023.  </w:t>
      </w:r>
      <w:r w:rsidRPr="009C76B8">
        <w:rPr>
          <w:i/>
          <w:iCs/>
        </w:rPr>
        <w:t>See</w:t>
      </w:r>
      <w:r w:rsidRPr="009C76B8">
        <w:rPr>
          <w:i/>
        </w:rPr>
        <w:t xml:space="preserve"> </w:t>
      </w:r>
      <w:r w:rsidRPr="005B7EDE">
        <w:rPr>
          <w:i/>
          <w:iCs/>
        </w:rPr>
        <w:t>Flyers</w:t>
      </w:r>
      <w:r w:rsidRPr="00DC7DD7">
        <w:rPr>
          <w:i/>
          <w:iCs/>
        </w:rPr>
        <w:t xml:space="preserve"> </w:t>
      </w:r>
      <w:r w:rsidRPr="00DC7DD7">
        <w:rPr>
          <w:i/>
          <w:iCs/>
        </w:rPr>
        <w:t>Rts. Educ. Fund, Inc. v. U</w:t>
      </w:r>
      <w:r w:rsidR="001D09FF">
        <w:rPr>
          <w:i/>
          <w:iCs/>
        </w:rPr>
        <w:t>.</w:t>
      </w:r>
      <w:r w:rsidRPr="00DC7DD7">
        <w:rPr>
          <w:i/>
          <w:iCs/>
        </w:rPr>
        <w:t xml:space="preserve"> S</w:t>
      </w:r>
      <w:r w:rsidR="001D09FF">
        <w:rPr>
          <w:i/>
          <w:iCs/>
        </w:rPr>
        <w:t>.</w:t>
      </w:r>
      <w:r w:rsidRPr="00DC7DD7">
        <w:rPr>
          <w:i/>
          <w:iCs/>
        </w:rPr>
        <w:t xml:space="preserve"> Dep</w:t>
      </w:r>
      <w:r>
        <w:rPr>
          <w:i/>
          <w:iCs/>
        </w:rPr>
        <w:t>’</w:t>
      </w:r>
      <w:r w:rsidRPr="00DC7DD7">
        <w:rPr>
          <w:i/>
          <w:iCs/>
        </w:rPr>
        <w:t>t of Transp</w:t>
      </w:r>
      <w:r w:rsidR="001D09FF">
        <w:rPr>
          <w:i/>
          <w:iCs/>
        </w:rPr>
        <w:t>.</w:t>
      </w:r>
      <w:r w:rsidRPr="00DC7DD7">
        <w:t>, 810 F. App</w:t>
      </w:r>
      <w:r>
        <w:t>’</w:t>
      </w:r>
      <w:r w:rsidRPr="00DC7DD7">
        <w:t xml:space="preserve">x 1, 3 (D.C. Cir. 2020) (explaining that </w:t>
      </w:r>
      <w:r w:rsidRPr="00DC7DD7">
        <w:rPr>
          <w:i/>
          <w:iCs/>
        </w:rPr>
        <w:t>FCC v. Fox Television Stations, Inc.</w:t>
      </w:r>
      <w:r w:rsidRPr="00DC7DD7">
        <w:t xml:space="preserve">, </w:t>
      </w:r>
      <w:r w:rsidR="00260024">
        <w:t>556 U.S. 502 (</w:t>
      </w:r>
      <w:r w:rsidR="00697691">
        <w:t>2009)</w:t>
      </w:r>
      <w:r w:rsidR="005275B4">
        <w:t xml:space="preserve"> </w:t>
      </w:r>
      <w:r w:rsidRPr="00DC7DD7">
        <w:t>“permits, but does not require, an agency to act incrementally</w:t>
      </w:r>
      <w:r w:rsidR="006F650B">
        <w:t>.</w:t>
      </w:r>
      <w:r w:rsidRPr="00DC7DD7">
        <w:t>”)</w:t>
      </w:r>
      <w:r>
        <w:t xml:space="preserve">; </w:t>
      </w:r>
      <w:r w:rsidRPr="0083515F">
        <w:rPr>
          <w:i/>
          <w:iCs/>
        </w:rPr>
        <w:t>WildEarth Guardians v. U.S. E.P.A</w:t>
      </w:r>
      <w:r w:rsidRPr="0083515F">
        <w:t xml:space="preserve">., 751 F.3d 649, 655–56 (D.C. Cir. 2014) (summarizing </w:t>
      </w:r>
      <w:r w:rsidRPr="0083515F">
        <w:rPr>
          <w:i/>
          <w:iCs/>
        </w:rPr>
        <w:t>Defenders of Wildlife v.</w:t>
      </w:r>
      <w:r w:rsidRPr="0083515F">
        <w:t xml:space="preserve"> </w:t>
      </w:r>
      <w:r w:rsidRPr="00AD3AC3">
        <w:rPr>
          <w:i/>
          <w:iCs/>
        </w:rPr>
        <w:t>Gutierrez</w:t>
      </w:r>
      <w:r w:rsidRPr="0083515F">
        <w:t>, 532 F.3d 913 (D.C.</w:t>
      </w:r>
      <w:r>
        <w:t xml:space="preserve"> </w:t>
      </w:r>
      <w:r w:rsidRPr="0083515F">
        <w:t>Cir.</w:t>
      </w:r>
      <w:r>
        <w:t xml:space="preserve"> </w:t>
      </w:r>
      <w:r w:rsidRPr="0083515F">
        <w:t>2008), upholding a decision to focus on a comprehensive approach).</w:t>
      </w:r>
    </w:p>
  </w:footnote>
  <w:footnote w:id="497">
    <w:p w:rsidR="00760048" w:rsidRPr="00D31BEA" w14:paraId="5E63B837" w14:textId="77777777">
      <w:pPr>
        <w:pStyle w:val="FootnoteText"/>
      </w:pPr>
      <w:r w:rsidRPr="0072600F">
        <w:rPr>
          <w:rStyle w:val="FootnoteReference"/>
        </w:rPr>
        <w:footnoteRef/>
      </w:r>
      <w:r>
        <w:t xml:space="preserve"> </w:t>
      </w:r>
      <w:r>
        <w:rPr>
          <w:i/>
          <w:iCs/>
        </w:rPr>
        <w:t>See, e.g.</w:t>
      </w:r>
      <w:r>
        <w:t>, Order No. 2023,</w:t>
      </w:r>
      <w:r w:rsidRPr="002907DC">
        <w:t xml:space="preserve"> </w:t>
      </w:r>
      <w:r w:rsidRPr="00C84DE9">
        <w:t>184 FERC ¶ 61,</w:t>
      </w:r>
      <w:r w:rsidRPr="001C31CB">
        <w:t>054</w:t>
      </w:r>
      <w:r>
        <w:t xml:space="preserve"> at PP 3, 27-29, 37-60.</w:t>
      </w:r>
    </w:p>
  </w:footnote>
  <w:footnote w:id="498">
    <w:p w:rsidR="00760048" w:rsidRPr="007A4550" w:rsidP="00071614" w14:paraId="329EF584" w14:textId="77777777">
      <w:pPr>
        <w:pStyle w:val="FootnoteText"/>
      </w:pPr>
      <w:r w:rsidRPr="0072600F">
        <w:rPr>
          <w:rStyle w:val="FootnoteReference"/>
        </w:rPr>
        <w:footnoteRef/>
      </w:r>
      <w:r>
        <w:t xml:space="preserve"> </w:t>
      </w:r>
      <w:r>
        <w:rPr>
          <w:i/>
          <w:iCs/>
        </w:rPr>
        <w:t xml:space="preserve">See </w:t>
      </w:r>
      <w:r w:rsidRPr="007A4550">
        <w:rPr>
          <w:i/>
          <w:iCs/>
        </w:rPr>
        <w:t>Emera Me</w:t>
      </w:r>
      <w:r w:rsidR="001D09FF">
        <w:rPr>
          <w:i/>
          <w:iCs/>
        </w:rPr>
        <w:t>.</w:t>
      </w:r>
      <w:r w:rsidRPr="00293D33">
        <w:t>,</w:t>
      </w:r>
      <w:r w:rsidRPr="007A4550">
        <w:rPr>
          <w:i/>
          <w:iCs/>
        </w:rPr>
        <w:t xml:space="preserve"> </w:t>
      </w:r>
      <w:r w:rsidRPr="007A4550">
        <w:t xml:space="preserve">854 F.3d </w:t>
      </w:r>
      <w:r>
        <w:t>at</w:t>
      </w:r>
      <w:r w:rsidRPr="007A4550">
        <w:t xml:space="preserve"> 22</w:t>
      </w:r>
      <w:r>
        <w:t>-23</w:t>
      </w:r>
      <w:r w:rsidRPr="007A4550">
        <w:t xml:space="preserve"> </w:t>
      </w:r>
      <w:r>
        <w:t>(explaining the two-step analysis under section 206 and that, on the second prong, there is a substantial spread of potentially just and reasonable rates).</w:t>
      </w:r>
    </w:p>
  </w:footnote>
  <w:footnote w:id="499">
    <w:p w:rsidR="00760048" w:rsidP="00071614" w14:paraId="173D9323" w14:textId="77777777">
      <w:pPr>
        <w:pStyle w:val="FootnoteText"/>
      </w:pPr>
      <w:r w:rsidRPr="0072600F">
        <w:rPr>
          <w:rStyle w:val="FootnoteReference"/>
        </w:rPr>
        <w:footnoteRef/>
      </w:r>
      <w:r>
        <w:t xml:space="preserve"> Order No. 2023, </w:t>
      </w:r>
      <w:r w:rsidRPr="00C84DE9">
        <w:t>184 FERC ¶ 61,054</w:t>
      </w:r>
      <w:r>
        <w:t xml:space="preserve"> at PP 16, 59, 1765-67.  Because Order No. 2023 adopted the NOPR proposal to continue to apply the “consistent with or superior to” and “independent entity variation standards,” </w:t>
      </w:r>
      <w:r>
        <w:rPr>
          <w:i/>
          <w:iCs/>
        </w:rPr>
        <w:t>see id.</w:t>
      </w:r>
      <w:r>
        <w:t xml:space="preserve"> P 1764, the transmission providers that have engaged in these processes may still benefit from them, although we cannot prejudge any particular compliance filings.</w:t>
      </w:r>
    </w:p>
  </w:footnote>
  <w:footnote w:id="500">
    <w:p w:rsidR="00760048" w:rsidRPr="009A43B3" w:rsidP="00071614" w14:paraId="30425273" w14:textId="77777777">
      <w:pPr>
        <w:pStyle w:val="FootnoteText"/>
      </w:pPr>
      <w:r w:rsidRPr="0072600F">
        <w:rPr>
          <w:rStyle w:val="FootnoteReference"/>
        </w:rPr>
        <w:footnoteRef/>
      </w:r>
      <w:r>
        <w:t xml:space="preserve"> </w:t>
      </w:r>
      <w:r>
        <w:rPr>
          <w:i/>
          <w:iCs/>
        </w:rPr>
        <w:t xml:space="preserve">See </w:t>
      </w:r>
      <w:r w:rsidRPr="009265A4">
        <w:rPr>
          <w:i/>
          <w:iCs/>
        </w:rPr>
        <w:t>id.</w:t>
      </w:r>
      <w:r w:rsidRPr="009265A4">
        <w:rPr>
          <w:i/>
        </w:rPr>
        <w:t xml:space="preserve"> </w:t>
      </w:r>
      <w:r>
        <w:t>P 968 (discussing the other reforms the Commission was adopting).</w:t>
      </w:r>
    </w:p>
  </w:footnote>
  <w:footnote w:id="501">
    <w:p w:rsidR="00760048" w:rsidP="00071614" w14:paraId="7B61CA1C" w14:textId="77777777">
      <w:pPr>
        <w:pStyle w:val="FootnoteText"/>
      </w:pPr>
      <w:r w:rsidRPr="0072600F">
        <w:rPr>
          <w:rStyle w:val="FootnoteReference"/>
        </w:rPr>
        <w:footnoteRef/>
      </w:r>
      <w:r>
        <w:t xml:space="preserve"> </w:t>
      </w:r>
      <w:r>
        <w:rPr>
          <w:i/>
          <w:iCs/>
        </w:rPr>
        <w:t>I</w:t>
      </w:r>
      <w:r w:rsidRPr="00656186">
        <w:rPr>
          <w:i/>
          <w:iCs/>
        </w:rPr>
        <w:t>d.</w:t>
      </w:r>
    </w:p>
  </w:footnote>
  <w:footnote w:id="502">
    <w:p w:rsidR="00760048" w:rsidP="00071614" w14:paraId="7193872F" w14:textId="77777777">
      <w:pPr>
        <w:pStyle w:val="FootnoteText"/>
      </w:pPr>
      <w:r w:rsidRPr="0072600F">
        <w:rPr>
          <w:rStyle w:val="FootnoteReference"/>
        </w:rPr>
        <w:footnoteRef/>
      </w:r>
      <w:r>
        <w:t xml:space="preserve"> </w:t>
      </w:r>
      <w:r w:rsidRPr="005E31E3">
        <w:rPr>
          <w:i/>
          <w:iCs/>
        </w:rPr>
        <w:t>I</w:t>
      </w:r>
      <w:r w:rsidRPr="00656186">
        <w:rPr>
          <w:i/>
          <w:iCs/>
        </w:rPr>
        <w:t>d.</w:t>
      </w:r>
      <w:r>
        <w:rPr>
          <w:i/>
        </w:rPr>
        <w:t xml:space="preserve"> </w:t>
      </w:r>
      <w:r>
        <w:t>P 972 (“</w:t>
      </w:r>
      <w:r w:rsidRPr="009A43B3">
        <w:t>The study delay penalty structure adopted in this final rule balances the harm to interconnection customers</w:t>
      </w:r>
      <w:r>
        <w:t xml:space="preserve"> </w:t>
      </w:r>
      <w:r w:rsidRPr="009A43B3">
        <w:t>of interconnection study delays and the associated need to incentivize transmission providers to timely complete interconnection studies with the burdens on transmission providers of conducting interconnection studies and potentially facing penalties for delays, including those that may be caused or exacerbated by factors beyond their control.</w:t>
      </w:r>
      <w:r>
        <w:t>”).</w:t>
      </w:r>
    </w:p>
  </w:footnote>
  <w:footnote w:id="503">
    <w:p w:rsidR="00760048" w:rsidRPr="00DE57A2" w14:paraId="43B60F62" w14:textId="77777777">
      <w:pPr>
        <w:pStyle w:val="FootnoteText"/>
      </w:pPr>
      <w:r w:rsidRPr="0072600F">
        <w:rPr>
          <w:rStyle w:val="FootnoteReference"/>
        </w:rPr>
        <w:footnoteRef/>
      </w:r>
      <w:r>
        <w:t xml:space="preserve"> </w:t>
      </w:r>
      <w:r>
        <w:rPr>
          <w:i/>
          <w:iCs/>
        </w:rPr>
        <w:t>See, e.g.</w:t>
      </w:r>
      <w:r>
        <w:t xml:space="preserve">, </w:t>
      </w:r>
      <w:r>
        <w:rPr>
          <w:i/>
          <w:iCs/>
        </w:rPr>
        <w:t>supra</w:t>
      </w:r>
      <w:r>
        <w:t xml:space="preserve"> section II.D.1.a. (summarizing the safeguards established in Order No. 2023, particularly including the appeals process).</w:t>
      </w:r>
    </w:p>
  </w:footnote>
  <w:footnote w:id="504">
    <w:p w:rsidR="00760048" w:rsidRPr="003D2DA1" w:rsidP="00071614" w14:paraId="3A78FF70" w14:textId="77777777">
      <w:pPr>
        <w:pStyle w:val="FootnoteText"/>
      </w:pPr>
      <w:r w:rsidRPr="0072600F">
        <w:rPr>
          <w:rStyle w:val="FootnoteReference"/>
        </w:rPr>
        <w:footnoteRef/>
      </w:r>
      <w:r>
        <w:t xml:space="preserve"> </w:t>
      </w:r>
      <w:r>
        <w:rPr>
          <w:i/>
          <w:iCs/>
        </w:rPr>
        <w:t xml:space="preserve">See also infra </w:t>
      </w:r>
      <w:r w:rsidRPr="00334FF1">
        <w:t xml:space="preserve">PP </w:t>
      </w:r>
      <w:r w:rsidRPr="00334FF1">
        <w:fldChar w:fldCharType="begin"/>
      </w:r>
      <w:r w:rsidRPr="00334FF1">
        <w:instrText xml:space="preserve"> REF _Ref160107722 \r \h  \* MERGEFORMAT </w:instrText>
      </w:r>
      <w:r w:rsidRPr="00334FF1">
        <w:fldChar w:fldCharType="separate"/>
      </w:r>
      <w:r w:rsidR="00C46123">
        <w:t>374</w:t>
      </w:r>
      <w:r w:rsidRPr="00334FF1">
        <w:fldChar w:fldCharType="end"/>
      </w:r>
      <w:r w:rsidRPr="00334FF1">
        <w:t>-</w:t>
      </w:r>
      <w:r w:rsidRPr="00334FF1">
        <w:fldChar w:fldCharType="begin"/>
      </w:r>
      <w:r w:rsidRPr="00334FF1">
        <w:instrText xml:space="preserve"> REF _Ref160107734 \r \h  \* MERGEFORMAT </w:instrText>
      </w:r>
      <w:r w:rsidRPr="00334FF1">
        <w:fldChar w:fldCharType="separate"/>
      </w:r>
      <w:r w:rsidR="00C46123">
        <w:t>382</w:t>
      </w:r>
      <w:r w:rsidRPr="00334FF1">
        <w:fldChar w:fldCharType="end"/>
      </w:r>
      <w:r>
        <w:t xml:space="preserve"> (rejecting arguments that the deadline and penalty structure adopted by Order No. 2023 is not just and reasonable based on purported negative consequences of that structure).</w:t>
      </w:r>
    </w:p>
  </w:footnote>
  <w:footnote w:id="505">
    <w:p w:rsidR="00760048" w:rsidRPr="00DB6E5D" w:rsidP="00071614" w14:paraId="4EEC478D" w14:textId="77777777">
      <w:pPr>
        <w:pStyle w:val="FootnoteText"/>
      </w:pPr>
      <w:r w:rsidRPr="0072600F">
        <w:rPr>
          <w:rStyle w:val="FootnoteReference"/>
        </w:rPr>
        <w:footnoteRef/>
      </w:r>
      <w:r>
        <w:t xml:space="preserve"> </w:t>
      </w:r>
      <w:r>
        <w:rPr>
          <w:i/>
          <w:iCs/>
        </w:rPr>
        <w:t>Cf., e.g.</w:t>
      </w:r>
      <w:r>
        <w:t xml:space="preserve">, </w:t>
      </w:r>
      <w:r w:rsidRPr="00437CA9">
        <w:rPr>
          <w:i/>
          <w:iCs/>
        </w:rPr>
        <w:t>Transp</w:t>
      </w:r>
      <w:r w:rsidR="001D09FF">
        <w:rPr>
          <w:i/>
          <w:iCs/>
        </w:rPr>
        <w:t>.</w:t>
      </w:r>
      <w:r w:rsidRPr="00437CA9">
        <w:rPr>
          <w:i/>
          <w:iCs/>
        </w:rPr>
        <w:t xml:space="preserve"> Div. of the Int</w:t>
      </w:r>
      <w:r>
        <w:rPr>
          <w:i/>
          <w:iCs/>
        </w:rPr>
        <w:t>’</w:t>
      </w:r>
      <w:r w:rsidRPr="00437CA9">
        <w:rPr>
          <w:i/>
          <w:iCs/>
        </w:rPr>
        <w:t>l Ass</w:t>
      </w:r>
      <w:r>
        <w:rPr>
          <w:i/>
          <w:iCs/>
        </w:rPr>
        <w:t>’</w:t>
      </w:r>
      <w:r w:rsidRPr="00437CA9">
        <w:rPr>
          <w:i/>
          <w:iCs/>
        </w:rPr>
        <w:t>n of Sheet Metal, Air, Rail &amp; Transp</w:t>
      </w:r>
      <w:r w:rsidR="001D09FF">
        <w:rPr>
          <w:i/>
          <w:iCs/>
        </w:rPr>
        <w:t>.</w:t>
      </w:r>
      <w:r w:rsidRPr="00437CA9">
        <w:rPr>
          <w:i/>
          <w:iCs/>
        </w:rPr>
        <w:t xml:space="preserve"> Workers v. Fed. R.R. Admin.</w:t>
      </w:r>
      <w:r w:rsidRPr="00437CA9">
        <w:t>, 10 F.4th 869, 876 (D.C. Cir. 2021)</w:t>
      </w:r>
      <w:r>
        <w:t xml:space="preserve"> (affirming a performance-based approach, rather than prescriptive approach, as reasonable).</w:t>
      </w:r>
    </w:p>
  </w:footnote>
  <w:footnote w:id="506">
    <w:p w:rsidR="00760048" w:rsidRPr="00C05654" w:rsidP="00071614" w14:paraId="5981BA39" w14:textId="77777777">
      <w:pPr>
        <w:pStyle w:val="FootnoteText"/>
      </w:pPr>
      <w:r w:rsidRPr="0072600F">
        <w:rPr>
          <w:rStyle w:val="FootnoteReference"/>
        </w:rPr>
        <w:footnoteRef/>
      </w:r>
      <w:r>
        <w:t xml:space="preserve"> </w:t>
      </w:r>
      <w:r>
        <w:rPr>
          <w:i/>
          <w:iCs/>
        </w:rPr>
        <w:t xml:space="preserve">See </w:t>
      </w:r>
      <w:r>
        <w:rPr>
          <w:i/>
          <w:iCs/>
        </w:rPr>
        <w:t>supra</w:t>
      </w:r>
      <w:r>
        <w:t xml:space="preserve"> P </w:t>
      </w:r>
      <w:r w:rsidR="001D09FF">
        <w:fldChar w:fldCharType="begin"/>
      </w:r>
      <w:r w:rsidR="001D09FF">
        <w:instrText xml:space="preserve"> REF _Ref160107840 \r \h </w:instrText>
      </w:r>
      <w:r w:rsidR="001D09FF">
        <w:fldChar w:fldCharType="separate"/>
      </w:r>
      <w:r w:rsidR="001D09FF">
        <w:t>284</w:t>
      </w:r>
      <w:r w:rsidR="001D09FF">
        <w:fldChar w:fldCharType="end"/>
      </w:r>
      <w:r w:rsidRPr="00B52CBC">
        <w:rPr>
          <w:highlight w:val="yellow"/>
        </w:rPr>
        <w:fldChar w:fldCharType="begin"/>
      </w:r>
      <w:r w:rsidRPr="00B52CBC">
        <w:rPr>
          <w:highlight w:val="yellow"/>
        </w:rPr>
        <w:instrText xml:space="preserve"> REF _Ref160107840 \r \h </w:instrText>
      </w:r>
      <w:r>
        <w:rPr>
          <w:highlight w:val="yellow"/>
        </w:rPr>
        <w:instrText xml:space="preserve"> \* MERGEFORMAT </w:instrText>
      </w:r>
      <w:r w:rsidR="00BE439E">
        <w:rPr>
          <w:highlight w:val="yellow"/>
        </w:rPr>
        <w:fldChar w:fldCharType="separate"/>
      </w:r>
      <w:r w:rsidRPr="00B52CBC">
        <w:rPr>
          <w:highlight w:val="yellow"/>
        </w:rPr>
        <w:fldChar w:fldCharType="end"/>
      </w:r>
      <w:r>
        <w:t xml:space="preserve">.  </w:t>
      </w:r>
    </w:p>
  </w:footnote>
  <w:footnote w:id="507">
    <w:p w:rsidR="00760048" w:rsidRPr="00EA30C8" w:rsidP="00071614" w14:paraId="60D1F9EB" w14:textId="77777777">
      <w:pPr>
        <w:pStyle w:val="FootnoteText"/>
      </w:pPr>
      <w:r w:rsidRPr="0072600F">
        <w:rPr>
          <w:rStyle w:val="FootnoteReference"/>
        </w:rPr>
        <w:footnoteRef/>
      </w:r>
      <w:r>
        <w:t xml:space="preserve"> </w:t>
      </w:r>
      <w:r>
        <w:rPr>
          <w:i/>
          <w:iCs/>
        </w:rPr>
        <w:t xml:space="preserve">See </w:t>
      </w:r>
      <w:r>
        <w:t xml:space="preserve">Order No. 2023, </w:t>
      </w:r>
      <w:r w:rsidRPr="00C84DE9">
        <w:t>184 FERC ¶ 61,</w:t>
      </w:r>
      <w:r w:rsidRPr="001C31CB">
        <w:t>054</w:t>
      </w:r>
      <w:r>
        <w:t xml:space="preserve"> at PP 967, 975, 1004, 1007 (identifying steps including the management of operational resources, implementing reforms to increase the efficiency of study processing, investing in new software, and hiring additional personnel).</w:t>
      </w:r>
    </w:p>
  </w:footnote>
  <w:footnote w:id="508">
    <w:p w:rsidR="00760048" w:rsidRPr="0052339E" w:rsidP="00071614" w14:paraId="726D84B5" w14:textId="77777777">
      <w:pPr>
        <w:pStyle w:val="FootnoteText"/>
      </w:pPr>
      <w:r w:rsidRPr="0072600F">
        <w:rPr>
          <w:rStyle w:val="FootnoteReference"/>
        </w:rPr>
        <w:footnoteRef/>
      </w:r>
      <w:r>
        <w:t xml:space="preserve"> </w:t>
      </w:r>
      <w:r w:rsidRPr="005E31E3">
        <w:rPr>
          <w:i/>
          <w:iCs/>
        </w:rPr>
        <w:t>I</w:t>
      </w:r>
      <w:r w:rsidRPr="00656186">
        <w:rPr>
          <w:i/>
          <w:iCs/>
        </w:rPr>
        <w:t>d.</w:t>
      </w:r>
      <w:r>
        <w:t xml:space="preserve"> </w:t>
      </w:r>
      <w:r w:rsidRPr="0052339E">
        <w:t>P 1007 (“To the extent that it is more costly to complete studies in a timely and accurate fashion, these interconnection study costs will be passed on to interconnection customers.”).</w:t>
      </w:r>
      <w:r>
        <w:t xml:space="preserve">  </w:t>
      </w:r>
      <w:r w:rsidRPr="0052339E">
        <w:t>Nothing in Order No. 2023 or herein requires or suggests that transmission providers should attempt</w:t>
      </w:r>
      <w:r w:rsidRPr="0067521D">
        <w:t xml:space="preserve"> to hold </w:t>
      </w:r>
      <w:r>
        <w:t>personnel</w:t>
      </w:r>
      <w:r w:rsidRPr="0067521D">
        <w:t xml:space="preserve"> liable or punish them for study delays, and </w:t>
      </w:r>
      <w:r>
        <w:t xml:space="preserve">we </w:t>
      </w:r>
      <w:r w:rsidRPr="0067521D">
        <w:t xml:space="preserve">therefore </w:t>
      </w:r>
      <w:r>
        <w:t>are not persuaded by</w:t>
      </w:r>
      <w:r w:rsidRPr="0067521D">
        <w:t xml:space="preserve"> SPP’s claim that </w:t>
      </w:r>
      <w:r w:rsidRPr="00C41571">
        <w:t>that qualified engineers may not want to work for transmission providers if they risk being identified as a cause of study delays that result in penalties.</w:t>
      </w:r>
      <w:r w:rsidRPr="0067521D">
        <w:t xml:space="preserve">  </w:t>
      </w:r>
    </w:p>
  </w:footnote>
  <w:footnote w:id="509">
    <w:p w:rsidR="00760048" w:rsidRPr="0009105B" w:rsidP="00071614" w14:paraId="6E8919DF" w14:textId="77777777">
      <w:pPr>
        <w:pStyle w:val="FootnoteText"/>
      </w:pPr>
      <w:r w:rsidRPr="0072600F">
        <w:rPr>
          <w:rStyle w:val="FootnoteReference"/>
        </w:rPr>
        <w:footnoteRef/>
      </w:r>
      <w:r>
        <w:t xml:space="preserve"> </w:t>
      </w:r>
      <w:r>
        <w:rPr>
          <w:i/>
          <w:iCs/>
        </w:rPr>
        <w:t>See, e.g.</w:t>
      </w:r>
      <w:r>
        <w:t xml:space="preserve">, </w:t>
      </w:r>
      <w:r w:rsidRPr="00E6353F">
        <w:rPr>
          <w:i/>
        </w:rPr>
        <w:t>id.</w:t>
      </w:r>
      <w:r>
        <w:t xml:space="preserve"> P 1004 (explaining that the Commission was adopting reforms from the NOPR such that it</w:t>
      </w:r>
      <w:r w:rsidRPr="002B69BB">
        <w:t xml:space="preserve"> expect</w:t>
      </w:r>
      <w:r>
        <w:t>ed</w:t>
      </w:r>
      <w:r w:rsidRPr="002B69BB">
        <w:t xml:space="preserve"> </w:t>
      </w:r>
      <w:r>
        <w:t>“</w:t>
      </w:r>
      <w:r w:rsidRPr="002B69BB">
        <w:t>that a transmission provider that faces the potential of a study delay penalty for failing to meet interconnection study deadlines will be able to allocate sufficient resources to conduct interconnection studies, in addition to implementing reforms to ensure that its study process is efficient</w:t>
      </w:r>
      <w:r>
        <w:t>” and declining to adopt certain proposals that might have resulted in greater burdens on transmission providers).</w:t>
      </w:r>
    </w:p>
  </w:footnote>
  <w:footnote w:id="510">
    <w:p w:rsidR="00760048" w:rsidRPr="00B1175A" w:rsidP="00071614" w14:paraId="1CB2859D" w14:textId="77777777">
      <w:pPr>
        <w:pStyle w:val="FootnoteText"/>
      </w:pPr>
      <w:r w:rsidRPr="0072600F">
        <w:rPr>
          <w:rStyle w:val="FootnoteReference"/>
        </w:rPr>
        <w:footnoteRef/>
      </w:r>
      <w:r>
        <w:t xml:space="preserve"> </w:t>
      </w:r>
      <w:r>
        <w:rPr>
          <w:i/>
          <w:iCs/>
        </w:rPr>
        <w:t xml:space="preserve">See infra </w:t>
      </w:r>
      <w:r>
        <w:t xml:space="preserve">PP </w:t>
      </w:r>
      <w:r w:rsidRPr="00334FF1">
        <w:fldChar w:fldCharType="begin"/>
      </w:r>
      <w:r w:rsidRPr="00334FF1">
        <w:instrText xml:space="preserve"> REF _Ref160109842 \r \h  \* MERGEFORMAT </w:instrText>
      </w:r>
      <w:r w:rsidRPr="00334FF1">
        <w:fldChar w:fldCharType="separate"/>
      </w:r>
      <w:r w:rsidR="00C46123">
        <w:t>318</w:t>
      </w:r>
      <w:r w:rsidRPr="00334FF1">
        <w:fldChar w:fldCharType="end"/>
      </w:r>
      <w:r w:rsidRPr="00334FF1">
        <w:t>-</w:t>
      </w:r>
      <w:r w:rsidRPr="00334FF1">
        <w:fldChar w:fldCharType="begin"/>
      </w:r>
      <w:r w:rsidRPr="00334FF1">
        <w:instrText xml:space="preserve"> REF _Ref160109844 \r \h  \* MERGEFORMAT </w:instrText>
      </w:r>
      <w:r w:rsidRPr="00334FF1">
        <w:fldChar w:fldCharType="separate"/>
      </w:r>
      <w:r w:rsidR="00C46123">
        <w:t>320</w:t>
      </w:r>
      <w:r w:rsidRPr="00334FF1">
        <w:fldChar w:fldCharType="end"/>
      </w:r>
      <w:r>
        <w:t xml:space="preserve"> (explaining that the </w:t>
      </w:r>
      <w:r>
        <w:rPr>
          <w:i/>
          <w:iCs/>
        </w:rPr>
        <w:t>pro forma</w:t>
      </w:r>
      <w:r>
        <w:t xml:space="preserve"> study process should not impose a greater aggregate burden on transmission providers than the serial study process and discussing the available data reflecting the ability of transmission providers that have adopted a cluster study approach to conduct those studies within the timeframes set forth in Order No. 2023).</w:t>
      </w:r>
    </w:p>
  </w:footnote>
  <w:footnote w:id="511">
    <w:p w:rsidR="00760048" w:rsidRPr="00B1175A" w:rsidP="00071614" w14:paraId="07BC866B" w14:textId="77777777">
      <w:pPr>
        <w:pStyle w:val="FootnoteText"/>
      </w:pPr>
      <w:r w:rsidRPr="0072600F">
        <w:rPr>
          <w:rStyle w:val="FootnoteReference"/>
        </w:rPr>
        <w:footnoteRef/>
      </w:r>
      <w:r>
        <w:t xml:space="preserve"> </w:t>
      </w:r>
      <w:r>
        <w:rPr>
          <w:i/>
          <w:iCs/>
        </w:rPr>
        <w:t xml:space="preserve">See </w:t>
      </w:r>
      <w:r>
        <w:t xml:space="preserve">Order No. 2023, </w:t>
      </w:r>
      <w:r w:rsidRPr="002C0821">
        <w:t>184 FERC ¶ 61,054</w:t>
      </w:r>
      <w:r>
        <w:t xml:space="preserve"> at P 987 (“I</w:t>
      </w:r>
      <w:r w:rsidRPr="00677C85">
        <w:t>n evaluating whether there is good cause to grant such relief, the Commission may consider, among other factors: (1) extenuating circumstances outside the transmission provider's control, such as delays in affected system study results; (2)</w:t>
      </w:r>
      <w:r>
        <w:t xml:space="preserve"> </w:t>
      </w:r>
      <w:r w:rsidRPr="00677C85">
        <w:t>efforts of the transmission provider to mitigate delays; and (3) the extent to which the transmission provider has proposed process enhancements either in the stakeholder process or at the Commission to prevent future dela</w:t>
      </w:r>
      <w:r>
        <w:t xml:space="preserve">y”); </w:t>
      </w:r>
      <w:r>
        <w:rPr>
          <w:i/>
          <w:iCs/>
        </w:rPr>
        <w:t>id.</w:t>
      </w:r>
      <w:r>
        <w:t xml:space="preserve"> at 979 (providing a lengthy transition period to allow transmission providers time to adapt to the new processes).</w:t>
      </w:r>
    </w:p>
  </w:footnote>
  <w:footnote w:id="512">
    <w:p w:rsidR="00760048" w:rsidRPr="00DB40BB" w14:paraId="667D7B0E" w14:textId="77777777">
      <w:pPr>
        <w:pStyle w:val="FootnoteText"/>
      </w:pPr>
      <w:r w:rsidRPr="0072600F">
        <w:rPr>
          <w:rStyle w:val="FootnoteReference"/>
        </w:rPr>
        <w:footnoteRef/>
      </w:r>
      <w:r>
        <w:t xml:space="preserve"> </w:t>
      </w:r>
      <w:r>
        <w:rPr>
          <w:i/>
          <w:iCs/>
        </w:rPr>
        <w:t>See id.</w:t>
      </w:r>
      <w:r>
        <w:t xml:space="preserve"> P 970.</w:t>
      </w:r>
    </w:p>
  </w:footnote>
  <w:footnote w:id="513">
    <w:p w:rsidR="00760048" w:rsidRPr="005D48CA" w14:paraId="76E6AD29" w14:textId="77777777">
      <w:pPr>
        <w:pStyle w:val="FootnoteText"/>
      </w:pPr>
      <w:r w:rsidRPr="0072600F">
        <w:rPr>
          <w:rStyle w:val="FootnoteReference"/>
        </w:rPr>
        <w:footnoteRef/>
      </w:r>
      <w:r>
        <w:t xml:space="preserve"> </w:t>
      </w:r>
      <w:r>
        <w:rPr>
          <w:i/>
          <w:iCs/>
        </w:rPr>
        <w:t>See id.</w:t>
      </w:r>
      <w:r>
        <w:t xml:space="preserve"> PP 970-72.</w:t>
      </w:r>
    </w:p>
  </w:footnote>
  <w:footnote w:id="514">
    <w:p w:rsidR="00760048" w:rsidRPr="00A378CB" w:rsidP="00071614" w14:paraId="0A8DFF60" w14:textId="77777777">
      <w:pPr>
        <w:pStyle w:val="FootnoteText"/>
        <w:rPr>
          <w:i/>
        </w:rPr>
      </w:pPr>
      <w:r w:rsidRPr="0072600F">
        <w:rPr>
          <w:rStyle w:val="FootnoteReference"/>
        </w:rPr>
        <w:footnoteRef/>
      </w:r>
      <w:r>
        <w:t xml:space="preserve"> </w:t>
      </w:r>
      <w:r>
        <w:rPr>
          <w:i/>
          <w:iCs/>
        </w:rPr>
        <w:t>See, e.g</w:t>
      </w:r>
      <w:r w:rsidRPr="002C605A">
        <w:rPr>
          <w:i/>
          <w:iCs/>
        </w:rPr>
        <w:t>.</w:t>
      </w:r>
      <w:r w:rsidRPr="002C605A">
        <w:t>,</w:t>
      </w:r>
      <w:r w:rsidRPr="002C605A">
        <w:rPr>
          <w:i/>
          <w:iCs/>
        </w:rPr>
        <w:t xml:space="preserve"> S.C. Pub. Serv. Auth.</w:t>
      </w:r>
      <w:r w:rsidRPr="002C605A">
        <w:t xml:space="preserve">, 762 F.3d at 63; </w:t>
      </w:r>
      <w:r w:rsidRPr="002C605A">
        <w:rPr>
          <w:i/>
          <w:iCs/>
        </w:rPr>
        <w:t>NARUC v. FERC</w:t>
      </w:r>
      <w:r w:rsidRPr="002C605A">
        <w:t xml:space="preserve">, 475 F.3d at 1279-1280; </w:t>
      </w:r>
      <w:r w:rsidRPr="002C605A">
        <w:rPr>
          <w:i/>
          <w:iCs/>
        </w:rPr>
        <w:t>see also FERC v. Elec. Power Supply Ass’n</w:t>
      </w:r>
      <w:r w:rsidRPr="002C605A">
        <w:t>, 577 U.S. 260, 266 (2016) (</w:t>
      </w:r>
      <w:r w:rsidRPr="007C6CBC" w:rsidR="00C9277A">
        <w:rPr>
          <w:i/>
        </w:rPr>
        <w:t>EPSA</w:t>
      </w:r>
      <w:r w:rsidR="00C9277A">
        <w:t xml:space="preserve">) </w:t>
      </w:r>
      <w:r w:rsidRPr="002C605A">
        <w:t xml:space="preserve">(discussing the Commission’s authority to “regulate ‘the transmission of electric energy in interstate commerce’ and ‘the sale of electric energy at wholesale in interstate commerce’ under FPA section 201(b), 16 U.S.C. </w:t>
      </w:r>
      <w:r w:rsidRPr="00D61BA3" w:rsidR="00D61BA3">
        <w:t>§</w:t>
      </w:r>
      <w:r w:rsidR="00D61BA3">
        <w:t xml:space="preserve"> </w:t>
      </w:r>
      <w:r w:rsidRPr="002C605A">
        <w:t xml:space="preserve">824(b), and describing FPA sections 205 and 206 as affording FERC authority to “oversee all prices for those interstate transactions and all rules and practices affecting such prices”); </w:t>
      </w:r>
      <w:r w:rsidRPr="002C605A">
        <w:rPr>
          <w:i/>
          <w:iCs/>
        </w:rPr>
        <w:t>see also id</w:t>
      </w:r>
      <w:r w:rsidRPr="002C605A">
        <w:t>. at 277.</w:t>
      </w:r>
    </w:p>
  </w:footnote>
  <w:footnote w:id="515">
    <w:p w:rsidR="00760048" w:rsidRPr="007E64F0" w:rsidP="00071614" w14:paraId="048AB48F" w14:textId="77777777">
      <w:pPr>
        <w:pStyle w:val="FootnoteText"/>
      </w:pPr>
      <w:r w:rsidRPr="0072600F">
        <w:rPr>
          <w:rStyle w:val="FootnoteReference"/>
        </w:rPr>
        <w:footnoteRef/>
      </w:r>
      <w:r>
        <w:t xml:space="preserve"> </w:t>
      </w:r>
      <w:r w:rsidRPr="00A50936">
        <w:rPr>
          <w:i/>
          <w:iCs/>
        </w:rPr>
        <w:t>NARUC</w:t>
      </w:r>
      <w:r w:rsidRPr="007E64F0">
        <w:rPr>
          <w:i/>
          <w:iCs/>
        </w:rPr>
        <w:t xml:space="preserve"> v. FERC</w:t>
      </w:r>
      <w:r w:rsidRPr="007E64F0">
        <w:t>, 475 F.3d</w:t>
      </w:r>
      <w:r>
        <w:t xml:space="preserve"> at</w:t>
      </w:r>
      <w:r w:rsidRPr="007E64F0">
        <w:t xml:space="preserve"> </w:t>
      </w:r>
      <w:r>
        <w:t>1279 (“</w:t>
      </w:r>
      <w:r w:rsidRPr="007E64F0">
        <w:t xml:space="preserve">By establishing standard agreements FERC has exercised its jurisdiction over the </w:t>
      </w:r>
      <w:r w:rsidRPr="007E64F0">
        <w:rPr>
          <w:i/>
          <w:iCs/>
        </w:rPr>
        <w:t>terms</w:t>
      </w:r>
      <w:r w:rsidRPr="007E64F0">
        <w:t xml:space="preserve"> of those relationships.</w:t>
      </w:r>
      <w:r>
        <w:t xml:space="preserve">”); </w:t>
      </w:r>
      <w:r>
        <w:rPr>
          <w:i/>
          <w:iCs/>
        </w:rPr>
        <w:t>see id.</w:t>
      </w:r>
      <w:r>
        <w:t xml:space="preserve"> at 1280; </w:t>
      </w:r>
      <w:r w:rsidRPr="00A50936">
        <w:rPr>
          <w:i/>
          <w:iCs/>
        </w:rPr>
        <w:t>ESI Energy, LLC v. FERC</w:t>
      </w:r>
      <w:r w:rsidRPr="00A50936">
        <w:t>, 892 F.3d 321, 324 (“[E]very time a new generator of electricity asked to use a transmission network owned by another</w:t>
      </w:r>
      <w:r>
        <w:t>—</w:t>
      </w:r>
      <w:r w:rsidRPr="00A50936">
        <w:t>to interconnect the two entities</w:t>
      </w:r>
      <w:r>
        <w:t>—</w:t>
      </w:r>
      <w:r w:rsidRPr="00A50936">
        <w:t>disputes between the generator and the owner of the transmission grid would arise, delaying completion of the interconnection process</w:t>
      </w:r>
      <w:r>
        <w:t>,” which</w:t>
      </w:r>
      <w:r w:rsidRPr="00A50936">
        <w:t xml:space="preserve"> disputes “delay[ed] entry into the market by new generators,” thus “providing an unfair competitive advantage to utilities owning both transmission and generation facilities.”)</w:t>
      </w:r>
      <w:r>
        <w:t>.</w:t>
      </w:r>
    </w:p>
  </w:footnote>
  <w:footnote w:id="516">
    <w:p w:rsidR="00760048" w:rsidP="00071614" w14:paraId="583D8BA5" w14:textId="77777777">
      <w:pPr>
        <w:pStyle w:val="FootnoteText"/>
      </w:pPr>
      <w:r w:rsidRPr="0072600F">
        <w:rPr>
          <w:rStyle w:val="FootnoteReference"/>
        </w:rPr>
        <w:footnoteRef/>
      </w:r>
      <w:r>
        <w:t xml:space="preserve"> </w:t>
      </w:r>
      <w:r>
        <w:rPr>
          <w:i/>
          <w:iCs/>
        </w:rPr>
        <w:t>See</w:t>
      </w:r>
      <w:r>
        <w:rPr>
          <w:i/>
        </w:rPr>
        <w:t xml:space="preserve"> </w:t>
      </w:r>
      <w:r w:rsidRPr="00687D57">
        <w:t xml:space="preserve">Order No. 2003, 104 FERC ¶ 61,103, at </w:t>
      </w:r>
      <w:r w:rsidR="001D09FF">
        <w:t>a</w:t>
      </w:r>
      <w:r>
        <w:t xml:space="preserve">pp. C, LGIP section 1 (defining “Reasonable Efforts”; </w:t>
      </w:r>
      <w:r>
        <w:rPr>
          <w:i/>
          <w:iCs/>
        </w:rPr>
        <w:t xml:space="preserve">id. </w:t>
      </w:r>
      <w:r>
        <w:t>sections 6.3, 7.4, 8.3 (providing for the use of reasonable efforts to complete study processes within specified timeframes).</w:t>
      </w:r>
    </w:p>
  </w:footnote>
  <w:footnote w:id="517">
    <w:p w:rsidR="00760048" w:rsidP="00071614" w14:paraId="4C230D89" w14:textId="77777777">
      <w:pPr>
        <w:pStyle w:val="FootnoteText"/>
      </w:pPr>
      <w:r w:rsidRPr="0072600F">
        <w:rPr>
          <w:rStyle w:val="FootnoteReference"/>
        </w:rPr>
        <w:footnoteRef/>
      </w:r>
      <w:r>
        <w:t xml:space="preserve"> </w:t>
      </w:r>
      <w:r w:rsidRPr="00541D33">
        <w:t>The Commission further has regulated the charges for the interconnection study process through setting the study deposit amount</w:t>
      </w:r>
      <w:r>
        <w:t xml:space="preserve">, </w:t>
      </w:r>
      <w:r>
        <w:rPr>
          <w:i/>
          <w:iCs/>
        </w:rPr>
        <w:t>s</w:t>
      </w:r>
      <w:r w:rsidRPr="00D84CA7">
        <w:rPr>
          <w:i/>
          <w:iCs/>
        </w:rPr>
        <w:t xml:space="preserve">ee pro forma </w:t>
      </w:r>
      <w:r w:rsidRPr="00D84CA7">
        <w:t>LGIP section 3.1.1</w:t>
      </w:r>
      <w:r>
        <w:t xml:space="preserve">, </w:t>
      </w:r>
      <w:r w:rsidRPr="00541D33">
        <w:t>and the recovery of the costs for interconnection studies</w:t>
      </w:r>
      <w:r>
        <w:t xml:space="preserve">, </w:t>
      </w:r>
      <w:r>
        <w:rPr>
          <w:i/>
          <w:iCs/>
        </w:rPr>
        <w:t xml:space="preserve">see </w:t>
      </w:r>
      <w:r w:rsidRPr="00D84CA7">
        <w:t>Order No. 2023</w:t>
      </w:r>
      <w:r>
        <w:t>,</w:t>
      </w:r>
      <w:r w:rsidRPr="000622AC">
        <w:t xml:space="preserve"> 184 FERC ¶ 61,054</w:t>
      </w:r>
      <w:r>
        <w:t xml:space="preserve">, </w:t>
      </w:r>
      <w:r w:rsidRPr="00FD3CCD">
        <w:rPr>
          <w:i/>
          <w:iCs/>
        </w:rPr>
        <w:t xml:space="preserve">pro forma </w:t>
      </w:r>
      <w:r w:rsidRPr="00FD3CCD">
        <w:t xml:space="preserve">LGIP </w:t>
      </w:r>
      <w:r>
        <w:t>sections</w:t>
      </w:r>
      <w:r w:rsidRPr="00FD3CCD">
        <w:t xml:space="preserve"> 7.1, 8.1, 9.4, 13.3, app</w:t>
      </w:r>
      <w:r w:rsidR="00864C4B">
        <w:t>.</w:t>
      </w:r>
      <w:r w:rsidRPr="00FD3CCD">
        <w:t xml:space="preserve"> 2 at section 6, app</w:t>
      </w:r>
      <w:r w:rsidR="00864C4B">
        <w:t>.</w:t>
      </w:r>
      <w:r w:rsidRPr="00FD3CCD">
        <w:t xml:space="preserve"> 7 at section 7, app</w:t>
      </w:r>
      <w:r w:rsidR="00864C4B">
        <w:t>.</w:t>
      </w:r>
      <w:r w:rsidRPr="00FD3CCD">
        <w:t xml:space="preserve"> 8 at sections 7-8, app</w:t>
      </w:r>
      <w:r w:rsidR="00864C4B">
        <w:t>.</w:t>
      </w:r>
      <w:r w:rsidRPr="00FD3CCD">
        <w:t xml:space="preserve"> 9 at section 6, app</w:t>
      </w:r>
      <w:r w:rsidR="00864C4B">
        <w:t>.</w:t>
      </w:r>
      <w:r w:rsidRPr="00FD3CCD">
        <w:t xml:space="preserve"> 10 at section 6</w:t>
      </w:r>
      <w:r>
        <w:t xml:space="preserve"> (reflecting revisions to the </w:t>
      </w:r>
      <w:r>
        <w:rPr>
          <w:i/>
          <w:iCs/>
        </w:rPr>
        <w:t>pro forma</w:t>
      </w:r>
      <w:r>
        <w:t xml:space="preserve"> LGIP and appendices set forth in Order No. 2003).</w:t>
      </w:r>
    </w:p>
  </w:footnote>
  <w:footnote w:id="518">
    <w:p w:rsidR="00760048" w:rsidP="00071614" w14:paraId="77CB1D61" w14:textId="77777777">
      <w:pPr>
        <w:pStyle w:val="FootnoteText"/>
      </w:pPr>
      <w:r w:rsidRPr="0072600F">
        <w:rPr>
          <w:rStyle w:val="FootnoteReference"/>
        </w:rPr>
        <w:footnoteRef/>
      </w:r>
      <w:r>
        <w:t xml:space="preserve"> </w:t>
      </w:r>
      <w:r>
        <w:rPr>
          <w:i/>
          <w:iCs/>
        </w:rPr>
        <w:t xml:space="preserve">See </w:t>
      </w:r>
      <w:r>
        <w:t>Order No. 2023,</w:t>
      </w:r>
      <w:r w:rsidRPr="000622AC">
        <w:t xml:space="preserve"> 184 FERC ¶ 61,054</w:t>
      </w:r>
      <w:r>
        <w:t xml:space="preserve"> at P 50.</w:t>
      </w:r>
    </w:p>
  </w:footnote>
  <w:footnote w:id="519">
    <w:p w:rsidR="00760048" w:rsidP="00071614" w14:paraId="4632FF8F" w14:textId="77777777">
      <w:pPr>
        <w:pStyle w:val="FootnoteText"/>
      </w:pPr>
      <w:r w:rsidRPr="0072600F">
        <w:rPr>
          <w:rStyle w:val="FootnoteReference"/>
        </w:rPr>
        <w:footnoteRef/>
      </w:r>
      <w:r>
        <w:t xml:space="preserve"> </w:t>
      </w:r>
      <w:r>
        <w:rPr>
          <w:i/>
          <w:iCs/>
        </w:rPr>
        <w:t>See id.</w:t>
      </w:r>
      <w:r>
        <w:t xml:space="preserve"> PP 37, 43, 50, 963.</w:t>
      </w:r>
    </w:p>
  </w:footnote>
  <w:footnote w:id="520">
    <w:p w:rsidR="00760048" w:rsidRPr="00E22865" w:rsidP="00071614" w14:paraId="2D82EB64" w14:textId="77777777">
      <w:pPr>
        <w:pStyle w:val="FootnoteText"/>
        <w:rPr>
          <w:i/>
          <w:iCs/>
        </w:rPr>
      </w:pPr>
      <w:r w:rsidRPr="0072600F">
        <w:rPr>
          <w:rStyle w:val="FootnoteReference"/>
        </w:rPr>
        <w:footnoteRef/>
      </w:r>
      <w:r>
        <w:t xml:space="preserve"> </w:t>
      </w:r>
      <w:r>
        <w:rPr>
          <w:i/>
          <w:iCs/>
        </w:rPr>
        <w:t>See id.</w:t>
      </w:r>
      <w:r>
        <w:t xml:space="preserve"> PP 43, 972.</w:t>
      </w:r>
    </w:p>
  </w:footnote>
  <w:footnote w:id="521">
    <w:p w:rsidR="00760048" w:rsidRPr="007401A0" w:rsidP="00071614" w14:paraId="128D1806" w14:textId="77777777">
      <w:pPr>
        <w:pStyle w:val="FootnoteText"/>
      </w:pPr>
      <w:r w:rsidRPr="0072600F">
        <w:rPr>
          <w:rStyle w:val="FootnoteReference"/>
        </w:rPr>
        <w:footnoteRef/>
      </w:r>
      <w:r>
        <w:t xml:space="preserve"> </w:t>
      </w:r>
      <w:r>
        <w:rPr>
          <w:i/>
          <w:iCs/>
        </w:rPr>
        <w:t>See id.</w:t>
      </w:r>
      <w:r>
        <w:t xml:space="preserve"> PP 984, 990; </w:t>
      </w:r>
      <w:r>
        <w:rPr>
          <w:i/>
          <w:iCs/>
        </w:rPr>
        <w:t xml:space="preserve">infra </w:t>
      </w:r>
      <w:r>
        <w:t xml:space="preserve">P </w:t>
      </w:r>
      <w:r w:rsidRPr="00334FF1">
        <w:fldChar w:fldCharType="begin"/>
      </w:r>
      <w:r w:rsidRPr="00334FF1">
        <w:instrText xml:space="preserve"> REF _Ref160109919 \r \h  \* MERGEFORMAT </w:instrText>
      </w:r>
      <w:r w:rsidRPr="00334FF1">
        <w:fldChar w:fldCharType="separate"/>
      </w:r>
      <w:r w:rsidR="00C46123">
        <w:t>439</w:t>
      </w:r>
      <w:r w:rsidRPr="00334FF1">
        <w:fldChar w:fldCharType="end"/>
      </w:r>
      <w:r>
        <w:t xml:space="preserve"> (discussing the distribution of penalties to interconnection customers).</w:t>
      </w:r>
    </w:p>
  </w:footnote>
  <w:footnote w:id="522">
    <w:p w:rsidR="00760048" w:rsidRPr="00106ED4" w:rsidP="00071614" w14:paraId="49DF569A" w14:textId="77777777">
      <w:pPr>
        <w:pStyle w:val="FootnoteText"/>
      </w:pPr>
      <w:r w:rsidRPr="0072600F">
        <w:rPr>
          <w:rStyle w:val="FootnoteReference"/>
        </w:rPr>
        <w:footnoteRef/>
      </w:r>
      <w:r>
        <w:t xml:space="preserve"> </w:t>
      </w:r>
      <w:r>
        <w:rPr>
          <w:i/>
          <w:iCs/>
        </w:rPr>
        <w:t>See, e.g.</w:t>
      </w:r>
      <w:r>
        <w:t xml:space="preserve">, </w:t>
      </w:r>
      <w:r w:rsidRPr="002D2208">
        <w:rPr>
          <w:i/>
          <w:iCs/>
        </w:rPr>
        <w:t>Advanced Energy Mgmt. All. v. FERC</w:t>
      </w:r>
      <w:r w:rsidRPr="002D2208">
        <w:t xml:space="preserve">, 860 F.3d 656, 665 (D.C. Cir. 2017) </w:t>
      </w:r>
      <w:r w:rsidR="00F11902">
        <w:t>(</w:t>
      </w:r>
      <w:r w:rsidRPr="0049414A" w:rsidR="00F11902">
        <w:rPr>
          <w:i/>
          <w:iCs/>
        </w:rPr>
        <w:t>AEMA</w:t>
      </w:r>
      <w:r w:rsidRPr="002D2208">
        <w:t xml:space="preserve">) (affirming Commission approval of revised market rules under which “a resource that fails to meet its capacity commitment during an emergency hour must pay a penalty”); </w:t>
      </w:r>
      <w:r w:rsidRPr="00F26A68">
        <w:rPr>
          <w:i/>
          <w:iCs/>
        </w:rPr>
        <w:t xml:space="preserve">Belmont Mun. Light </w:t>
      </w:r>
      <w:r w:rsidRPr="00F26A68">
        <w:rPr>
          <w:i/>
          <w:iCs/>
        </w:rPr>
        <w:t>Dep't v. FERC</w:t>
      </w:r>
      <w:r w:rsidRPr="00F26A68">
        <w:t xml:space="preserve">, 38 F.4th 173, 177 (D.C. Cir. 2022); </w:t>
      </w:r>
      <w:r w:rsidRPr="00F26A68">
        <w:rPr>
          <w:i/>
          <w:iCs/>
        </w:rPr>
        <w:t>Energy Harbor LLC</w:t>
      </w:r>
      <w:r w:rsidRPr="00F26A68">
        <w:t xml:space="preserve">, 185 FERC ¶ 61,203, at P 2 (2023) (explaining that “PJM's Capacity Performance construct creates a penalty and bonus structure for Capacity Resources to deliver energy and reserves” under certain conditions); </w:t>
      </w:r>
      <w:r w:rsidRPr="005122B2">
        <w:rPr>
          <w:i/>
          <w:iCs/>
        </w:rPr>
        <w:t>PJM Interconnection, L.L.C.</w:t>
      </w:r>
      <w:r w:rsidRPr="00F26A68">
        <w:t xml:space="preserve">, 155 FERC ¶ 61,157, at P 18 (2016) (further describing this capacity construct); </w:t>
      </w:r>
      <w:r w:rsidRPr="00FF0AFD">
        <w:rPr>
          <w:i/>
          <w:iCs/>
        </w:rPr>
        <w:t>ISO New England Inc.</w:t>
      </w:r>
      <w:r w:rsidRPr="00F26A68">
        <w:t xml:space="preserve">, 174 FERC ¶ 61,252, at PP 3-4 (2021) (discussing ISO-NE’s “pay-for-performance” capacity market design); </w:t>
      </w:r>
      <w:r w:rsidRPr="00F26A68">
        <w:rPr>
          <w:i/>
        </w:rPr>
        <w:t>ISO New England Inc</w:t>
      </w:r>
      <w:r w:rsidRPr="00F26A68">
        <w:t>., 165</w:t>
      </w:r>
      <w:r w:rsidRPr="003D08BF">
        <w:t xml:space="preserve"> FERC ¶ 61,266, at PP 1, 22 (2018) (accepting proposal to allow ISO-NE to levy a monthly “Failure to Cover Charge Rate,” described as a “just and reasonable penalty rate</w:t>
      </w:r>
      <w:r>
        <w:t>,</w:t>
      </w:r>
      <w:r w:rsidRPr="003D08BF">
        <w:t>” explaining that it will incentivize resources to cover that obligation)</w:t>
      </w:r>
      <w:r>
        <w:t>;</w:t>
      </w:r>
      <w:r>
        <w:rPr>
          <w:bCs/>
          <w:i/>
          <w:iCs/>
        </w:rPr>
        <w:t xml:space="preserve"> cf. </w:t>
      </w:r>
      <w:r w:rsidRPr="00BE13FE">
        <w:rPr>
          <w:bCs/>
        </w:rPr>
        <w:t>PJM Rehearing Request at 30 (</w:t>
      </w:r>
      <w:r>
        <w:rPr>
          <w:bCs/>
        </w:rPr>
        <w:t>acknowledging</w:t>
      </w:r>
      <w:r w:rsidRPr="00BE13FE">
        <w:rPr>
          <w:bCs/>
        </w:rPr>
        <w:t xml:space="preserve"> that various “RTO tariffs and other tariffs contain various penalty provisions”)</w:t>
      </w:r>
      <w:r>
        <w:rPr>
          <w:bCs/>
        </w:rPr>
        <w:t xml:space="preserve">; </w:t>
      </w:r>
      <w:r w:rsidRPr="00B676A0">
        <w:rPr>
          <w:bCs/>
        </w:rPr>
        <w:t>Order No. 2003, 104 FERC ¶ 61,103 at PP 857, 898 (considering whether to provide for liquidated damages for delayed interconnection studies in the</w:t>
      </w:r>
      <w:r w:rsidRPr="00B676A0">
        <w:rPr>
          <w:bCs/>
          <w:i/>
          <w:iCs/>
        </w:rPr>
        <w:t xml:space="preserve"> pro forma</w:t>
      </w:r>
      <w:r w:rsidRPr="00B676A0">
        <w:rPr>
          <w:bCs/>
        </w:rPr>
        <w:t xml:space="preserve"> LGIP, and declining to do so, but observing that liquidated damages provisions are within the Commission’s statutory authority)</w:t>
      </w:r>
      <w:r>
        <w:rPr>
          <w:bCs/>
        </w:rPr>
        <w:t>.</w:t>
      </w:r>
    </w:p>
  </w:footnote>
  <w:footnote w:id="523">
    <w:p w:rsidR="00760048" w:rsidRPr="00E16235" w14:paraId="180A232C" w14:textId="77777777">
      <w:pPr>
        <w:pStyle w:val="FootnoteText"/>
      </w:pPr>
      <w:r w:rsidRPr="0072600F">
        <w:rPr>
          <w:rStyle w:val="FootnoteReference"/>
        </w:rPr>
        <w:footnoteRef/>
      </w:r>
      <w:r>
        <w:t xml:space="preserve"> </w:t>
      </w:r>
      <w:r>
        <w:rPr>
          <w:i/>
          <w:iCs/>
        </w:rPr>
        <w:t>See, e.g.</w:t>
      </w:r>
      <w:r>
        <w:t xml:space="preserve">, Order No. 890, </w:t>
      </w:r>
      <w:r w:rsidRPr="005922B3">
        <w:rPr>
          <w:szCs w:val="26"/>
        </w:rPr>
        <w:t>118 FERC ¶ 61,119</w:t>
      </w:r>
      <w:r>
        <w:t xml:space="preserve"> at P 1340 (describing this structure and explaining that transmission providers “must have a meaningful stake in meeting study time frames”); </w:t>
      </w:r>
      <w:r>
        <w:rPr>
          <w:i/>
          <w:iCs/>
        </w:rPr>
        <w:t>id.</w:t>
      </w:r>
      <w:r>
        <w:t xml:space="preserve"> P 1347 (explaining the Commission’s rationale for the penalty amounts selected as “in line with the cost the transmission provider would incur to focus additional resources on processing” study requests and as an effective incentive to comply with study deadlines); </w:t>
      </w:r>
      <w:r w:rsidRPr="00721368">
        <w:t>Order No. 2023, 184 FERC ¶ 61,054 at PP 1013, 1015 &amp; nn.1958-60 (discussing the penalty structure implemented under Order No. 890 for transmission service studies and automatic penalties for “traffic ticket” violations)</w:t>
      </w:r>
      <w:r>
        <w:t>.</w:t>
      </w:r>
    </w:p>
  </w:footnote>
  <w:footnote w:id="524">
    <w:p w:rsidR="00760048" w14:paraId="57F3FE90" w14:textId="77777777">
      <w:pPr>
        <w:pStyle w:val="FootnoteText"/>
      </w:pPr>
      <w:r w:rsidRPr="0072600F">
        <w:rPr>
          <w:rStyle w:val="FootnoteReference"/>
        </w:rPr>
        <w:footnoteRef/>
      </w:r>
      <w:r>
        <w:t xml:space="preserve"> Order No. 2023,</w:t>
      </w:r>
      <w:r w:rsidRPr="000622AC">
        <w:t xml:space="preserve"> 184 FERC ¶ 61,054</w:t>
      </w:r>
      <w:r>
        <w:t xml:space="preserve"> at P 1014.</w:t>
      </w:r>
    </w:p>
  </w:footnote>
  <w:footnote w:id="525">
    <w:p w:rsidR="00760048" w14:paraId="4679C144" w14:textId="77777777">
      <w:pPr>
        <w:pStyle w:val="FootnoteText"/>
      </w:pPr>
      <w:r w:rsidRPr="0072600F">
        <w:rPr>
          <w:rStyle w:val="FootnoteReference"/>
        </w:rPr>
        <w:footnoteRef/>
      </w:r>
      <w:r>
        <w:t xml:space="preserve"> </w:t>
      </w:r>
      <w:r>
        <w:rPr>
          <w:i/>
          <w:iCs/>
        </w:rPr>
        <w:t>See</w:t>
      </w:r>
      <w:r>
        <w:rPr>
          <w:i/>
        </w:rPr>
        <w:t xml:space="preserve"> </w:t>
      </w:r>
      <w:r>
        <w:rPr>
          <w:i/>
          <w:iCs/>
        </w:rPr>
        <w:t>id.</w:t>
      </w:r>
      <w:r>
        <w:t xml:space="preserve"> P 966.</w:t>
      </w:r>
    </w:p>
  </w:footnote>
  <w:footnote w:id="526">
    <w:p w:rsidR="00760048" w14:paraId="47F81735" w14:textId="77777777">
      <w:pPr>
        <w:pStyle w:val="FootnoteText"/>
      </w:pPr>
      <w:r w:rsidRPr="0072600F">
        <w:rPr>
          <w:rStyle w:val="FootnoteReference"/>
        </w:rPr>
        <w:footnoteRef/>
      </w:r>
      <w:r>
        <w:t xml:space="preserve"> </w:t>
      </w:r>
      <w:r>
        <w:rPr>
          <w:i/>
          <w:iCs/>
        </w:rPr>
        <w:t>See, e.g.</w:t>
      </w:r>
      <w:r>
        <w:t xml:space="preserve">, </w:t>
      </w:r>
      <w:r>
        <w:rPr>
          <w:i/>
          <w:iCs/>
        </w:rPr>
        <w:t>id.</w:t>
      </w:r>
      <w:r>
        <w:t xml:space="preserve"> P 999 (“[W]</w:t>
      </w:r>
      <w:r w:rsidRPr="000B7D38">
        <w:t>e believe that the study delay penalty structure strikes a reasonable balance by providing an adequate incentive without being punitive</w:t>
      </w:r>
      <w:r>
        <w:t>”).</w:t>
      </w:r>
    </w:p>
  </w:footnote>
  <w:footnote w:id="527">
    <w:p w:rsidR="00760048" w14:paraId="139F2D5D" w14:textId="77777777">
      <w:pPr>
        <w:pStyle w:val="FootnoteText"/>
      </w:pPr>
      <w:r w:rsidRPr="0072600F">
        <w:rPr>
          <w:rStyle w:val="FootnoteReference"/>
        </w:rPr>
        <w:footnoteRef/>
      </w:r>
      <w:r>
        <w:t xml:space="preserve"> </w:t>
      </w:r>
      <w:r>
        <w:rPr>
          <w:i/>
          <w:iCs/>
        </w:rPr>
        <w:t>See id.</w:t>
      </w:r>
      <w:r>
        <w:t xml:space="preserve"> PP 37-43, 50, 970-72.</w:t>
      </w:r>
    </w:p>
  </w:footnote>
  <w:footnote w:id="528">
    <w:p w:rsidR="00760048" w:rsidRPr="005764C8" w:rsidP="00071614" w14:paraId="5C9C0BD8" w14:textId="77777777">
      <w:pPr>
        <w:pStyle w:val="FootnoteText"/>
      </w:pPr>
      <w:r w:rsidRPr="0072600F">
        <w:rPr>
          <w:rStyle w:val="FootnoteReference"/>
        </w:rPr>
        <w:footnoteRef/>
      </w:r>
      <w:r>
        <w:t xml:space="preserve"> </w:t>
      </w:r>
      <w:r>
        <w:rPr>
          <w:i/>
          <w:iCs/>
        </w:rPr>
        <w:t>See, e.g.</w:t>
      </w:r>
      <w:r>
        <w:t xml:space="preserve">, </w:t>
      </w:r>
      <w:r>
        <w:rPr>
          <w:i/>
          <w:iCs/>
        </w:rPr>
        <w:t>supra</w:t>
      </w:r>
      <w:r>
        <w:t xml:space="preserve"> section II.A.3 (discussing the need for comprehensive reform to address this problem); </w:t>
      </w:r>
      <w:r>
        <w:rPr>
          <w:i/>
          <w:iCs/>
        </w:rPr>
        <w:t xml:space="preserve">pro forma </w:t>
      </w:r>
      <w:r>
        <w:t>LGIP sections 3.4, 3.5, 3.7, 3.7.1 (reflecting examples of such consequences applicable to interconnection customers, including that their interconnection requests may be deemed withdrawn, loss of queue position, and application of the withdrawal penalty).</w:t>
      </w:r>
    </w:p>
  </w:footnote>
  <w:footnote w:id="529">
    <w:p w:rsidR="00760048" w14:paraId="697F4D1C" w14:textId="77777777">
      <w:pPr>
        <w:pStyle w:val="FootnoteText"/>
      </w:pPr>
      <w:r w:rsidRPr="0072600F">
        <w:rPr>
          <w:rStyle w:val="FootnoteReference"/>
        </w:rPr>
        <w:footnoteRef/>
      </w:r>
      <w:r>
        <w:t xml:space="preserve"> </w:t>
      </w:r>
      <w:r>
        <w:rPr>
          <w:i/>
          <w:iCs/>
        </w:rPr>
        <w:t>See</w:t>
      </w:r>
      <w:r>
        <w:t xml:space="preserve"> </w:t>
      </w:r>
      <w:r>
        <w:rPr>
          <w:i/>
          <w:iCs/>
        </w:rPr>
        <w:t xml:space="preserve">infra </w:t>
      </w:r>
      <w:r>
        <w:t xml:space="preserve">section </w:t>
      </w:r>
      <w:r w:rsidRPr="007545B5">
        <w:t>II.D.1.c.iv.</w:t>
      </w:r>
    </w:p>
  </w:footnote>
  <w:footnote w:id="530">
    <w:p w:rsidR="00760048" w:rsidRPr="00870676" w14:paraId="53BE1DBD" w14:textId="77777777">
      <w:pPr>
        <w:pStyle w:val="FootnoteText"/>
      </w:pPr>
      <w:r w:rsidRPr="0072600F">
        <w:rPr>
          <w:rStyle w:val="FootnoteReference"/>
        </w:rPr>
        <w:footnoteRef/>
      </w:r>
      <w:r>
        <w:t xml:space="preserve"> </w:t>
      </w:r>
      <w:r>
        <w:rPr>
          <w:i/>
          <w:iCs/>
        </w:rPr>
        <w:t xml:space="preserve">See </w:t>
      </w:r>
      <w:r>
        <w:rPr>
          <w:i/>
          <w:iCs/>
        </w:rPr>
        <w:t>Kokesh v. SEC</w:t>
      </w:r>
      <w:r>
        <w:t xml:space="preserve">, </w:t>
      </w:r>
      <w:r w:rsidRPr="0017114D">
        <w:t>581</w:t>
      </w:r>
      <w:r>
        <w:t xml:space="preserve"> U.S. 455, 461</w:t>
      </w:r>
      <w:r w:rsidRPr="00F24E40">
        <w:t xml:space="preserve"> (2017)</w:t>
      </w:r>
      <w:r w:rsidR="00F94D7A">
        <w:t xml:space="preserve"> (</w:t>
      </w:r>
      <w:r w:rsidR="00F94D7A">
        <w:rPr>
          <w:i/>
          <w:iCs/>
        </w:rPr>
        <w:t>Kokesh</w:t>
      </w:r>
      <w:r w:rsidR="00F94D7A">
        <w:t>)</w:t>
      </w:r>
      <w:r>
        <w:t>.</w:t>
      </w:r>
    </w:p>
  </w:footnote>
  <w:footnote w:id="531">
    <w:p w:rsidR="00760048" w14:paraId="3F87AB16" w14:textId="77777777">
      <w:pPr>
        <w:pStyle w:val="FootnoteText"/>
      </w:pPr>
      <w:r w:rsidRPr="0072600F">
        <w:rPr>
          <w:rStyle w:val="FootnoteReference"/>
        </w:rPr>
        <w:footnoteRef/>
      </w:r>
      <w:r>
        <w:t xml:space="preserve"> </w:t>
      </w:r>
      <w:r w:rsidRPr="006A775F">
        <w:t>Avangrid Rehearing Request at 4-5</w:t>
      </w:r>
      <w:r>
        <w:t xml:space="preserve">; EEI Rehearing Request at 10; Indicated PJM TOs Rehearing Request at 16; </w:t>
      </w:r>
      <w:r w:rsidRPr="006F2411">
        <w:t>NYISO Rehearing Request at 4</w:t>
      </w:r>
      <w:r>
        <w:t xml:space="preserve">; NYTOs Rehearing Request at 13-15; 26-27 (arguing that there are conflicting directives in Order No. 2023 that support regional flexibility but also provide for study penalties following strict deadlines that do not account for unique challenges and dynamics in different regions, which it claims could hinder ongoing regional queue reform initiatives and stifle innovation); </w:t>
      </w:r>
      <w:r w:rsidRPr="006A775F">
        <w:t>SPP Rehearing Request at 9-10</w:t>
      </w:r>
      <w:r>
        <w:t>.</w:t>
      </w:r>
    </w:p>
  </w:footnote>
  <w:footnote w:id="532">
    <w:p w:rsidR="00760048" w:rsidP="00071614" w14:paraId="52BB3326" w14:textId="77777777">
      <w:pPr>
        <w:pStyle w:val="FootnoteText"/>
      </w:pPr>
      <w:r w:rsidRPr="0072600F">
        <w:rPr>
          <w:rStyle w:val="FootnoteReference"/>
        </w:rPr>
        <w:footnoteRef/>
      </w:r>
      <w:r>
        <w:t xml:space="preserve"> </w:t>
      </w:r>
      <w:r w:rsidRPr="006A775F">
        <w:t>Avangrid Rehearing Request at 4-5</w:t>
      </w:r>
      <w:r>
        <w:t>; EEI Rehearing Request at 10.</w:t>
      </w:r>
    </w:p>
  </w:footnote>
  <w:footnote w:id="533">
    <w:p w:rsidR="00760048" w:rsidP="00071614" w14:paraId="72A60F92" w14:textId="77777777">
      <w:pPr>
        <w:pStyle w:val="FootnoteText"/>
      </w:pPr>
      <w:r w:rsidRPr="0072600F">
        <w:rPr>
          <w:rStyle w:val="FootnoteReference"/>
        </w:rPr>
        <w:footnoteRef/>
      </w:r>
      <w:r>
        <w:t xml:space="preserve"> Indicated PJM TOs Rehearing Request at 16 (</w:t>
      </w:r>
      <w:r w:rsidRPr="006A775F">
        <w:t xml:space="preserve">citing </w:t>
      </w:r>
      <w:r>
        <w:t>factors</w:t>
      </w:r>
      <w:r w:rsidRPr="006A775F">
        <w:t xml:space="preserve"> driving </w:t>
      </w:r>
      <w:r>
        <w:t xml:space="preserve">variability in </w:t>
      </w:r>
      <w:r w:rsidRPr="006A775F">
        <w:t xml:space="preserve">the number and timing of </w:t>
      </w:r>
      <w:r>
        <w:t>interconnection</w:t>
      </w:r>
      <w:r w:rsidRPr="006A775F">
        <w:t xml:space="preserve"> requests</w:t>
      </w:r>
      <w:r>
        <w:t xml:space="preserve"> in different locations); </w:t>
      </w:r>
      <w:r w:rsidRPr="006A775F">
        <w:rPr>
          <w:i/>
          <w:iCs/>
        </w:rPr>
        <w:t>id.</w:t>
      </w:r>
      <w:r w:rsidRPr="006A775F">
        <w:t xml:space="preserve"> at 30-31 (arguing that the evidence of </w:t>
      </w:r>
      <w:r>
        <w:t xml:space="preserve">widespread </w:t>
      </w:r>
      <w:r w:rsidRPr="006A775F">
        <w:t>study delays show that the aggressive deadlines are unreasonable, unrealistic, and arbitrary, particularly given the increased burdens that can be expected going forward, including new NERC standards; arguing that uniform study deadlines are not justified).</w:t>
      </w:r>
    </w:p>
  </w:footnote>
  <w:footnote w:id="534">
    <w:p w:rsidR="00760048" w:rsidP="00071614" w14:paraId="67B03AEA" w14:textId="77777777">
      <w:pPr>
        <w:pStyle w:val="FootnoteText"/>
      </w:pPr>
      <w:r w:rsidRPr="0072600F">
        <w:rPr>
          <w:rStyle w:val="FootnoteReference"/>
        </w:rPr>
        <w:footnoteRef/>
      </w:r>
      <w:r>
        <w:t xml:space="preserve"> </w:t>
      </w:r>
      <w:r w:rsidRPr="00744869">
        <w:rPr>
          <w:i/>
          <w:iCs/>
        </w:rPr>
        <w:t>Id.</w:t>
      </w:r>
      <w:r w:rsidRPr="00AF6A1B">
        <w:t xml:space="preserve"> at 31-32.</w:t>
      </w:r>
    </w:p>
  </w:footnote>
  <w:footnote w:id="535">
    <w:p w:rsidR="00760048" w:rsidP="00071614" w14:paraId="6ED10BFB" w14:textId="77777777">
      <w:pPr>
        <w:pStyle w:val="FootnoteText"/>
      </w:pPr>
      <w:r w:rsidRPr="0072600F">
        <w:rPr>
          <w:rStyle w:val="FootnoteReference"/>
        </w:rPr>
        <w:footnoteRef/>
      </w:r>
      <w:r>
        <w:t xml:space="preserve"> Dominion Rehearing Request at 24-25.</w:t>
      </w:r>
    </w:p>
  </w:footnote>
  <w:footnote w:id="536">
    <w:p w:rsidR="00760048" w14:paraId="64C58861" w14:textId="77777777">
      <w:pPr>
        <w:pStyle w:val="FootnoteText"/>
      </w:pPr>
      <w:r w:rsidRPr="0072600F">
        <w:rPr>
          <w:rStyle w:val="FootnoteReference"/>
        </w:rPr>
        <w:footnoteRef/>
      </w:r>
      <w:r>
        <w:t xml:space="preserve"> EEI Rehearing Request at 9-10 (“</w:t>
      </w:r>
      <w:r w:rsidRPr="009C381B">
        <w:t>Experience has shown that reliability and deliverability studies take longer than 50 days and that the development of binding cost estimates may be complex, especially in high-density urban areas.</w:t>
      </w:r>
      <w:r>
        <w:t xml:space="preserve">”); MISO TOs Rehearing Request at 11-12; NYISO Rehearing Request at 5-6; </w:t>
      </w:r>
      <w:r w:rsidRPr="006A775F">
        <w:t>NYTOs Rehearing Request at 13-15</w:t>
      </w:r>
      <w:r>
        <w:t xml:space="preserve">; </w:t>
      </w:r>
      <w:r w:rsidRPr="006A775F">
        <w:t>PacifiCorp Rehearing Request at 5, 15</w:t>
      </w:r>
      <w:r>
        <w:t>; PJM Rehearing Request at 32.</w:t>
      </w:r>
    </w:p>
  </w:footnote>
  <w:footnote w:id="537">
    <w:p w:rsidR="00760048" w:rsidP="00071614" w14:paraId="090DD62C" w14:textId="77777777">
      <w:pPr>
        <w:pStyle w:val="FootnoteText"/>
      </w:pPr>
      <w:r w:rsidRPr="0072600F">
        <w:rPr>
          <w:rStyle w:val="FootnoteReference"/>
        </w:rPr>
        <w:footnoteRef/>
      </w:r>
      <w:r>
        <w:t xml:space="preserve"> MISO TOs Rehearing Request at 11-12 (also arguing that the Commission has not shown why a uniform deadline is appropriate irrespective of “</w:t>
      </w:r>
      <w:r w:rsidRPr="00FC2CBD">
        <w:t>the cluster size, scope, geography, make up, proposed resource mix, and other circumstances of the particular cluster</w:t>
      </w:r>
      <w:r>
        <w:t xml:space="preserve">” and that the automatic imposition of penalties exacerbates the problem posed by the deadlines); </w:t>
      </w:r>
      <w:r w:rsidRPr="006A775F">
        <w:t>NYTOs Rehearing Request at 13-15</w:t>
      </w:r>
      <w:r>
        <w:t xml:space="preserve"> (citing </w:t>
      </w:r>
      <w:r w:rsidRPr="006A775F">
        <w:rPr>
          <w:i/>
          <w:iCs/>
        </w:rPr>
        <w:t>N</w:t>
      </w:r>
      <w:r w:rsidR="009A6ADD">
        <w:rPr>
          <w:i/>
          <w:iCs/>
        </w:rPr>
        <w:t>.</w:t>
      </w:r>
      <w:r w:rsidRPr="006A775F">
        <w:rPr>
          <w:i/>
          <w:iCs/>
        </w:rPr>
        <w:t xml:space="preserve"> Y</w:t>
      </w:r>
      <w:r w:rsidR="009A6ADD">
        <w:rPr>
          <w:i/>
          <w:iCs/>
        </w:rPr>
        <w:t>.</w:t>
      </w:r>
      <w:r w:rsidRPr="006A775F">
        <w:rPr>
          <w:i/>
          <w:iCs/>
        </w:rPr>
        <w:t xml:space="preserve"> v. EPA</w:t>
      </w:r>
      <w:r w:rsidRPr="006A775F">
        <w:t>, 964 F.3d 1214, 1224 (D.C. Cir. 2020)</w:t>
      </w:r>
      <w:r>
        <w:t xml:space="preserve"> and</w:t>
      </w:r>
      <w:r w:rsidRPr="006A775F">
        <w:t xml:space="preserve"> </w:t>
      </w:r>
      <w:r w:rsidRPr="006A775F">
        <w:rPr>
          <w:i/>
          <w:iCs/>
        </w:rPr>
        <w:t>All</w:t>
      </w:r>
      <w:r w:rsidR="001D09FF">
        <w:rPr>
          <w:i/>
          <w:iCs/>
        </w:rPr>
        <w:t>.</w:t>
      </w:r>
      <w:r w:rsidRPr="006A775F">
        <w:rPr>
          <w:i/>
          <w:iCs/>
        </w:rPr>
        <w:t xml:space="preserve"> for Cannabis Therapeutics v. D</w:t>
      </w:r>
      <w:r>
        <w:rPr>
          <w:i/>
          <w:iCs/>
        </w:rPr>
        <w:t>EA</w:t>
      </w:r>
      <w:r w:rsidRPr="006A775F">
        <w:rPr>
          <w:i/>
          <w:iCs/>
        </w:rPr>
        <w:t>.</w:t>
      </w:r>
      <w:r w:rsidRPr="006A775F">
        <w:t xml:space="preserve">, 930 F.2d 936, 940 (D.C. Cir. 1991) </w:t>
      </w:r>
      <w:r>
        <w:t xml:space="preserve">for the propositions that standards that are not reasonably attainable and </w:t>
      </w:r>
      <w:r w:rsidRPr="006A775F">
        <w:t>conditions which are “impossible to fulfill” are arbitrary and capricious</w:t>
      </w:r>
      <w:r>
        <w:t>).</w:t>
      </w:r>
    </w:p>
  </w:footnote>
  <w:footnote w:id="538">
    <w:p w:rsidR="00760048" w:rsidRPr="00FC2CBD" w:rsidP="00071614" w14:paraId="72DDFCCB" w14:textId="77777777">
      <w:pPr>
        <w:pStyle w:val="FootnoteText"/>
      </w:pPr>
      <w:r w:rsidRPr="0072600F">
        <w:rPr>
          <w:rStyle w:val="FootnoteReference"/>
        </w:rPr>
        <w:footnoteRef/>
      </w:r>
      <w:r>
        <w:t xml:space="preserve"> NYISO Rehearing Request at 5-6; </w:t>
      </w:r>
      <w:r>
        <w:rPr>
          <w:i/>
          <w:iCs/>
        </w:rPr>
        <w:t xml:space="preserve">see also id. </w:t>
      </w:r>
      <w:r>
        <w:t xml:space="preserve">at 15-17 (arguing that the </w:t>
      </w:r>
      <w:r w:rsidRPr="006A775F">
        <w:t>Commission should allow RTOs/ITOs to propose alternative study deadlines as independent entity variations</w:t>
      </w:r>
      <w:r>
        <w:t>, and that f</w:t>
      </w:r>
      <w:r w:rsidRPr="006A775F">
        <w:t xml:space="preserve">ailure to do so unreasonably treats all </w:t>
      </w:r>
      <w:r>
        <w:t>transmission providers similarly</w:t>
      </w:r>
      <w:r w:rsidRPr="006A775F">
        <w:t>, regardless of how they may be differently situat</w:t>
      </w:r>
      <w:r>
        <w:t>ed);</w:t>
      </w:r>
      <w:r>
        <w:rPr>
          <w:i/>
          <w:iCs/>
        </w:rPr>
        <w:t xml:space="preserve"> id.</w:t>
      </w:r>
      <w:r>
        <w:t xml:space="preserve"> at 40 (“[T]</w:t>
      </w:r>
      <w:r w:rsidRPr="006A775F">
        <w:t>he Commission has not adequately addressed, or explained its response to, arguments that study</w:t>
      </w:r>
      <w:r>
        <w:t xml:space="preserve"> </w:t>
      </w:r>
      <w:r w:rsidRPr="006A775F">
        <w:t>deadlines themselves are unreasonable</w:t>
      </w:r>
      <w:r>
        <w:t>.”).</w:t>
      </w:r>
    </w:p>
  </w:footnote>
  <w:footnote w:id="539">
    <w:p w:rsidR="00760048" w:rsidP="00071614" w14:paraId="4937FB65" w14:textId="77777777">
      <w:pPr>
        <w:pStyle w:val="FootnoteText"/>
      </w:pPr>
      <w:r w:rsidRPr="0072600F">
        <w:rPr>
          <w:rStyle w:val="FootnoteReference"/>
        </w:rPr>
        <w:footnoteRef/>
      </w:r>
      <w:r>
        <w:t xml:space="preserve"> </w:t>
      </w:r>
      <w:r>
        <w:rPr>
          <w:i/>
          <w:iCs/>
        </w:rPr>
        <w:t>Id.</w:t>
      </w:r>
      <w:r>
        <w:t xml:space="preserve"> at 6-11 (describing the applicable New York reliability requirements and discussing particular challenges applicable to New York); PJM Rehearing Request at 32 (“</w:t>
      </w:r>
      <w:r w:rsidRPr="00B40F1A">
        <w:t>This simply is not possible in a region such as the PJM Region, where the typical</w:t>
      </w:r>
      <w:r>
        <w:t xml:space="preserve"> </w:t>
      </w:r>
      <w:r w:rsidRPr="00B40F1A">
        <w:t>queue over a one-year period in the last few years has included in excess of 1,000 projects</w:t>
      </w:r>
      <w:r>
        <w:t xml:space="preserve">”). </w:t>
      </w:r>
    </w:p>
  </w:footnote>
  <w:footnote w:id="540">
    <w:p w:rsidR="00760048" w:rsidP="00071614" w14:paraId="03B43114" w14:textId="77777777">
      <w:pPr>
        <w:pStyle w:val="FootnoteText"/>
      </w:pPr>
      <w:r w:rsidRPr="0072600F">
        <w:rPr>
          <w:rStyle w:val="FootnoteReference"/>
        </w:rPr>
        <w:footnoteRef/>
      </w:r>
      <w:r>
        <w:t xml:space="preserve"> </w:t>
      </w:r>
      <w:r w:rsidRPr="006A775F">
        <w:t>PacifiCorp Rehearing Request at 5, 15.</w:t>
      </w:r>
    </w:p>
  </w:footnote>
  <w:footnote w:id="541">
    <w:p w:rsidR="00760048" w14:paraId="32CB8882" w14:textId="77777777">
      <w:pPr>
        <w:pStyle w:val="FootnoteText"/>
      </w:pPr>
      <w:r w:rsidRPr="0072600F">
        <w:rPr>
          <w:rStyle w:val="FootnoteReference"/>
        </w:rPr>
        <w:footnoteRef/>
      </w:r>
      <w:r>
        <w:t xml:space="preserve"> </w:t>
      </w:r>
      <w:r w:rsidRPr="006A775F">
        <w:t>Avangrid Rehearing Request at 12</w:t>
      </w:r>
      <w:r>
        <w:t xml:space="preserve">; </w:t>
      </w:r>
      <w:r w:rsidRPr="006A775F">
        <w:t>NYISO Rehearing Request at 12-1</w:t>
      </w:r>
      <w:r>
        <w:t>5</w:t>
      </w:r>
      <w:r w:rsidRPr="006A775F">
        <w:t xml:space="preserve"> (arguing that much of the work in cluster studies still concerns individual projects or subsets of projects</w:t>
      </w:r>
      <w:r>
        <w:t>, and thus require many of the same resources as would be necessary to conduct individual studies</w:t>
      </w:r>
      <w:r w:rsidRPr="006A775F">
        <w:t>)</w:t>
      </w:r>
      <w:r>
        <w:t xml:space="preserve">; </w:t>
      </w:r>
      <w:r>
        <w:rPr>
          <w:i/>
          <w:iCs/>
        </w:rPr>
        <w:t>see also id.</w:t>
      </w:r>
      <w:r>
        <w:t xml:space="preserve"> at 34 (contending that the </w:t>
      </w:r>
      <w:r w:rsidRPr="006A775F">
        <w:t xml:space="preserve">Commission assumes, without evidence, that other improvements will fully offset the burdens </w:t>
      </w:r>
      <w:r>
        <w:t>imposed by Order No. 2023 on transmission providers</w:t>
      </w:r>
      <w:r w:rsidR="00237466">
        <w:t xml:space="preserve">); </w:t>
      </w:r>
      <w:r>
        <w:t>PJM Rehearing Request at 32</w:t>
      </w:r>
      <w:r w:rsidR="00A75FF0">
        <w:t>.</w:t>
      </w:r>
    </w:p>
  </w:footnote>
  <w:footnote w:id="542">
    <w:p w:rsidR="00760048" w:rsidP="00071614" w14:paraId="4540BE90" w14:textId="77777777">
      <w:pPr>
        <w:pStyle w:val="FootnoteText"/>
      </w:pPr>
      <w:r w:rsidRPr="0072600F">
        <w:rPr>
          <w:rStyle w:val="FootnoteReference"/>
        </w:rPr>
        <w:footnoteRef/>
      </w:r>
      <w:r>
        <w:t xml:space="preserve"> </w:t>
      </w:r>
      <w:r w:rsidRPr="006A775F">
        <w:t>NYISO Rehearing Request at 14-15</w:t>
      </w:r>
      <w:r>
        <w:t xml:space="preserve"> (asserting that the entry requirements and withdrawal penalties adopted by Order No. 2023 for cluster studies are comparatively modest and likely to be only minimal deterrent to speculative projects); PJM Rehearing Request at 32 (noting that </w:t>
      </w:r>
      <w:r w:rsidRPr="007C3DA7">
        <w:t>MISO received more than 960 requests following the close of its 2022 Definitive Planning Process cycle that closed in 2022</w:t>
      </w:r>
      <w:r>
        <w:t>).</w:t>
      </w:r>
    </w:p>
  </w:footnote>
  <w:footnote w:id="543">
    <w:p w:rsidR="00760048" w14:paraId="5FDB8442" w14:textId="77777777">
      <w:pPr>
        <w:pStyle w:val="FootnoteText"/>
      </w:pPr>
      <w:r w:rsidRPr="0072600F">
        <w:rPr>
          <w:rStyle w:val="FootnoteReference"/>
        </w:rPr>
        <w:footnoteRef/>
      </w:r>
      <w:r>
        <w:t xml:space="preserve"> </w:t>
      </w:r>
      <w:r w:rsidRPr="00AF6A1B">
        <w:t>Dominion Rehearing Request at 24</w:t>
      </w:r>
      <w:r>
        <w:t xml:space="preserve">; </w:t>
      </w:r>
      <w:r w:rsidRPr="00AF6A1B">
        <w:t>MISO TOs Rehearing Request at 18-1</w:t>
      </w:r>
      <w:r>
        <w:t xml:space="preserve">9; </w:t>
      </w:r>
      <w:r w:rsidRPr="00D24556">
        <w:t>NYISO Rehearing Request at 35</w:t>
      </w:r>
      <w:r>
        <w:t>.</w:t>
      </w:r>
    </w:p>
  </w:footnote>
  <w:footnote w:id="544">
    <w:p w:rsidR="00760048" w:rsidP="00071614" w14:paraId="036DD20A" w14:textId="77777777">
      <w:pPr>
        <w:pStyle w:val="FootnoteText"/>
      </w:pPr>
      <w:r w:rsidRPr="0072600F">
        <w:rPr>
          <w:rStyle w:val="FootnoteReference"/>
        </w:rPr>
        <w:footnoteRef/>
      </w:r>
      <w:r>
        <w:t xml:space="preserve"> </w:t>
      </w:r>
      <w:r w:rsidRPr="00AF6A1B">
        <w:t>Dominion Rehearing Request at 24.</w:t>
      </w:r>
    </w:p>
  </w:footnote>
  <w:footnote w:id="545">
    <w:p w:rsidR="00760048" w:rsidP="00071614" w14:paraId="271F78FD" w14:textId="77777777">
      <w:pPr>
        <w:pStyle w:val="FootnoteText"/>
      </w:pPr>
      <w:r w:rsidRPr="0072600F">
        <w:rPr>
          <w:rStyle w:val="FootnoteReference"/>
        </w:rPr>
        <w:footnoteRef/>
      </w:r>
      <w:r>
        <w:t xml:space="preserve"> </w:t>
      </w:r>
      <w:r w:rsidRPr="00AF6A1B">
        <w:t>MISO TOs Rehearing Request at 18-1</w:t>
      </w:r>
      <w:r>
        <w:t xml:space="preserve">9 (contending that this safeguard is therefore “wholly illusory”); </w:t>
      </w:r>
      <w:r>
        <w:rPr>
          <w:i/>
          <w:iCs/>
        </w:rPr>
        <w:t xml:space="preserve">see also </w:t>
      </w:r>
      <w:r w:rsidRPr="00D24556">
        <w:t>NYISO Rehearing Request at 35</w:t>
      </w:r>
      <w:r>
        <w:t xml:space="preserve"> (arguing that a 30-day extension is not a reasonable safeguard; noting that it will be conducting interconnection studies potentially involving more than 100 interconnection requests and arguing that each interconnection customer will have an incentive to oppose an extension since their study costs would be offset by penalty charges).</w:t>
      </w:r>
    </w:p>
  </w:footnote>
  <w:footnote w:id="546">
    <w:p w:rsidR="00760048" w:rsidRPr="00513158" w:rsidP="00071614" w14:paraId="7D7153F4" w14:textId="77777777">
      <w:pPr>
        <w:pStyle w:val="FootnoteText"/>
      </w:pPr>
      <w:r w:rsidRPr="0072600F">
        <w:rPr>
          <w:rStyle w:val="FootnoteReference"/>
        </w:rPr>
        <w:footnoteRef/>
      </w:r>
      <w:r>
        <w:t xml:space="preserve"> </w:t>
      </w:r>
      <w:r>
        <w:rPr>
          <w:i/>
          <w:iCs/>
        </w:rPr>
        <w:t xml:space="preserve">See </w:t>
      </w:r>
      <w:r>
        <w:t xml:space="preserve">Order No. 2023, </w:t>
      </w:r>
      <w:r w:rsidRPr="005F4303">
        <w:t>184 FERC ¶ 61,054</w:t>
      </w:r>
      <w:r>
        <w:t xml:space="preserve"> at P 10 (“We </w:t>
      </w:r>
      <w:r w:rsidRPr="00513158">
        <w:t xml:space="preserve">note that the compliance obligations that result from this final rule will be evaluated in light of the independent entity variation standard for </w:t>
      </w:r>
      <w:r w:rsidR="002E4242">
        <w:t>[</w:t>
      </w:r>
      <w:r w:rsidRPr="00513158">
        <w:t>RTO</w:t>
      </w:r>
      <w:r w:rsidR="002E4242">
        <w:t>s]</w:t>
      </w:r>
      <w:r w:rsidRPr="00513158">
        <w:t xml:space="preserve"> and </w:t>
      </w:r>
      <w:r w:rsidR="002E4242">
        <w:t>[</w:t>
      </w:r>
      <w:r w:rsidRPr="00513158">
        <w:t>ISO</w:t>
      </w:r>
      <w:r w:rsidR="002E4242">
        <w:t>s]</w:t>
      </w:r>
      <w:r>
        <w:t xml:space="preserve"> </w:t>
      </w:r>
      <w:r w:rsidRPr="00513158">
        <w:t>and the consistent with or superior to standard for non-RTO/IS</w:t>
      </w:r>
      <w:r>
        <w:t>O</w:t>
      </w:r>
      <w:r w:rsidRPr="00513158">
        <w:t xml:space="preserve"> transmission providers</w:t>
      </w:r>
      <w:r>
        <w:t xml:space="preserve">.”); </w:t>
      </w:r>
      <w:r>
        <w:rPr>
          <w:i/>
          <w:iCs/>
        </w:rPr>
        <w:t xml:space="preserve">id. </w:t>
      </w:r>
      <w:r>
        <w:t xml:space="preserve">P 1764; </w:t>
      </w:r>
      <w:r>
        <w:rPr>
          <w:i/>
          <w:iCs/>
        </w:rPr>
        <w:t xml:space="preserve">see also </w:t>
      </w:r>
      <w:r>
        <w:t xml:space="preserve">Order No. 2003, </w:t>
      </w:r>
      <w:r w:rsidRPr="00513158">
        <w:t>104 FERC ¶ 61,103</w:t>
      </w:r>
      <w:r>
        <w:t xml:space="preserve"> at P 26</w:t>
      </w:r>
      <w:r w:rsidRPr="00513158">
        <w:t xml:space="preserve"> (</w:t>
      </w:r>
      <w:r>
        <w:t>discussing the standards for non-independent and independent transmission providers to seek variations from the terms of the</w:t>
      </w:r>
      <w:r w:rsidRPr="00513158">
        <w:rPr>
          <w:i/>
          <w:iCs/>
        </w:rPr>
        <w:t xml:space="preserve"> </w:t>
      </w:r>
      <w:r>
        <w:rPr>
          <w:i/>
          <w:iCs/>
        </w:rPr>
        <w:t>pro forma</w:t>
      </w:r>
      <w:r>
        <w:t xml:space="preserve"> LGIP and LGIA);</w:t>
      </w:r>
      <w:r>
        <w:rPr>
          <w:i/>
          <w:iCs/>
        </w:rPr>
        <w:t xml:space="preserve"> </w:t>
      </w:r>
      <w:r w:rsidRPr="0057713E">
        <w:rPr>
          <w:i/>
          <w:iCs/>
        </w:rPr>
        <w:t>Preventing Undue Discrimination &amp; Preference in Transmission Serv.</w:t>
      </w:r>
      <w:r w:rsidRPr="00D22DD3">
        <w:t xml:space="preserve">, Order No. 890-B, 123 FERC ¶ 61,299, </w:t>
      </w:r>
      <w:r w:rsidR="00274B94">
        <w:t>at</w:t>
      </w:r>
      <w:r w:rsidRPr="00D22DD3">
        <w:t xml:space="preserve"> </w:t>
      </w:r>
      <w:r>
        <w:t>PP 95, 101</w:t>
      </w:r>
      <w:r w:rsidRPr="00D22DD3">
        <w:t xml:space="preserve"> (2008)</w:t>
      </w:r>
      <w:r>
        <w:t xml:space="preserve"> (“</w:t>
      </w:r>
      <w:r w:rsidRPr="00D22DD3">
        <w:t xml:space="preserve">The Commission clarifies, in response to NYISO, that transmission providers are free to make filings under FPA section 205 to seek variations from the </w:t>
      </w:r>
      <w:r w:rsidRPr="00D22DD3">
        <w:rPr>
          <w:i/>
          <w:iCs/>
        </w:rPr>
        <w:t>pro forma</w:t>
      </w:r>
      <w:r w:rsidRPr="00D22DD3">
        <w:t xml:space="preserve"> OATT and demonstrate that alternative tariff provisions are consistent with or superior to the </w:t>
      </w:r>
      <w:r w:rsidRPr="00D22DD3">
        <w:rPr>
          <w:i/>
          <w:iCs/>
        </w:rPr>
        <w:t>pro forma</w:t>
      </w:r>
      <w:r w:rsidRPr="00D22DD3">
        <w:t xml:space="preserve"> OATT.</w:t>
      </w:r>
      <w:r>
        <w:t xml:space="preserve">”); </w:t>
      </w:r>
      <w:r w:rsidRPr="0014317B">
        <w:rPr>
          <w:i/>
          <w:iCs/>
        </w:rPr>
        <w:t>N</w:t>
      </w:r>
      <w:r>
        <w:rPr>
          <w:i/>
          <w:iCs/>
        </w:rPr>
        <w:t>.Y.</w:t>
      </w:r>
      <w:r w:rsidRPr="0014317B">
        <w:rPr>
          <w:i/>
          <w:iCs/>
        </w:rPr>
        <w:t xml:space="preserve"> Indep. Sys. Operator, Inc.</w:t>
      </w:r>
      <w:r w:rsidRPr="00513158">
        <w:t xml:space="preserve">, 125 FERC ¶ 61,274, </w:t>
      </w:r>
      <w:r>
        <w:t>at P 24 &amp; n.23</w:t>
      </w:r>
      <w:r w:rsidRPr="00513158">
        <w:t xml:space="preserve"> (2008)</w:t>
      </w:r>
      <w:r>
        <w:t xml:space="preserve"> (“</w:t>
      </w:r>
      <w:r w:rsidRPr="00D22DD3">
        <w:t xml:space="preserve">NYISO proposed to increase the transmission study deadlines from 60 days to 120 days. </w:t>
      </w:r>
      <w:r>
        <w:t xml:space="preserve"> </w:t>
      </w:r>
      <w:r w:rsidRPr="00D22DD3">
        <w:t>The Commission accepted the filing</w:t>
      </w:r>
      <w:r>
        <w:t xml:space="preserve"> . . . .”).</w:t>
      </w:r>
    </w:p>
  </w:footnote>
  <w:footnote w:id="547">
    <w:p w:rsidR="00760048" w:rsidP="00071614" w14:paraId="7FAEB3DE" w14:textId="77777777">
      <w:pPr>
        <w:pStyle w:val="FootnoteText"/>
      </w:pPr>
      <w:r w:rsidRPr="0072600F">
        <w:rPr>
          <w:rStyle w:val="FootnoteReference"/>
        </w:rPr>
        <w:footnoteRef/>
      </w:r>
      <w:r>
        <w:t xml:space="preserve"> Order No. 2023, </w:t>
      </w:r>
      <w:r w:rsidRPr="005F4303">
        <w:t>184 FERC ¶ 61,054</w:t>
      </w:r>
      <w:r>
        <w:t xml:space="preserve"> at P 331 (explaining that allowing transmission providers to propose their own deadlines in the first instance “</w:t>
      </w:r>
      <w:r w:rsidRPr="006C13FB">
        <w:t>would undermine the purpose of ensuring that transmission providers complete interconnection studies by standard deadlines prescribed by their tariffs and would thus be insufficient to ensure that interconnection customers are able to interconnect to the transmission system in a reliable, efficient, transparent, and timely manner</w:t>
      </w:r>
      <w:r>
        <w:t>”).</w:t>
      </w:r>
    </w:p>
  </w:footnote>
  <w:footnote w:id="548">
    <w:p w:rsidR="00760048" w14:paraId="6C375224" w14:textId="77777777">
      <w:pPr>
        <w:pStyle w:val="FootnoteText"/>
      </w:pPr>
      <w:r w:rsidRPr="0072600F">
        <w:rPr>
          <w:rStyle w:val="FootnoteReference"/>
        </w:rPr>
        <w:footnoteRef/>
      </w:r>
      <w:r>
        <w:t xml:space="preserve"> T</w:t>
      </w:r>
      <w:r w:rsidRPr="006974EA">
        <w:t xml:space="preserve">ransmission providers are </w:t>
      </w:r>
      <w:r>
        <w:t xml:space="preserve">also </w:t>
      </w:r>
      <w:r w:rsidRPr="006974EA">
        <w:t xml:space="preserve">allowed to propose variations from the requirements of Order No. 2023, under the applicable standard, including as to the deadlines set for the </w:t>
      </w:r>
      <w:r w:rsidRPr="006974EA">
        <w:rPr>
          <w:i/>
        </w:rPr>
        <w:t xml:space="preserve">pro forma </w:t>
      </w:r>
      <w:r w:rsidRPr="006974EA">
        <w:t>study processes, although we cannot prejudge any such filings.</w:t>
      </w:r>
      <w:r>
        <w:t xml:space="preserve"> </w:t>
      </w:r>
      <w:r w:rsidR="00FB444F">
        <w:t xml:space="preserve"> </w:t>
      </w:r>
      <w:r w:rsidRPr="00026690">
        <w:rPr>
          <w:i/>
          <w:iCs/>
        </w:rPr>
        <w:t>See</w:t>
      </w:r>
      <w:r>
        <w:t xml:space="preserve"> </w:t>
      </w:r>
      <w:r>
        <w:rPr>
          <w:i/>
          <w:iCs/>
        </w:rPr>
        <w:t>i</w:t>
      </w:r>
      <w:r w:rsidRPr="001E3884">
        <w:rPr>
          <w:i/>
          <w:iCs/>
        </w:rPr>
        <w:t xml:space="preserve">d. </w:t>
      </w:r>
      <w:r>
        <w:t>P 1764.</w:t>
      </w:r>
    </w:p>
  </w:footnote>
  <w:footnote w:id="549">
    <w:p w:rsidR="00760048" w:rsidRPr="00507098" w:rsidP="00071614" w14:paraId="21573115" w14:textId="77777777">
      <w:pPr>
        <w:pStyle w:val="FootnoteText"/>
      </w:pPr>
      <w:r w:rsidRPr="0072600F">
        <w:rPr>
          <w:rStyle w:val="FootnoteReference"/>
        </w:rPr>
        <w:footnoteRef/>
      </w:r>
      <w:r>
        <w:t xml:space="preserve"> </w:t>
      </w:r>
      <w:r>
        <w:rPr>
          <w:i/>
          <w:iCs/>
        </w:rPr>
        <w:t xml:space="preserve">See </w:t>
      </w:r>
      <w:r w:rsidRPr="001E3884">
        <w:rPr>
          <w:i/>
          <w:iCs/>
        </w:rPr>
        <w:t xml:space="preserve">id. </w:t>
      </w:r>
      <w:r>
        <w:t>P</w:t>
      </w:r>
      <w:r w:rsidR="00FB444F">
        <w:t>P</w:t>
      </w:r>
      <w:r>
        <w:t xml:space="preserve"> 324, 326.</w:t>
      </w:r>
    </w:p>
  </w:footnote>
  <w:footnote w:id="550">
    <w:p w:rsidR="00760048" w:rsidP="00071614" w14:paraId="2902ABCD" w14:textId="77777777">
      <w:pPr>
        <w:pStyle w:val="FootnoteText"/>
      </w:pPr>
      <w:r w:rsidRPr="0072600F">
        <w:rPr>
          <w:rStyle w:val="FootnoteReference"/>
        </w:rPr>
        <w:footnoteRef/>
      </w:r>
      <w:r>
        <w:t xml:space="preserve"> </w:t>
      </w:r>
      <w:r w:rsidRPr="009F5058">
        <w:rPr>
          <w:i/>
          <w:iCs/>
        </w:rPr>
        <w:t>Id.</w:t>
      </w:r>
      <w:r>
        <w:t xml:space="preserve"> P 964</w:t>
      </w:r>
      <w:r w:rsidR="00FB444F">
        <w:t>;</w:t>
      </w:r>
      <w:r>
        <w:t xml:space="preserve"> </w:t>
      </w:r>
      <w:r>
        <w:rPr>
          <w:i/>
          <w:iCs/>
        </w:rPr>
        <w:t xml:space="preserve">see also </w:t>
      </w:r>
      <w:r>
        <w:t xml:space="preserve">16 U.S.C. </w:t>
      </w:r>
      <w:r w:rsidRPr="00D61BA3" w:rsidR="00D61BA3">
        <w:t>§</w:t>
      </w:r>
      <w:r w:rsidR="00D61BA3">
        <w:t xml:space="preserve"> </w:t>
      </w:r>
      <w:r>
        <w:t xml:space="preserve">824e(a); </w:t>
      </w:r>
      <w:r w:rsidRPr="009A137C">
        <w:rPr>
          <w:i/>
          <w:iCs/>
        </w:rPr>
        <w:t>Coal. of MISO Transmission Customers v. FERC</w:t>
      </w:r>
      <w:r w:rsidRPr="009A137C">
        <w:t>, 45 F.4th 1004, 1020 (D.C. Cir. 2022)</w:t>
      </w:r>
      <w:r>
        <w:t xml:space="preserve"> (“[T]</w:t>
      </w:r>
      <w:r w:rsidRPr="009A137C">
        <w:t>he Commission is under a statutory mandate to ensure that all rates are just and reasonable</w:t>
      </w:r>
      <w:r>
        <w:t> . . . .”).</w:t>
      </w:r>
    </w:p>
  </w:footnote>
  <w:footnote w:id="551">
    <w:p w:rsidR="00760048" w:rsidP="00071614" w14:paraId="6685A1A6" w14:textId="77777777">
      <w:pPr>
        <w:pStyle w:val="FootnoteText"/>
      </w:pPr>
      <w:r w:rsidRPr="0072600F">
        <w:rPr>
          <w:rStyle w:val="FootnoteReference"/>
        </w:rPr>
        <w:footnoteRef/>
      </w:r>
      <w:r>
        <w:t xml:space="preserve"> Order No. 2023, </w:t>
      </w:r>
      <w:r w:rsidRPr="005231D3">
        <w:t>184 FERC ¶ 61,054</w:t>
      </w:r>
      <w:r>
        <w:t xml:space="preserve"> at P 13.  Challenges to the timelines for interconnection studies set forth in Order No. 2023 are focused on the deadlines for conducting cluster studies, rather than facilities studies.  </w:t>
      </w:r>
      <w:r w:rsidRPr="007B02CA">
        <w:t xml:space="preserve">Order No. 2023 provides 90 or 180 days to conduct facilities studies, which is consistent with the timeframe specified in Order No. 2003 under the reasonable efforts standard.  </w:t>
      </w:r>
      <w:r w:rsidRPr="007B02CA">
        <w:rPr>
          <w:i/>
          <w:iCs/>
        </w:rPr>
        <w:t>See</w:t>
      </w:r>
      <w:r w:rsidRPr="007B02CA">
        <w:t xml:space="preserve"> </w:t>
      </w:r>
      <w:r w:rsidRPr="00CF2F98">
        <w:rPr>
          <w:i/>
        </w:rPr>
        <w:t>pro forma</w:t>
      </w:r>
      <w:r w:rsidRPr="007B02CA">
        <w:t xml:space="preserve"> LGIP </w:t>
      </w:r>
      <w:r>
        <w:t>section</w:t>
      </w:r>
      <w:r w:rsidRPr="007B02CA">
        <w:t xml:space="preserve"> 8.3.  Thus</w:t>
      </w:r>
      <w:r>
        <w:t>,</w:t>
      </w:r>
      <w:r w:rsidRPr="007B02CA">
        <w:t xml:space="preserve"> Order No. 2023 effectively eliminates the ability of transmission providers to unilaterally grant themselves extensions as to the deadline for facilities studies, but provides other avenues for relief in the form of the safeguards adopted in Order No. 2023.</w:t>
      </w:r>
      <w:r>
        <w:t xml:space="preserve">  We continue to conclude that this is a just and reasonable result.</w:t>
      </w:r>
    </w:p>
  </w:footnote>
  <w:footnote w:id="552">
    <w:p w:rsidR="00760048" w:rsidP="00071614" w14:paraId="2F9756C4" w14:textId="77777777">
      <w:pPr>
        <w:pStyle w:val="FootnoteText"/>
      </w:pPr>
      <w:r w:rsidRPr="0072600F">
        <w:rPr>
          <w:rStyle w:val="FootnoteReference"/>
        </w:rPr>
        <w:footnoteRef/>
      </w:r>
      <w:r>
        <w:t xml:space="preserve"> NOPR, </w:t>
      </w:r>
      <w:r w:rsidRPr="00DD4BA6">
        <w:t>179 FERC ¶ 61,194</w:t>
      </w:r>
      <w:r>
        <w:t xml:space="preserve"> at P 18.</w:t>
      </w:r>
    </w:p>
  </w:footnote>
  <w:footnote w:id="553">
    <w:p w:rsidR="00760048" w:rsidRPr="00832146" w:rsidP="00071614" w14:paraId="5BE86189" w14:textId="77777777">
      <w:pPr>
        <w:pStyle w:val="FootnoteText"/>
      </w:pPr>
      <w:r w:rsidRPr="0072600F">
        <w:rPr>
          <w:rStyle w:val="FootnoteReference"/>
        </w:rPr>
        <w:footnoteRef/>
      </w:r>
      <w:r>
        <w:t xml:space="preserve"> Order No. 2023, </w:t>
      </w:r>
      <w:r w:rsidRPr="005231D3">
        <w:t>184 FERC ¶ 61,054</w:t>
      </w:r>
      <w:r>
        <w:t xml:space="preserve"> at PP 67, 92, 316.  </w:t>
      </w:r>
      <w:r w:rsidRPr="00C90736">
        <w:t>Instead,</w:t>
      </w:r>
      <w:r>
        <w:t xml:space="preserve"> the</w:t>
      </w:r>
      <w:r w:rsidRPr="00C90736">
        <w:t xml:space="preserve"> stability analysis, short circuit analysis, and power flow analysis that were previously part of the feasibility study and conducted on a serial basis</w:t>
      </w:r>
      <w:r>
        <w:t xml:space="preserve">, </w:t>
      </w:r>
      <w:r>
        <w:rPr>
          <w:i/>
          <w:iCs/>
        </w:rPr>
        <w:t xml:space="preserve">see </w:t>
      </w:r>
      <w:r w:rsidRPr="00082511">
        <w:rPr>
          <w:i/>
          <w:iCs/>
        </w:rPr>
        <w:t xml:space="preserve">id. </w:t>
      </w:r>
      <w:r>
        <w:t xml:space="preserve">at PP 297, 317; </w:t>
      </w:r>
      <w:r>
        <w:rPr>
          <w:i/>
          <w:iCs/>
        </w:rPr>
        <w:t>pro forma</w:t>
      </w:r>
      <w:r>
        <w:t xml:space="preserve"> LGIP section 7.3, </w:t>
      </w:r>
      <w:r w:rsidRPr="00C90736">
        <w:t xml:space="preserve">are now conducted as components of the cluster study and restudy process. </w:t>
      </w:r>
    </w:p>
  </w:footnote>
  <w:footnote w:id="554">
    <w:p w:rsidR="00760048" w:rsidP="00071614" w14:paraId="7CF2B7C8" w14:textId="77777777">
      <w:pPr>
        <w:pStyle w:val="FootnoteText"/>
      </w:pPr>
      <w:r w:rsidRPr="0072600F">
        <w:rPr>
          <w:rStyle w:val="FootnoteReference"/>
        </w:rPr>
        <w:footnoteRef/>
      </w:r>
      <w:r>
        <w:t xml:space="preserve"> </w:t>
      </w:r>
      <w:r>
        <w:rPr>
          <w:i/>
          <w:iCs/>
        </w:rPr>
        <w:t xml:space="preserve">See </w:t>
      </w:r>
      <w:r w:rsidRPr="00AD34DA">
        <w:t>LGIP section 3.4.5 (describing tasks to be performed in the Customer Engagement Window and that interconnection requests not deemed valid at the close of this window shall be deemed withdrawn, with no cure period); Order No. 2023</w:t>
      </w:r>
      <w:r>
        <w:t xml:space="preserve">, </w:t>
      </w:r>
      <w:r w:rsidRPr="005231D3">
        <w:t>184 FERC ¶ 61,054</w:t>
      </w:r>
      <w:r w:rsidRPr="00AD34DA">
        <w:t xml:space="preserve"> at P</w:t>
      </w:r>
      <w:r>
        <w:t>P</w:t>
      </w:r>
      <w:r w:rsidRPr="00AD34DA">
        <w:t xml:space="preserve"> 223, 233-34.</w:t>
      </w:r>
    </w:p>
  </w:footnote>
  <w:footnote w:id="555">
    <w:p w:rsidR="00760048" w:rsidRPr="00507098" w:rsidP="00071614" w14:paraId="06816CE5" w14:textId="77777777">
      <w:pPr>
        <w:pStyle w:val="FootnoteText"/>
      </w:pPr>
      <w:r w:rsidRPr="0072600F">
        <w:rPr>
          <w:rStyle w:val="FootnoteReference"/>
        </w:rPr>
        <w:footnoteRef/>
      </w:r>
      <w:r>
        <w:t xml:space="preserve"> </w:t>
      </w:r>
      <w:r>
        <w:rPr>
          <w:i/>
          <w:iCs/>
        </w:rPr>
        <w:t xml:space="preserve">See </w:t>
      </w:r>
      <w:r>
        <w:t>Order No. 2023,</w:t>
      </w:r>
      <w:r w:rsidRPr="00082511">
        <w:t xml:space="preserve"> </w:t>
      </w:r>
      <w:r w:rsidRPr="005231D3">
        <w:t>184 FERC ¶ 61,054</w:t>
      </w:r>
      <w:r>
        <w:t xml:space="preserve"> at P 326 (“</w:t>
      </w:r>
      <w:r w:rsidRPr="00507098">
        <w:t>While we have extended the timeline from that provided in the individual serial study process, we believe that 150 calendar days is a reasonable extension to account for the more complex study.</w:t>
      </w:r>
      <w:r>
        <w:t>”).</w:t>
      </w:r>
    </w:p>
  </w:footnote>
  <w:footnote w:id="556">
    <w:p w:rsidR="00760048" w:rsidP="00071614" w14:paraId="2E3B3CC6" w14:textId="77777777">
      <w:pPr>
        <w:pStyle w:val="FootnoteText"/>
      </w:pPr>
      <w:r w:rsidRPr="0072600F">
        <w:rPr>
          <w:rStyle w:val="FootnoteReference"/>
        </w:rPr>
        <w:footnoteRef/>
      </w:r>
      <w:r>
        <w:t xml:space="preserve"> </w:t>
      </w:r>
      <w:r w:rsidRPr="009F5058">
        <w:rPr>
          <w:i/>
          <w:iCs/>
        </w:rPr>
        <w:t>Id.</w:t>
      </w:r>
      <w:r>
        <w:t xml:space="preserve"> PP 326, 1004.</w:t>
      </w:r>
    </w:p>
  </w:footnote>
  <w:footnote w:id="557">
    <w:p w:rsidR="00760048" w:rsidP="00071614" w14:paraId="31973885" w14:textId="77777777">
      <w:pPr>
        <w:pStyle w:val="FootnoteText"/>
      </w:pPr>
      <w:r w:rsidRPr="0072600F">
        <w:rPr>
          <w:rStyle w:val="FootnoteReference"/>
        </w:rPr>
        <w:footnoteRef/>
      </w:r>
      <w:r>
        <w:t xml:space="preserve"> </w:t>
      </w:r>
      <w:r w:rsidRPr="009F5058">
        <w:rPr>
          <w:i/>
          <w:iCs/>
        </w:rPr>
        <w:t>Id.</w:t>
      </w:r>
      <w:r>
        <w:t xml:space="preserve"> P 177.</w:t>
      </w:r>
      <w:r>
        <w:rPr>
          <w:i/>
          <w:iCs/>
        </w:rPr>
        <w:t xml:space="preserve"> </w:t>
      </w:r>
    </w:p>
  </w:footnote>
  <w:footnote w:id="558">
    <w:p w:rsidR="00760048" w:rsidP="00071614" w14:paraId="11600FD3" w14:textId="77777777">
      <w:pPr>
        <w:pStyle w:val="FootnoteText"/>
      </w:pPr>
      <w:r w:rsidRPr="0072600F">
        <w:rPr>
          <w:rStyle w:val="FootnoteReference"/>
        </w:rPr>
        <w:footnoteRef/>
      </w:r>
      <w:r>
        <w:t xml:space="preserve"> </w:t>
      </w:r>
      <w:r w:rsidRPr="009F5058">
        <w:rPr>
          <w:i/>
          <w:iCs/>
        </w:rPr>
        <w:t>Id.</w:t>
      </w:r>
      <w:r>
        <w:t xml:space="preserve"> </w:t>
      </w:r>
      <w:r w:rsidRPr="00262490">
        <w:t>P 326 (“We also note that transmission providers will be conducting only one interconnection study, or at most a small number of interconnection studies, at a time, allowing them to devote more resources to completing the studies in a timely manner.”)</w:t>
      </w:r>
      <w:r>
        <w:t>.</w:t>
      </w:r>
    </w:p>
  </w:footnote>
  <w:footnote w:id="559">
    <w:p w:rsidR="00760048" w:rsidP="00071614" w14:paraId="2D4BCC66" w14:textId="77777777">
      <w:pPr>
        <w:pStyle w:val="FootnoteText"/>
      </w:pPr>
      <w:r w:rsidRPr="0072600F">
        <w:rPr>
          <w:rStyle w:val="FootnoteReference"/>
        </w:rPr>
        <w:footnoteRef/>
      </w:r>
      <w:r>
        <w:t xml:space="preserve"> </w:t>
      </w:r>
      <w:r w:rsidRPr="009F5058">
        <w:rPr>
          <w:i/>
          <w:iCs/>
        </w:rPr>
        <w:t>Id.</w:t>
      </w:r>
      <w:r>
        <w:t xml:space="preserve"> P 177.</w:t>
      </w:r>
    </w:p>
  </w:footnote>
  <w:footnote w:id="560">
    <w:p w:rsidR="00760048" w:rsidP="00071614" w14:paraId="4FED281D" w14:textId="77777777">
      <w:pPr>
        <w:pStyle w:val="FootnoteText"/>
      </w:pPr>
      <w:r w:rsidRPr="0072600F">
        <w:rPr>
          <w:rStyle w:val="FootnoteReference"/>
        </w:rPr>
        <w:footnoteRef/>
      </w:r>
      <w:r>
        <w:t xml:space="preserve"> </w:t>
      </w:r>
      <w:r w:rsidRPr="009F5058">
        <w:rPr>
          <w:i/>
          <w:iCs/>
        </w:rPr>
        <w:t>Id.</w:t>
      </w:r>
      <w:r>
        <w:t xml:space="preserve"> (discussing the cluster study process, combined with “</w:t>
      </w:r>
      <w:r w:rsidRPr="00FF2419">
        <w:t>the increased financial commitments and requirements to enter the interconnection queue, such as a demonstration of site control</w:t>
      </w:r>
      <w:r>
        <w:t xml:space="preserve">”); </w:t>
      </w:r>
      <w:r>
        <w:rPr>
          <w:i/>
          <w:iCs/>
        </w:rPr>
        <w:t xml:space="preserve">see also id. </w:t>
      </w:r>
      <w:r>
        <w:t>P 977 (noting the “t</w:t>
      </w:r>
      <w:r w:rsidRPr="008E6620">
        <w:t>he new site control requirements, commercial readiness deposits, and withdrawal penalties we adopt in this final rule, which also become increasingly stringent as the study process progresses</w:t>
      </w:r>
      <w:r>
        <w:t xml:space="preserve">”); </w:t>
      </w:r>
      <w:r w:rsidRPr="00900366">
        <w:rPr>
          <w:i/>
          <w:iCs/>
        </w:rPr>
        <w:t xml:space="preserve">cf. also </w:t>
      </w:r>
      <w:r w:rsidRPr="00900366">
        <w:t xml:space="preserve">LGIP sections 3.4.5, 3.7 (providing that, at the close of the </w:t>
      </w:r>
      <w:r w:rsidR="002000CE">
        <w:t>c</w:t>
      </w:r>
      <w:r w:rsidRPr="00900366">
        <w:t xml:space="preserve">ustomer </w:t>
      </w:r>
      <w:r w:rsidR="002000CE">
        <w:t>e</w:t>
      </w:r>
      <w:r w:rsidRPr="00900366">
        <w:t xml:space="preserve">ngagement </w:t>
      </w:r>
      <w:r w:rsidR="002000CE">
        <w:t>w</w:t>
      </w:r>
      <w:r w:rsidRPr="00900366">
        <w:t>indow, only valid interconnection request are included in the study process; further providing that interconnection requests may be deemed withdrawn if interconnection customers fail to adhere to the requirements of the LGIP)</w:t>
      </w:r>
      <w:r>
        <w:t>.</w:t>
      </w:r>
    </w:p>
  </w:footnote>
  <w:footnote w:id="561">
    <w:p w:rsidR="00760048" w:rsidRPr="00064946" w:rsidP="00071614" w14:paraId="5828D02D" w14:textId="77777777">
      <w:pPr>
        <w:pStyle w:val="FootnoteText"/>
      </w:pPr>
      <w:r w:rsidRPr="0072600F">
        <w:rPr>
          <w:rStyle w:val="FootnoteReference"/>
        </w:rPr>
        <w:footnoteRef/>
      </w:r>
      <w:r>
        <w:t xml:space="preserve"> </w:t>
      </w:r>
      <w:r w:rsidR="00834A9C">
        <w:t>Order No. 2023,</w:t>
      </w:r>
      <w:r w:rsidRPr="00082511" w:rsidR="00834A9C">
        <w:t xml:space="preserve"> </w:t>
      </w:r>
      <w:r w:rsidRPr="005231D3" w:rsidR="00834A9C">
        <w:t>184 FERC ¶ 61,054</w:t>
      </w:r>
      <w:r w:rsidR="00834A9C">
        <w:t xml:space="preserve"> at </w:t>
      </w:r>
      <w:r>
        <w:t>P 1007.</w:t>
      </w:r>
    </w:p>
  </w:footnote>
  <w:footnote w:id="562">
    <w:p w:rsidR="00760048" w:rsidRPr="00533580" w:rsidP="00071614" w14:paraId="30C740EA" w14:textId="77777777">
      <w:pPr>
        <w:pStyle w:val="FootnoteText"/>
      </w:pPr>
      <w:r w:rsidRPr="0072600F">
        <w:rPr>
          <w:rStyle w:val="FootnoteReference"/>
        </w:rPr>
        <w:footnoteRef/>
      </w:r>
      <w:r>
        <w:t xml:space="preserve"> </w:t>
      </w:r>
      <w:r w:rsidRPr="004745EB">
        <w:rPr>
          <w:i/>
        </w:rPr>
        <w:t xml:space="preserve">See </w:t>
      </w:r>
      <w:r w:rsidR="005F7AA5">
        <w:t>app.</w:t>
      </w:r>
      <w:r w:rsidRPr="004745EB">
        <w:rPr>
          <w:b/>
        </w:rPr>
        <w:t xml:space="preserve"> </w:t>
      </w:r>
      <w:r w:rsidRPr="004745EB">
        <w:t>B.</w:t>
      </w:r>
    </w:p>
  </w:footnote>
  <w:footnote w:id="563">
    <w:p w:rsidR="00760048" w:rsidP="00071614" w14:paraId="6712206E" w14:textId="77777777">
      <w:pPr>
        <w:pStyle w:val="FootnoteText"/>
      </w:pPr>
      <w:r w:rsidRPr="0072600F">
        <w:rPr>
          <w:rStyle w:val="FootnoteReference"/>
        </w:rPr>
        <w:footnoteRef/>
      </w:r>
      <w:r>
        <w:t xml:space="preserve"> </w:t>
      </w:r>
      <w:r w:rsidRPr="00A80B62">
        <w:t xml:space="preserve">Moreover, </w:t>
      </w:r>
      <w:r>
        <w:t>that several transmission providers with somewhat variable approaches to cluster studies completed system impact studies in fewer than 150 days, on average, corroborates that—in general—it is possible to conduct such studies on this time frame.</w:t>
      </w:r>
    </w:p>
  </w:footnote>
  <w:footnote w:id="564">
    <w:p w:rsidR="00760048" w:rsidRPr="003A3FB4" w14:paraId="3D730A7B" w14:textId="77777777">
      <w:pPr>
        <w:pStyle w:val="FootnoteText"/>
      </w:pPr>
      <w:r w:rsidRPr="0072600F">
        <w:rPr>
          <w:rStyle w:val="FootnoteReference"/>
        </w:rPr>
        <w:footnoteRef/>
      </w:r>
      <w:r>
        <w:t xml:space="preserve"> </w:t>
      </w:r>
      <w:r>
        <w:rPr>
          <w:i/>
          <w:iCs/>
        </w:rPr>
        <w:t>See, e.g.</w:t>
      </w:r>
      <w:r>
        <w:t xml:space="preserve">, </w:t>
      </w:r>
      <w:r w:rsidRPr="004B14D5">
        <w:rPr>
          <w:i/>
          <w:iCs/>
        </w:rPr>
        <w:t>Cent. Hudson</w:t>
      </w:r>
      <w:r w:rsidRPr="004B14D5">
        <w:t xml:space="preserve">, 783 F.3d </w:t>
      </w:r>
      <w:r w:rsidR="00795FFE">
        <w:t>at</w:t>
      </w:r>
      <w:r w:rsidRPr="004B14D5">
        <w:t xml:space="preserve"> 109 </w:t>
      </w:r>
      <w:r w:rsidRPr="00170256">
        <w:t>(</w:t>
      </w:r>
      <w:r>
        <w:t xml:space="preserve">holding that the Commission may permissibly rely on economic theory </w:t>
      </w:r>
      <w:r w:rsidRPr="00170256">
        <w:t xml:space="preserve">so long as it has applied the relevant economic principles in a reasonable manner and adequately explained its reasoning); </w:t>
      </w:r>
      <w:r w:rsidRPr="004B14D5">
        <w:rPr>
          <w:i/>
          <w:iCs/>
        </w:rPr>
        <w:t>Sacramento</w:t>
      </w:r>
      <w:r w:rsidRPr="004B14D5">
        <w:t xml:space="preserve">, 616 F.3d </w:t>
      </w:r>
      <w:r w:rsidR="00416096">
        <w:t>at</w:t>
      </w:r>
      <w:r w:rsidRPr="004B14D5">
        <w:t xml:space="preserve"> 531 </w:t>
      </w:r>
      <w:r w:rsidRPr="00170256">
        <w:t>(“[I]t was perfectly legitimate for the Commission to base its findings about the benefits of marginal loss charges on basic economic theory, given that it explained and applied the relevant economic principles in a reasonable manner.”)</w:t>
      </w:r>
      <w:r>
        <w:t>.</w:t>
      </w:r>
    </w:p>
  </w:footnote>
  <w:footnote w:id="565">
    <w:p w:rsidR="00760048" w:rsidRPr="00941732" w:rsidP="00071614" w14:paraId="0165E774" w14:textId="77777777">
      <w:pPr>
        <w:pStyle w:val="FootnoteText"/>
      </w:pPr>
      <w:r w:rsidRPr="0072600F">
        <w:rPr>
          <w:rStyle w:val="FootnoteReference"/>
        </w:rPr>
        <w:footnoteRef/>
      </w:r>
      <w:r>
        <w:t xml:space="preserve"> </w:t>
      </w:r>
      <w:r>
        <w:rPr>
          <w:i/>
          <w:iCs/>
        </w:rPr>
        <w:t xml:space="preserve">See </w:t>
      </w:r>
      <w:r>
        <w:t xml:space="preserve">Order No. 2023, </w:t>
      </w:r>
      <w:r w:rsidRPr="007155FC">
        <w:t>184 FERC ¶ 61,054</w:t>
      </w:r>
      <w:r>
        <w:t xml:space="preserve"> at PP 963, 981-83; </w:t>
      </w:r>
      <w:r>
        <w:rPr>
          <w:i/>
          <w:iCs/>
        </w:rPr>
        <w:t xml:space="preserve">see also </w:t>
      </w:r>
      <w:r>
        <w:rPr>
          <w:i/>
          <w:iCs/>
        </w:rPr>
        <w:t>infra</w:t>
      </w:r>
      <w:r>
        <w:t xml:space="preserve"> P </w:t>
      </w:r>
      <w:r w:rsidRPr="00334FF1">
        <w:fldChar w:fldCharType="begin"/>
      </w:r>
      <w:r w:rsidRPr="00334FF1">
        <w:instrText xml:space="preserve"> REF _Ref160108718 \r \h  \* MERGEFORMAT </w:instrText>
      </w:r>
      <w:r w:rsidRPr="00334FF1">
        <w:fldChar w:fldCharType="separate"/>
      </w:r>
      <w:r w:rsidR="00C46123">
        <w:t>335</w:t>
      </w:r>
      <w:r w:rsidRPr="00334FF1">
        <w:fldChar w:fldCharType="end"/>
      </w:r>
      <w:r>
        <w:t xml:space="preserve"> (recognizing that the 30-day extension is not guaranteed in all cases but disagreeing with claims that it will be ineffective in practice</w:t>
      </w:r>
      <w:r w:rsidRPr="008C4978">
        <w:t>).</w:t>
      </w:r>
    </w:p>
  </w:footnote>
  <w:footnote w:id="566">
    <w:p w:rsidR="00760048" w:rsidP="00071614" w14:paraId="3D6D0DA8" w14:textId="77777777">
      <w:pPr>
        <w:pStyle w:val="FootnoteText"/>
      </w:pPr>
      <w:r w:rsidRPr="0072600F">
        <w:rPr>
          <w:rStyle w:val="FootnoteReference"/>
        </w:rPr>
        <w:footnoteRef/>
      </w:r>
      <w:r>
        <w:t xml:space="preserve"> Order No. 2023,</w:t>
      </w:r>
      <w:r w:rsidRPr="007155FC">
        <w:rPr>
          <w:rFonts w:ascii="TimesNewRoman" w:hAnsi="TimesNewRoman" w:cs="TimesNewRoman"/>
          <w:szCs w:val="26"/>
        </w:rPr>
        <w:t xml:space="preserve"> </w:t>
      </w:r>
      <w:r w:rsidRPr="007155FC">
        <w:t>184 FERC ¶ 61,054</w:t>
      </w:r>
      <w:r>
        <w:t xml:space="preserve"> at P 979.</w:t>
      </w:r>
    </w:p>
  </w:footnote>
  <w:footnote w:id="567">
    <w:p w:rsidR="00760048" w:rsidP="00071614" w14:paraId="1BB1A892" w14:textId="77777777">
      <w:pPr>
        <w:pStyle w:val="FootnoteText"/>
      </w:pPr>
      <w:r w:rsidRPr="0072600F">
        <w:rPr>
          <w:rStyle w:val="FootnoteReference"/>
        </w:rPr>
        <w:footnoteRef/>
      </w:r>
      <w:r>
        <w:t xml:space="preserve"> </w:t>
      </w:r>
      <w:r w:rsidRPr="009F5058">
        <w:rPr>
          <w:i/>
          <w:iCs/>
        </w:rPr>
        <w:t>Id.</w:t>
      </w:r>
      <w:r>
        <w:rPr>
          <w:i/>
          <w:iCs/>
        </w:rPr>
        <w:t xml:space="preserve"> </w:t>
      </w:r>
      <w:r>
        <w:t>PP 987-89.</w:t>
      </w:r>
    </w:p>
  </w:footnote>
  <w:footnote w:id="568">
    <w:p w:rsidR="00760048" w:rsidRPr="00E141C7" w14:paraId="099CB35F" w14:textId="77777777">
      <w:pPr>
        <w:pStyle w:val="FootnoteText"/>
      </w:pPr>
      <w:r w:rsidRPr="0072600F">
        <w:rPr>
          <w:rStyle w:val="FootnoteReference"/>
        </w:rPr>
        <w:footnoteRef/>
      </w:r>
      <w:r>
        <w:t xml:space="preserve"> </w:t>
      </w:r>
      <w:r>
        <w:rPr>
          <w:i/>
          <w:iCs/>
        </w:rPr>
        <w:t xml:space="preserve">See also </w:t>
      </w:r>
      <w:r>
        <w:rPr>
          <w:i/>
          <w:iCs/>
        </w:rPr>
        <w:t xml:space="preserve">infra </w:t>
      </w:r>
      <w:r>
        <w:t xml:space="preserve">P </w:t>
      </w:r>
      <w:r w:rsidRPr="00D50A25">
        <w:fldChar w:fldCharType="begin"/>
      </w:r>
      <w:r w:rsidRPr="00D50A25">
        <w:instrText xml:space="preserve"> REF _Ref160108250 \r \h </w:instrText>
      </w:r>
      <w:r>
        <w:instrText xml:space="preserve"> \* MERGEFORMAT </w:instrText>
      </w:r>
      <w:r w:rsidRPr="00D50A25">
        <w:fldChar w:fldCharType="separate"/>
      </w:r>
      <w:r w:rsidR="00C46123">
        <w:t>363</w:t>
      </w:r>
      <w:r w:rsidRPr="00D50A25">
        <w:fldChar w:fldCharType="end"/>
      </w:r>
      <w:r>
        <w:t xml:space="preserve"> (noting that concerns that transmission providers may not be afforded relief in the appeals process, where they believe such relief would be warranted, are premature). </w:t>
      </w:r>
    </w:p>
  </w:footnote>
  <w:footnote w:id="569">
    <w:p w:rsidR="00760048" w:rsidP="00071614" w14:paraId="5B99FE2E" w14:textId="77777777">
      <w:pPr>
        <w:pStyle w:val="FootnoteText"/>
      </w:pPr>
      <w:r w:rsidRPr="0072600F">
        <w:rPr>
          <w:rStyle w:val="FootnoteReference"/>
        </w:rPr>
        <w:footnoteRef/>
      </w:r>
      <w:r>
        <w:t xml:space="preserve"> </w:t>
      </w:r>
      <w:r w:rsidR="0003382A">
        <w:t xml:space="preserve">Order No. 2023, </w:t>
      </w:r>
      <w:r w:rsidRPr="00C84DE9" w:rsidR="0003382A">
        <w:t>184 FERC ¶ 61,054</w:t>
      </w:r>
      <w:r w:rsidR="0003382A">
        <w:t xml:space="preserve"> at</w:t>
      </w:r>
      <w:r w:rsidRPr="009F5058" w:rsidR="0003382A">
        <w:rPr>
          <w:i/>
          <w:iCs/>
        </w:rPr>
        <w:t xml:space="preserve"> </w:t>
      </w:r>
      <w:r>
        <w:t>PP 223, 236.</w:t>
      </w:r>
    </w:p>
  </w:footnote>
  <w:footnote w:id="570">
    <w:p w:rsidR="00760048" w:rsidP="00071614" w14:paraId="3DB90D2B" w14:textId="77777777">
      <w:pPr>
        <w:pStyle w:val="FootnoteText"/>
      </w:pPr>
      <w:r w:rsidRPr="0072600F">
        <w:rPr>
          <w:rStyle w:val="FootnoteReference"/>
        </w:rPr>
        <w:footnoteRef/>
      </w:r>
      <w:r>
        <w:t xml:space="preserve"> </w:t>
      </w:r>
      <w:r>
        <w:rPr>
          <w:i/>
          <w:iCs/>
        </w:rPr>
        <w:t xml:space="preserve">Cf. </w:t>
      </w:r>
      <w:r w:rsidR="00E9638E">
        <w:rPr>
          <w:i/>
          <w:iCs/>
        </w:rPr>
        <w:t>id.</w:t>
      </w:r>
      <w:r>
        <w:t xml:space="preserve"> P 324 (“</w:t>
      </w:r>
      <w:r w:rsidRPr="00464CB3">
        <w:t>We note that depending on the cluster size, cluster studies may not always consume the entire 150 calendar days, and if a cluster study is complete prior to this deadline, transmission providers have flexibility to provide the cluster study report at that time prior to the deadline indicated in its LGIP</w:t>
      </w:r>
      <w:r>
        <w:t>[</w:t>
      </w:r>
      <w:r w:rsidRPr="00464CB3">
        <w:t>.</w:t>
      </w:r>
      <w:r>
        <w:t>]”)</w:t>
      </w:r>
    </w:p>
  </w:footnote>
  <w:footnote w:id="571">
    <w:p w:rsidR="00760048" w:rsidP="00071614" w14:paraId="7F3AF805" w14:textId="77777777">
      <w:pPr>
        <w:pStyle w:val="FootnoteText"/>
      </w:pPr>
      <w:r w:rsidRPr="0072600F">
        <w:rPr>
          <w:rStyle w:val="FootnoteReference"/>
        </w:rPr>
        <w:footnoteRef/>
      </w:r>
      <w:r>
        <w:t xml:space="preserve"> </w:t>
      </w:r>
      <w:r w:rsidR="00E9638E">
        <w:rPr>
          <w:i/>
          <w:iCs/>
        </w:rPr>
        <w:t>Id.</w:t>
      </w:r>
      <w:r>
        <w:t xml:space="preserve"> P 331.</w:t>
      </w:r>
    </w:p>
  </w:footnote>
  <w:footnote w:id="572">
    <w:p w:rsidR="00760048" w:rsidP="00071614" w14:paraId="1449CA03" w14:textId="77777777">
      <w:pPr>
        <w:pStyle w:val="FootnoteText"/>
      </w:pPr>
      <w:r w:rsidRPr="0072600F">
        <w:rPr>
          <w:rStyle w:val="FootnoteReference"/>
        </w:rPr>
        <w:footnoteRef/>
      </w:r>
      <w:r>
        <w:t xml:space="preserve"> </w:t>
      </w:r>
      <w:r>
        <w:rPr>
          <w:i/>
          <w:iCs/>
        </w:rPr>
        <w:t xml:space="preserve">See </w:t>
      </w:r>
      <w:r w:rsidRPr="00D63693">
        <w:t xml:space="preserve">NYISO Rehearing </w:t>
      </w:r>
      <w:r w:rsidR="00F91353">
        <w:t>Request</w:t>
      </w:r>
      <w:r w:rsidRPr="00D63693">
        <w:t xml:space="preserve"> at 5-6 (</w:t>
      </w:r>
      <w:r>
        <w:t>arguing that the</w:t>
      </w:r>
      <w:r w:rsidRPr="00D63693">
        <w:t xml:space="preserve"> Commission has not established a basis for the 150-day deadline</w:t>
      </w:r>
      <w:r>
        <w:t xml:space="preserve"> for cluster studies and should allow</w:t>
      </w:r>
      <w:r w:rsidRPr="00D63693">
        <w:t xml:space="preserve"> each </w:t>
      </w:r>
      <w:r>
        <w:t>transmission provider</w:t>
      </w:r>
      <w:r w:rsidRPr="00D63693">
        <w:t xml:space="preserve"> to </w:t>
      </w:r>
      <w:r>
        <w:t>propose its own study deadline</w:t>
      </w:r>
      <w:r w:rsidRPr="00D63693">
        <w:t>)</w:t>
      </w:r>
      <w:r>
        <w:t xml:space="preserve">; </w:t>
      </w:r>
      <w:r>
        <w:rPr>
          <w:i/>
          <w:iCs/>
        </w:rPr>
        <w:t>id.</w:t>
      </w:r>
      <w:r>
        <w:t xml:space="preserve"> at 6-12 (arguing that a 150-day study timeframe is not consistent the process NYISO follows).</w:t>
      </w:r>
    </w:p>
  </w:footnote>
  <w:footnote w:id="573">
    <w:p w:rsidR="00760048" w:rsidP="00071614" w14:paraId="6DD781AB" w14:textId="77777777">
      <w:pPr>
        <w:pStyle w:val="FootnoteText"/>
      </w:pPr>
      <w:r w:rsidRPr="0072600F">
        <w:rPr>
          <w:rStyle w:val="FootnoteReference"/>
        </w:rPr>
        <w:footnoteRef/>
      </w:r>
      <w:r>
        <w:t xml:space="preserve"> </w:t>
      </w:r>
      <w:r>
        <w:rPr>
          <w:i/>
          <w:iCs/>
        </w:rPr>
        <w:t>See id.</w:t>
      </w:r>
      <w:r w:rsidRPr="00E871BA">
        <w:t xml:space="preserve">, </w:t>
      </w:r>
      <w:r w:rsidR="005F7AA5">
        <w:t>a</w:t>
      </w:r>
      <w:r>
        <w:t>tt</w:t>
      </w:r>
      <w:r w:rsidR="005F7AA5">
        <w:t>ach</w:t>
      </w:r>
      <w:r>
        <w:t xml:space="preserve">. I (Nguyen </w:t>
      </w:r>
      <w:r>
        <w:t>Aff</w:t>
      </w:r>
      <w:r w:rsidR="00245C70">
        <w:t>.</w:t>
      </w:r>
      <w:r>
        <w:t>).</w:t>
      </w:r>
    </w:p>
  </w:footnote>
  <w:footnote w:id="574">
    <w:p w:rsidR="00760048" w:rsidRPr="002D72F5" w:rsidP="00071614" w14:paraId="7F96803E" w14:textId="77777777">
      <w:pPr>
        <w:pStyle w:val="FootnoteText"/>
      </w:pPr>
      <w:r w:rsidRPr="0072600F">
        <w:rPr>
          <w:rStyle w:val="FootnoteReference"/>
        </w:rPr>
        <w:footnoteRef/>
      </w:r>
      <w:r>
        <w:t xml:space="preserve"> NYISO Rehearing Request at 7 n.15; </w:t>
      </w:r>
      <w:r>
        <w:rPr>
          <w:i/>
          <w:iCs/>
        </w:rPr>
        <w:t xml:space="preserve">see also </w:t>
      </w:r>
      <w:r w:rsidRPr="002D72F5">
        <w:rPr>
          <w:i/>
          <w:iCs/>
        </w:rPr>
        <w:t>NRG Power Mktg., LLC v. FERC</w:t>
      </w:r>
      <w:r w:rsidRPr="002D72F5">
        <w:t xml:space="preserve">, 862 F.3d 108, 116-17 (D.C. Cir. 2017) (citing </w:t>
      </w:r>
      <w:r w:rsidRPr="002D72F5">
        <w:rPr>
          <w:i/>
          <w:iCs/>
        </w:rPr>
        <w:t>PJM Interconnection, L.L.C</w:t>
      </w:r>
      <w:r w:rsidRPr="002D72F5">
        <w:t xml:space="preserve">., 108 FERC ¶ 61,187, at P 49 (2004) (“Parties seeking rehearing of Commission orders are not permitted to include additional evidence in support of their position, particularly when such evidence is available at the time of the initial filing.”); </w:t>
      </w:r>
      <w:r w:rsidRPr="002D72F5">
        <w:rPr>
          <w:i/>
          <w:iCs/>
        </w:rPr>
        <w:t>NO Gas Pipeline v. FERC</w:t>
      </w:r>
      <w:r w:rsidRPr="002D72F5">
        <w:t xml:space="preserve">, 756 F.3d 764, 770 (D.C. Cir. 2014) </w:t>
      </w:r>
      <w:r w:rsidR="00380006">
        <w:t>(</w:t>
      </w:r>
      <w:r w:rsidRPr="00205E42" w:rsidR="00380006">
        <w:rPr>
          <w:i/>
        </w:rPr>
        <w:t>NO Gas</w:t>
      </w:r>
      <w:r w:rsidRPr="002D72F5">
        <w:t xml:space="preserve">) (“FERC regularly rejects requests for rehearing that raise issues not previously presented where there is no showing that the issue is ‘based on matters not available for consideration </w:t>
      </w:r>
      <w:r>
        <w:t>. . .</w:t>
      </w:r>
      <w:r w:rsidRPr="002D72F5">
        <w:t xml:space="preserve"> at the time of the final decision.’”).</w:t>
      </w:r>
    </w:p>
  </w:footnote>
  <w:footnote w:id="575">
    <w:p w:rsidR="00760048" w:rsidRPr="000A0A16" w:rsidP="00071614" w14:paraId="4BC2C5EE" w14:textId="77777777">
      <w:pPr>
        <w:pStyle w:val="FootnoteText"/>
        <w:rPr>
          <w:b/>
          <w:bCs/>
          <w:i/>
          <w:iCs/>
        </w:rPr>
      </w:pPr>
      <w:r w:rsidRPr="0072600F">
        <w:rPr>
          <w:rStyle w:val="FootnoteReference"/>
        </w:rPr>
        <w:footnoteRef/>
      </w:r>
      <w:r>
        <w:t xml:space="preserve"> </w:t>
      </w:r>
      <w:r>
        <w:rPr>
          <w:i/>
          <w:iCs/>
        </w:rPr>
        <w:t xml:space="preserve">See </w:t>
      </w:r>
      <w:r>
        <w:t xml:space="preserve">18 CFR 713.385(c)(3); </w:t>
      </w:r>
      <w:r w:rsidRPr="00F00AEE">
        <w:rPr>
          <w:i/>
          <w:iCs/>
        </w:rPr>
        <w:t>Pub.</w:t>
      </w:r>
      <w:r>
        <w:rPr>
          <w:i/>
          <w:iCs/>
        </w:rPr>
        <w:t xml:space="preserve"> </w:t>
      </w:r>
      <w:r w:rsidRPr="00F00AEE">
        <w:rPr>
          <w:i/>
          <w:iCs/>
        </w:rPr>
        <w:t>Ser. Co. of N.M</w:t>
      </w:r>
      <w:r w:rsidRPr="00F00AEE">
        <w:t xml:space="preserve">., 181 FERC ¶ 61,013, at P 12 </w:t>
      </w:r>
      <w:r>
        <w:t>&amp;</w:t>
      </w:r>
      <w:r w:rsidRPr="00F00AEE">
        <w:t xml:space="preserve"> n.25 (2022)</w:t>
      </w:r>
      <w:r w:rsidRPr="008C4978">
        <w:t>.</w:t>
      </w:r>
    </w:p>
  </w:footnote>
  <w:footnote w:id="576">
    <w:p w:rsidR="00760048" w:rsidP="00071614" w14:paraId="0A301B99" w14:textId="77777777">
      <w:pPr>
        <w:pStyle w:val="FootnoteText"/>
      </w:pPr>
      <w:r w:rsidRPr="0072600F">
        <w:rPr>
          <w:rStyle w:val="FootnoteReference"/>
        </w:rPr>
        <w:footnoteRef/>
      </w:r>
      <w:r>
        <w:t xml:space="preserve"> We also disagree with NYISO’s generalized assertion that the Commission misunderstood the interconnection study process, the benefits of such studies, or the level of collaboration involved in such studies.</w:t>
      </w:r>
    </w:p>
  </w:footnote>
  <w:footnote w:id="577">
    <w:p w:rsidR="00760048" w:rsidRPr="0034530C" w:rsidP="00071614" w14:paraId="729F71C7" w14:textId="77777777">
      <w:pPr>
        <w:pStyle w:val="FootnoteText"/>
      </w:pPr>
      <w:r w:rsidRPr="0072600F">
        <w:rPr>
          <w:rStyle w:val="FootnoteReference"/>
        </w:rPr>
        <w:footnoteRef/>
      </w:r>
      <w:r>
        <w:t xml:space="preserve"> </w:t>
      </w:r>
      <w:r>
        <w:rPr>
          <w:i/>
          <w:iCs/>
        </w:rPr>
        <w:t>See, e.g.</w:t>
      </w:r>
      <w:r>
        <w:t>, NYISO Rehearing Request at 6-11; NYISO Initial Comments at 2-3 (“</w:t>
      </w:r>
      <w:r w:rsidRPr="0034530C">
        <w:t>Among the significant variations, the NYISO already uses a first-ready, first served approach for managing projects in its interconnection queue and uses a clus</w:t>
      </w:r>
      <w:r>
        <w:t xml:space="preserve">ter </w:t>
      </w:r>
      <w:r w:rsidRPr="0034530C">
        <w:t>Class Year Study as the final, hallmark study in its LF</w:t>
      </w:r>
      <w:r>
        <w:t xml:space="preserve">IP.”); NYISO Initial Comments, </w:t>
      </w:r>
      <w:r w:rsidR="005F7AA5">
        <w:t>a</w:t>
      </w:r>
      <w:r>
        <w:t>pp</w:t>
      </w:r>
      <w:r w:rsidR="005F7AA5">
        <w:t>.</w:t>
      </w:r>
      <w:r>
        <w:t xml:space="preserve"> A at 1 (explaining that “</w:t>
      </w:r>
      <w:r w:rsidRPr="0034530C">
        <w:t>NYISO’s interconnection procedures include numerous independent-entity variations accepted by the Commission that are specifically tailored to the distinct circumstances in New York and the NYISO’s wholesale market rules and planning proce</w:t>
      </w:r>
      <w:r>
        <w:t xml:space="preserve">sses.”); </w:t>
      </w:r>
      <w:r w:rsidRPr="00AB6022">
        <w:t>National Grid Initial Comments at 13-14</w:t>
      </w:r>
      <w:r>
        <w:t xml:space="preserve"> (discussing the NYISO “Class Year Study” approach and asserting that 150 days may not be sufficient for this process).</w:t>
      </w:r>
    </w:p>
  </w:footnote>
  <w:footnote w:id="578">
    <w:p w:rsidR="00760048" w:rsidP="00071614" w14:paraId="69DCDE25" w14:textId="77777777">
      <w:pPr>
        <w:pStyle w:val="FootnoteText"/>
      </w:pPr>
      <w:r w:rsidRPr="0072600F">
        <w:rPr>
          <w:rStyle w:val="FootnoteReference"/>
        </w:rPr>
        <w:footnoteRef/>
      </w:r>
      <w:r>
        <w:t xml:space="preserve"> NYISO Rehearing Request at 4.</w:t>
      </w:r>
    </w:p>
  </w:footnote>
  <w:footnote w:id="579">
    <w:p w:rsidR="00760048" w:rsidRPr="009735E7" w:rsidP="00071614" w14:paraId="59431F36" w14:textId="77777777">
      <w:pPr>
        <w:pStyle w:val="FootnoteText"/>
        <w:rPr>
          <w:i/>
          <w:iCs/>
        </w:rPr>
      </w:pPr>
      <w:r w:rsidRPr="0072600F">
        <w:rPr>
          <w:rStyle w:val="FootnoteReference"/>
        </w:rPr>
        <w:footnoteRef/>
      </w:r>
      <w:r>
        <w:t xml:space="preserve"> </w:t>
      </w:r>
      <w:r w:rsidRPr="00631290">
        <w:rPr>
          <w:i/>
          <w:iCs/>
        </w:rPr>
        <w:t>Id.</w:t>
      </w:r>
      <w:r>
        <w:t xml:space="preserve"> at 12-14.</w:t>
      </w:r>
    </w:p>
  </w:footnote>
  <w:footnote w:id="580">
    <w:p w:rsidR="00760048" w:rsidRPr="0045050C" w:rsidP="00071614" w14:paraId="7F11386D" w14:textId="77777777">
      <w:pPr>
        <w:pStyle w:val="FootnoteText"/>
      </w:pPr>
      <w:r w:rsidRPr="0072600F">
        <w:rPr>
          <w:rStyle w:val="FootnoteReference"/>
        </w:rPr>
        <w:footnoteRef/>
      </w:r>
      <w:r>
        <w:t xml:space="preserve"> </w:t>
      </w:r>
      <w:r>
        <w:rPr>
          <w:i/>
          <w:iCs/>
        </w:rPr>
        <w:t>Id.</w:t>
      </w:r>
      <w:r>
        <w:t xml:space="preserve"> at 14-15 (stating that increasing study deposits and adding regulatory milestone deposits has not resulted in a corresponding decrease in projects entering the queue; also citing MISO’s July 19, 2023, proposal to impose more stringent entry requirements); </w:t>
      </w:r>
      <w:r>
        <w:rPr>
          <w:i/>
          <w:iCs/>
        </w:rPr>
        <w:t xml:space="preserve">see also </w:t>
      </w:r>
      <w:r w:rsidRPr="0045050C">
        <w:t>PJM Rehearing Request at 32</w:t>
      </w:r>
      <w:r>
        <w:t xml:space="preserve"> (asserting that </w:t>
      </w:r>
      <w:r w:rsidRPr="004260F1">
        <w:t>MISO received more than 960 requests following the close of its 2022 Definitive Planning Process cycle that closed in 2022</w:t>
      </w:r>
      <w:r>
        <w:t>).</w:t>
      </w:r>
    </w:p>
  </w:footnote>
  <w:footnote w:id="581">
    <w:p w:rsidR="00760048" w:rsidP="00071614" w14:paraId="52AE9752" w14:textId="77777777">
      <w:pPr>
        <w:pStyle w:val="FootnoteText"/>
      </w:pPr>
      <w:r w:rsidRPr="0072600F">
        <w:rPr>
          <w:rStyle w:val="FootnoteReference"/>
        </w:rPr>
        <w:footnoteRef/>
      </w:r>
      <w:r>
        <w:t xml:space="preserve"> Avangrid Rehearing Request at 12.</w:t>
      </w:r>
    </w:p>
  </w:footnote>
  <w:footnote w:id="582">
    <w:p w:rsidR="00760048" w:rsidP="00071614" w14:paraId="0EF00A05" w14:textId="77777777">
      <w:pPr>
        <w:pStyle w:val="FootnoteText"/>
      </w:pPr>
      <w:r w:rsidRPr="0072600F">
        <w:rPr>
          <w:rStyle w:val="FootnoteReference"/>
        </w:rPr>
        <w:footnoteRef/>
      </w:r>
      <w:r>
        <w:t xml:space="preserve"> NYISO discusses the effects of increased deposits, but Order No. 2023 also imposed </w:t>
      </w:r>
      <w:r w:rsidRPr="003D3725">
        <w:t>site control requirements</w:t>
      </w:r>
      <w:r>
        <w:t xml:space="preserve"> and withdrawal penalties that we expect will also deter speculative interconnection requests.  Moreover, the MISO PowerPoint presentation that NYISO cites is best understood as reflecting MISO’s view that more stringent queue requirements will help reduce speculative interconnection requests.  </w:t>
      </w:r>
      <w:r>
        <w:rPr>
          <w:i/>
          <w:iCs/>
        </w:rPr>
        <w:t xml:space="preserve">See </w:t>
      </w:r>
      <w:r>
        <w:t>MISO</w:t>
      </w:r>
      <w:r w:rsidRPr="00321A5D">
        <w:t xml:space="preserve"> Presentation, Generator Interconnection</w:t>
      </w:r>
      <w:r>
        <w:t xml:space="preserve"> </w:t>
      </w:r>
      <w:r w:rsidRPr="00321A5D">
        <w:t>Queue Improvements, Planning Advisory Committee (July 19, 2023)</w:t>
      </w:r>
      <w:r w:rsidR="005F7AA5">
        <w:t>,</w:t>
      </w:r>
      <w:r w:rsidRPr="00321A5D">
        <w:t xml:space="preserve"> </w:t>
      </w:r>
      <w:r w:rsidRPr="00736AE6">
        <w:t>https://cdn.misoenergy‌‌‌‌.org/20‌230719%‌20PAC%20‌‌‌‌Item%2006%20GI%20Queue‌%20Improvements%20Proposa‌l629634.pdf</w:t>
      </w:r>
      <w:r>
        <w:t xml:space="preserve"> (proposing to increase such requirements and referring to its current tariff rules as incentivizing speculative projects because they require a “small financial commitment” and have “ineffective withdrawal rules” that allow  withdrawn requests “to get most of their money back, with interest, due to lack of penalties”).</w:t>
      </w:r>
    </w:p>
  </w:footnote>
  <w:footnote w:id="583">
    <w:p w:rsidR="00760048" w:rsidP="00071614" w14:paraId="29BD2481" w14:textId="77777777">
      <w:pPr>
        <w:pStyle w:val="FootnoteText"/>
      </w:pPr>
      <w:r w:rsidRPr="0072600F">
        <w:rPr>
          <w:rStyle w:val="FootnoteReference"/>
        </w:rPr>
        <w:footnoteRef/>
      </w:r>
      <w:r>
        <w:t xml:space="preserve"> Indicated PJM TOs Rehearing Request at 30.</w:t>
      </w:r>
    </w:p>
  </w:footnote>
  <w:footnote w:id="584">
    <w:p w:rsidR="00760048" w:rsidP="00071614" w14:paraId="582E35AA" w14:textId="77777777">
      <w:pPr>
        <w:pStyle w:val="FootnoteText"/>
      </w:pPr>
      <w:r w:rsidRPr="0072600F">
        <w:rPr>
          <w:rStyle w:val="FootnoteReference"/>
        </w:rPr>
        <w:footnoteRef/>
      </w:r>
      <w:r>
        <w:t xml:space="preserve"> Indeed, this is a one-size-fits-all argument that could be directed toward essentially any effort to impose an interconnection study deadline as a means of expediting the study process.</w:t>
      </w:r>
    </w:p>
  </w:footnote>
  <w:footnote w:id="585">
    <w:p w:rsidR="00760048" w:rsidRPr="005C2D36" w:rsidP="00071614" w14:paraId="7FCD9B90" w14:textId="77777777">
      <w:pPr>
        <w:pStyle w:val="FootnoteText"/>
      </w:pPr>
      <w:r w:rsidRPr="0072600F">
        <w:rPr>
          <w:rStyle w:val="FootnoteReference"/>
        </w:rPr>
        <w:footnoteRef/>
      </w:r>
      <w:r>
        <w:t xml:space="preserve"> Indicated PJM TOs also cite new NERC standards that may require additional study elements, broadly claiming that this will add to transmission providers’ workloads, </w:t>
      </w:r>
      <w:r w:rsidR="00D80617">
        <w:t xml:space="preserve">Indicated PJM TOs Rehearing Request </w:t>
      </w:r>
      <w:r>
        <w:t>at 30-31, but do not explain why any additional workload associated with these standards would render the deadlines set in Order No. 2023 unjust and unreasonable.</w:t>
      </w:r>
    </w:p>
  </w:footnote>
  <w:footnote w:id="586">
    <w:p w:rsidR="00760048" w:rsidP="00071614" w14:paraId="0DD5D73B" w14:textId="77777777">
      <w:pPr>
        <w:pStyle w:val="FootnoteText"/>
      </w:pPr>
      <w:r w:rsidRPr="0072600F">
        <w:rPr>
          <w:rStyle w:val="FootnoteReference"/>
        </w:rPr>
        <w:footnoteRef/>
      </w:r>
      <w:r>
        <w:t xml:space="preserve"> </w:t>
      </w:r>
      <w:r w:rsidRPr="00405F51">
        <w:t>Dominion Rehearing Request at 24</w:t>
      </w:r>
      <w:r>
        <w:t xml:space="preserve">; </w:t>
      </w:r>
      <w:r w:rsidRPr="00405F51">
        <w:t>MISO TOs Rehearing Request at 18-19</w:t>
      </w:r>
      <w:r>
        <w:t xml:space="preserve">; </w:t>
      </w:r>
      <w:r w:rsidRPr="00405F51">
        <w:t>NYISO Rehearing Request at 35</w:t>
      </w:r>
      <w:r>
        <w:t>.</w:t>
      </w:r>
    </w:p>
  </w:footnote>
  <w:footnote w:id="587">
    <w:p w:rsidR="00760048" w:rsidRPr="000B35BF" w:rsidP="00071614" w14:paraId="5FAEA5E8" w14:textId="77777777">
      <w:pPr>
        <w:pStyle w:val="FootnoteText"/>
        <w:rPr>
          <w:i/>
          <w:iCs/>
        </w:rPr>
      </w:pPr>
      <w:r w:rsidRPr="0072600F">
        <w:rPr>
          <w:rStyle w:val="FootnoteReference"/>
        </w:rPr>
        <w:footnoteRef/>
      </w:r>
      <w:r>
        <w:t xml:space="preserve"> </w:t>
      </w:r>
      <w:r w:rsidRPr="00882B4E">
        <w:rPr>
          <w:i/>
          <w:iCs/>
        </w:rPr>
        <w:t>See, e.g.</w:t>
      </w:r>
      <w:r w:rsidRPr="000B35BF">
        <w:t>, EEI Initial Comments at 16 (describing the interconnection study process as benefitting from collaboration, in which transmission providers “work with project developers as they refine their requests, redesign projects, or modify study parameters for optimum results”); Eversource Initial Comments at 25 (similarly describing interconnection as a collaborative process between the interconnection customer and transmission provider); Indicated PJM TOs Rehearing Request at 37 (describing the “cooperative engagement” between transmission owners and interconnection customers and providing examples of such collaboration to resolve issues arising in the study process)</w:t>
      </w:r>
      <w:r w:rsidR="00CE4AC1">
        <w:t>.</w:t>
      </w:r>
    </w:p>
  </w:footnote>
  <w:footnote w:id="588">
    <w:p w:rsidR="00760048" w:rsidRPr="00B55AD1" w:rsidP="00071614" w14:paraId="4A1FAD51" w14:textId="77777777">
      <w:pPr>
        <w:pStyle w:val="FootnoteText"/>
      </w:pPr>
      <w:r w:rsidRPr="0072600F">
        <w:rPr>
          <w:rStyle w:val="FootnoteReference"/>
        </w:rPr>
        <w:footnoteRef/>
      </w:r>
      <w:r>
        <w:t xml:space="preserve"> </w:t>
      </w:r>
      <w:r>
        <w:rPr>
          <w:i/>
          <w:iCs/>
        </w:rPr>
        <w:t>See, e.g.</w:t>
      </w:r>
      <w:r>
        <w:t xml:space="preserve">, Order No. 2023, </w:t>
      </w:r>
      <w:r w:rsidRPr="00C93E5F">
        <w:t>184 FERC ¶ 61,054</w:t>
      </w:r>
      <w:r>
        <w:t xml:space="preserve"> at P 30 (noting that the “</w:t>
      </w:r>
      <w:r w:rsidRPr="00C93E5F">
        <w:t>vast majority of commenters overwhelmingly agree</w:t>
      </w:r>
      <w:r>
        <w:t>” that reform of</w:t>
      </w:r>
      <w:r w:rsidRPr="00C93E5F">
        <w:t xml:space="preserve"> the Commission's </w:t>
      </w:r>
      <w:r w:rsidRPr="00C93E5F">
        <w:rPr>
          <w:i/>
          <w:iCs/>
        </w:rPr>
        <w:t>pro forma</w:t>
      </w:r>
      <w:r w:rsidRPr="00C93E5F">
        <w:t xml:space="preserve"> interconnection procedures and agreements </w:t>
      </w:r>
      <w:r>
        <w:t xml:space="preserve">is necessary “to ensure that </w:t>
      </w:r>
      <w:r w:rsidRPr="00C93E5F">
        <w:t>interconnection customers are able to interconnect to the transmission system in a reliable, efficient, transparent, and timely manner</w:t>
      </w:r>
      <w:r>
        <w:t>”); MISO Initial Comments at 78 (“</w:t>
      </w:r>
      <w:r w:rsidRPr="00671082">
        <w:t>Errors or omissions discovered later may drive the need for a restudy, causing unscheduled surprises for Interconnection Customers who have already made decisions based on the results of a rushed study.</w:t>
      </w:r>
      <w:r>
        <w:t>”); SPP Initial Comments at 12 (“</w:t>
      </w:r>
      <w:r w:rsidRPr="00114A81">
        <w:t>Interconnection Customers have expressed to SPP that timely results that are inaccurate are useless and that it is imperative that they be able to rely on study results to make sound business decis</w:t>
      </w:r>
      <w:r>
        <w:t xml:space="preserve">ions.”); </w:t>
      </w:r>
      <w:r>
        <w:rPr>
          <w:i/>
          <w:iCs/>
        </w:rPr>
        <w:t xml:space="preserve">cf. </w:t>
      </w:r>
      <w:r>
        <w:t xml:space="preserve">Order No. 2023, </w:t>
      </w:r>
      <w:r w:rsidRPr="00C93E5F">
        <w:t>184 FERC ¶ 61,054</w:t>
      </w:r>
      <w:r>
        <w:t xml:space="preserve"> at </w:t>
      </w:r>
      <w:r w:rsidR="00382CD0">
        <w:t xml:space="preserve">P </w:t>
      </w:r>
      <w:r>
        <w:t>1007 (rejecting arguments that imposing study deadlines and penalties will necessarily reduce study accuracy).</w:t>
      </w:r>
    </w:p>
  </w:footnote>
  <w:footnote w:id="589">
    <w:p w:rsidR="00760048" w:rsidRPr="00F96641" w:rsidP="00071614" w14:paraId="3C48D5D1" w14:textId="77777777">
      <w:pPr>
        <w:pStyle w:val="FootnoteText"/>
      </w:pPr>
      <w:r w:rsidRPr="0072600F">
        <w:rPr>
          <w:rStyle w:val="FootnoteReference"/>
        </w:rPr>
        <w:footnoteRef/>
      </w:r>
      <w:r>
        <w:t xml:space="preserve"> </w:t>
      </w:r>
      <w:r w:rsidRPr="00F31236">
        <w:t>In addition, any such extension would be time-limited and transparent, allowing interconnection customers to better plan around such extensions as compared to ad hoc self-extensions under the reasonable efforts standard</w:t>
      </w:r>
      <w:r>
        <w:t xml:space="preserve">.  </w:t>
      </w:r>
      <w:r>
        <w:rPr>
          <w:i/>
          <w:iCs/>
        </w:rPr>
        <w:t xml:space="preserve">Cf. </w:t>
      </w:r>
      <w:r w:rsidR="00B02F5D">
        <w:t xml:space="preserve">Fervo Reply Comments at 7-8 (explaining that under the status quo with the reasonable efforts standard, interconnection customers face uncertainty, which imposes barriers to entry); </w:t>
      </w:r>
      <w:r>
        <w:t>NARUC Initial Comments at 14 (explaining that missed deadlines create uncertainty in bringing new generation online); SEIA Initial Comments at 32 (noting that backlogs deprive developers of needed business certainty, which can lead to issues like losing site control rights and financing)</w:t>
      </w:r>
      <w:r w:rsidR="00B02F5D">
        <w:t>.</w:t>
      </w:r>
      <w:r>
        <w:t xml:space="preserve"> </w:t>
      </w:r>
    </w:p>
  </w:footnote>
  <w:footnote w:id="590">
    <w:p w:rsidR="00760048" w:rsidP="00071614" w14:paraId="513F8126" w14:textId="77777777">
      <w:pPr>
        <w:pStyle w:val="FootnoteText"/>
      </w:pPr>
      <w:r w:rsidRPr="0072600F">
        <w:rPr>
          <w:rStyle w:val="FootnoteReference"/>
        </w:rPr>
        <w:footnoteRef/>
      </w:r>
      <w:r>
        <w:t xml:space="preserve"> NYISO Rehearing Request at 35 (arguing also that the grace period should not be uniform given variability in study workloads and challenges to the study deadlines themselves).</w:t>
      </w:r>
    </w:p>
  </w:footnote>
  <w:footnote w:id="591">
    <w:p w:rsidR="00760048" w:rsidP="00071614" w14:paraId="0C4A80ED" w14:textId="77777777">
      <w:pPr>
        <w:pStyle w:val="FootnoteText"/>
      </w:pPr>
      <w:r w:rsidRPr="0072600F">
        <w:rPr>
          <w:rStyle w:val="FootnoteReference"/>
        </w:rPr>
        <w:footnoteRef/>
      </w:r>
      <w:r>
        <w:t xml:space="preserve"> Order No. 2023, </w:t>
      </w:r>
      <w:r w:rsidRPr="00B71029">
        <w:t>184 FERC ¶ 61,054</w:t>
      </w:r>
      <w:r>
        <w:t xml:space="preserve"> at P 981.</w:t>
      </w:r>
    </w:p>
  </w:footnote>
  <w:footnote w:id="592">
    <w:p w:rsidR="00760048" w:rsidP="00071614" w14:paraId="2140A9B7" w14:textId="77777777">
      <w:pPr>
        <w:pStyle w:val="FootnoteText"/>
      </w:pPr>
      <w:r w:rsidRPr="0072600F">
        <w:rPr>
          <w:rStyle w:val="FootnoteReference"/>
        </w:rPr>
        <w:footnoteRef/>
      </w:r>
      <w:r>
        <w:t xml:space="preserve"> NYISO Rehearing Request at 37.</w:t>
      </w:r>
    </w:p>
  </w:footnote>
  <w:footnote w:id="593">
    <w:p w:rsidR="00760048" w:rsidP="00071614" w14:paraId="48BB8C00" w14:textId="77777777">
      <w:pPr>
        <w:pStyle w:val="FootnoteText"/>
      </w:pPr>
      <w:r w:rsidRPr="0072600F">
        <w:rPr>
          <w:rStyle w:val="FootnoteReference"/>
        </w:rPr>
        <w:footnoteRef/>
      </w:r>
      <w:r>
        <w:t xml:space="preserve"> Under </w:t>
      </w:r>
      <w:r w:rsidRPr="000E4BC7">
        <w:t>the transition process, in Order No. 2023, the Commission specified that transmission providers already using a cluster study process will not be subject to penalties until the third cluster study cycle after the transmission providers’ compliance filing becomes effective.</w:t>
      </w:r>
      <w:r>
        <w:t xml:space="preserve">  </w:t>
      </w:r>
      <w:r w:rsidRPr="000E4BC7">
        <w:t>Order No. 2023</w:t>
      </w:r>
      <w:r>
        <w:t xml:space="preserve">, </w:t>
      </w:r>
      <w:r w:rsidRPr="00B71029">
        <w:t>184 FERC ¶ 61,054</w:t>
      </w:r>
      <w:r w:rsidRPr="000E4BC7">
        <w:t xml:space="preserve"> at P 980.</w:t>
      </w:r>
    </w:p>
  </w:footnote>
  <w:footnote w:id="594">
    <w:p w:rsidR="00760048" w:rsidP="00071614" w14:paraId="5DF6B085" w14:textId="77777777">
      <w:pPr>
        <w:pStyle w:val="FootnoteText"/>
      </w:pPr>
      <w:r w:rsidRPr="0072600F">
        <w:rPr>
          <w:rStyle w:val="FootnoteReference"/>
        </w:rPr>
        <w:footnoteRef/>
      </w:r>
      <w:r>
        <w:t xml:space="preserve"> </w:t>
      </w:r>
      <w:r>
        <w:rPr>
          <w:i/>
          <w:iCs/>
        </w:rPr>
        <w:t>Id.</w:t>
      </w:r>
      <w:r>
        <w:rPr>
          <w:i/>
        </w:rPr>
        <w:t xml:space="preserve"> </w:t>
      </w:r>
      <w:r>
        <w:t>PP 979-80.</w:t>
      </w:r>
    </w:p>
  </w:footnote>
  <w:footnote w:id="595">
    <w:p w:rsidR="00760048" w14:paraId="5BDEB3F5" w14:textId="77777777">
      <w:pPr>
        <w:pStyle w:val="FootnoteText"/>
      </w:pPr>
      <w:r w:rsidRPr="0072600F">
        <w:rPr>
          <w:rStyle w:val="FootnoteReference"/>
        </w:rPr>
        <w:footnoteRef/>
      </w:r>
      <w:r>
        <w:t xml:space="preserve"> </w:t>
      </w:r>
      <w:r>
        <w:rPr>
          <w:i/>
          <w:iCs/>
        </w:rPr>
        <w:t>See, e.g.</w:t>
      </w:r>
      <w:r>
        <w:t xml:space="preserve">, </w:t>
      </w:r>
      <w:r w:rsidRPr="00F20EA2">
        <w:t>MISO TOs Rehearing Request at 2</w:t>
      </w:r>
      <w:r>
        <w:t>7</w:t>
      </w:r>
      <w:r w:rsidRPr="00F20EA2">
        <w:t>-29</w:t>
      </w:r>
      <w:r>
        <w:t xml:space="preserve">; </w:t>
      </w:r>
      <w:r w:rsidRPr="0006375A">
        <w:t>NYISO Rehearing Request at 29-30 (arguing that “[t]he Commission may not reasonably presume that RTOs/ISOs should be penalized at the same time that it recognizes that overwhelming record evidence demonstrates that other parties will often be solely or substantially responsible for delays” and that RTO/ISO interconnection metrics compliance reports under Order No. 845 are specific evidence of how a variety of complex and interactive factors can cause study delays)</w:t>
      </w:r>
      <w:r>
        <w:t>; NYTOs Rehearing Request at 11-</w:t>
      </w:r>
      <w:r w:rsidRPr="001A290A">
        <w:t>12</w:t>
      </w:r>
      <w:r>
        <w:t>, 23</w:t>
      </w:r>
      <w:r w:rsidRPr="001A290A">
        <w:t xml:space="preserve"> (citing factors that may drive delays due to following Good Utility Practice; asserting that </w:t>
      </w:r>
      <w:r w:rsidRPr="001A290A">
        <w:rPr>
          <w:iCs/>
        </w:rPr>
        <w:t>only if the variables outside of a transmission provider’s control are removed can the Commission have a sufficient evidentiary basis to determine the reasonable efforts standard is unjust and unreasonable</w:t>
      </w:r>
      <w:r w:rsidRPr="001A290A">
        <w:t>)</w:t>
      </w:r>
      <w:r w:rsidR="00E13620">
        <w:t>; PacifiCorp Rehearing Request at 8-9</w:t>
      </w:r>
      <w:r>
        <w:t>.</w:t>
      </w:r>
    </w:p>
  </w:footnote>
  <w:footnote w:id="596">
    <w:p w:rsidR="00760048" w:rsidP="00071614" w14:paraId="09AAAF73" w14:textId="77777777">
      <w:pPr>
        <w:pStyle w:val="FootnoteText"/>
      </w:pPr>
      <w:r w:rsidRPr="0072600F">
        <w:rPr>
          <w:rStyle w:val="FootnoteReference"/>
        </w:rPr>
        <w:footnoteRef/>
      </w:r>
      <w:r>
        <w:t xml:space="preserve"> Avangrid Rehearing Request at 12-13.</w:t>
      </w:r>
    </w:p>
  </w:footnote>
  <w:footnote w:id="597">
    <w:p w:rsidR="00760048" w:rsidRPr="00444BCB" w:rsidP="00071614" w14:paraId="74198266" w14:textId="77777777">
      <w:pPr>
        <w:pStyle w:val="FootnoteText"/>
      </w:pPr>
      <w:r w:rsidRPr="0072600F">
        <w:rPr>
          <w:rStyle w:val="FootnoteReference"/>
        </w:rPr>
        <w:footnoteRef/>
      </w:r>
      <w:r>
        <w:t xml:space="preserve"> </w:t>
      </w:r>
      <w:r>
        <w:rPr>
          <w:i/>
          <w:iCs/>
        </w:rPr>
        <w:t>Id.</w:t>
      </w:r>
      <w:r>
        <w:t xml:space="preserve"> at 15.</w:t>
      </w:r>
    </w:p>
  </w:footnote>
  <w:footnote w:id="598">
    <w:p w:rsidR="00760048" w:rsidP="00071614" w14:paraId="11AC8908" w14:textId="77777777">
      <w:pPr>
        <w:pStyle w:val="FootnoteText"/>
      </w:pPr>
      <w:r w:rsidRPr="0072600F">
        <w:rPr>
          <w:rStyle w:val="FootnoteReference"/>
        </w:rPr>
        <w:footnoteRef/>
      </w:r>
      <w:r>
        <w:t xml:space="preserve"> Indicated PJM TOs Rehearing Request at 23.</w:t>
      </w:r>
    </w:p>
  </w:footnote>
  <w:footnote w:id="599">
    <w:p w:rsidR="00760048" w:rsidRPr="00444BCB" w:rsidP="00071614" w14:paraId="2311A2B1" w14:textId="77777777">
      <w:pPr>
        <w:pStyle w:val="FootnoteText"/>
      </w:pPr>
      <w:r w:rsidRPr="0072600F">
        <w:rPr>
          <w:rStyle w:val="FootnoteReference"/>
        </w:rPr>
        <w:footnoteRef/>
      </w:r>
      <w:r>
        <w:t xml:space="preserve"> </w:t>
      </w:r>
      <w:r>
        <w:rPr>
          <w:i/>
          <w:iCs/>
        </w:rPr>
        <w:t>Id.</w:t>
      </w:r>
      <w:r>
        <w:t xml:space="preserve"> at 23-24 (arguing </w:t>
      </w:r>
      <w:r w:rsidR="00716007">
        <w:t>that</w:t>
      </w:r>
      <w:r>
        <w:t xml:space="preserve"> it is “</w:t>
      </w:r>
      <w:r w:rsidRPr="00444BCB">
        <w:t>not clear whether the Commission intends to impose the burden of proof on transmission owners to demonstrate that the assignment of costs by the transmission provider was unreasonable</w:t>
      </w:r>
      <w:r>
        <w:t>” or whether transmission owners can show good cause by showing that the transmission provider or another entity caused the delay).</w:t>
      </w:r>
    </w:p>
  </w:footnote>
  <w:footnote w:id="600">
    <w:p w:rsidR="00760048" w:rsidRPr="0093019F" w:rsidP="00071614" w14:paraId="769B2F46" w14:textId="77777777">
      <w:pPr>
        <w:pStyle w:val="FootnoteText"/>
        <w:rPr>
          <w:i/>
          <w:iCs/>
        </w:rPr>
      </w:pPr>
      <w:r w:rsidRPr="0072600F">
        <w:rPr>
          <w:rStyle w:val="FootnoteReference"/>
        </w:rPr>
        <w:footnoteRef/>
      </w:r>
      <w:r>
        <w:t xml:space="preserve"> </w:t>
      </w:r>
      <w:r>
        <w:rPr>
          <w:i/>
          <w:iCs/>
        </w:rPr>
        <w:t>Id.</w:t>
      </w:r>
      <w:r>
        <w:t xml:space="preserve"> at 24 (arguing that the appeals process must be conducted </w:t>
      </w:r>
      <w:r>
        <w:rPr>
          <w:i/>
          <w:iCs/>
        </w:rPr>
        <w:t>de novo</w:t>
      </w:r>
      <w:r>
        <w:t xml:space="preserve">); </w:t>
      </w:r>
      <w:r>
        <w:rPr>
          <w:i/>
          <w:iCs/>
        </w:rPr>
        <w:t xml:space="preserve">see also </w:t>
      </w:r>
      <w:r w:rsidRPr="0093019F">
        <w:rPr>
          <w:i/>
          <w:iCs/>
        </w:rPr>
        <w:t>id.</w:t>
      </w:r>
      <w:r w:rsidRPr="0093019F">
        <w:t xml:space="preserve"> at 24-25 (asserting that the other safeguards </w:t>
      </w:r>
      <w:r>
        <w:t xml:space="preserve">to the imposition of penalties that </w:t>
      </w:r>
      <w:r w:rsidRPr="0093019F">
        <w:t xml:space="preserve">the Commission </w:t>
      </w:r>
      <w:r>
        <w:t xml:space="preserve">adopted in Order No. 2023 </w:t>
      </w:r>
      <w:r w:rsidRPr="0093019F">
        <w:t xml:space="preserve">are </w:t>
      </w:r>
      <w:r>
        <w:t>inadequate to alleviate these concerns).</w:t>
      </w:r>
    </w:p>
  </w:footnote>
  <w:footnote w:id="601">
    <w:p w:rsidR="00760048" w:rsidP="00071614" w14:paraId="3A717B81" w14:textId="77777777">
      <w:pPr>
        <w:pStyle w:val="FootnoteText"/>
      </w:pPr>
      <w:r w:rsidRPr="0072600F">
        <w:rPr>
          <w:rStyle w:val="FootnoteReference"/>
        </w:rPr>
        <w:footnoteRef/>
      </w:r>
      <w:r w:rsidRPr="00FC2E63">
        <w:t xml:space="preserve"> </w:t>
      </w:r>
      <w:r>
        <w:t>MISO TOs Rehearing Request</w:t>
      </w:r>
      <w:r w:rsidRPr="00FC2E63">
        <w:t xml:space="preserve"> at 31-32</w:t>
      </w:r>
      <w:r>
        <w:t xml:space="preserve"> (citing </w:t>
      </w:r>
      <w:r w:rsidRPr="005F7BA8">
        <w:rPr>
          <w:i/>
          <w:iCs/>
        </w:rPr>
        <w:t>Acosta Orellana v. CropLife Int’l</w:t>
      </w:r>
      <w:r w:rsidRPr="005F7BA8">
        <w:t>, 711 F. Supp. 2d 81, 105 (D.D.C. 2010)</w:t>
      </w:r>
      <w:r>
        <w:t>)</w:t>
      </w:r>
      <w:r w:rsidRPr="00FC2E63">
        <w:t>.</w:t>
      </w:r>
    </w:p>
  </w:footnote>
  <w:footnote w:id="602">
    <w:p w:rsidR="00760048" w:rsidRPr="0093019F" w:rsidP="00071614" w14:paraId="2E9BCD12" w14:textId="77777777">
      <w:pPr>
        <w:pStyle w:val="FootnoteText"/>
        <w:rPr>
          <w:iCs/>
        </w:rPr>
      </w:pPr>
      <w:r w:rsidRPr="0072600F">
        <w:rPr>
          <w:rStyle w:val="FootnoteReference"/>
        </w:rPr>
        <w:footnoteRef/>
      </w:r>
      <w:r>
        <w:t xml:space="preserve"> </w:t>
      </w:r>
      <w:r>
        <w:rPr>
          <w:i/>
        </w:rPr>
        <w:t>Id.</w:t>
      </w:r>
      <w:r>
        <w:rPr>
          <w:iCs/>
        </w:rPr>
        <w:t xml:space="preserve"> at 34-36 (arguing that this </w:t>
      </w:r>
      <w:r w:rsidRPr="00F20EA2">
        <w:rPr>
          <w:iCs/>
        </w:rPr>
        <w:t xml:space="preserve">inappropriately shifts the </w:t>
      </w:r>
      <w:r>
        <w:rPr>
          <w:iCs/>
        </w:rPr>
        <w:t>Commission’s burden</w:t>
      </w:r>
      <w:r w:rsidRPr="00F20EA2">
        <w:rPr>
          <w:iCs/>
        </w:rPr>
        <w:t xml:space="preserve"> to prove a violation to the </w:t>
      </w:r>
      <w:r>
        <w:rPr>
          <w:iCs/>
        </w:rPr>
        <w:t>transmission provider</w:t>
      </w:r>
      <w:r w:rsidRPr="00F20EA2">
        <w:rPr>
          <w:iCs/>
        </w:rPr>
        <w:t xml:space="preserve"> to disprove it</w:t>
      </w:r>
      <w:r>
        <w:rPr>
          <w:iCs/>
        </w:rPr>
        <w:t xml:space="preserve"> and asserting that it is not clear under what statutory provision, or under what authority, the penalty appeal will be conducted).</w:t>
      </w:r>
    </w:p>
  </w:footnote>
  <w:footnote w:id="603">
    <w:p w:rsidR="00760048" w:rsidRPr="00A40F61" w:rsidP="00071614" w14:paraId="2A16F0C6" w14:textId="77777777">
      <w:pPr>
        <w:pStyle w:val="FootnoteText"/>
      </w:pPr>
      <w:r w:rsidRPr="0072600F">
        <w:rPr>
          <w:rStyle w:val="FootnoteReference"/>
        </w:rPr>
        <w:footnoteRef/>
      </w:r>
      <w:r>
        <w:t xml:space="preserve"> PacifiCorp Rehearing Request at 8-9; </w:t>
      </w:r>
      <w:r>
        <w:rPr>
          <w:i/>
          <w:iCs/>
        </w:rPr>
        <w:t xml:space="preserve">see also id. </w:t>
      </w:r>
      <w:r w:rsidRPr="00F20EA2">
        <w:t>at 4-5 (“The Final Rule violates the due process clause of the Fifth Amendment to the U.S. Constitution by assessing penalties with no development of a factual record about whether the transmission provider did anything wrong.”)</w:t>
      </w:r>
      <w:r>
        <w:t>.</w:t>
      </w:r>
    </w:p>
  </w:footnote>
  <w:footnote w:id="604">
    <w:p w:rsidR="00760048" w:rsidRPr="00A40F61" w:rsidP="00071614" w14:paraId="4D1FAF79" w14:textId="77777777">
      <w:pPr>
        <w:pStyle w:val="FootnoteText"/>
      </w:pPr>
      <w:r w:rsidRPr="0072600F">
        <w:rPr>
          <w:rStyle w:val="FootnoteReference"/>
        </w:rPr>
        <w:footnoteRef/>
      </w:r>
      <w:r>
        <w:t xml:space="preserve"> </w:t>
      </w:r>
      <w:r>
        <w:rPr>
          <w:i/>
          <w:iCs/>
        </w:rPr>
        <w:t>Id.</w:t>
      </w:r>
      <w:r>
        <w:t xml:space="preserve"> at 9 (</w:t>
      </w:r>
      <w:r w:rsidRPr="005D7619">
        <w:t>citing Order No. 2023</w:t>
      </w:r>
      <w:r>
        <w:t xml:space="preserve">, </w:t>
      </w:r>
      <w:r w:rsidRPr="006B507A">
        <w:t>184 FERC ¶ 61,054</w:t>
      </w:r>
      <w:r w:rsidRPr="005D7619">
        <w:t xml:space="preserve"> at P 993)</w:t>
      </w:r>
      <w:r>
        <w:t>.</w:t>
      </w:r>
    </w:p>
  </w:footnote>
  <w:footnote w:id="605">
    <w:p w:rsidR="00760048" w:rsidRPr="00A40F61" w:rsidP="00071614" w14:paraId="539BA31A" w14:textId="77777777">
      <w:pPr>
        <w:pStyle w:val="FootnoteText"/>
      </w:pPr>
      <w:r w:rsidRPr="0072600F">
        <w:rPr>
          <w:rStyle w:val="FootnoteReference"/>
        </w:rPr>
        <w:footnoteRef/>
      </w:r>
      <w:r>
        <w:t xml:space="preserve"> </w:t>
      </w:r>
      <w:r>
        <w:rPr>
          <w:i/>
          <w:iCs/>
        </w:rPr>
        <w:t>Id.</w:t>
      </w:r>
      <w:r>
        <w:t xml:space="preserve"> (asserting that t</w:t>
      </w:r>
      <w:r w:rsidRPr="00F20EA2">
        <w:t>he Commission</w:t>
      </w:r>
      <w:r w:rsidRPr="00A93709">
        <w:t xml:space="preserve"> has well-established standards for tariff waivers</w:t>
      </w:r>
      <w:r w:rsidRPr="00F20EA2">
        <w:t xml:space="preserve"> but has not been clear that the traditional waiver standards apply</w:t>
      </w:r>
      <w:r>
        <w:t xml:space="preserve">).  </w:t>
      </w:r>
    </w:p>
  </w:footnote>
  <w:footnote w:id="606">
    <w:p w:rsidR="00760048" w:rsidP="00071614" w14:paraId="14CCF6BD" w14:textId="77777777">
      <w:pPr>
        <w:pStyle w:val="FootnoteText"/>
      </w:pPr>
      <w:r w:rsidRPr="0072600F">
        <w:rPr>
          <w:rStyle w:val="FootnoteReference"/>
        </w:rPr>
        <w:footnoteRef/>
      </w:r>
      <w:r w:rsidRPr="00F20EA2">
        <w:t xml:space="preserve"> </w:t>
      </w:r>
      <w:r>
        <w:t>NYISO Rehearing Request</w:t>
      </w:r>
      <w:r w:rsidRPr="00F20EA2">
        <w:t xml:space="preserve"> at 32-33</w:t>
      </w:r>
      <w:r>
        <w:t xml:space="preserve"> (noting that due process requirements dictate fair and proportionate penalties, rather than excessively punitive penalties) (citing </w:t>
      </w:r>
      <w:r w:rsidRPr="00336637" w:rsidR="00336637">
        <w:rPr>
          <w:i/>
          <w:iCs/>
        </w:rPr>
        <w:t>Enf’t of Statu</w:t>
      </w:r>
      <w:r w:rsidR="00DF3619">
        <w:rPr>
          <w:i/>
          <w:iCs/>
        </w:rPr>
        <w:t>t</w:t>
      </w:r>
      <w:r w:rsidRPr="00336637" w:rsidR="00336637">
        <w:rPr>
          <w:i/>
          <w:iCs/>
        </w:rPr>
        <w:t>es, Ords., Rules &amp; Reguls.</w:t>
      </w:r>
      <w:r w:rsidRPr="00A416FA">
        <w:t>, 132 FERC ¶ 61,216</w:t>
      </w:r>
      <w:r w:rsidR="00343CBF">
        <w:t>,</w:t>
      </w:r>
      <w:r w:rsidRPr="00A416FA">
        <w:t xml:space="preserve"> at P 222 (2008); </w:t>
      </w:r>
      <w:r w:rsidRPr="00A416FA">
        <w:rPr>
          <w:i/>
          <w:iCs/>
        </w:rPr>
        <w:t>Enf</w:t>
      </w:r>
      <w:r w:rsidR="00336637">
        <w:rPr>
          <w:i/>
          <w:iCs/>
        </w:rPr>
        <w:t>’</w:t>
      </w:r>
      <w:r w:rsidRPr="00A416FA">
        <w:rPr>
          <w:i/>
          <w:iCs/>
        </w:rPr>
        <w:t>t of Statutes, Reguls</w:t>
      </w:r>
      <w:r w:rsidR="00336637">
        <w:rPr>
          <w:i/>
          <w:iCs/>
        </w:rPr>
        <w:t>.</w:t>
      </w:r>
      <w:r w:rsidRPr="00A416FA">
        <w:rPr>
          <w:i/>
          <w:iCs/>
        </w:rPr>
        <w:t xml:space="preserve"> </w:t>
      </w:r>
      <w:r w:rsidR="00336637">
        <w:rPr>
          <w:i/>
          <w:iCs/>
        </w:rPr>
        <w:t>&amp;</w:t>
      </w:r>
      <w:r w:rsidRPr="00A416FA">
        <w:rPr>
          <w:i/>
          <w:iCs/>
        </w:rPr>
        <w:t xml:space="preserve"> Ords</w:t>
      </w:r>
      <w:r w:rsidR="00336637">
        <w:rPr>
          <w:i/>
          <w:iCs/>
        </w:rPr>
        <w:t>.</w:t>
      </w:r>
      <w:r w:rsidRPr="00A416FA">
        <w:t>, 123 FERC ¶ 61,156, at P</w:t>
      </w:r>
      <w:r>
        <w:t>P</w:t>
      </w:r>
      <w:r w:rsidRPr="00A416FA">
        <w:t xml:space="preserve"> 50-71 (2008)</w:t>
      </w:r>
      <w:r>
        <w:t>).</w:t>
      </w:r>
    </w:p>
  </w:footnote>
  <w:footnote w:id="607">
    <w:p w:rsidR="00760048" w:rsidRPr="00ED22D3" w:rsidP="00071614" w14:paraId="16225F6B" w14:textId="77777777">
      <w:pPr>
        <w:pStyle w:val="FootnoteText"/>
      </w:pPr>
      <w:r w:rsidRPr="0072600F">
        <w:rPr>
          <w:rStyle w:val="FootnoteReference"/>
        </w:rPr>
        <w:footnoteRef/>
      </w:r>
      <w:r>
        <w:t xml:space="preserve"> </w:t>
      </w:r>
      <w:r>
        <w:rPr>
          <w:i/>
          <w:iCs/>
        </w:rPr>
        <w:t>Id.</w:t>
      </w:r>
      <w:r>
        <w:t xml:space="preserve"> at 33-34 (claiming that the burden will be “unreasonably heavy” given that the Commission decided not to adopt a structure providing for penalties only when a factor causing delay can conclusively be determined to be within a transmission provider’s control).</w:t>
      </w:r>
    </w:p>
  </w:footnote>
  <w:footnote w:id="608">
    <w:p w:rsidR="00760048" w:rsidP="00071614" w14:paraId="3FB34C89" w14:textId="77777777">
      <w:pPr>
        <w:pStyle w:val="FootnoteText"/>
      </w:pPr>
      <w:r w:rsidRPr="0072600F">
        <w:rPr>
          <w:rStyle w:val="FootnoteReference"/>
        </w:rPr>
        <w:footnoteRef/>
      </w:r>
      <w:r>
        <w:t xml:space="preserve"> WIRES Rehearing Request at 6-7.</w:t>
      </w:r>
    </w:p>
  </w:footnote>
  <w:footnote w:id="609">
    <w:p w:rsidR="00760048" w:rsidRPr="00CD3D4F" w:rsidP="00071614" w14:paraId="5C8BF43E" w14:textId="77777777">
      <w:pPr>
        <w:pStyle w:val="FootnoteText"/>
      </w:pPr>
      <w:r w:rsidRPr="0072600F">
        <w:rPr>
          <w:rStyle w:val="FootnoteReference"/>
        </w:rPr>
        <w:footnoteRef/>
      </w:r>
      <w:r>
        <w:t xml:space="preserve"> </w:t>
      </w:r>
      <w:r>
        <w:rPr>
          <w:i/>
          <w:iCs/>
        </w:rPr>
        <w:t>Id.</w:t>
      </w:r>
      <w:r>
        <w:t xml:space="preserve"> (arguing that penalties cannot reduce delays that occur for reasons beyond the transmission providers’ control).</w:t>
      </w:r>
    </w:p>
  </w:footnote>
  <w:footnote w:id="610">
    <w:p w:rsidR="00760048" w:rsidRPr="00CD3D4F" w:rsidP="00071614" w14:paraId="0025CB83" w14:textId="77777777">
      <w:pPr>
        <w:pStyle w:val="FootnoteText"/>
      </w:pPr>
      <w:r w:rsidRPr="0072600F">
        <w:rPr>
          <w:rStyle w:val="FootnoteReference"/>
        </w:rPr>
        <w:footnoteRef/>
      </w:r>
      <w:r>
        <w:t xml:space="preserve"> NYTOs Rehearing Request at 12-13.</w:t>
      </w:r>
    </w:p>
  </w:footnote>
  <w:footnote w:id="611">
    <w:p w:rsidR="00760048" w:rsidRPr="00CD3D4F" w:rsidP="00071614" w14:paraId="44FD2406" w14:textId="77777777">
      <w:pPr>
        <w:pStyle w:val="FootnoteText"/>
      </w:pPr>
      <w:r w:rsidRPr="0072600F">
        <w:rPr>
          <w:rStyle w:val="FootnoteReference"/>
        </w:rPr>
        <w:footnoteRef/>
      </w:r>
      <w:r>
        <w:t xml:space="preserve"> </w:t>
      </w:r>
      <w:r w:rsidR="00A32B99">
        <w:rPr>
          <w:i/>
          <w:iCs/>
        </w:rPr>
        <w:t>I</w:t>
      </w:r>
      <w:r>
        <w:rPr>
          <w:i/>
          <w:iCs/>
        </w:rPr>
        <w:t>d.</w:t>
      </w:r>
      <w:r>
        <w:t xml:space="preserve"> at 12; </w:t>
      </w:r>
      <w:r>
        <w:rPr>
          <w:i/>
          <w:iCs/>
        </w:rPr>
        <w:t>see also id.</w:t>
      </w:r>
      <w:r>
        <w:t xml:space="preserve"> at 27 (asserting that Order No. 2023 does not </w:t>
      </w:r>
      <w:r w:rsidRPr="00F20EA2">
        <w:t xml:space="preserve">confirm that </w:t>
      </w:r>
      <w:r>
        <w:t>transmission providers</w:t>
      </w:r>
      <w:r w:rsidRPr="00F20EA2">
        <w:t xml:space="preserve"> will not be penalized when a delay is not their fault</w:t>
      </w:r>
      <w:r>
        <w:t xml:space="preserve">, and that the </w:t>
      </w:r>
      <w:r w:rsidRPr="00F20EA2">
        <w:t xml:space="preserve">cost of an appeal may cause </w:t>
      </w:r>
      <w:r>
        <w:t>transmission providers</w:t>
      </w:r>
      <w:r w:rsidRPr="00F20EA2">
        <w:t xml:space="preserve"> to accede to minor penalties</w:t>
      </w:r>
      <w:r>
        <w:t>).</w:t>
      </w:r>
    </w:p>
  </w:footnote>
  <w:footnote w:id="612">
    <w:p w:rsidR="00760048" w:rsidP="00071614" w14:paraId="3E5BE64E" w14:textId="77777777">
      <w:pPr>
        <w:pStyle w:val="FootnoteText"/>
      </w:pPr>
      <w:r w:rsidRPr="0072600F">
        <w:rPr>
          <w:rStyle w:val="FootnoteReference"/>
        </w:rPr>
        <w:footnoteRef/>
      </w:r>
      <w:r>
        <w:t xml:space="preserve"> PJM Rehearing Request at 31 (arguing that the </w:t>
      </w:r>
      <w:r w:rsidRPr="00F20EA2">
        <w:t>Commission has recognized the need to protect due process rights in other instances</w:t>
      </w:r>
      <w:r>
        <w:t xml:space="preserve">; citing </w:t>
      </w:r>
      <w:r w:rsidRPr="00F20EA2">
        <w:rPr>
          <w:i/>
          <w:iCs/>
        </w:rPr>
        <w:t>Enf</w:t>
      </w:r>
      <w:r w:rsidR="00DF3619">
        <w:rPr>
          <w:i/>
          <w:iCs/>
        </w:rPr>
        <w:t>’</w:t>
      </w:r>
      <w:r w:rsidRPr="00F20EA2">
        <w:rPr>
          <w:i/>
          <w:iCs/>
        </w:rPr>
        <w:t>t of Statutes, Reguls</w:t>
      </w:r>
      <w:r w:rsidR="00DF3619">
        <w:rPr>
          <w:i/>
          <w:iCs/>
        </w:rPr>
        <w:t>.</w:t>
      </w:r>
      <w:r w:rsidRPr="00F20EA2">
        <w:rPr>
          <w:i/>
          <w:iCs/>
        </w:rPr>
        <w:t xml:space="preserve"> </w:t>
      </w:r>
      <w:r w:rsidR="00DF3619">
        <w:rPr>
          <w:i/>
          <w:iCs/>
        </w:rPr>
        <w:t>&amp;</w:t>
      </w:r>
      <w:r w:rsidRPr="00F20EA2" w:rsidR="00DF3619">
        <w:rPr>
          <w:i/>
          <w:iCs/>
        </w:rPr>
        <w:t xml:space="preserve"> </w:t>
      </w:r>
      <w:r w:rsidRPr="00F20EA2">
        <w:rPr>
          <w:i/>
          <w:iCs/>
        </w:rPr>
        <w:t>Ords</w:t>
      </w:r>
      <w:r w:rsidR="00DF3619">
        <w:rPr>
          <w:i/>
          <w:iCs/>
        </w:rPr>
        <w:t>.</w:t>
      </w:r>
      <w:r w:rsidRPr="00F20EA2">
        <w:t>, 123 FERC ¶ 61,156 at PP 40, 51</w:t>
      </w:r>
      <w:r>
        <w:t>; 16</w:t>
      </w:r>
      <w:r w:rsidRPr="00F20EA2">
        <w:t xml:space="preserve"> U.S.C. § 825o-1</w:t>
      </w:r>
      <w:r>
        <w:t>).</w:t>
      </w:r>
    </w:p>
  </w:footnote>
  <w:footnote w:id="613">
    <w:p w:rsidR="00760048" w:rsidRPr="00CC63CC" w:rsidP="00071614" w14:paraId="669F0451" w14:textId="77777777">
      <w:pPr>
        <w:pStyle w:val="FootnoteText"/>
      </w:pPr>
      <w:r w:rsidRPr="0072600F">
        <w:rPr>
          <w:rStyle w:val="FootnoteReference"/>
        </w:rPr>
        <w:footnoteRef/>
      </w:r>
      <w:r>
        <w:t xml:space="preserve"> </w:t>
      </w:r>
      <w:r>
        <w:rPr>
          <w:i/>
          <w:iCs/>
        </w:rPr>
        <w:t>Id.</w:t>
      </w:r>
      <w:r>
        <w:t xml:space="preserve"> (asserting that Order No. 2023 stated that “</w:t>
      </w:r>
      <w:r w:rsidRPr="00CC63CC">
        <w:t>details</w:t>
      </w:r>
      <w:r>
        <w:t xml:space="preserve"> </w:t>
      </w:r>
      <w:r w:rsidRPr="00CC63CC">
        <w:t>such as whether the penalized transmission provider actually is responsible for the study</w:t>
      </w:r>
      <w:r>
        <w:t xml:space="preserve"> </w:t>
      </w:r>
      <w:r w:rsidRPr="00CC63CC">
        <w:t xml:space="preserve">delay are </w:t>
      </w:r>
      <w:r>
        <w:t>‘</w:t>
      </w:r>
      <w:r w:rsidRPr="00CC63CC">
        <w:t>addressed to some extent through the ability to appeal.</w:t>
      </w:r>
      <w:r>
        <w:t xml:space="preserve">’” (quoting Order No. 2023, </w:t>
      </w:r>
      <w:r w:rsidRPr="00BB4C89">
        <w:t>184 FERC ¶ 61,054</w:t>
      </w:r>
      <w:r>
        <w:t xml:space="preserve"> at P 989)).</w:t>
      </w:r>
    </w:p>
  </w:footnote>
  <w:footnote w:id="614">
    <w:p w:rsidR="00760048" w:rsidP="00071614" w14:paraId="7D758A4A" w14:textId="77777777">
      <w:pPr>
        <w:pStyle w:val="FootnoteText"/>
      </w:pPr>
      <w:r w:rsidRPr="0072600F">
        <w:rPr>
          <w:rStyle w:val="FootnoteReference"/>
        </w:rPr>
        <w:footnoteRef/>
      </w:r>
      <w:r>
        <w:t xml:space="preserve"> </w:t>
      </w:r>
      <w:r>
        <w:rPr>
          <w:i/>
          <w:iCs/>
        </w:rPr>
        <w:t>Id.</w:t>
      </w:r>
      <w:r>
        <w:t xml:space="preserve"> at 31-32.</w:t>
      </w:r>
    </w:p>
  </w:footnote>
  <w:footnote w:id="615">
    <w:p w:rsidR="00760048" w:rsidRPr="00285725" w:rsidP="00071614" w14:paraId="2147242F" w14:textId="77777777">
      <w:pPr>
        <w:pStyle w:val="FootnoteText"/>
      </w:pPr>
      <w:r w:rsidRPr="0072600F">
        <w:rPr>
          <w:rStyle w:val="FootnoteReference"/>
        </w:rPr>
        <w:footnoteRef/>
      </w:r>
      <w:r>
        <w:t xml:space="preserve"> Avangrid Rehearing Request at 12-13.</w:t>
      </w:r>
    </w:p>
  </w:footnote>
  <w:footnote w:id="616">
    <w:p w:rsidR="00760048" w:rsidP="00071614" w14:paraId="4143D6BF" w14:textId="77777777">
      <w:pPr>
        <w:pStyle w:val="FootnoteText"/>
      </w:pPr>
      <w:r w:rsidRPr="0072600F">
        <w:rPr>
          <w:rStyle w:val="FootnoteReference"/>
        </w:rPr>
        <w:footnoteRef/>
      </w:r>
      <w:r>
        <w:t xml:space="preserve"> MISO TOs Rehearing Request at 35-36.</w:t>
      </w:r>
    </w:p>
  </w:footnote>
  <w:footnote w:id="617">
    <w:p w:rsidR="00760048" w:rsidP="00071614" w14:paraId="629235A7" w14:textId="77777777">
      <w:pPr>
        <w:pStyle w:val="FootnoteText"/>
      </w:pPr>
      <w:r w:rsidRPr="0072600F">
        <w:rPr>
          <w:rStyle w:val="FootnoteReference"/>
        </w:rPr>
        <w:footnoteRef/>
      </w:r>
      <w:r>
        <w:t xml:space="preserve"> NYISO Rehearing Request at 33-34.</w:t>
      </w:r>
    </w:p>
  </w:footnote>
  <w:footnote w:id="618">
    <w:p w:rsidR="00760048" w:rsidP="00071614" w14:paraId="1E212076" w14:textId="77777777">
      <w:pPr>
        <w:pStyle w:val="FootnoteText"/>
      </w:pPr>
      <w:r w:rsidRPr="0072600F">
        <w:rPr>
          <w:rStyle w:val="FootnoteReference"/>
        </w:rPr>
        <w:footnoteRef/>
      </w:r>
      <w:r>
        <w:t xml:space="preserve"> NYTOs Rehearing Request at 24-25 &amp; n.67 (asserting that courts have found that due process requires hearing procedures for the adjudication of genuine disputes of material fact; arguing that the “good cause” standard is </w:t>
      </w:r>
      <w:r w:rsidRPr="008044D2">
        <w:t>a novel ratemaking standard that the Commission fails to justify).</w:t>
      </w:r>
    </w:p>
  </w:footnote>
  <w:footnote w:id="619">
    <w:p w:rsidR="00760048" w:rsidRPr="00B84777" w:rsidP="00071614" w14:paraId="77E70BB5" w14:textId="77777777">
      <w:pPr>
        <w:pStyle w:val="FootnoteText"/>
      </w:pPr>
      <w:r w:rsidRPr="0072600F">
        <w:rPr>
          <w:rStyle w:val="FootnoteReference"/>
        </w:rPr>
        <w:footnoteRef/>
      </w:r>
      <w:r>
        <w:t xml:space="preserve"> </w:t>
      </w:r>
      <w:r>
        <w:rPr>
          <w:i/>
          <w:iCs/>
        </w:rPr>
        <w:t xml:space="preserve">See </w:t>
      </w:r>
      <w:r w:rsidRPr="00B84777">
        <w:t xml:space="preserve">Avangrid Rehearing Request at 15 (arguing that the appeals process is inequitable because it does not ensure exoneration where a </w:t>
      </w:r>
      <w:r>
        <w:t>transmission</w:t>
      </w:r>
      <w:r w:rsidRPr="00B84777">
        <w:t xml:space="preserve"> </w:t>
      </w:r>
      <w:r>
        <w:t xml:space="preserve">provider </w:t>
      </w:r>
      <w:r w:rsidRPr="00B84777">
        <w:t xml:space="preserve">is not at fault, such as in the case of </w:t>
      </w:r>
      <w:r w:rsidRPr="00B84777">
        <w:rPr>
          <w:i/>
          <w:iCs/>
        </w:rPr>
        <w:t>force majeure</w:t>
      </w:r>
      <w:r>
        <w:t xml:space="preserve"> or where the delay may be due to multiple factors</w:t>
      </w:r>
      <w:r w:rsidRPr="00B84777">
        <w:t>)</w:t>
      </w:r>
      <w:r>
        <w:t xml:space="preserve">; </w:t>
      </w:r>
      <w:r w:rsidRPr="005D4453">
        <w:t xml:space="preserve">EEI Rehearing Request at 8 (arguing that the Commission failed to provide an exception for </w:t>
      </w:r>
      <w:r w:rsidRPr="005D4453">
        <w:rPr>
          <w:i/>
          <w:iCs/>
        </w:rPr>
        <w:t>force majeure</w:t>
      </w:r>
      <w:r>
        <w:t xml:space="preserve">, which has a specific definition in the </w:t>
      </w:r>
      <w:r>
        <w:rPr>
          <w:i/>
          <w:iCs/>
        </w:rPr>
        <w:t>pro forma</w:t>
      </w:r>
      <w:r>
        <w:t xml:space="preserve"> LGIP and </w:t>
      </w:r>
      <w:r w:rsidRPr="006B4AB2">
        <w:rPr>
          <w:i/>
          <w:iCs/>
        </w:rPr>
        <w:t>pro forma</w:t>
      </w:r>
      <w:r>
        <w:t xml:space="preserve"> LGIA reflecting circumstances beyond a parties’ control, and asserting that where a transmission provider has declared </w:t>
      </w:r>
      <w:r>
        <w:rPr>
          <w:i/>
          <w:iCs/>
        </w:rPr>
        <w:t>force majeure</w:t>
      </w:r>
      <w:r>
        <w:t xml:space="preserve"> assessing a penalty and requiring an appeal is an unnecessary burden and will take time away from completing pending studies); </w:t>
      </w:r>
      <w:r w:rsidRPr="005D4453">
        <w:t xml:space="preserve">NYISO Rehearing </w:t>
      </w:r>
      <w:r w:rsidR="00F91353">
        <w:t xml:space="preserve">Request </w:t>
      </w:r>
      <w:r w:rsidRPr="005D4453">
        <w:t xml:space="preserve">at 37-38 (arguing that the Commission erroneously failed to adopt the </w:t>
      </w:r>
      <w:r w:rsidRPr="005D4453">
        <w:rPr>
          <w:i/>
          <w:iCs/>
        </w:rPr>
        <w:t>force majeure</w:t>
      </w:r>
      <w:r w:rsidRPr="005D4453">
        <w:t xml:space="preserve"> exception given the purported flaws associated with the appeals process)</w:t>
      </w:r>
      <w:r>
        <w:t xml:space="preserve">; </w:t>
      </w:r>
      <w:r w:rsidRPr="00034930">
        <w:t>NYTOs Rehearing Request at 27</w:t>
      </w:r>
      <w:r>
        <w:t xml:space="preserve"> (requesting clarification on this point)</w:t>
      </w:r>
      <w:r w:rsidR="00E44E06">
        <w:t xml:space="preserve">; </w:t>
      </w:r>
      <w:r w:rsidRPr="005D4453" w:rsidR="00E44E06">
        <w:t xml:space="preserve">PJM Rehearing Request at 31-32 (“Moreover, the Final Rule fails to explain how removing </w:t>
      </w:r>
      <w:r w:rsidRPr="006B4AB2" w:rsidR="00E44E06">
        <w:rPr>
          <w:i/>
          <w:iCs/>
        </w:rPr>
        <w:t>force majeure</w:t>
      </w:r>
      <w:r w:rsidRPr="005D4453" w:rsidR="00E44E06">
        <w:t xml:space="preserve"> as a reason penalties would not apply and refusing to impose penalties ‘only where a factor can be conclusively demonstrated to be within a transmission provider’s control’ is logical”)</w:t>
      </w:r>
      <w:r>
        <w:t>.</w:t>
      </w:r>
    </w:p>
  </w:footnote>
  <w:footnote w:id="620">
    <w:p w:rsidR="00760048" w:rsidP="00071614" w14:paraId="75B90B79" w14:textId="77777777">
      <w:pPr>
        <w:pStyle w:val="FootnoteText"/>
      </w:pPr>
      <w:r w:rsidRPr="0072600F">
        <w:rPr>
          <w:rStyle w:val="FootnoteReference"/>
        </w:rPr>
        <w:footnoteRef/>
      </w:r>
      <w:r>
        <w:t xml:space="preserve"> </w:t>
      </w:r>
      <w:r w:rsidRPr="00F2138C">
        <w:t>PacifiCorp Rehearing Request at 13-15 (“Transmission providers therefore should not: (1) be penalized if, as portrayed in the example above, it takes more than 150 Calendar Days to complete as the study due to responding to such interconnection customer actions; or (2) expend resources and effort to submit an appeal when the transmission provider is prudently incorporating changes from one or more interconnection customers . . . .”)</w:t>
      </w:r>
      <w:r>
        <w:t>.</w:t>
      </w:r>
    </w:p>
  </w:footnote>
  <w:footnote w:id="621">
    <w:p w:rsidR="00760048" w:rsidRPr="00F2138C" w:rsidP="00071614" w14:paraId="56FA1060" w14:textId="77777777">
      <w:pPr>
        <w:pStyle w:val="FootnoteText"/>
      </w:pPr>
      <w:r w:rsidRPr="0072600F">
        <w:rPr>
          <w:rStyle w:val="FootnoteReference"/>
        </w:rPr>
        <w:footnoteRef/>
      </w:r>
      <w:r>
        <w:t xml:space="preserve"> </w:t>
      </w:r>
      <w:r>
        <w:rPr>
          <w:i/>
          <w:iCs/>
        </w:rPr>
        <w:t>Id.</w:t>
      </w:r>
      <w:r>
        <w:t xml:space="preserve"> at 15.</w:t>
      </w:r>
    </w:p>
  </w:footnote>
  <w:footnote w:id="622">
    <w:p w:rsidR="00760048" w:rsidP="00071614" w14:paraId="5253109C" w14:textId="77777777">
      <w:pPr>
        <w:pStyle w:val="FootnoteText"/>
      </w:pPr>
      <w:r w:rsidRPr="0072600F">
        <w:rPr>
          <w:rStyle w:val="FootnoteReference"/>
        </w:rPr>
        <w:footnoteRef/>
      </w:r>
      <w:r w:rsidRPr="008044D2">
        <w:t xml:space="preserve"> </w:t>
      </w:r>
      <w:r>
        <w:t xml:space="preserve">Indicated PJM TOs Rehearing Request at 26 (citing </w:t>
      </w:r>
      <w:r w:rsidRPr="008044D2">
        <w:t>Order No. 2023</w:t>
      </w:r>
      <w:r>
        <w:t xml:space="preserve">, </w:t>
      </w:r>
      <w:r w:rsidRPr="00203497">
        <w:t>184 FERC ¶ 61,054</w:t>
      </w:r>
      <w:r w:rsidRPr="008044D2">
        <w:t xml:space="preserve"> at P 987 n.1911</w:t>
      </w:r>
      <w:r>
        <w:t>)</w:t>
      </w:r>
      <w:r w:rsidR="00E5460F">
        <w:t>; NYTOs Rehearing Request at 23</w:t>
      </w:r>
      <w:r w:rsidRPr="008044D2">
        <w:t>.</w:t>
      </w:r>
    </w:p>
  </w:footnote>
  <w:footnote w:id="623">
    <w:p w:rsidR="00760048" w:rsidP="00071614" w14:paraId="57B1136D" w14:textId="77777777">
      <w:pPr>
        <w:pStyle w:val="FootnoteText"/>
      </w:pPr>
      <w:r w:rsidRPr="0072600F">
        <w:rPr>
          <w:rStyle w:val="FootnoteReference"/>
        </w:rPr>
        <w:footnoteRef/>
      </w:r>
      <w:r>
        <w:t xml:space="preserve"> </w:t>
      </w:r>
      <w:r w:rsidR="00E5460F">
        <w:t>Indicated PJM TOs Rehearing Request at 26</w:t>
      </w:r>
      <w:r>
        <w:t xml:space="preserve"> (citing </w:t>
      </w:r>
      <w:r w:rsidRPr="00F2138C">
        <w:rPr>
          <w:i/>
          <w:iCs/>
        </w:rPr>
        <w:t>Papago Tribal Util. Auth. v. FERC</w:t>
      </w:r>
      <w:r w:rsidRPr="00F2138C">
        <w:t xml:space="preserve">, 723 F.2d 950, 953 (D.C. Cir. 1983) (noting the Commission’s “indefeasible right . . . under [FPA section] 206 to replace rates that are contrary to the public interest”); </w:t>
      </w:r>
      <w:r w:rsidRPr="00F2138C">
        <w:rPr>
          <w:i/>
          <w:iCs/>
        </w:rPr>
        <w:t>Me. Pub. Util. Comm’n v. FERC</w:t>
      </w:r>
      <w:r w:rsidRPr="00F2138C">
        <w:t>, 454 F.3d 278, 283 (D.C. Cir. 2006) (same)</w:t>
      </w:r>
      <w:r>
        <w:t>).</w:t>
      </w:r>
    </w:p>
  </w:footnote>
  <w:footnote w:id="624">
    <w:p w:rsidR="00760048" w:rsidP="00071614" w14:paraId="3F4325DF" w14:textId="77777777">
      <w:pPr>
        <w:pStyle w:val="FootnoteText"/>
      </w:pPr>
      <w:r w:rsidRPr="0072600F">
        <w:rPr>
          <w:rStyle w:val="FootnoteReference"/>
        </w:rPr>
        <w:footnoteRef/>
      </w:r>
      <w:r>
        <w:t xml:space="preserve"> </w:t>
      </w:r>
      <w:r>
        <w:rPr>
          <w:i/>
          <w:iCs/>
        </w:rPr>
        <w:t>Id.</w:t>
      </w:r>
      <w:r>
        <w:t xml:space="preserve"> (“</w:t>
      </w:r>
      <w:r w:rsidRPr="00361191">
        <w:t>The scope of a challenge could not be limited by the factors the Commission identified as affecting a “good cause” determination, nor could it be limited to whether the transmission owner caused or contributed to the study delay.</w:t>
      </w:r>
      <w:r>
        <w:t>”).</w:t>
      </w:r>
    </w:p>
  </w:footnote>
  <w:footnote w:id="625">
    <w:p w:rsidR="00760048" w:rsidRPr="00361191" w:rsidP="00071614" w14:paraId="0E10BDB9" w14:textId="77777777">
      <w:pPr>
        <w:pStyle w:val="FootnoteText"/>
      </w:pPr>
      <w:r w:rsidRPr="0072600F">
        <w:rPr>
          <w:rStyle w:val="FootnoteReference"/>
        </w:rPr>
        <w:footnoteRef/>
      </w:r>
      <w:r>
        <w:t xml:space="preserve"> NYTOs Rehearing </w:t>
      </w:r>
      <w:r w:rsidRPr="00437BCA">
        <w:t>Request</w:t>
      </w:r>
      <w:r>
        <w:t xml:space="preserve"> at 23 (citing </w:t>
      </w:r>
      <w:r w:rsidRPr="00361191">
        <w:rPr>
          <w:i/>
          <w:iCs/>
        </w:rPr>
        <w:t>Atl. City Elec. Co. v. FERC</w:t>
      </w:r>
      <w:r w:rsidRPr="00361191">
        <w:t>, 295 F.3d 1, 10 (D.C. Cir. 2002)</w:t>
      </w:r>
      <w:r w:rsidR="00905E38">
        <w:t xml:space="preserve"> (</w:t>
      </w:r>
      <w:r w:rsidRPr="009E2771" w:rsidR="00905E38">
        <w:rPr>
          <w:i/>
          <w:iCs/>
        </w:rPr>
        <w:t>Atl</w:t>
      </w:r>
      <w:r w:rsidR="001073AC">
        <w:rPr>
          <w:i/>
          <w:iCs/>
        </w:rPr>
        <w:t>.</w:t>
      </w:r>
      <w:r w:rsidRPr="00324CBD" w:rsidR="00905E38">
        <w:rPr>
          <w:i/>
          <w:iCs/>
        </w:rPr>
        <w:t xml:space="preserve"> City I</w:t>
      </w:r>
      <w:r w:rsidR="00905E38">
        <w:t>)</w:t>
      </w:r>
      <w:r>
        <w:t xml:space="preserve">); </w:t>
      </w:r>
      <w:r>
        <w:rPr>
          <w:i/>
          <w:iCs/>
        </w:rPr>
        <w:t>see also id.</w:t>
      </w:r>
      <w:r>
        <w:t xml:space="preserve"> at 13.</w:t>
      </w:r>
    </w:p>
  </w:footnote>
  <w:footnote w:id="626">
    <w:p w:rsidR="00760048" w:rsidP="00071614" w14:paraId="334B104A" w14:textId="77777777">
      <w:pPr>
        <w:pStyle w:val="FootnoteText"/>
      </w:pPr>
      <w:r w:rsidRPr="0072600F">
        <w:rPr>
          <w:rStyle w:val="FootnoteReference"/>
        </w:rPr>
        <w:footnoteRef/>
      </w:r>
      <w:r>
        <w:t xml:space="preserve"> Avangrid Rehearing Request at 13.</w:t>
      </w:r>
    </w:p>
  </w:footnote>
  <w:footnote w:id="627">
    <w:p w:rsidR="00760048" w:rsidP="00071614" w14:paraId="61BCB58E" w14:textId="77777777">
      <w:pPr>
        <w:pStyle w:val="FootnoteText"/>
      </w:pPr>
      <w:r w:rsidRPr="0072600F">
        <w:rPr>
          <w:rStyle w:val="FootnoteReference"/>
        </w:rPr>
        <w:footnoteRef/>
      </w:r>
      <w:r>
        <w:t xml:space="preserve"> Indicated PJM TOs Rehearing Request at 34-37 (asserting that</w:t>
      </w:r>
      <w:r w:rsidRPr="00910EA5">
        <w:t xml:space="preserve"> transmission providers have no incentive to delay interconnection studies</w:t>
      </w:r>
      <w:r>
        <w:t xml:space="preserve"> and that it is “</w:t>
      </w:r>
      <w:r w:rsidRPr="00EA43BD">
        <w:t>is poor policy on the part of the Commission to confront transmission planners with the potential option of either avoiding concrete penalties associated with a strict arbitrary deadline or taking more time to ensure that a study is complete and comprehensive</w:t>
      </w:r>
      <w:r>
        <w:t>” and noting the shortage of qualified engineers).</w:t>
      </w:r>
    </w:p>
  </w:footnote>
  <w:footnote w:id="628">
    <w:p w:rsidR="00760048" w:rsidP="00071614" w14:paraId="1F8DFE27" w14:textId="77777777">
      <w:pPr>
        <w:pStyle w:val="FootnoteText"/>
      </w:pPr>
      <w:r w:rsidRPr="0072600F">
        <w:rPr>
          <w:rStyle w:val="FootnoteReference"/>
        </w:rPr>
        <w:footnoteRef/>
      </w:r>
      <w:r>
        <w:t xml:space="preserve"> </w:t>
      </w:r>
      <w:r w:rsidRPr="00531554">
        <w:t xml:space="preserve">MISO TOs Rehearing Request at </w:t>
      </w:r>
      <w:r>
        <w:t xml:space="preserve">10, </w:t>
      </w:r>
      <w:r w:rsidRPr="00531554">
        <w:t>16-17</w:t>
      </w:r>
      <w:r>
        <w:t>; SPP Rehearing Request at 6, 8-9 (discussing examples of the consequences of inaccurate or suboptimal studies).</w:t>
      </w:r>
    </w:p>
  </w:footnote>
  <w:footnote w:id="629">
    <w:p w:rsidR="00760048" w:rsidP="00071614" w14:paraId="255BD16C" w14:textId="77777777">
      <w:pPr>
        <w:pStyle w:val="FootnoteText"/>
      </w:pPr>
      <w:r w:rsidRPr="0072600F">
        <w:rPr>
          <w:rStyle w:val="FootnoteReference"/>
        </w:rPr>
        <w:footnoteRef/>
      </w:r>
      <w:r>
        <w:t xml:space="preserve"> NYISO Rehearing Request at 27-29 (arguing that the Commission failed to provide a reasoned response to these concerns, but instead dismissed them by asserting transmission providers can increase timely study processing without necessarily facing such tradeoffs); </w:t>
      </w:r>
      <w:r w:rsidRPr="0090101B">
        <w:rPr>
          <w:i/>
          <w:iCs/>
        </w:rPr>
        <w:t>see also id.</w:t>
      </w:r>
      <w:r w:rsidRPr="0090101B">
        <w:t xml:space="preserve"> at 1</w:t>
      </w:r>
      <w:r>
        <w:t>9</w:t>
      </w:r>
      <w:r w:rsidRPr="0090101B">
        <w:t xml:space="preserve"> (arguing that this problem is particularly acute for NYISO “because New York State is pursuing what is arguably the most ambitious clean energy agenda in the country,” driving high volumes of interconnection requests</w:t>
      </w:r>
      <w:r>
        <w:t xml:space="preserve"> and that New York City also presents the most complex reliability challenges in the country</w:t>
      </w:r>
      <w:r w:rsidRPr="0090101B">
        <w:t>)</w:t>
      </w:r>
      <w:r>
        <w:t>.</w:t>
      </w:r>
    </w:p>
  </w:footnote>
  <w:footnote w:id="630">
    <w:p w:rsidR="00760048" w:rsidP="00071614" w14:paraId="4E7DD900" w14:textId="77777777">
      <w:pPr>
        <w:pStyle w:val="FootnoteText"/>
      </w:pPr>
      <w:r w:rsidRPr="0072600F">
        <w:rPr>
          <w:rStyle w:val="FootnoteReference"/>
        </w:rPr>
        <w:footnoteRef/>
      </w:r>
      <w:r>
        <w:t xml:space="preserve"> </w:t>
      </w:r>
      <w:r w:rsidRPr="0090101B">
        <w:t>WIRES Rehearing Request at 7-8</w:t>
      </w:r>
      <w:r>
        <w:t>.</w:t>
      </w:r>
    </w:p>
  </w:footnote>
  <w:footnote w:id="631">
    <w:p w:rsidR="00760048" w:rsidP="00071614" w14:paraId="4CFABAC1" w14:textId="77777777">
      <w:pPr>
        <w:pStyle w:val="FootnoteText"/>
      </w:pPr>
      <w:r w:rsidRPr="0072600F">
        <w:rPr>
          <w:rStyle w:val="FootnoteReference"/>
        </w:rPr>
        <w:footnoteRef/>
      </w:r>
      <w:r>
        <w:t xml:space="preserve"> Avangrid Rehearing Request at 14-15.</w:t>
      </w:r>
    </w:p>
  </w:footnote>
  <w:footnote w:id="632">
    <w:p w:rsidR="00760048" w:rsidP="00071614" w14:paraId="49DB4B37" w14:textId="77777777">
      <w:pPr>
        <w:pStyle w:val="FootnoteText"/>
      </w:pPr>
      <w:r w:rsidRPr="0072600F">
        <w:rPr>
          <w:rStyle w:val="FootnoteReference"/>
        </w:rPr>
        <w:footnoteRef/>
      </w:r>
      <w:r>
        <w:t xml:space="preserve"> </w:t>
      </w:r>
      <w:r w:rsidRPr="0090101B">
        <w:t>PJM Rehearing Request at 32-33</w:t>
      </w:r>
      <w:r>
        <w:t>.</w:t>
      </w:r>
    </w:p>
  </w:footnote>
  <w:footnote w:id="633">
    <w:p w:rsidR="00760048" w:rsidP="00071614" w14:paraId="7CE1534B" w14:textId="77777777">
      <w:pPr>
        <w:pStyle w:val="FootnoteText"/>
      </w:pPr>
      <w:r w:rsidRPr="0072600F">
        <w:rPr>
          <w:rStyle w:val="FootnoteReference"/>
        </w:rPr>
        <w:footnoteRef/>
      </w:r>
      <w:r>
        <w:t xml:space="preserve"> Indicated PJM TOs Rehearing Request at 37-38.</w:t>
      </w:r>
    </w:p>
  </w:footnote>
  <w:footnote w:id="634">
    <w:p w:rsidR="00760048" w:rsidP="00071614" w14:paraId="6B456E09" w14:textId="77777777">
      <w:pPr>
        <w:pStyle w:val="FootnoteText"/>
      </w:pPr>
      <w:r w:rsidRPr="0072600F">
        <w:rPr>
          <w:rStyle w:val="FootnoteReference"/>
        </w:rPr>
        <w:footnoteRef/>
      </w:r>
      <w:r>
        <w:t xml:space="preserve"> SPP Rehearing Request at 8.</w:t>
      </w:r>
    </w:p>
  </w:footnote>
  <w:footnote w:id="635">
    <w:p w:rsidR="00760048" w:rsidP="00071614" w14:paraId="619B50F8" w14:textId="77777777">
      <w:pPr>
        <w:pStyle w:val="FootnoteText"/>
      </w:pPr>
      <w:r w:rsidRPr="0072600F">
        <w:rPr>
          <w:rStyle w:val="FootnoteReference"/>
        </w:rPr>
        <w:footnoteRef/>
      </w:r>
      <w:r>
        <w:t xml:space="preserve"> AEP Rehearing Request at 28-29.</w:t>
      </w:r>
    </w:p>
  </w:footnote>
  <w:footnote w:id="636">
    <w:p w:rsidR="00760048" w:rsidRPr="00DC7EE3" w:rsidP="00071614" w14:paraId="1E7E241F" w14:textId="77777777">
      <w:pPr>
        <w:pStyle w:val="FootnoteText"/>
      </w:pPr>
      <w:r w:rsidRPr="0072600F">
        <w:rPr>
          <w:rStyle w:val="FootnoteReference"/>
        </w:rPr>
        <w:footnoteRef/>
      </w:r>
      <w:r>
        <w:t xml:space="preserve"> MISO TOs Rehearing Request at 17-18 (noting also the shortage of qualified personnel and that the Commission did not point to evidence of better software that would allow transmission providers to escape study delay penalties); </w:t>
      </w:r>
      <w:r>
        <w:rPr>
          <w:i/>
          <w:iCs/>
        </w:rPr>
        <w:t>id.</w:t>
      </w:r>
      <w:r>
        <w:t xml:space="preserve"> at 35 (noting that the same personnel that perform interconnection studies will likely be the fact witnesses in any Commission penalty appeal proceeding); PacifiCorp Rehearing Request at 11-13 (arguing that it is highly likely that appeals will be filed faster and more frequently than the Commission can process them and noting that interconnection customers will be incentivized to protest appeals, which will increase administrative and resource costs of pursuing such appeals); SPP Rehearing Request at 7, 9 (arguing also that this will create a litigious environment that threatens timely study completion).</w:t>
      </w:r>
    </w:p>
  </w:footnote>
  <w:footnote w:id="637">
    <w:p w:rsidR="00760048" w:rsidP="00071614" w14:paraId="683C6D8F" w14:textId="77777777">
      <w:pPr>
        <w:pStyle w:val="FootnoteText"/>
      </w:pPr>
      <w:r w:rsidRPr="0072600F">
        <w:rPr>
          <w:rStyle w:val="FootnoteReference"/>
        </w:rPr>
        <w:footnoteRef/>
      </w:r>
      <w:r>
        <w:t xml:space="preserve"> PJM Rehearing Request at 32-33.</w:t>
      </w:r>
    </w:p>
  </w:footnote>
  <w:footnote w:id="638">
    <w:p w:rsidR="00760048" w:rsidP="00071614" w14:paraId="7143FEE8" w14:textId="77777777">
      <w:pPr>
        <w:pStyle w:val="FootnoteText"/>
      </w:pPr>
      <w:r w:rsidRPr="0072600F">
        <w:rPr>
          <w:rStyle w:val="FootnoteReference"/>
        </w:rPr>
        <w:footnoteRef/>
      </w:r>
      <w:r>
        <w:t xml:space="preserve"> Indicated PJM TOs Rehearing Request at 38 (citing the need to analyze advanced transmission technologies and increased burdens surrounding modeling, and also noting that the same staff who are responsible for processing interconnection requests will need to be deployed to address disputes regarding interconnection study timeliness).</w:t>
      </w:r>
    </w:p>
  </w:footnote>
  <w:footnote w:id="639">
    <w:p w:rsidR="00760048" w:rsidP="00071614" w14:paraId="58970311" w14:textId="77777777">
      <w:pPr>
        <w:pStyle w:val="FootnoteText"/>
      </w:pPr>
      <w:r w:rsidRPr="0072600F">
        <w:rPr>
          <w:rStyle w:val="FootnoteReference"/>
        </w:rPr>
        <w:footnoteRef/>
      </w:r>
      <w:r>
        <w:t xml:space="preserve"> </w:t>
      </w:r>
      <w:r>
        <w:rPr>
          <w:i/>
          <w:iCs/>
        </w:rPr>
        <w:t>Id.</w:t>
      </w:r>
      <w:r>
        <w:t xml:space="preserve"> at 39-40.</w:t>
      </w:r>
    </w:p>
  </w:footnote>
  <w:footnote w:id="640">
    <w:p w:rsidR="00760048" w:rsidP="00071614" w14:paraId="345D7586" w14:textId="77777777">
      <w:pPr>
        <w:pStyle w:val="FootnoteText"/>
      </w:pPr>
      <w:r w:rsidRPr="0072600F">
        <w:rPr>
          <w:rStyle w:val="FootnoteReference"/>
        </w:rPr>
        <w:footnoteRef/>
      </w:r>
      <w:r>
        <w:t xml:space="preserve"> </w:t>
      </w:r>
      <w:r w:rsidRPr="006B4AB2">
        <w:rPr>
          <w:i/>
          <w:iCs/>
        </w:rPr>
        <w:t>Id</w:t>
      </w:r>
      <w:r>
        <w:t>.</w:t>
      </w:r>
      <w:r w:rsidRPr="006235A3">
        <w:t xml:space="preserve"> at 16-17</w:t>
      </w:r>
      <w:r w:rsidR="00F75C77">
        <w:t xml:space="preserve">; </w:t>
      </w:r>
      <w:r w:rsidRPr="006235A3" w:rsidR="00F75C77">
        <w:t>NYTOs Rehearing Request at 27</w:t>
      </w:r>
      <w:r w:rsidRPr="006235A3">
        <w:t>.</w:t>
      </w:r>
    </w:p>
  </w:footnote>
  <w:footnote w:id="641">
    <w:p w:rsidR="00F75C77" w14:paraId="00726110" w14:textId="77777777">
      <w:pPr>
        <w:pStyle w:val="FootnoteText"/>
      </w:pPr>
      <w:r>
        <w:rPr>
          <w:rStyle w:val="FootnoteReference"/>
        </w:rPr>
        <w:footnoteRef/>
      </w:r>
      <w:r>
        <w:t xml:space="preserve"> </w:t>
      </w:r>
      <w:r w:rsidR="004B3713">
        <w:t>Indicated PJM TOs Rehearing Request at 17.</w:t>
      </w:r>
    </w:p>
  </w:footnote>
  <w:footnote w:id="642">
    <w:p w:rsidR="00760048" w:rsidP="00071614" w14:paraId="3F024BF3" w14:textId="77777777">
      <w:pPr>
        <w:pStyle w:val="FootnoteText"/>
      </w:pPr>
      <w:r w:rsidRPr="0072600F">
        <w:rPr>
          <w:rStyle w:val="FootnoteReference"/>
        </w:rPr>
        <w:footnoteRef/>
      </w:r>
      <w:r>
        <w:t xml:space="preserve"> </w:t>
      </w:r>
      <w:r w:rsidRPr="006235A3">
        <w:t>NYTOs Rehearing Request at 27.</w:t>
      </w:r>
    </w:p>
  </w:footnote>
  <w:footnote w:id="643">
    <w:p w:rsidR="00760048" w:rsidP="00071614" w14:paraId="56287867" w14:textId="77777777">
      <w:pPr>
        <w:pStyle w:val="FootnoteText"/>
      </w:pPr>
      <w:r w:rsidRPr="0072600F">
        <w:rPr>
          <w:rStyle w:val="FootnoteReference"/>
        </w:rPr>
        <w:footnoteRef/>
      </w:r>
      <w:r>
        <w:t xml:space="preserve"> Dominion Rehearing Request at 23-24 (“</w:t>
      </w:r>
      <w:r w:rsidRPr="00754DA9">
        <w:t>There is also no discussion in Order No. 2023 as to how cost</w:t>
      </w:r>
      <w:r>
        <w:t xml:space="preserve"> </w:t>
      </w:r>
      <w:r w:rsidRPr="00754DA9">
        <w:t>recovery for these expenses would be recovered other than through the study deposits.</w:t>
      </w:r>
      <w:r>
        <w:t xml:space="preserve">”); </w:t>
      </w:r>
      <w:r w:rsidRPr="006B4AB2">
        <w:rPr>
          <w:i/>
          <w:iCs/>
        </w:rPr>
        <w:t>see also</w:t>
      </w:r>
      <w:r>
        <w:t xml:space="preserve"> </w:t>
      </w:r>
      <w:r w:rsidRPr="006B4AB2">
        <w:rPr>
          <w:i/>
          <w:iCs/>
        </w:rPr>
        <w:t>id.</w:t>
      </w:r>
      <w:r>
        <w:t>, attach. A (Affidavit of James R. Bailey).</w:t>
      </w:r>
    </w:p>
  </w:footnote>
  <w:footnote w:id="644">
    <w:p w:rsidR="00760048" w14:paraId="699FE587" w14:textId="77777777">
      <w:pPr>
        <w:pStyle w:val="FootnoteText"/>
      </w:pPr>
      <w:r w:rsidRPr="0072600F">
        <w:rPr>
          <w:rStyle w:val="FootnoteReference"/>
        </w:rPr>
        <w:footnoteRef/>
      </w:r>
      <w:r>
        <w:t xml:space="preserve"> </w:t>
      </w:r>
      <w:r>
        <w:rPr>
          <w:i/>
          <w:iCs/>
        </w:rPr>
        <w:t xml:space="preserve">See </w:t>
      </w:r>
      <w:r w:rsidRPr="006117FC">
        <w:t>Avangrid Rehearing Request at 14</w:t>
      </w:r>
      <w:r>
        <w:t xml:space="preserve">; Indicated </w:t>
      </w:r>
      <w:r w:rsidRPr="006117FC">
        <w:t>PJM TOs Rehearing Request at 27-29</w:t>
      </w:r>
      <w:r>
        <w:t xml:space="preserve">; </w:t>
      </w:r>
      <w:r w:rsidRPr="006117FC">
        <w:rPr>
          <w:i/>
          <w:iCs/>
        </w:rPr>
        <w:t>id.</w:t>
      </w:r>
      <w:r w:rsidRPr="006117FC">
        <w:t xml:space="preserve"> at 29 (arguing that while modification </w:t>
      </w:r>
      <w:r>
        <w:t xml:space="preserve">of Order No. 2023 to subject interconnection customers to penalties </w:t>
      </w:r>
      <w:r w:rsidRPr="006117FC">
        <w:t>is necessary, it would only complicate the process further and is an additional reason the penalty structure is not workable</w:t>
      </w:r>
      <w:r>
        <w:t xml:space="preserve">); MISO TOs Rehearing Request at 28-29; </w:t>
      </w:r>
      <w:r w:rsidRPr="006117FC">
        <w:t>NYTO</w:t>
      </w:r>
      <w:r>
        <w:t>s</w:t>
      </w:r>
      <w:r w:rsidRPr="006117FC">
        <w:t xml:space="preserve"> Rehearing Request at 23-24</w:t>
      </w:r>
      <w:r>
        <w:t>.</w:t>
      </w:r>
    </w:p>
  </w:footnote>
  <w:footnote w:id="645">
    <w:p w:rsidR="00760048" w:rsidP="00071614" w14:paraId="36354B47" w14:textId="77777777">
      <w:pPr>
        <w:pStyle w:val="FootnoteText"/>
      </w:pPr>
      <w:r w:rsidRPr="0072600F">
        <w:rPr>
          <w:rStyle w:val="FootnoteReference"/>
        </w:rPr>
        <w:footnoteRef/>
      </w:r>
      <w:r>
        <w:t xml:space="preserve"> </w:t>
      </w:r>
      <w:r w:rsidRPr="006117FC">
        <w:t>Avangrid Rehearing Request at 7.</w:t>
      </w:r>
    </w:p>
  </w:footnote>
  <w:footnote w:id="646">
    <w:p w:rsidR="00D14432" w14:paraId="3595B777" w14:textId="77777777">
      <w:pPr>
        <w:pStyle w:val="FootnoteText"/>
      </w:pPr>
      <w:r>
        <w:rPr>
          <w:rStyle w:val="FootnoteReference"/>
        </w:rPr>
        <w:footnoteRef/>
      </w:r>
      <w:r>
        <w:t xml:space="preserve"> Indicated PJM TOs Rehearing Request at </w:t>
      </w:r>
      <w:r w:rsidR="00D114D6">
        <w:t>28.</w:t>
      </w:r>
    </w:p>
  </w:footnote>
  <w:footnote w:id="647">
    <w:p w:rsidR="00760048" w14:paraId="4BAC0D72" w14:textId="77777777">
      <w:pPr>
        <w:pStyle w:val="FootnoteText"/>
      </w:pPr>
      <w:r w:rsidRPr="0072600F">
        <w:rPr>
          <w:rStyle w:val="FootnoteReference"/>
        </w:rPr>
        <w:footnoteRef/>
      </w:r>
      <w:r>
        <w:t xml:space="preserve"> </w:t>
      </w:r>
      <w:r w:rsidRPr="006117FC" w:rsidR="00D11FDB">
        <w:t>Avangrid Rehearing Request</w:t>
      </w:r>
      <w:r w:rsidRPr="006B4AB2" w:rsidR="00D11FDB">
        <w:rPr>
          <w:i/>
          <w:iCs/>
        </w:rPr>
        <w:t xml:space="preserve"> </w:t>
      </w:r>
      <w:r>
        <w:t xml:space="preserve">at 16 (citing </w:t>
      </w:r>
      <w:r w:rsidRPr="00ED5E42">
        <w:rPr>
          <w:i/>
          <w:iCs/>
        </w:rPr>
        <w:t>FPC v. Hope Natural Gas Co.</w:t>
      </w:r>
      <w:r w:rsidRPr="00ED5E42">
        <w:t>, 320 U.S. 591, 603 (1944)</w:t>
      </w:r>
      <w:r w:rsidR="003A46AA">
        <w:t xml:space="preserve"> (</w:t>
      </w:r>
      <w:r w:rsidRPr="00820A56" w:rsidR="003A46AA">
        <w:rPr>
          <w:i/>
          <w:iCs/>
        </w:rPr>
        <w:t>Hope</w:t>
      </w:r>
      <w:r w:rsidRPr="00ED5E42">
        <w:t xml:space="preserve">); </w:t>
      </w:r>
      <w:r w:rsidRPr="00ED5E42">
        <w:rPr>
          <w:i/>
          <w:iCs/>
        </w:rPr>
        <w:t>Ameren Servs. Co. v. FERC</w:t>
      </w:r>
      <w:r w:rsidRPr="00ED5E42">
        <w:t>, 880 F.3d 571, 580 (D.C. Cir. 2018)</w:t>
      </w:r>
      <w:r w:rsidR="00394F43">
        <w:t xml:space="preserve"> (</w:t>
      </w:r>
      <w:r w:rsidRPr="003A764C" w:rsidR="00394F43">
        <w:rPr>
          <w:i/>
          <w:iCs/>
        </w:rPr>
        <w:t>Ameren</w:t>
      </w:r>
      <w:r w:rsidRPr="00ED5E42">
        <w:t>)</w:t>
      </w:r>
      <w:r>
        <w:t>); MISO TOs Rehearing Request at 33-34;</w:t>
      </w:r>
      <w:r w:rsidRPr="003C0FB6">
        <w:t xml:space="preserve"> </w:t>
      </w:r>
      <w:r w:rsidRPr="00290CF7">
        <w:t>NYTOs Rehearing Request at 25-26</w:t>
      </w:r>
      <w:r>
        <w:t>.</w:t>
      </w:r>
    </w:p>
  </w:footnote>
  <w:footnote w:id="648">
    <w:p w:rsidR="00760048" w:rsidRPr="00D50E84" w:rsidP="00071614" w14:paraId="228CB79E" w14:textId="77777777">
      <w:pPr>
        <w:pStyle w:val="FootnoteText"/>
      </w:pPr>
      <w:r w:rsidRPr="0072600F">
        <w:rPr>
          <w:rStyle w:val="FootnoteReference"/>
        </w:rPr>
        <w:footnoteRef/>
      </w:r>
      <w:r>
        <w:t xml:space="preserve"> Avangrid Rehearing Request at 16; </w:t>
      </w:r>
      <w:r w:rsidRPr="00290CF7">
        <w:t>NYTOs Rehearing Request at 25-26 (“In properly balancing the interests of investors and consumers, the Commission is required to allow the public utility transmission provider to recover its reasonably incurred operating expenses.”</w:t>
      </w:r>
      <w:r>
        <w:t xml:space="preserve"> (citing </w:t>
      </w:r>
      <w:r w:rsidRPr="00290CF7">
        <w:rPr>
          <w:i/>
          <w:iCs/>
        </w:rPr>
        <w:t>Hope</w:t>
      </w:r>
      <w:r w:rsidRPr="00290CF7">
        <w:t>, 320 U.S. at 603;</w:t>
      </w:r>
      <w:r>
        <w:t xml:space="preserve"> </w:t>
      </w:r>
      <w:r w:rsidRPr="00290CF7">
        <w:rPr>
          <w:i/>
          <w:iCs/>
        </w:rPr>
        <w:t>Bluefield Water Works &amp; Improvement Co. v. Pub. Serv. Comm’n of the State of W.Va.</w:t>
      </w:r>
      <w:r w:rsidRPr="00290CF7">
        <w:t>, 262 U.S. 679, 690 (1923)</w:t>
      </w:r>
      <w:r>
        <w:t>;</w:t>
      </w:r>
      <w:r w:rsidRPr="00290CF7">
        <w:t xml:space="preserve"> </w:t>
      </w:r>
      <w:r w:rsidRPr="00290CF7">
        <w:rPr>
          <w:i/>
          <w:iCs/>
        </w:rPr>
        <w:t>Ameren</w:t>
      </w:r>
      <w:r w:rsidRPr="00290CF7">
        <w:t xml:space="preserve">, 880 F.3d at 580, 581-82, 584-85; </w:t>
      </w:r>
      <w:r w:rsidRPr="00290CF7">
        <w:rPr>
          <w:i/>
          <w:iCs/>
        </w:rPr>
        <w:t>Jersey Cent. Power &amp; Light Co.</w:t>
      </w:r>
      <w:r w:rsidRPr="00290CF7">
        <w:t>, 810 F.2d 1168, 1175 (D.C. Cir. 1987)</w:t>
      </w:r>
      <w:r w:rsidR="00EF136B">
        <w:t xml:space="preserve"> (</w:t>
      </w:r>
      <w:r w:rsidRPr="00193B04" w:rsidR="00EF136B">
        <w:rPr>
          <w:i/>
          <w:iCs/>
        </w:rPr>
        <w:t>Jersey Cent.</w:t>
      </w:r>
      <w:r w:rsidRPr="00766813" w:rsidR="002463BF">
        <w:t>)</w:t>
      </w:r>
      <w:r w:rsidRPr="00290CF7">
        <w:t>);</w:t>
      </w:r>
      <w:r>
        <w:t xml:space="preserve"> </w:t>
      </w:r>
      <w:r>
        <w:rPr>
          <w:i/>
          <w:iCs/>
        </w:rPr>
        <w:t>see also</w:t>
      </w:r>
      <w:r w:rsidRPr="00290CF7">
        <w:t xml:space="preserve"> </w:t>
      </w:r>
      <w:r w:rsidRPr="00290CF7">
        <w:rPr>
          <w:i/>
          <w:iCs/>
        </w:rPr>
        <w:t>id.</w:t>
      </w:r>
      <w:r w:rsidRPr="00290CF7">
        <w:t xml:space="preserve"> at 28 (“penalties are shifted to transmission owner members of RTOs/ISOs without regard to fault, equity and the Takings Clause demand that the transmission owners should be allowed to recover such costs”)</w:t>
      </w:r>
      <w:r>
        <w:t>.</w:t>
      </w:r>
    </w:p>
  </w:footnote>
  <w:footnote w:id="649">
    <w:p w:rsidR="00760048" w:rsidP="00071614" w14:paraId="0B6CDCC7" w14:textId="77777777">
      <w:pPr>
        <w:pStyle w:val="FootnoteText"/>
      </w:pPr>
      <w:r w:rsidRPr="0072600F">
        <w:rPr>
          <w:rStyle w:val="FootnoteReference"/>
        </w:rPr>
        <w:footnoteRef/>
      </w:r>
      <w:r>
        <w:t xml:space="preserve"> MISO TOs Rehearing Request at 33-34 (“</w:t>
      </w:r>
      <w:r w:rsidRPr="00290CF7">
        <w:t>The FPA does not permit the Commission to compel utilities to provide service to others for free.</w:t>
      </w:r>
      <w:r>
        <w:t>” (citing</w:t>
      </w:r>
      <w:r w:rsidRPr="00885F35">
        <w:rPr>
          <w:i/>
          <w:iCs/>
        </w:rPr>
        <w:t xml:space="preserve"> Ameren</w:t>
      </w:r>
      <w:r w:rsidRPr="00885F35">
        <w:t xml:space="preserve">, 880 F.3d </w:t>
      </w:r>
      <w:r>
        <w:t>at</w:t>
      </w:r>
      <w:r w:rsidRPr="00885F35">
        <w:t xml:space="preserve"> 582</w:t>
      </w:r>
      <w:r>
        <w:t>))</w:t>
      </w:r>
      <w:r w:rsidRPr="00885F35">
        <w:t xml:space="preserve">.  </w:t>
      </w:r>
    </w:p>
  </w:footnote>
  <w:footnote w:id="650">
    <w:p w:rsidR="00760048" w:rsidP="00071614" w14:paraId="6A5E707E" w14:textId="77777777">
      <w:pPr>
        <w:pStyle w:val="FootnoteText"/>
      </w:pPr>
      <w:r w:rsidRPr="0072600F">
        <w:rPr>
          <w:rStyle w:val="FootnoteReference"/>
        </w:rPr>
        <w:footnoteRef/>
      </w:r>
      <w:r>
        <w:t xml:space="preserve"> Order No. 2023, </w:t>
      </w:r>
      <w:r w:rsidRPr="006B507A">
        <w:t>184 FERC ¶ 61,054</w:t>
      </w:r>
      <w:r>
        <w:t xml:space="preserve"> at P 987 (“[T]</w:t>
      </w:r>
      <w:r w:rsidRPr="00F12DC9">
        <w:t>he Commission may consider, among other factors</w:t>
      </w:r>
      <w:r>
        <w:t xml:space="preserve">:  </w:t>
      </w:r>
      <w:r w:rsidRPr="00F12DC9">
        <w:t>(1) extenuating circumstances outside the transmission provider's control, such as delays in affected system study results; (2)</w:t>
      </w:r>
      <w:r>
        <w:t xml:space="preserve"> </w:t>
      </w:r>
      <w:r w:rsidRPr="00F12DC9">
        <w:t>efforts of the transmission provider to mitigate delays; and (3) the extent to which the transmission provider has proposed process enhancements either in the stakeholder process or at the Commission to prevent future delays</w:t>
      </w:r>
      <w:r>
        <w:t xml:space="preserve"> . . . .”).</w:t>
      </w:r>
    </w:p>
  </w:footnote>
  <w:footnote w:id="651">
    <w:p w:rsidR="00760048" w:rsidRPr="000748E9" w:rsidP="00071614" w14:paraId="440E8670" w14:textId="77777777">
      <w:pPr>
        <w:pStyle w:val="FootnoteText"/>
        <w:rPr>
          <w:i/>
          <w:iCs/>
        </w:rPr>
      </w:pPr>
      <w:r w:rsidRPr="0072600F">
        <w:rPr>
          <w:rStyle w:val="FootnoteReference"/>
        </w:rPr>
        <w:footnoteRef/>
      </w:r>
      <w:r>
        <w:t xml:space="preserve"> In this respect, the “good cause” standard allows the Commission to consider the totality of the circumstances resulting in any delay, as appropriate given the variety of facts and circumstances that may arise; balances competing interests while addressing concerns that the Commission provide for adequate due process and fact-finding; and will help avoid punitive results.  </w:t>
      </w:r>
      <w:r>
        <w:rPr>
          <w:i/>
          <w:iCs/>
        </w:rPr>
        <w:t xml:space="preserve">See </w:t>
      </w:r>
      <w:r w:rsidRPr="0051105A">
        <w:rPr>
          <w:i/>
          <w:iCs/>
        </w:rPr>
        <w:t>id.</w:t>
      </w:r>
      <w:r w:rsidRPr="0051105A">
        <w:rPr>
          <w:i/>
        </w:rPr>
        <w:t xml:space="preserve"> </w:t>
      </w:r>
      <w:r>
        <w:t xml:space="preserve">PP 987-89; </w:t>
      </w:r>
      <w:r>
        <w:rPr>
          <w:i/>
          <w:iCs/>
        </w:rPr>
        <w:t xml:space="preserve">cf. </w:t>
      </w:r>
      <w:r>
        <w:t>NYTOs Rehearing Request at 24 (arguing that the “good cause” standard is a novel standard that the Commission in Order No. 2023 failed to justify).</w:t>
      </w:r>
    </w:p>
  </w:footnote>
  <w:footnote w:id="652">
    <w:p w:rsidR="00760048" w:rsidP="00071614" w14:paraId="7C484968" w14:textId="77777777">
      <w:pPr>
        <w:pStyle w:val="FootnoteText"/>
      </w:pPr>
      <w:r w:rsidRPr="0072600F">
        <w:rPr>
          <w:rStyle w:val="FootnoteReference"/>
        </w:rPr>
        <w:footnoteRef/>
      </w:r>
      <w:r>
        <w:t xml:space="preserve"> 16 U.S.C. </w:t>
      </w:r>
      <w:r w:rsidRPr="00B332EA" w:rsidR="00B332EA">
        <w:t>§</w:t>
      </w:r>
      <w:r>
        <w:t xml:space="preserve"> 825</w:t>
      </w:r>
      <w:r w:rsidRPr="00A74DEF">
        <w:rPr>
          <w:i/>
        </w:rPr>
        <w:t>l</w:t>
      </w:r>
      <w:r>
        <w:t xml:space="preserve"> (setting forth the procedures for a party aggrieved by an order issued by the Commission to obtain judicial review of such orders).</w:t>
      </w:r>
    </w:p>
  </w:footnote>
  <w:footnote w:id="653">
    <w:p w:rsidR="00760048" w:rsidRPr="007558A1" w:rsidP="00071614" w14:paraId="7C3508FF" w14:textId="77777777">
      <w:pPr>
        <w:pStyle w:val="FootnoteText"/>
      </w:pPr>
      <w:r w:rsidRPr="0072600F">
        <w:rPr>
          <w:rStyle w:val="FootnoteReference"/>
        </w:rPr>
        <w:footnoteRef/>
      </w:r>
      <w:r>
        <w:t xml:space="preserve"> </w:t>
      </w:r>
      <w:r>
        <w:rPr>
          <w:i/>
          <w:iCs/>
        </w:rPr>
        <w:t>See, e.g.</w:t>
      </w:r>
      <w:r>
        <w:t xml:space="preserve">, </w:t>
      </w:r>
      <w:r w:rsidRPr="007558A1">
        <w:rPr>
          <w:i/>
          <w:iCs/>
        </w:rPr>
        <w:t>Mathews v. Eldridge</w:t>
      </w:r>
      <w:r w:rsidRPr="007558A1">
        <w:t>, 424 U.S. 319</w:t>
      </w:r>
      <w:r>
        <w:t xml:space="preserve"> </w:t>
      </w:r>
      <w:r w:rsidRPr="007558A1">
        <w:t>(1976)</w:t>
      </w:r>
      <w:r w:rsidR="00E33AE8">
        <w:t xml:space="preserve"> (</w:t>
      </w:r>
      <w:r w:rsidRPr="00AE0679" w:rsidR="00E33AE8">
        <w:rPr>
          <w:i/>
          <w:iCs/>
        </w:rPr>
        <w:t>Mathews</w:t>
      </w:r>
      <w:r w:rsidRPr="007558A1">
        <w:t>).</w:t>
      </w:r>
    </w:p>
  </w:footnote>
  <w:footnote w:id="654">
    <w:p w:rsidR="00760048" w:rsidRPr="003F513F" w:rsidP="00071614" w14:paraId="19A72656" w14:textId="77777777">
      <w:pPr>
        <w:pStyle w:val="FootnoteText"/>
      </w:pPr>
      <w:r w:rsidRPr="0072600F">
        <w:rPr>
          <w:rStyle w:val="FootnoteReference"/>
        </w:rPr>
        <w:footnoteRef/>
      </w:r>
      <w:r>
        <w:t xml:space="preserve"> </w:t>
      </w:r>
      <w:r w:rsidRPr="00EF66FE">
        <w:t xml:space="preserve">A limited exception is that certain of the rehearing requests contend that the Commission’s approach is inconsistent with its enforcement policies.  </w:t>
      </w:r>
      <w:r w:rsidRPr="00EF66FE">
        <w:rPr>
          <w:i/>
        </w:rPr>
        <w:t xml:space="preserve">See </w:t>
      </w:r>
      <w:r w:rsidRPr="00EF66FE">
        <w:t>NYISO Rehearing Request at 29-30; PJM Rehearing Request at 31</w:t>
      </w:r>
      <w:r>
        <w:t xml:space="preserve">; </w:t>
      </w:r>
      <w:r>
        <w:rPr>
          <w:i/>
          <w:iCs/>
        </w:rPr>
        <w:t>infra</w:t>
      </w:r>
      <w:r>
        <w:t xml:space="preserve"> P </w:t>
      </w:r>
      <w:r w:rsidRPr="00334FF1">
        <w:fldChar w:fldCharType="begin"/>
      </w:r>
      <w:r w:rsidRPr="00334FF1">
        <w:instrText xml:space="preserve"> REF _Ref160110128 \r \h </w:instrText>
      </w:r>
      <w:r>
        <w:instrText xml:space="preserve"> \* MERGEFORMAT </w:instrText>
      </w:r>
      <w:r w:rsidRPr="00334FF1">
        <w:fldChar w:fldCharType="separate"/>
      </w:r>
      <w:r w:rsidR="00C46123">
        <w:t>417</w:t>
      </w:r>
      <w:r w:rsidRPr="00334FF1">
        <w:fldChar w:fldCharType="end"/>
      </w:r>
      <w:r>
        <w:t xml:space="preserve"> (explaining that those enforcement policies are not applicable in the ratemaking context).</w:t>
      </w:r>
    </w:p>
  </w:footnote>
  <w:footnote w:id="655">
    <w:p w:rsidR="00760048" w:rsidRPr="00F465C8" w14:paraId="3C7662EC" w14:textId="77777777">
      <w:pPr>
        <w:pStyle w:val="FootnoteText"/>
      </w:pPr>
      <w:r w:rsidRPr="0072600F">
        <w:rPr>
          <w:rStyle w:val="FootnoteReference"/>
        </w:rPr>
        <w:footnoteRef/>
      </w:r>
      <w:r>
        <w:t xml:space="preserve"> </w:t>
      </w:r>
      <w:r>
        <w:rPr>
          <w:i/>
          <w:iCs/>
        </w:rPr>
        <w:t>See supra</w:t>
      </w:r>
      <w:r>
        <w:t xml:space="preserve"> </w:t>
      </w:r>
      <w:r w:rsidRPr="007545B5">
        <w:t xml:space="preserve">section II.D.1.c; </w:t>
      </w:r>
      <w:r w:rsidRPr="007545B5">
        <w:rPr>
          <w:i/>
        </w:rPr>
        <w:t>infra</w:t>
      </w:r>
      <w:r w:rsidRPr="007545B5">
        <w:t xml:space="preserve"> section II.D.1.c.iv.</w:t>
      </w:r>
    </w:p>
  </w:footnote>
  <w:footnote w:id="656">
    <w:p w:rsidR="00760048" w:rsidRPr="008834AA" w:rsidP="00071614" w14:paraId="24BDBB9F" w14:textId="77777777">
      <w:pPr>
        <w:pStyle w:val="FootnoteText"/>
        <w:rPr>
          <w:i/>
          <w:iCs/>
        </w:rPr>
      </w:pPr>
      <w:r w:rsidRPr="0072600F">
        <w:rPr>
          <w:rStyle w:val="FootnoteReference"/>
        </w:rPr>
        <w:footnoteRef/>
      </w:r>
      <w:r>
        <w:t xml:space="preserve"> </w:t>
      </w:r>
      <w:r w:rsidRPr="00AE0679">
        <w:rPr>
          <w:i/>
          <w:iCs/>
        </w:rPr>
        <w:t>Mathews</w:t>
      </w:r>
      <w:r>
        <w:t>, 424 U.S. at 348-49 (“</w:t>
      </w:r>
      <w:r w:rsidRPr="007558A1">
        <w:t xml:space="preserve">The essence of due process is the requirement that a person in jeopardy of serious loss (be given) notice of the case against him and opportunity to meet it. </w:t>
      </w:r>
      <w:r>
        <w:t xml:space="preserve"> </w:t>
      </w:r>
      <w:r w:rsidRPr="007558A1">
        <w:t>All that is necessary is that the procedures be tailored, in light of the decision to be made, to the capacities and circumstances of those who are to be heard</w:t>
      </w:r>
      <w:r>
        <w:t xml:space="preserve"> </w:t>
      </w:r>
      <w:r w:rsidRPr="007558A1">
        <w:t>to insure that they are given a meaningful opportunity to present their case.</w:t>
      </w:r>
      <w:r>
        <w:t>” (citations and quotation marks omitted)</w:t>
      </w:r>
      <w:r w:rsidRPr="007558A1">
        <w:t>)</w:t>
      </w:r>
      <w:r>
        <w:t>.</w:t>
      </w:r>
    </w:p>
  </w:footnote>
  <w:footnote w:id="657">
    <w:p w:rsidR="00760048" w:rsidRPr="00B630B9" w:rsidP="00071614" w14:paraId="1DD38BF8" w14:textId="77777777">
      <w:pPr>
        <w:pStyle w:val="FootnoteText"/>
      </w:pPr>
      <w:r w:rsidRPr="0072600F">
        <w:rPr>
          <w:rStyle w:val="FootnoteReference"/>
        </w:rPr>
        <w:footnoteRef/>
      </w:r>
      <w:r>
        <w:t xml:space="preserve"> </w:t>
      </w:r>
      <w:r>
        <w:rPr>
          <w:i/>
          <w:iCs/>
        </w:rPr>
        <w:t xml:space="preserve">See </w:t>
      </w:r>
      <w:r>
        <w:t xml:space="preserve">Order No. 2023, </w:t>
      </w:r>
      <w:r w:rsidRPr="00B61089">
        <w:t>184 FERC ¶ 61,054</w:t>
      </w:r>
      <w:r>
        <w:t xml:space="preserve"> at PP 962-63, 979-83.</w:t>
      </w:r>
    </w:p>
  </w:footnote>
  <w:footnote w:id="658">
    <w:p w:rsidR="00760048" w:rsidRPr="00DE44D2" w:rsidP="00071614" w14:paraId="57AD6E54" w14:textId="77777777">
      <w:pPr>
        <w:pStyle w:val="FootnoteText"/>
      </w:pPr>
      <w:r w:rsidRPr="0072600F">
        <w:rPr>
          <w:rStyle w:val="FootnoteReference"/>
        </w:rPr>
        <w:footnoteRef/>
      </w:r>
      <w:r>
        <w:t xml:space="preserve"> </w:t>
      </w:r>
      <w:r>
        <w:rPr>
          <w:i/>
          <w:iCs/>
        </w:rPr>
        <w:t>See</w:t>
      </w:r>
      <w:r>
        <w:t xml:space="preserve"> </w:t>
      </w:r>
      <w:r w:rsidRPr="00621AAF">
        <w:rPr>
          <w:i/>
        </w:rPr>
        <w:t xml:space="preserve">id. </w:t>
      </w:r>
      <w:r>
        <w:t>PP 962, 973, 984.</w:t>
      </w:r>
    </w:p>
  </w:footnote>
  <w:footnote w:id="659">
    <w:p w:rsidR="00760048" w:rsidRPr="00DE44D2" w:rsidP="00071614" w14:paraId="336E6010" w14:textId="77777777">
      <w:pPr>
        <w:pStyle w:val="FootnoteText"/>
      </w:pPr>
      <w:r w:rsidRPr="0072600F">
        <w:rPr>
          <w:rStyle w:val="FootnoteReference"/>
        </w:rPr>
        <w:footnoteRef/>
      </w:r>
      <w:r>
        <w:t xml:space="preserve"> </w:t>
      </w:r>
      <w:r>
        <w:rPr>
          <w:i/>
          <w:iCs/>
        </w:rPr>
        <w:t xml:space="preserve">See </w:t>
      </w:r>
      <w:r w:rsidRPr="007E7580">
        <w:rPr>
          <w:i/>
          <w:iCs/>
        </w:rPr>
        <w:t>id.</w:t>
      </w:r>
      <w:r w:rsidRPr="007E7580">
        <w:rPr>
          <w:i/>
        </w:rPr>
        <w:t xml:space="preserve"> </w:t>
      </w:r>
      <w:r>
        <w:t>P 987.</w:t>
      </w:r>
    </w:p>
  </w:footnote>
  <w:footnote w:id="660">
    <w:p w:rsidR="00760048" w:rsidRPr="00110503" w:rsidP="00071614" w14:paraId="2C680D98" w14:textId="77777777">
      <w:pPr>
        <w:pStyle w:val="FootnoteText"/>
      </w:pPr>
      <w:r w:rsidRPr="0072600F">
        <w:rPr>
          <w:rStyle w:val="FootnoteReference"/>
        </w:rPr>
        <w:footnoteRef/>
      </w:r>
      <w:r>
        <w:t xml:space="preserve"> </w:t>
      </w:r>
      <w:r>
        <w:rPr>
          <w:i/>
          <w:iCs/>
        </w:rPr>
        <w:t xml:space="preserve">See </w:t>
      </w:r>
      <w:r w:rsidRPr="007E7580">
        <w:rPr>
          <w:i/>
          <w:iCs/>
        </w:rPr>
        <w:t>id.</w:t>
      </w:r>
      <w:r w:rsidRPr="007E7580">
        <w:rPr>
          <w:i/>
        </w:rPr>
        <w:t xml:space="preserve"> </w:t>
      </w:r>
      <w:r>
        <w:t>(“</w:t>
      </w:r>
      <w:r w:rsidRPr="00110503">
        <w:t>The filing of an appeal will stay the transmission providers’ obligation to distribute the study delay penalty funds to interconnection customers until 45 calendar days after (1) the deadline for filing a rehearing request has ended, if no requests for rehearing of the Commission’s decision or the appeal have been filed, or (2) the date that any requests for rehearing of the Commission’s decision on the appeal are no longer pending before the Commission.”</w:t>
      </w:r>
      <w:r>
        <w:t>).</w:t>
      </w:r>
    </w:p>
  </w:footnote>
  <w:footnote w:id="661">
    <w:p w:rsidR="00760048" w:rsidP="00071614" w14:paraId="2EDE5A82" w14:textId="77777777">
      <w:pPr>
        <w:pStyle w:val="FootnoteText"/>
      </w:pPr>
      <w:r w:rsidRPr="0072600F">
        <w:rPr>
          <w:rStyle w:val="FootnoteReference"/>
        </w:rPr>
        <w:footnoteRef/>
      </w:r>
      <w:r>
        <w:t xml:space="preserve"> </w:t>
      </w:r>
      <w:r>
        <w:rPr>
          <w:i/>
          <w:iCs/>
        </w:rPr>
        <w:t xml:space="preserve">See </w:t>
      </w:r>
      <w:r w:rsidRPr="008834AA">
        <w:rPr>
          <w:i/>
          <w:iCs/>
        </w:rPr>
        <w:t xml:space="preserve">Opp Cotton Mills, Inc. v. Adm’r of Wage </w:t>
      </w:r>
      <w:r w:rsidR="00DF3619">
        <w:rPr>
          <w:i/>
          <w:iCs/>
        </w:rPr>
        <w:t>&amp;</w:t>
      </w:r>
      <w:r w:rsidRPr="008834AA" w:rsidR="00DF3619">
        <w:rPr>
          <w:i/>
          <w:iCs/>
        </w:rPr>
        <w:t xml:space="preserve"> </w:t>
      </w:r>
      <w:r w:rsidRPr="008834AA">
        <w:rPr>
          <w:i/>
          <w:iCs/>
        </w:rPr>
        <w:t>Hour Div.</w:t>
      </w:r>
      <w:r w:rsidRPr="006A72F0">
        <w:t>,</w:t>
      </w:r>
      <w:r w:rsidRPr="008834AA">
        <w:rPr>
          <w:i/>
          <w:iCs/>
        </w:rPr>
        <w:t xml:space="preserve"> </w:t>
      </w:r>
      <w:r w:rsidRPr="009A2D88">
        <w:t>312 U.S. 126, 152–53 (1941) (“The demands of due process do not require a hearing, at the initial stage or at any particular point or at more than one point in time in an administrative proceeding so long as the requisite hearing is held before the final order becomes effective.”)</w:t>
      </w:r>
      <w:r>
        <w:t xml:space="preserve">.  </w:t>
      </w:r>
    </w:p>
  </w:footnote>
  <w:footnote w:id="662">
    <w:p w:rsidR="00760048" w:rsidRPr="00704964" w:rsidP="00071614" w14:paraId="23430259" w14:textId="77777777">
      <w:pPr>
        <w:pStyle w:val="FootnoteText"/>
      </w:pPr>
      <w:r w:rsidRPr="0072600F">
        <w:rPr>
          <w:rStyle w:val="FootnoteReference"/>
        </w:rPr>
        <w:footnoteRef/>
      </w:r>
      <w:r w:rsidRPr="00A8402E">
        <w:t xml:space="preserve"> </w:t>
      </w:r>
      <w:r w:rsidRPr="00A8402E">
        <w:rPr>
          <w:i/>
          <w:iCs/>
        </w:rPr>
        <w:t>See, e.g.</w:t>
      </w:r>
      <w:r w:rsidRPr="00A8402E">
        <w:t xml:space="preserve">, </w:t>
      </w:r>
      <w:r w:rsidRPr="00A8402E">
        <w:rPr>
          <w:i/>
          <w:iCs/>
        </w:rPr>
        <w:t>Fed. Express Corp. v. U</w:t>
      </w:r>
      <w:r w:rsidR="00DF3619">
        <w:rPr>
          <w:i/>
          <w:iCs/>
        </w:rPr>
        <w:t>.</w:t>
      </w:r>
      <w:r w:rsidRPr="00A8402E">
        <w:rPr>
          <w:i/>
          <w:iCs/>
        </w:rPr>
        <w:t>S</w:t>
      </w:r>
      <w:r w:rsidR="00DF3619">
        <w:rPr>
          <w:i/>
          <w:iCs/>
        </w:rPr>
        <w:t>.</w:t>
      </w:r>
      <w:r w:rsidRPr="00A8402E">
        <w:rPr>
          <w:i/>
          <w:iCs/>
        </w:rPr>
        <w:t xml:space="preserve"> </w:t>
      </w:r>
      <w:r w:rsidRPr="00A8402E">
        <w:rPr>
          <w:i/>
          <w:iCs/>
        </w:rPr>
        <w:t>Dep</w:t>
      </w:r>
      <w:r>
        <w:rPr>
          <w:i/>
          <w:iCs/>
        </w:rPr>
        <w:t>’</w:t>
      </w:r>
      <w:r w:rsidRPr="00A8402E">
        <w:rPr>
          <w:i/>
          <w:iCs/>
        </w:rPr>
        <w:t>t of Com.</w:t>
      </w:r>
      <w:r w:rsidRPr="00A8402E">
        <w:t xml:space="preserve">, 39 F.4th 756, 773 (D.C. Cir. 2022) (explaining that “[t]he Due Process Clause’s fair notice requirement generally requires only that the government make the requirements of the law public and afford the citizenry a reasonable opportunity to familiarize itself with its terms and to comply” and that even trained lawyers may find it necessary to consult legal dictionaries, treatises, and precedent); </w:t>
      </w:r>
      <w:r w:rsidRPr="00BE019A">
        <w:rPr>
          <w:i/>
          <w:iCs/>
        </w:rPr>
        <w:t>Ramsingh v. Transport</w:t>
      </w:r>
      <w:r w:rsidR="00DF3619">
        <w:rPr>
          <w:i/>
          <w:iCs/>
        </w:rPr>
        <w:t>.</w:t>
      </w:r>
      <w:r w:rsidRPr="00BE019A">
        <w:rPr>
          <w:i/>
          <w:iCs/>
        </w:rPr>
        <w:t xml:space="preserve"> Sec. Admin.</w:t>
      </w:r>
      <w:r w:rsidRPr="00BE019A">
        <w:t>, 40 F.4th 625, 636 (D.C. Cir. 2022) (“An enactment violates the Due Process Clause if it is so vague that it fails to give ordinary people fair notice of the conduct it punishes, or so standardless that it invites arbitrary enforcement.”</w:t>
      </w:r>
      <w:r w:rsidRPr="00A8402E">
        <w:t xml:space="preserve"> (quotation marks omitted)</w:t>
      </w:r>
      <w:r w:rsidRPr="00BE019A">
        <w:t>)</w:t>
      </w:r>
      <w:r w:rsidR="003E4F5A">
        <w:t>.</w:t>
      </w:r>
    </w:p>
  </w:footnote>
  <w:footnote w:id="663">
    <w:p w:rsidR="00760048" w:rsidRPr="00B273D7" w:rsidP="00071614" w14:paraId="5CBDD0FE" w14:textId="77777777">
      <w:pPr>
        <w:pStyle w:val="FootnoteText"/>
      </w:pPr>
      <w:r w:rsidRPr="0072600F">
        <w:rPr>
          <w:rStyle w:val="FootnoteReference"/>
        </w:rPr>
        <w:footnoteRef/>
      </w:r>
      <w:r>
        <w:t xml:space="preserve"> Order No. 2023, </w:t>
      </w:r>
      <w:r w:rsidRPr="00B61089">
        <w:t>184 FERC ¶ 61,054</w:t>
      </w:r>
      <w:r>
        <w:t xml:space="preserve"> at P 987.  Having set forth these factors as most likely to be pertinent to a showing of good cause, we do</w:t>
      </w:r>
      <w:r w:rsidRPr="00335D74">
        <w:t xml:space="preserve"> not </w:t>
      </w:r>
      <w:r>
        <w:t>intend to apply our</w:t>
      </w:r>
      <w:r w:rsidRPr="00335D74">
        <w:t xml:space="preserve"> traditional waiver factors </w:t>
      </w:r>
      <w:r>
        <w:t xml:space="preserve">and confirm that the appeals process, as a tariff-specified mechanism to seek relief from penalties, is distinct from seeking a waiver of a tariff provision.  </w:t>
      </w:r>
      <w:r>
        <w:rPr>
          <w:i/>
          <w:iCs/>
        </w:rPr>
        <w:t xml:space="preserve">See </w:t>
      </w:r>
      <w:r w:rsidRPr="00335D74">
        <w:t xml:space="preserve">PacifiCorp Rehearing Request at </w:t>
      </w:r>
      <w:r w:rsidRPr="00E80AE1">
        <w:t>9-10</w:t>
      </w:r>
      <w:r w:rsidRPr="000C3516">
        <w:rPr>
          <w:b/>
          <w:bCs/>
        </w:rPr>
        <w:t xml:space="preserve"> </w:t>
      </w:r>
      <w:r w:rsidRPr="00E80AE1">
        <w:t>(asserting that the Commission had not been clear as to whether such waiver standards would</w:t>
      </w:r>
      <w:r w:rsidRPr="00B273D7">
        <w:t xml:space="preserve"> apply)</w:t>
      </w:r>
      <w:r>
        <w:t>.</w:t>
      </w:r>
    </w:p>
  </w:footnote>
  <w:footnote w:id="664">
    <w:p w:rsidR="00760048" w:rsidRPr="00BF5F43" w:rsidP="00071614" w14:paraId="7907971B" w14:textId="77777777">
      <w:pPr>
        <w:pStyle w:val="FootnoteText"/>
        <w:rPr>
          <w:b/>
          <w:bCs/>
        </w:rPr>
      </w:pPr>
      <w:r w:rsidRPr="0072600F">
        <w:rPr>
          <w:rStyle w:val="FootnoteReference"/>
        </w:rPr>
        <w:footnoteRef/>
      </w:r>
      <w:r>
        <w:t xml:space="preserve"> </w:t>
      </w:r>
      <w:r w:rsidRPr="00285A98">
        <w:rPr>
          <w:i/>
          <w:iCs/>
        </w:rPr>
        <w:t>See, e.g.</w:t>
      </w:r>
      <w:r w:rsidRPr="00285A98">
        <w:t xml:space="preserve">, </w:t>
      </w:r>
      <w:r w:rsidRPr="00285A98">
        <w:rPr>
          <w:i/>
          <w:iCs/>
        </w:rPr>
        <w:t>Fairless Energy, LLC v. FERC</w:t>
      </w:r>
      <w:r w:rsidRPr="00285A98">
        <w:t>, 77 F.4th 1140, 1147 (D.C. Cir. 2023) (agencies must generally conform to prior practice and decisions or explain the reasons for departure from precedent).</w:t>
      </w:r>
    </w:p>
  </w:footnote>
  <w:footnote w:id="665">
    <w:p w:rsidR="00760048" w:rsidRPr="002F31BF" w:rsidP="00071614" w14:paraId="333CEA29" w14:textId="77777777">
      <w:pPr>
        <w:pStyle w:val="FootnoteText"/>
        <w:rPr>
          <w:b/>
          <w:bCs/>
        </w:rPr>
      </w:pPr>
      <w:r w:rsidRPr="0072600F">
        <w:rPr>
          <w:rStyle w:val="FootnoteReference"/>
        </w:rPr>
        <w:footnoteRef/>
      </w:r>
      <w:r>
        <w:t xml:space="preserve"> </w:t>
      </w:r>
      <w:r w:rsidRPr="00113A1C">
        <w:rPr>
          <w:i/>
          <w:iCs/>
        </w:rPr>
        <w:t>See, e.g.</w:t>
      </w:r>
      <w:r w:rsidRPr="00113A1C">
        <w:t>,</w:t>
      </w:r>
      <w:r>
        <w:rPr>
          <w:b/>
          <w:bCs/>
        </w:rPr>
        <w:t xml:space="preserve"> </w:t>
      </w:r>
      <w:r w:rsidRPr="00E5534F">
        <w:rPr>
          <w:i/>
          <w:iCs/>
        </w:rPr>
        <w:t>Ohio Forestry Ass</w:t>
      </w:r>
      <w:r>
        <w:rPr>
          <w:i/>
          <w:iCs/>
        </w:rPr>
        <w:t>’</w:t>
      </w:r>
      <w:r w:rsidRPr="00E5534F">
        <w:rPr>
          <w:i/>
          <w:iCs/>
        </w:rPr>
        <w:t>n, Inc. v. Sierra Club</w:t>
      </w:r>
      <w:r w:rsidRPr="00E5534F">
        <w:t>, 523 U.S. 726, 732–3</w:t>
      </w:r>
      <w:r w:rsidRPr="00B4536A">
        <w:t>3</w:t>
      </w:r>
      <w:r w:rsidRPr="00E5534F">
        <w:t xml:space="preserve"> (1998)</w:t>
      </w:r>
      <w:r w:rsidRPr="00B4536A">
        <w:t xml:space="preserve"> (explaining that, in assessing whether an argument is ripe for resolution, courts consider “</w:t>
      </w:r>
      <w:r w:rsidRPr="00F83469">
        <w:t>(1) whether delayed review would cause hardship to the plaintiffs; (2) whether judicial intervention would inappropriately interfere with further administrative action; and (3) whether the courts would benefit from further factual development of the issues presented</w:t>
      </w:r>
      <w:r w:rsidRPr="00B4536A">
        <w:t xml:space="preserve">”); </w:t>
      </w:r>
      <w:r w:rsidRPr="00EF44CC">
        <w:rPr>
          <w:i/>
          <w:iCs/>
        </w:rPr>
        <w:t xml:space="preserve">Abbott </w:t>
      </w:r>
      <w:r w:rsidRPr="00EF44CC">
        <w:rPr>
          <w:i/>
          <w:iCs/>
        </w:rPr>
        <w:t>Lab</w:t>
      </w:r>
      <w:r>
        <w:rPr>
          <w:i/>
          <w:iCs/>
        </w:rPr>
        <w:t>’</w:t>
      </w:r>
      <w:r w:rsidRPr="00B4536A">
        <w:rPr>
          <w:i/>
          <w:iCs/>
        </w:rPr>
        <w:t>y</w:t>
      </w:r>
      <w:r w:rsidRPr="00EF44CC">
        <w:rPr>
          <w:i/>
          <w:iCs/>
        </w:rPr>
        <w:t>s v. Gardner</w:t>
      </w:r>
      <w:r w:rsidRPr="00EF44CC">
        <w:t xml:space="preserve">, 387 U.S. 136, 148–49 </w:t>
      </w:r>
      <w:r w:rsidRPr="00B4536A">
        <w:t xml:space="preserve">(1967) (explaining that the </w:t>
      </w:r>
      <w:r w:rsidRPr="00F83469">
        <w:t>b</w:t>
      </w:r>
      <w:r>
        <w:t>asic rati</w:t>
      </w:r>
      <w:r w:rsidRPr="00F83469">
        <w:t xml:space="preserve">onale </w:t>
      </w:r>
      <w:r>
        <w:t>the ripeness requirement “</w:t>
      </w:r>
      <w:r w:rsidRPr="00F83469">
        <w:t>is to prevent the courts, through avoidance of premature adjudication, from entangling themselves in abstract disagreements over administrative policies, and also to protect the agencies from judicial interference until an administrative decision has been formalized and its effects felt in a concrete way by the challenging parties</w:t>
      </w:r>
      <w:r w:rsidRPr="00B4536A">
        <w:t>”)</w:t>
      </w:r>
      <w:r>
        <w:t>.</w:t>
      </w:r>
    </w:p>
  </w:footnote>
  <w:footnote w:id="666">
    <w:p w:rsidR="00760048" w:rsidRPr="000C7256" w:rsidP="00071614" w14:paraId="42EFEA68" w14:textId="77777777">
      <w:pPr>
        <w:pStyle w:val="FootnoteText"/>
        <w:rPr>
          <w:i/>
          <w:iCs/>
        </w:rPr>
      </w:pPr>
      <w:r w:rsidRPr="0072600F">
        <w:rPr>
          <w:rStyle w:val="FootnoteReference"/>
        </w:rPr>
        <w:footnoteRef/>
      </w:r>
      <w:r>
        <w:t xml:space="preserve"> </w:t>
      </w:r>
      <w:r>
        <w:rPr>
          <w:i/>
          <w:iCs/>
        </w:rPr>
        <w:t xml:space="preserve">See </w:t>
      </w:r>
      <w:r w:rsidRPr="000C7256">
        <w:rPr>
          <w:i/>
          <w:iCs/>
        </w:rPr>
        <w:t>N</w:t>
      </w:r>
      <w:r w:rsidR="00E47038">
        <w:rPr>
          <w:i/>
          <w:iCs/>
        </w:rPr>
        <w:t>.</w:t>
      </w:r>
      <w:r w:rsidRPr="000C7256">
        <w:rPr>
          <w:i/>
          <w:iCs/>
        </w:rPr>
        <w:t xml:space="preserve"> Y</w:t>
      </w:r>
      <w:r w:rsidR="00E47038">
        <w:rPr>
          <w:i/>
          <w:iCs/>
        </w:rPr>
        <w:t>.</w:t>
      </w:r>
      <w:r w:rsidRPr="000C7256">
        <w:rPr>
          <w:i/>
          <w:iCs/>
        </w:rPr>
        <w:t xml:space="preserve"> State Comm</w:t>
      </w:r>
      <w:r>
        <w:rPr>
          <w:i/>
          <w:iCs/>
        </w:rPr>
        <w:t>’</w:t>
      </w:r>
      <w:r w:rsidRPr="000C7256">
        <w:rPr>
          <w:i/>
          <w:iCs/>
        </w:rPr>
        <w:t>n on Cable Television v. F.C.C</w:t>
      </w:r>
      <w:r w:rsidRPr="000C7256">
        <w:t>., 749 F.2d 804, 815 (D.C. Cir. 1984)</w:t>
      </w:r>
      <w:r>
        <w:t xml:space="preserve"> (“</w:t>
      </w:r>
      <w:r w:rsidRPr="000C7256">
        <w:t>The decision whether to proceed by rulemaking or adjudication lies within the Commission's discretion</w:t>
      </w:r>
      <w:r>
        <w:t xml:space="preserve">” (citing </w:t>
      </w:r>
      <w:r w:rsidRPr="00451CEB">
        <w:rPr>
          <w:i/>
          <w:iCs/>
        </w:rPr>
        <w:t>N.L.R.B. v. Bell Aerospace Co. Div. of Textron</w:t>
      </w:r>
      <w:r w:rsidRPr="00451CEB">
        <w:t>, 416 U.S. 267, 293 (1974)</w:t>
      </w:r>
      <w:r>
        <w:t>)).</w:t>
      </w:r>
    </w:p>
  </w:footnote>
  <w:footnote w:id="667">
    <w:p w:rsidR="00760048" w:rsidRPr="005C5495" w:rsidP="00071614" w14:paraId="09006483" w14:textId="77777777">
      <w:pPr>
        <w:pStyle w:val="FootnoteText"/>
      </w:pPr>
      <w:r w:rsidRPr="0072600F">
        <w:rPr>
          <w:rStyle w:val="FootnoteReference"/>
        </w:rPr>
        <w:footnoteRef/>
      </w:r>
      <w:r>
        <w:t xml:space="preserve"> </w:t>
      </w:r>
      <w:r>
        <w:rPr>
          <w:i/>
          <w:iCs/>
        </w:rPr>
        <w:t xml:space="preserve">See </w:t>
      </w:r>
      <w:r>
        <w:t xml:space="preserve">Order No. 2023, </w:t>
      </w:r>
      <w:r w:rsidRPr="00B61089">
        <w:t>184 FERC ¶ 61,054</w:t>
      </w:r>
      <w:r>
        <w:t xml:space="preserve"> at P 989 (“</w:t>
      </w:r>
      <w:r w:rsidRPr="00A8402E">
        <w:t xml:space="preserve">We disagree with Indicated PJM TOs that a complete </w:t>
      </w:r>
      <w:r w:rsidRPr="00A8402E">
        <w:rPr>
          <w:i/>
          <w:iCs/>
        </w:rPr>
        <w:t>de novo</w:t>
      </w:r>
      <w:r w:rsidRPr="00A8402E">
        <w:t xml:space="preserve"> review is needed to assess study delay penalties</w:t>
      </w:r>
      <w:r>
        <w:t xml:space="preserve">. </w:t>
      </w:r>
      <w:r w:rsidRPr="00A8402E">
        <w:t xml:space="preserve"> We find that the good cause standard adopted in this final rule provides an adequate framework through which the Commission can evaluate whether it is appropriate to grant relief from any applicable penalties.</w:t>
      </w:r>
      <w:r>
        <w:t>”</w:t>
      </w:r>
      <w:r w:rsidRPr="00A8402E">
        <w:t>)</w:t>
      </w:r>
      <w:r>
        <w:t>.</w:t>
      </w:r>
    </w:p>
  </w:footnote>
  <w:footnote w:id="668">
    <w:p w:rsidR="00760048" w:rsidRPr="008834AA" w:rsidP="00071614" w14:paraId="6F1CA910" w14:textId="77777777">
      <w:pPr>
        <w:pStyle w:val="FootnoteText"/>
      </w:pPr>
      <w:r w:rsidRPr="0072600F">
        <w:rPr>
          <w:rStyle w:val="FootnoteReference"/>
        </w:rPr>
        <w:footnoteRef/>
      </w:r>
      <w:r>
        <w:t xml:space="preserve"> </w:t>
      </w:r>
      <w:r>
        <w:rPr>
          <w:i/>
          <w:iCs/>
        </w:rPr>
        <w:t>See, e.g.</w:t>
      </w:r>
      <w:r>
        <w:t>, 5 U.S.C. § 556(d) (“</w:t>
      </w:r>
      <w:r w:rsidRPr="00223896">
        <w:t>Except as otherwise provided by statute, the proponent of a rule or order has the burden of proof.”</w:t>
      </w:r>
      <w:r>
        <w:t xml:space="preserve">).  Similarly, under FPA sections 205 and 206, the burden of proof typically rests with the proponent of a Commission order.  </w:t>
      </w:r>
      <w:r>
        <w:rPr>
          <w:i/>
          <w:iCs/>
        </w:rPr>
        <w:t xml:space="preserve">See </w:t>
      </w:r>
      <w:r w:rsidRPr="00405201">
        <w:t xml:space="preserve">16 U.S.C. § 824e(b); </w:t>
      </w:r>
      <w:r w:rsidRPr="00405201">
        <w:rPr>
          <w:i/>
        </w:rPr>
        <w:t>FirstEnergy Serv. Co. v. FERC</w:t>
      </w:r>
      <w:r w:rsidRPr="00405201">
        <w:t>, 758 F.3d 346, 353 (D.C. Cir. 2014)</w:t>
      </w:r>
      <w:r>
        <w:t xml:space="preserve">; </w:t>
      </w:r>
      <w:r w:rsidRPr="005C786F">
        <w:rPr>
          <w:i/>
          <w:iCs/>
        </w:rPr>
        <w:t>Midwest Indep. Transmission Sys. Operator, Inc.</w:t>
      </w:r>
      <w:r w:rsidRPr="005C786F">
        <w:t xml:space="preserve">, 148 FERC ¶ 61,206, </w:t>
      </w:r>
      <w:r>
        <w:t>at P 51</w:t>
      </w:r>
      <w:r w:rsidRPr="005C786F">
        <w:t xml:space="preserve"> (2014)</w:t>
      </w:r>
      <w:r>
        <w:t>.</w:t>
      </w:r>
    </w:p>
  </w:footnote>
  <w:footnote w:id="669">
    <w:p w:rsidR="00760048" w:rsidRPr="00BC1F45" w:rsidP="00071614" w14:paraId="398EC2D9" w14:textId="77777777">
      <w:pPr>
        <w:pStyle w:val="FootnoteText"/>
        <w:rPr>
          <w:b/>
          <w:bCs/>
        </w:rPr>
      </w:pPr>
      <w:r w:rsidRPr="0072600F">
        <w:rPr>
          <w:rStyle w:val="FootnoteReference"/>
        </w:rPr>
        <w:footnoteRef/>
      </w:r>
      <w:r>
        <w:t xml:space="preserve"> </w:t>
      </w:r>
      <w:r>
        <w:rPr>
          <w:i/>
          <w:iCs/>
        </w:rPr>
        <w:t xml:space="preserve">See </w:t>
      </w:r>
      <w:r w:rsidRPr="007368E2">
        <w:rPr>
          <w:i/>
          <w:iCs/>
        </w:rPr>
        <w:t>supra</w:t>
      </w:r>
      <w:r w:rsidRPr="007368E2">
        <w:t xml:space="preserve"> section II.D.1.c.i</w:t>
      </w:r>
      <w:r>
        <w:t xml:space="preserve"> (explaining why the selected deadlines are just and reasonable).  </w:t>
      </w:r>
    </w:p>
  </w:footnote>
  <w:footnote w:id="670">
    <w:p w:rsidR="00760048" w:rsidRPr="00BC1F45" w:rsidP="00071614" w14:paraId="34D5D85F" w14:textId="77777777">
      <w:pPr>
        <w:pStyle w:val="FootnoteText"/>
      </w:pPr>
      <w:r w:rsidRPr="0072600F">
        <w:rPr>
          <w:rStyle w:val="FootnoteReference"/>
        </w:rPr>
        <w:footnoteRef/>
      </w:r>
      <w:r>
        <w:t xml:space="preserve"> </w:t>
      </w:r>
      <w:r>
        <w:rPr>
          <w:i/>
          <w:iCs/>
        </w:rPr>
        <w:t>See supra</w:t>
      </w:r>
      <w:r>
        <w:t xml:space="preserve"> PP </w:t>
      </w:r>
      <w:r w:rsidR="00DF3619">
        <w:fldChar w:fldCharType="begin"/>
      </w:r>
      <w:r w:rsidR="00DF3619">
        <w:instrText xml:space="preserve"> REF _Ref160108206 \r \h </w:instrText>
      </w:r>
      <w:r w:rsidR="00DF3619">
        <w:fldChar w:fldCharType="separate"/>
      </w:r>
      <w:r w:rsidR="00DF3619">
        <w:t>359</w:t>
      </w:r>
      <w:r w:rsidR="00DF3619">
        <w:fldChar w:fldCharType="end"/>
      </w:r>
      <w:r w:rsidRPr="00D64318">
        <w:rPr>
          <w:highlight w:val="yellow"/>
        </w:rPr>
        <w:fldChar w:fldCharType="begin"/>
      </w:r>
      <w:r w:rsidRPr="00D64318">
        <w:rPr>
          <w:highlight w:val="yellow"/>
        </w:rPr>
        <w:instrText xml:space="preserve"> REF _Ref160108206 \r \h </w:instrText>
      </w:r>
      <w:r>
        <w:rPr>
          <w:highlight w:val="yellow"/>
        </w:rPr>
        <w:instrText xml:space="preserve"> \* MERGEFORMAT </w:instrText>
      </w:r>
      <w:r w:rsidR="00BE439E">
        <w:rPr>
          <w:highlight w:val="yellow"/>
        </w:rPr>
        <w:fldChar w:fldCharType="separate"/>
      </w:r>
      <w:r w:rsidRPr="00D64318">
        <w:rPr>
          <w:highlight w:val="yellow"/>
        </w:rPr>
        <w:fldChar w:fldCharType="end"/>
      </w:r>
      <w:r>
        <w:t xml:space="preserve">, </w:t>
      </w:r>
      <w:r>
        <w:fldChar w:fldCharType="begin"/>
      </w:r>
      <w:r>
        <w:instrText xml:space="preserve"> REF _Ref160108249 \r \h </w:instrText>
      </w:r>
      <w:r>
        <w:fldChar w:fldCharType="separate"/>
      </w:r>
      <w:r w:rsidR="00C46123">
        <w:t>361</w:t>
      </w:r>
      <w:r>
        <w:fldChar w:fldCharType="end"/>
      </w:r>
      <w:r>
        <w:t xml:space="preserve"> (explaining, </w:t>
      </w:r>
      <w:r>
        <w:rPr>
          <w:i/>
          <w:iCs/>
        </w:rPr>
        <w:t>inter alia</w:t>
      </w:r>
      <w:r>
        <w:t>, that the appeal process is a safeguard to address considerations relevant to individual cases that may warrant relief).</w:t>
      </w:r>
    </w:p>
  </w:footnote>
  <w:footnote w:id="671">
    <w:p w:rsidR="00760048" w:rsidP="00071614" w14:paraId="0ADA90AD" w14:textId="77777777">
      <w:pPr>
        <w:pStyle w:val="FootnoteText"/>
      </w:pPr>
      <w:r w:rsidRPr="0072600F">
        <w:rPr>
          <w:rStyle w:val="FootnoteReference"/>
        </w:rPr>
        <w:footnoteRef/>
      </w:r>
      <w:r>
        <w:t xml:space="preserve"> </w:t>
      </w:r>
      <w:r w:rsidRPr="00451CEB">
        <w:rPr>
          <w:i/>
          <w:iCs/>
        </w:rPr>
        <w:t>See Vt. Yankee</w:t>
      </w:r>
      <w:r w:rsidR="006926F3">
        <w:rPr>
          <w:i/>
          <w:iCs/>
        </w:rPr>
        <w:t>,</w:t>
      </w:r>
      <w:r w:rsidRPr="00451CEB">
        <w:rPr>
          <w:i/>
          <w:iCs/>
        </w:rPr>
        <w:t xml:space="preserve"> </w:t>
      </w:r>
      <w:r w:rsidRPr="00451CEB">
        <w:t xml:space="preserve">435 U.S. </w:t>
      </w:r>
      <w:r w:rsidR="006926F3">
        <w:t>at</w:t>
      </w:r>
      <w:r w:rsidRPr="00451CEB">
        <w:t xml:space="preserve"> 524-25 (agencies have broad discretion over the formulation of their procedures); </w:t>
      </w:r>
      <w:r w:rsidRPr="00451CEB">
        <w:rPr>
          <w:i/>
          <w:iCs/>
        </w:rPr>
        <w:t>Mich. Pub. Power Agency v. FERC</w:t>
      </w:r>
      <w:r w:rsidRPr="00451CEB">
        <w:t xml:space="preserve">, 963 F.2d 1574, 1578-79 (D.C. Cir. 1992) (the Commission has discretion to mold its procedures to the exigencies of the particular case); </w:t>
      </w:r>
      <w:r w:rsidRPr="00451CEB">
        <w:rPr>
          <w:i/>
          <w:iCs/>
        </w:rPr>
        <w:t>Woolen Mill Assoc. v. FERC</w:t>
      </w:r>
      <w:r w:rsidRPr="00451CEB">
        <w:t>, 917 F.2d 589, 592 (D.C. Cir. 1990) (the decision as to whether to conduct an evidentiary hearing is in the Commission's discretion).</w:t>
      </w:r>
    </w:p>
  </w:footnote>
  <w:footnote w:id="672">
    <w:p w:rsidR="00760048" w:rsidP="00071614" w14:paraId="7DED005B" w14:textId="77777777">
      <w:pPr>
        <w:pStyle w:val="FootnoteText"/>
      </w:pPr>
      <w:r w:rsidRPr="0072600F">
        <w:rPr>
          <w:rStyle w:val="FootnoteReference"/>
        </w:rPr>
        <w:footnoteRef/>
      </w:r>
      <w:r>
        <w:t xml:space="preserve"> </w:t>
      </w:r>
      <w:r>
        <w:rPr>
          <w:i/>
          <w:iCs/>
        </w:rPr>
        <w:t xml:space="preserve">See </w:t>
      </w:r>
      <w:r>
        <w:t>NYTO Rehearing Request at 24 n.67.</w:t>
      </w:r>
    </w:p>
  </w:footnote>
  <w:footnote w:id="673">
    <w:p w:rsidR="00760048" w:rsidP="00071614" w14:paraId="08339627" w14:textId="77777777">
      <w:pPr>
        <w:pStyle w:val="FootnoteText"/>
      </w:pPr>
      <w:r w:rsidRPr="0072600F">
        <w:rPr>
          <w:rStyle w:val="FootnoteReference"/>
        </w:rPr>
        <w:footnoteRef/>
      </w:r>
      <w:r>
        <w:t xml:space="preserve"> Similar to our reasoning above, </w:t>
      </w:r>
      <w:r>
        <w:rPr>
          <w:i/>
          <w:iCs/>
        </w:rPr>
        <w:t xml:space="preserve">see </w:t>
      </w:r>
      <w:r>
        <w:rPr>
          <w:i/>
          <w:iCs/>
        </w:rPr>
        <w:t xml:space="preserve">supra </w:t>
      </w:r>
      <w:r>
        <w:t xml:space="preserve">P </w:t>
      </w:r>
      <w:r w:rsidRPr="00780C66">
        <w:fldChar w:fldCharType="begin"/>
      </w:r>
      <w:r w:rsidRPr="00780C66">
        <w:instrText xml:space="preserve"> REF _Ref160108250 \r \h </w:instrText>
      </w:r>
      <w:r>
        <w:instrText xml:space="preserve"> \* MERGEFORMAT </w:instrText>
      </w:r>
      <w:r w:rsidRPr="00780C66">
        <w:fldChar w:fldCharType="separate"/>
      </w:r>
      <w:r w:rsidR="00C46123">
        <w:t>363</w:t>
      </w:r>
      <w:r w:rsidRPr="00780C66">
        <w:fldChar w:fldCharType="end"/>
      </w:r>
      <w:r>
        <w:t xml:space="preserve">, arguments contending that a particular procedure may be required in a particular case are premature. </w:t>
      </w:r>
    </w:p>
  </w:footnote>
  <w:footnote w:id="674">
    <w:p w:rsidR="00760048" w:rsidP="00071614" w14:paraId="3E1409A5" w14:textId="77777777">
      <w:pPr>
        <w:pStyle w:val="FootnoteText"/>
      </w:pPr>
      <w:r w:rsidRPr="0072600F">
        <w:rPr>
          <w:rStyle w:val="FootnoteReference"/>
        </w:rPr>
        <w:footnoteRef/>
      </w:r>
      <w:r>
        <w:t xml:space="preserve"> Order No. 2023, </w:t>
      </w:r>
      <w:r w:rsidRPr="00142095">
        <w:t xml:space="preserve">184 FERC ¶ 61,054 </w:t>
      </w:r>
      <w:r>
        <w:t xml:space="preserve">at PP 963, 987 n.1911. </w:t>
      </w:r>
    </w:p>
  </w:footnote>
  <w:footnote w:id="675">
    <w:p w:rsidR="00760048" w:rsidP="00071614" w14:paraId="21C2D09E" w14:textId="77777777">
      <w:pPr>
        <w:pStyle w:val="FootnoteText"/>
      </w:pPr>
      <w:r w:rsidRPr="0072600F">
        <w:rPr>
          <w:rStyle w:val="FootnoteReference"/>
        </w:rPr>
        <w:footnoteRef/>
      </w:r>
      <w:r>
        <w:t xml:space="preserve"> Indicated PJM TOs Rehearing Request at 26 (“</w:t>
      </w:r>
      <w:r w:rsidRPr="009610A6">
        <w:t>transmission owners should be entitled to challenge the propriety or size of the penalty amount assigned to it either</w:t>
      </w:r>
      <w:r>
        <w:t xml:space="preserve"> ‘</w:t>
      </w:r>
      <w:r w:rsidRPr="009610A6">
        <w:t>automatically</w:t>
      </w:r>
      <w:r>
        <w:t>’</w:t>
      </w:r>
      <w:r w:rsidRPr="009610A6">
        <w:t xml:space="preserve"> or by a transmission provider as an unjust, unreasonable, or unduly</w:t>
      </w:r>
      <w:r>
        <w:t xml:space="preserve"> </w:t>
      </w:r>
      <w:r w:rsidRPr="009610A6">
        <w:t>discriminatory rate based on grounds of its own choosing.</w:t>
      </w:r>
      <w:r>
        <w:t>).</w:t>
      </w:r>
    </w:p>
  </w:footnote>
  <w:footnote w:id="676">
    <w:p w:rsidR="00760048" w:rsidRPr="00361191" w:rsidP="00071614" w14:paraId="49C9F06D" w14:textId="77777777">
      <w:pPr>
        <w:pStyle w:val="FootnoteText"/>
      </w:pPr>
      <w:r w:rsidRPr="0072600F">
        <w:rPr>
          <w:rStyle w:val="FootnoteReference"/>
        </w:rPr>
        <w:footnoteRef/>
      </w:r>
      <w:r>
        <w:t xml:space="preserve"> NYTOs Rehearing </w:t>
      </w:r>
      <w:r w:rsidRPr="00437BCA">
        <w:t>Request</w:t>
      </w:r>
      <w:r>
        <w:t xml:space="preserve"> at 23 (citing </w:t>
      </w:r>
      <w:r w:rsidRPr="00C01256" w:rsidR="00905E38">
        <w:rPr>
          <w:i/>
          <w:iCs/>
        </w:rPr>
        <w:t>Atl</w:t>
      </w:r>
      <w:r w:rsidR="001E5BAB">
        <w:rPr>
          <w:i/>
          <w:iCs/>
        </w:rPr>
        <w:t>.</w:t>
      </w:r>
      <w:r w:rsidRPr="00C01256" w:rsidR="00905E38">
        <w:rPr>
          <w:i/>
          <w:iCs/>
        </w:rPr>
        <w:t xml:space="preserve"> City I</w:t>
      </w:r>
      <w:r w:rsidRPr="00361191">
        <w:t xml:space="preserve">, 295 F.3d </w:t>
      </w:r>
      <w:r w:rsidR="00905E38">
        <w:t>at</w:t>
      </w:r>
      <w:r w:rsidRPr="00361191">
        <w:t xml:space="preserve"> 10</w:t>
      </w:r>
      <w:r>
        <w:t>).</w:t>
      </w:r>
    </w:p>
  </w:footnote>
  <w:footnote w:id="677">
    <w:p w:rsidR="00760048" w:rsidP="00071614" w14:paraId="631953D2" w14:textId="77777777">
      <w:pPr>
        <w:pStyle w:val="FootnoteText"/>
      </w:pPr>
      <w:r w:rsidRPr="0072600F">
        <w:rPr>
          <w:rStyle w:val="FootnoteReference"/>
        </w:rPr>
        <w:footnoteRef/>
      </w:r>
      <w:r>
        <w:t xml:space="preserve"> Transmission providers have initiated complaints under FPA section 206 alleging that their own tariff provisions are unjust and unreasonable, but this procedure is generally used when there is no other mechanism by which a transmission provider could change or challenge such tariff provisions.  For example, </w:t>
      </w:r>
      <w:r w:rsidRPr="000F25B1">
        <w:t xml:space="preserve">PJM has initiated </w:t>
      </w:r>
      <w:r>
        <w:t xml:space="preserve">FPA section </w:t>
      </w:r>
      <w:r w:rsidRPr="000F25B1">
        <w:t>206 complaints regarding its own O</w:t>
      </w:r>
      <w:r>
        <w:t>perating Agreement</w:t>
      </w:r>
      <w:r w:rsidRPr="000F25B1">
        <w:t xml:space="preserve"> because it does not have </w:t>
      </w:r>
      <w:r>
        <w:t xml:space="preserve">FPA section </w:t>
      </w:r>
      <w:r w:rsidRPr="000F25B1">
        <w:t xml:space="preserve">205 filing authority </w:t>
      </w:r>
      <w:r>
        <w:t>to file market rule changes to the</w:t>
      </w:r>
      <w:r w:rsidRPr="000F25B1">
        <w:t xml:space="preserve"> Operating Agreement</w:t>
      </w:r>
      <w:r>
        <w:t xml:space="preserve"> without supermajority stakeholder approval</w:t>
      </w:r>
      <w:r w:rsidRPr="000F25B1">
        <w:t>.</w:t>
      </w:r>
      <w:r>
        <w:t xml:space="preserve">  </w:t>
      </w:r>
      <w:r w:rsidRPr="00AC6310">
        <w:rPr>
          <w:i/>
          <w:iCs/>
        </w:rPr>
        <w:t>See</w:t>
      </w:r>
      <w:r>
        <w:rPr>
          <w:i/>
          <w:iCs/>
        </w:rPr>
        <w:t>, e.g.</w:t>
      </w:r>
      <w:r w:rsidRPr="00194F70">
        <w:t xml:space="preserve">, </w:t>
      </w:r>
      <w:r w:rsidRPr="00AC6310">
        <w:t>PJM Intra-PJM Tariffs,</w:t>
      </w:r>
      <w:r w:rsidR="00725F4E">
        <w:t xml:space="preserve"> §</w:t>
      </w:r>
      <w:r w:rsidRPr="00AC6310">
        <w:t xml:space="preserve"> 8.4, OA </w:t>
      </w:r>
      <w:r w:rsidR="00725F4E">
        <w:t xml:space="preserve">§ </w:t>
      </w:r>
      <w:r w:rsidRPr="00AC6310">
        <w:t>8.4 (Manner of Acting) (1.0.0)</w:t>
      </w:r>
      <w:r>
        <w:t xml:space="preserve">; </w:t>
      </w:r>
      <w:r w:rsidRPr="00F6746F">
        <w:rPr>
          <w:i/>
          <w:iCs/>
        </w:rPr>
        <w:t>PJM Interconnection, L.L.C.</w:t>
      </w:r>
      <w:r>
        <w:t xml:space="preserve">, 180 FERC </w:t>
      </w:r>
      <w:r w:rsidRPr="003F5CD3">
        <w:t>¶ 61,051</w:t>
      </w:r>
      <w:r>
        <w:t xml:space="preserve">, at PP 8-9 (2022).  </w:t>
      </w:r>
    </w:p>
  </w:footnote>
  <w:footnote w:id="678">
    <w:p w:rsidR="00760048" w:rsidRPr="003C5A3A" w:rsidP="00071614" w14:paraId="5DB19167" w14:textId="77777777">
      <w:pPr>
        <w:pStyle w:val="FootnoteText"/>
      </w:pPr>
      <w:r w:rsidRPr="0072600F">
        <w:rPr>
          <w:rStyle w:val="FootnoteReference"/>
        </w:rPr>
        <w:footnoteRef/>
      </w:r>
      <w:r>
        <w:t xml:space="preserve"> </w:t>
      </w:r>
      <w:r>
        <w:rPr>
          <w:i/>
          <w:iCs/>
        </w:rPr>
        <w:t xml:space="preserve">See </w:t>
      </w:r>
      <w:r>
        <w:t xml:space="preserve">Order No. 2023, </w:t>
      </w:r>
      <w:r w:rsidRPr="00B61089">
        <w:t>184 FERC ¶ 61,054</w:t>
      </w:r>
      <w:r>
        <w:t xml:space="preserve"> at PP 1003, 1019, 1024 (explaining that transmission providers could raise these issues in an appeal).  For the same reasons, we deny NYTO’s request for clarification on this point.</w:t>
      </w:r>
    </w:p>
  </w:footnote>
  <w:footnote w:id="679">
    <w:p w:rsidR="00760048" w:rsidRPr="00FA7FF7" w:rsidP="00071614" w14:paraId="00240EC3" w14:textId="77777777">
      <w:pPr>
        <w:pStyle w:val="FootnoteText"/>
      </w:pPr>
      <w:r w:rsidRPr="0072600F">
        <w:rPr>
          <w:rStyle w:val="FootnoteReference"/>
        </w:rPr>
        <w:footnoteRef/>
      </w:r>
      <w:r>
        <w:t xml:space="preserve"> </w:t>
      </w:r>
      <w:r>
        <w:rPr>
          <w:i/>
          <w:iCs/>
        </w:rPr>
        <w:t xml:space="preserve">See supra </w:t>
      </w:r>
      <w:r>
        <w:t xml:space="preserve">PP </w:t>
      </w:r>
      <w:r w:rsidRPr="00D50A25">
        <w:fldChar w:fldCharType="begin"/>
      </w:r>
      <w:r w:rsidRPr="00D50A25">
        <w:instrText xml:space="preserve"> REF _Ref160108382 \r \h  \* MERGEFORMAT </w:instrText>
      </w:r>
      <w:r w:rsidRPr="00D50A25">
        <w:fldChar w:fldCharType="separate"/>
      </w:r>
      <w:r w:rsidR="00C46123">
        <w:t>358</w:t>
      </w:r>
      <w:r w:rsidRPr="00D50A25">
        <w:fldChar w:fldCharType="end"/>
      </w:r>
      <w:r w:rsidRPr="00D50A25">
        <w:t>-</w:t>
      </w:r>
      <w:r w:rsidR="00EB2DE8">
        <w:fldChar w:fldCharType="begin"/>
      </w:r>
      <w:r w:rsidR="00EB2DE8">
        <w:instrText xml:space="preserve"> REF _Ref160108206 \r \h </w:instrText>
      </w:r>
      <w:r w:rsidR="00EB2DE8">
        <w:fldChar w:fldCharType="separate"/>
      </w:r>
      <w:r w:rsidR="00EB2DE8">
        <w:t>359</w:t>
      </w:r>
      <w:r w:rsidR="00EB2DE8">
        <w:fldChar w:fldCharType="end"/>
      </w:r>
      <w:r w:rsidRPr="00DB372C">
        <w:rPr>
          <w:highlight w:val="yellow"/>
        </w:rPr>
        <w:fldChar w:fldCharType="begin"/>
      </w:r>
      <w:r w:rsidRPr="00DB372C">
        <w:rPr>
          <w:highlight w:val="yellow"/>
        </w:rPr>
        <w:instrText xml:space="preserve"> REF _Ref160108206 \r \h </w:instrText>
      </w:r>
      <w:r>
        <w:rPr>
          <w:highlight w:val="yellow"/>
        </w:rPr>
        <w:instrText xml:space="preserve"> \* MERGEFORMAT </w:instrText>
      </w:r>
      <w:r w:rsidR="00BE439E">
        <w:rPr>
          <w:highlight w:val="yellow"/>
        </w:rPr>
        <w:fldChar w:fldCharType="separate"/>
      </w:r>
      <w:r w:rsidRPr="00DB372C">
        <w:rPr>
          <w:highlight w:val="yellow"/>
        </w:rPr>
        <w:fldChar w:fldCharType="end"/>
      </w:r>
      <w:r>
        <w:t>.</w:t>
      </w:r>
    </w:p>
  </w:footnote>
  <w:footnote w:id="680">
    <w:p w:rsidR="00760048" w:rsidRPr="00FA7FF7" w:rsidP="00071614" w14:paraId="0257095D" w14:textId="77777777">
      <w:pPr>
        <w:pStyle w:val="FootnoteText"/>
      </w:pPr>
      <w:r w:rsidRPr="0072600F">
        <w:rPr>
          <w:rStyle w:val="FootnoteReference"/>
        </w:rPr>
        <w:footnoteRef/>
      </w:r>
      <w:r>
        <w:t xml:space="preserve"> </w:t>
      </w:r>
      <w:r>
        <w:rPr>
          <w:i/>
          <w:iCs/>
        </w:rPr>
        <w:t>Cf.</w:t>
      </w:r>
      <w:r>
        <w:t xml:space="preserve"> Order No. 2023, </w:t>
      </w:r>
      <w:r w:rsidRPr="00B61089">
        <w:t>184 FERC ¶ 61,054</w:t>
      </w:r>
      <w:r>
        <w:t xml:space="preserve"> at PP 1001, 1013, 1015 (discussing Commission precedent for the approach in Order No. 2023 including traffic ticket penalties and penalties under Order No. 890); </w:t>
      </w:r>
      <w:r>
        <w:rPr>
          <w:i/>
          <w:iCs/>
        </w:rPr>
        <w:t xml:space="preserve">infra </w:t>
      </w:r>
      <w:r>
        <w:t xml:space="preserve">section </w:t>
      </w:r>
      <w:r w:rsidRPr="00D50A25">
        <w:t>II.D.1.c.v (</w:t>
      </w:r>
      <w:r>
        <w:t xml:space="preserve">same); </w:t>
      </w:r>
      <w:r>
        <w:rPr>
          <w:i/>
          <w:iCs/>
        </w:rPr>
        <w:t xml:space="preserve">infra </w:t>
      </w:r>
      <w:r w:rsidRPr="00D50A25">
        <w:t>section II.D.1.c.iv</w:t>
      </w:r>
      <w:r>
        <w:t xml:space="preserve"> (discussing Order No. 2023 as an application of the Commission’s ratemaking authority).</w:t>
      </w:r>
    </w:p>
  </w:footnote>
  <w:footnote w:id="681">
    <w:p w:rsidR="00760048" w14:paraId="600EE2F1" w14:textId="77777777">
      <w:pPr>
        <w:pStyle w:val="FootnoteText"/>
      </w:pPr>
      <w:r w:rsidRPr="0072600F">
        <w:rPr>
          <w:rStyle w:val="FootnoteReference"/>
        </w:rPr>
        <w:footnoteRef/>
      </w:r>
      <w:r>
        <w:t xml:space="preserve"> </w:t>
      </w:r>
      <w:r>
        <w:rPr>
          <w:i/>
          <w:iCs/>
        </w:rPr>
        <w:t xml:space="preserve">See </w:t>
      </w:r>
      <w:r>
        <w:t xml:space="preserve">NYISO Rehearing </w:t>
      </w:r>
      <w:r w:rsidR="00F91353">
        <w:t>Request</w:t>
      </w:r>
      <w:r>
        <w:t xml:space="preserve"> at 29-30.</w:t>
      </w:r>
    </w:p>
  </w:footnote>
  <w:footnote w:id="682">
    <w:p w:rsidR="00760048" w:rsidRPr="00C03A09" w:rsidP="00071614" w14:paraId="36251B92" w14:textId="77777777">
      <w:pPr>
        <w:pStyle w:val="FootnoteText"/>
        <w:rPr>
          <w:i/>
          <w:iCs/>
        </w:rPr>
      </w:pPr>
      <w:r w:rsidRPr="0072600F">
        <w:rPr>
          <w:rStyle w:val="FootnoteReference"/>
        </w:rPr>
        <w:footnoteRef/>
      </w:r>
      <w:r>
        <w:t xml:space="preserve"> </w:t>
      </w:r>
      <w:r w:rsidRPr="000B0695">
        <w:t>Order No. 2023</w:t>
      </w:r>
      <w:r>
        <w:t xml:space="preserve">, </w:t>
      </w:r>
      <w:r w:rsidRPr="00B61089">
        <w:t>184 FERC ¶ 61,054</w:t>
      </w:r>
      <w:r w:rsidRPr="000B0695">
        <w:t xml:space="preserve"> at P 989</w:t>
      </w:r>
      <w:r>
        <w:t xml:space="preserve">.  </w:t>
      </w:r>
      <w:r w:rsidRPr="00C03A09">
        <w:t xml:space="preserve">The Commission was </w:t>
      </w:r>
      <w:r>
        <w:t xml:space="preserve">particularly </w:t>
      </w:r>
      <w:r w:rsidRPr="00C03A09">
        <w:t xml:space="preserve">explaining that it would be inappropriate to </w:t>
      </w:r>
      <w:r>
        <w:t>adopt a structure providing for</w:t>
      </w:r>
      <w:r w:rsidRPr="00C03A09">
        <w:t xml:space="preserve"> penalties “only where a factor can be conclusively demonstrated to be within a transmission provider</w:t>
      </w:r>
      <w:r>
        <w:t>’</w:t>
      </w:r>
      <w:r w:rsidRPr="00C03A09">
        <w:t>s control, as this would impose significant administrative burden.”</w:t>
      </w:r>
      <w:r>
        <w:t xml:space="preserve">  </w:t>
      </w:r>
      <w:r>
        <w:rPr>
          <w:i/>
          <w:iCs/>
        </w:rPr>
        <w:t>Id.</w:t>
      </w:r>
    </w:p>
  </w:footnote>
  <w:footnote w:id="683">
    <w:p w:rsidR="00760048" w:rsidRPr="00C11383" w:rsidP="00071614" w14:paraId="489F7666" w14:textId="77777777">
      <w:pPr>
        <w:pStyle w:val="FootnoteText"/>
      </w:pPr>
      <w:r w:rsidRPr="0072600F">
        <w:rPr>
          <w:rStyle w:val="FootnoteReference"/>
        </w:rPr>
        <w:footnoteRef/>
      </w:r>
      <w:r>
        <w:t xml:space="preserve"> </w:t>
      </w:r>
      <w:r>
        <w:rPr>
          <w:i/>
          <w:iCs/>
        </w:rPr>
        <w:t>See, e.g.</w:t>
      </w:r>
      <w:r>
        <w:t xml:space="preserve">, </w:t>
      </w:r>
      <w:r w:rsidRPr="00AF3C70">
        <w:rPr>
          <w:i/>
          <w:iCs/>
        </w:rPr>
        <w:t>Ark. Elec. Energy Consumers v. FERC</w:t>
      </w:r>
      <w:r w:rsidRPr="00AF3C70">
        <w:t xml:space="preserve">, 290 F.3d 362, 367 (D.C. Cir. 2002) (“A rate is not ‘unduly’ preferential or ‘unreasonably’ discriminatory if the utility can justify the disparate effect.”); </w:t>
      </w:r>
      <w:r w:rsidRPr="00AF3C70">
        <w:rPr>
          <w:i/>
          <w:iCs/>
        </w:rPr>
        <w:t>Cities of Bethany v. FERC</w:t>
      </w:r>
      <w:r w:rsidRPr="00AF3C70">
        <w:t>, 727 F.2d 1131, 1139 (D.C. Cir. 1984)</w:t>
      </w:r>
      <w:r w:rsidR="00EC06DC">
        <w:t xml:space="preserve"> (</w:t>
      </w:r>
      <w:r w:rsidRPr="00B92518" w:rsidR="00EC06DC">
        <w:rPr>
          <w:i/>
          <w:iCs/>
        </w:rPr>
        <w:t>Cities of Bethany</w:t>
      </w:r>
      <w:r w:rsidRPr="002B0ED8">
        <w:t>)</w:t>
      </w:r>
      <w:r>
        <w:t xml:space="preserve">; </w:t>
      </w:r>
      <w:r w:rsidRPr="002F5A24">
        <w:rPr>
          <w:i/>
          <w:iCs/>
        </w:rPr>
        <w:t>El Paso Nat. Gas Co.</w:t>
      </w:r>
      <w:r w:rsidRPr="002F5A24">
        <w:t xml:space="preserve">, 104 FERC ¶ 61,045, </w:t>
      </w:r>
      <w:r>
        <w:t>at P 115</w:t>
      </w:r>
      <w:r w:rsidRPr="002F5A24">
        <w:t xml:space="preserve"> (2003)</w:t>
      </w:r>
      <w:r>
        <w:t xml:space="preserve"> (“</w:t>
      </w:r>
      <w:r w:rsidRPr="002F5A24">
        <w:t>Discrimination is undue when there is a difference in rates or services among similarly situated customers that is not justified by some legitimate factor.</w:t>
      </w:r>
      <w:r>
        <w:t>”).</w:t>
      </w:r>
    </w:p>
  </w:footnote>
  <w:footnote w:id="684">
    <w:p w:rsidR="00760048" w:rsidP="00071614" w14:paraId="288DF009" w14:textId="77777777">
      <w:pPr>
        <w:pStyle w:val="FootnoteText"/>
      </w:pPr>
      <w:r w:rsidRPr="0072600F">
        <w:rPr>
          <w:rStyle w:val="FootnoteReference"/>
        </w:rPr>
        <w:footnoteRef/>
      </w:r>
      <w:r>
        <w:t xml:space="preserve"> </w:t>
      </w:r>
      <w:r w:rsidRPr="00A160B3">
        <w:t>Being deemed withdrawn from the interconnection queue carries significant consequences for an interconnection customer, and—while the interconnection customer may dispute that decision—</w:t>
      </w:r>
      <w:r>
        <w:t xml:space="preserve">loss of queue position </w:t>
      </w:r>
      <w:r w:rsidRPr="00A160B3">
        <w:t xml:space="preserve">occurs </w:t>
      </w:r>
      <w:r>
        <w:t>automatically</w:t>
      </w:r>
      <w:r w:rsidRPr="00A160B3">
        <w:t xml:space="preserve"> after a failure to cure (if an opportunity to cure is allowed) and</w:t>
      </w:r>
      <w:r>
        <w:t xml:space="preserve"> lasts “</w:t>
      </w:r>
      <w:r w:rsidRPr="00A160B3">
        <w:t>until such time that the outcome of Dispute Resolution would restore its Queue Position</w:t>
      </w:r>
      <w:r>
        <w:t xml:space="preserve">.”  </w:t>
      </w:r>
      <w:r>
        <w:rPr>
          <w:i/>
          <w:iCs/>
        </w:rPr>
        <w:t xml:space="preserve">Pro forma </w:t>
      </w:r>
      <w:r>
        <w:t xml:space="preserve">LGIP section 3.7.  We are therefore not persuaded by Indicated PJM TOs’ suggestion that this will not be a significant consideration discouraging interconnection customers from delaying interconnection studies.  </w:t>
      </w:r>
      <w:r>
        <w:rPr>
          <w:i/>
          <w:iCs/>
        </w:rPr>
        <w:t xml:space="preserve">See </w:t>
      </w:r>
      <w:r>
        <w:t>Indicated PJM TOs Rehearing Request at 28.</w:t>
      </w:r>
    </w:p>
  </w:footnote>
  <w:footnote w:id="685">
    <w:p w:rsidR="00760048" w:rsidRPr="006B30A7" w:rsidP="00071614" w14:paraId="683E5FF6" w14:textId="77777777">
      <w:pPr>
        <w:pStyle w:val="FootnoteText"/>
      </w:pPr>
      <w:r w:rsidRPr="0072600F">
        <w:rPr>
          <w:rStyle w:val="FootnoteReference"/>
        </w:rPr>
        <w:footnoteRef/>
      </w:r>
      <w:r>
        <w:t xml:space="preserve"> </w:t>
      </w:r>
      <w:r>
        <w:rPr>
          <w:i/>
          <w:iCs/>
        </w:rPr>
        <w:t>See, e.g.</w:t>
      </w:r>
      <w:r>
        <w:t>,</w:t>
      </w:r>
      <w:r>
        <w:rPr>
          <w:i/>
          <w:iCs/>
        </w:rPr>
        <w:t xml:space="preserve"> </w:t>
      </w:r>
      <w:r>
        <w:t xml:space="preserve">Order No. 2023, </w:t>
      </w:r>
      <w:r w:rsidRPr="00B61089">
        <w:t>184 FERC ¶ 61,054</w:t>
      </w:r>
      <w:r>
        <w:t xml:space="preserve"> at PP 37, 43, 50, 780-84, 1020; </w:t>
      </w:r>
      <w:r>
        <w:rPr>
          <w:i/>
          <w:iCs/>
        </w:rPr>
        <w:t xml:space="preserve">pro forma </w:t>
      </w:r>
      <w:r>
        <w:t>LGIP section 3.7.</w:t>
      </w:r>
    </w:p>
  </w:footnote>
  <w:footnote w:id="686">
    <w:p w:rsidR="00760048" w:rsidRPr="00AB5D28" w:rsidP="00071614" w14:paraId="3BF44047" w14:textId="77777777">
      <w:pPr>
        <w:pStyle w:val="FootnoteText"/>
      </w:pPr>
      <w:r w:rsidRPr="0072600F">
        <w:rPr>
          <w:rStyle w:val="FootnoteReference"/>
        </w:rPr>
        <w:footnoteRef/>
      </w:r>
      <w:r>
        <w:t xml:space="preserve"> </w:t>
      </w:r>
      <w:r>
        <w:rPr>
          <w:i/>
          <w:iCs/>
        </w:rPr>
        <w:t>See</w:t>
      </w:r>
      <w:r>
        <w:t xml:space="preserve"> Order No. 2023, </w:t>
      </w:r>
      <w:r w:rsidRPr="00B61089">
        <w:t>184 FERC ¶ 61,054</w:t>
      </w:r>
      <w:r>
        <w:t xml:space="preserve"> at PP 50, 968, 972.</w:t>
      </w:r>
    </w:p>
  </w:footnote>
  <w:footnote w:id="687">
    <w:p w:rsidR="00760048" w:rsidRPr="00836657" w:rsidP="00071614" w14:paraId="2452AA74" w14:textId="77777777">
      <w:pPr>
        <w:pStyle w:val="FootnoteText"/>
      </w:pPr>
      <w:r w:rsidRPr="0072600F">
        <w:rPr>
          <w:rStyle w:val="FootnoteReference"/>
        </w:rPr>
        <w:footnoteRef/>
      </w:r>
      <w:r>
        <w:t xml:space="preserve"> </w:t>
      </w:r>
      <w:r>
        <w:rPr>
          <w:i/>
          <w:iCs/>
        </w:rPr>
        <w:t xml:space="preserve">See </w:t>
      </w:r>
      <w:r w:rsidRPr="00BE752B">
        <w:rPr>
          <w:i/>
          <w:iCs/>
        </w:rPr>
        <w:t>id.</w:t>
      </w:r>
      <w:r w:rsidRPr="00BE752B">
        <w:rPr>
          <w:i/>
        </w:rPr>
        <w:t xml:space="preserve"> </w:t>
      </w:r>
      <w:r>
        <w:t>P 972 (“T</w:t>
      </w:r>
      <w:r w:rsidRPr="00836657">
        <w:t>he study delay penalty structure adopted in this final rule balances the harm to interconnection customers</w:t>
      </w:r>
      <w:r>
        <w:t xml:space="preserve"> </w:t>
      </w:r>
      <w:r w:rsidRPr="00836657">
        <w:t>of interconnection study delays and the associated need to incentivize transmission providers to timely complete interconnection studies with the burdens on transmission providers of conducting interconnection studies and potentially facing penalties for delays, including those that may be caused or exacerbated by factors beyond their control.</w:t>
      </w:r>
      <w:r>
        <w:t>”).</w:t>
      </w:r>
    </w:p>
  </w:footnote>
  <w:footnote w:id="688">
    <w:p w:rsidR="00760048" w:rsidRPr="00294375" w:rsidP="00071614" w14:paraId="1261E2A2" w14:textId="77777777">
      <w:pPr>
        <w:pStyle w:val="FootnoteText"/>
      </w:pPr>
      <w:r w:rsidRPr="0072600F">
        <w:rPr>
          <w:rStyle w:val="FootnoteReference"/>
        </w:rPr>
        <w:footnoteRef/>
      </w:r>
      <w:r>
        <w:t xml:space="preserve"> </w:t>
      </w:r>
      <w:r w:rsidRPr="00D60C5D">
        <w:rPr>
          <w:i/>
          <w:iCs/>
        </w:rPr>
        <w:t>Id.</w:t>
      </w:r>
      <w:r w:rsidRPr="00D60C5D">
        <w:rPr>
          <w:i/>
        </w:rPr>
        <w:t xml:space="preserve"> </w:t>
      </w:r>
      <w:r w:rsidRPr="005B77F3">
        <w:t>P 1020.</w:t>
      </w:r>
    </w:p>
  </w:footnote>
  <w:footnote w:id="689">
    <w:p w:rsidR="00760048" w:rsidP="00071614" w14:paraId="5040270F" w14:textId="77777777">
      <w:pPr>
        <w:pStyle w:val="FootnoteText"/>
      </w:pPr>
      <w:r w:rsidRPr="0072600F">
        <w:rPr>
          <w:rStyle w:val="FootnoteReference"/>
        </w:rPr>
        <w:footnoteRef/>
      </w:r>
      <w:r>
        <w:t xml:space="preserve"> </w:t>
      </w:r>
      <w:r w:rsidRPr="00D60C5D">
        <w:rPr>
          <w:i/>
          <w:iCs/>
        </w:rPr>
        <w:t>Id.</w:t>
      </w:r>
      <w:r>
        <w:t xml:space="preserve"> P 1007.</w:t>
      </w:r>
    </w:p>
  </w:footnote>
  <w:footnote w:id="690">
    <w:p w:rsidR="00760048" w:rsidRPr="00BF4B50" w:rsidP="00071614" w14:paraId="48274BDB" w14:textId="77777777">
      <w:pPr>
        <w:pStyle w:val="FootnoteText"/>
      </w:pPr>
      <w:r w:rsidRPr="0072600F">
        <w:rPr>
          <w:rStyle w:val="FootnoteReference"/>
        </w:rPr>
        <w:footnoteRef/>
      </w:r>
      <w:r>
        <w:t xml:space="preserve"> </w:t>
      </w:r>
      <w:r>
        <w:rPr>
          <w:i/>
          <w:iCs/>
        </w:rPr>
        <w:t>See i</w:t>
      </w:r>
      <w:r w:rsidRPr="00D60C5D">
        <w:rPr>
          <w:i/>
          <w:iCs/>
        </w:rPr>
        <w:t>d.</w:t>
      </w:r>
      <w:r>
        <w:t xml:space="preserve"> (“</w:t>
      </w:r>
      <w:r w:rsidRPr="009D0845">
        <w:t>We reiterate that it is within transmission providers</w:t>
      </w:r>
      <w:r>
        <w:t>’</w:t>
      </w:r>
      <w:r w:rsidRPr="009D0845">
        <w:t xml:space="preserve"> ability to improve interconnection study processes and policies and take other measures, such as hiring additional staff, to efficiently process interconnection queues without sacrificing accuracy, flexibility, or reliability</w:t>
      </w:r>
      <w:r>
        <w:t xml:space="preserve">.”); </w:t>
      </w:r>
      <w:r>
        <w:rPr>
          <w:i/>
          <w:iCs/>
        </w:rPr>
        <w:t>id.</w:t>
      </w:r>
      <w:r>
        <w:t xml:space="preserve"> (also noting that transmission providers can recover increased costs of interconnection studies); </w:t>
      </w:r>
      <w:r>
        <w:rPr>
          <w:i/>
          <w:iCs/>
        </w:rPr>
        <w:t>see also supra</w:t>
      </w:r>
      <w:r>
        <w:t xml:space="preserve"> section </w:t>
      </w:r>
      <w:r w:rsidRPr="00D50A25">
        <w:t>II.D.1.c.i</w:t>
      </w:r>
      <w:r>
        <w:t xml:space="preserve"> (explaining that the deadlines selected for the completion of interconnection studies are just and reasonable).</w:t>
      </w:r>
    </w:p>
  </w:footnote>
  <w:footnote w:id="691">
    <w:p w:rsidR="00760048" w:rsidRPr="00BF4B50" w:rsidP="00071614" w14:paraId="2695EF7F" w14:textId="77777777">
      <w:pPr>
        <w:pStyle w:val="FootnoteText"/>
      </w:pPr>
      <w:r w:rsidRPr="0072600F">
        <w:rPr>
          <w:rStyle w:val="FootnoteReference"/>
        </w:rPr>
        <w:footnoteRef/>
      </w:r>
      <w:r>
        <w:t xml:space="preserve"> </w:t>
      </w:r>
      <w:r>
        <w:rPr>
          <w:i/>
          <w:iCs/>
        </w:rPr>
        <w:t xml:space="preserve">See </w:t>
      </w:r>
      <w:r w:rsidR="00801B90">
        <w:t xml:space="preserve">Order No. 2023, </w:t>
      </w:r>
      <w:r w:rsidRPr="00B61089" w:rsidR="00801B90">
        <w:t>184 FERC ¶ 61,054</w:t>
      </w:r>
      <w:r w:rsidR="00801B90">
        <w:t xml:space="preserve"> at </w:t>
      </w:r>
      <w:r w:rsidR="00E14581">
        <w:t>P 1007</w:t>
      </w:r>
      <w:r>
        <w:t xml:space="preserve"> (“[W]</w:t>
      </w:r>
      <w:r w:rsidRPr="009D0845">
        <w:t>e further agree that the failure to bring new generating facilities online in a timely manner can also create reliability and economic risk</w:t>
      </w:r>
      <w:r>
        <w:t>.”).</w:t>
      </w:r>
    </w:p>
  </w:footnote>
  <w:footnote w:id="692">
    <w:p w:rsidR="00760048" w:rsidRPr="00BF4B50" w:rsidP="00071614" w14:paraId="611193EE" w14:textId="77777777">
      <w:pPr>
        <w:pStyle w:val="FootnoteText"/>
      </w:pPr>
      <w:r w:rsidRPr="0072600F">
        <w:rPr>
          <w:rStyle w:val="FootnoteReference"/>
        </w:rPr>
        <w:footnoteRef/>
      </w:r>
      <w:r>
        <w:t xml:space="preserve"> </w:t>
      </w:r>
      <w:r>
        <w:rPr>
          <w:i/>
          <w:iCs/>
        </w:rPr>
        <w:t>See id.</w:t>
      </w:r>
      <w:r>
        <w:t xml:space="preserve"> (“[T]</w:t>
      </w:r>
      <w:r w:rsidRPr="00BF4B50">
        <w:t>he study delay penalty structure includes significant safeguards for the transmission provider, such as the transition period, the 10-business day grace period, the penalty cap, the ability to extend deadlines by mutual agreement, and the ability to appeal any study delay penalties to the Commission</w:t>
      </w:r>
      <w:r>
        <w:t xml:space="preserve">.”); </w:t>
      </w:r>
      <w:r>
        <w:rPr>
          <w:i/>
          <w:iCs/>
        </w:rPr>
        <w:t>id.</w:t>
      </w:r>
      <w:r>
        <w:t xml:space="preserve"> P 1005 (“</w:t>
      </w:r>
      <w:r w:rsidRPr="00BF4B50">
        <w:t>If, for whatever reason, the transmission provider is not able to meet firm study deadlines, that is an issue the transmission provider is free to raise in appealing any penalties it incurs.</w:t>
      </w:r>
      <w:r>
        <w:t>”).</w:t>
      </w:r>
    </w:p>
  </w:footnote>
  <w:footnote w:id="693">
    <w:p w:rsidR="00760048" w:rsidRPr="000A2B6F" w:rsidP="00071614" w14:paraId="7A650586" w14:textId="77777777">
      <w:pPr>
        <w:pStyle w:val="FootnoteText"/>
      </w:pPr>
      <w:r w:rsidRPr="0072600F">
        <w:rPr>
          <w:rStyle w:val="FootnoteReference"/>
        </w:rPr>
        <w:footnoteRef/>
      </w:r>
      <w:r>
        <w:t xml:space="preserve"> </w:t>
      </w:r>
      <w:r>
        <w:rPr>
          <w:i/>
          <w:iCs/>
        </w:rPr>
        <w:t xml:space="preserve">See </w:t>
      </w:r>
      <w:r>
        <w:rPr>
          <w:i/>
          <w:iCs/>
        </w:rPr>
        <w:t>supra</w:t>
      </w:r>
      <w:r>
        <w:t xml:space="preserve"> P </w:t>
      </w:r>
      <w:r w:rsidRPr="00D50A25">
        <w:fldChar w:fldCharType="begin"/>
      </w:r>
      <w:r w:rsidRPr="00D50A25">
        <w:instrText xml:space="preserve"> REF _Ref160108718 \r \h  \* MERGEFORMAT </w:instrText>
      </w:r>
      <w:r w:rsidRPr="00D50A25">
        <w:fldChar w:fldCharType="separate"/>
      </w:r>
      <w:r w:rsidR="00C46123">
        <w:t>335</w:t>
      </w:r>
      <w:r w:rsidRPr="00D50A25">
        <w:fldChar w:fldCharType="end"/>
      </w:r>
      <w:r>
        <w:t>.</w:t>
      </w:r>
    </w:p>
  </w:footnote>
  <w:footnote w:id="694">
    <w:p w:rsidR="00760048" w:rsidP="00071614" w14:paraId="1091CD62" w14:textId="77777777">
      <w:pPr>
        <w:pStyle w:val="FootnoteText"/>
      </w:pPr>
      <w:r w:rsidRPr="0072600F">
        <w:rPr>
          <w:rStyle w:val="FootnoteReference"/>
        </w:rPr>
        <w:footnoteRef/>
      </w:r>
      <w:r>
        <w:t xml:space="preserve"> The various safeguards attendant to the deadline and penalty structure should also limit the likelihood that transmission providers feel constrained to take an unduly stringent response to reasonable interconnection customer requests.</w:t>
      </w:r>
    </w:p>
  </w:footnote>
  <w:footnote w:id="695">
    <w:p w:rsidR="00760048" w:rsidP="00071614" w14:paraId="4480EB10" w14:textId="77777777">
      <w:pPr>
        <w:pStyle w:val="FootnoteText"/>
      </w:pPr>
      <w:r w:rsidRPr="0072600F">
        <w:rPr>
          <w:rStyle w:val="FootnoteReference"/>
        </w:rPr>
        <w:footnoteRef/>
      </w:r>
      <w:r>
        <w:t xml:space="preserve"> In this respect, the adoption of a deadline and penalty structure for transmission providers to ensure timely study completion may translate into increased accountability for interconnection customers not to delay the study process.</w:t>
      </w:r>
    </w:p>
  </w:footnote>
  <w:footnote w:id="696">
    <w:p w:rsidR="00760048" w:rsidRPr="00103B04" w:rsidP="00071614" w14:paraId="20C6A313" w14:textId="77777777">
      <w:pPr>
        <w:pStyle w:val="FootnoteText"/>
      </w:pPr>
      <w:r w:rsidRPr="0072600F">
        <w:rPr>
          <w:rStyle w:val="FootnoteReference"/>
        </w:rPr>
        <w:footnoteRef/>
      </w:r>
      <w:r>
        <w:t xml:space="preserve"> </w:t>
      </w:r>
      <w:r>
        <w:rPr>
          <w:i/>
          <w:iCs/>
        </w:rPr>
        <w:t xml:space="preserve">See </w:t>
      </w:r>
      <w:r>
        <w:t xml:space="preserve">Order No. 2023, </w:t>
      </w:r>
      <w:r w:rsidRPr="009E552E">
        <w:t>184 FERC ¶ 61,054</w:t>
      </w:r>
      <w:r>
        <w:t xml:space="preserve"> at P 1005; </w:t>
      </w:r>
      <w:r>
        <w:rPr>
          <w:i/>
          <w:iCs/>
        </w:rPr>
        <w:t>see also id</w:t>
      </w:r>
      <w:r>
        <w:t>. P 1007 (noting that the costs of timely completing interconnection studies are ultimately borne by interconnection customers)</w:t>
      </w:r>
    </w:p>
  </w:footnote>
  <w:footnote w:id="697">
    <w:p w:rsidR="00760048" w:rsidRPr="008C362C" w:rsidP="00071614" w14:paraId="7F6AD6B5" w14:textId="77777777">
      <w:pPr>
        <w:pStyle w:val="FootnoteText"/>
      </w:pPr>
      <w:r w:rsidRPr="0072600F">
        <w:rPr>
          <w:rStyle w:val="FootnoteReference"/>
        </w:rPr>
        <w:footnoteRef/>
      </w:r>
      <w:r>
        <w:t xml:space="preserve"> </w:t>
      </w:r>
      <w:r>
        <w:rPr>
          <w:i/>
          <w:iCs/>
        </w:rPr>
        <w:t>See, id.</w:t>
      </w:r>
      <w:r>
        <w:t xml:space="preserve"> P 992 (noting that </w:t>
      </w:r>
      <w:r w:rsidRPr="008C362C">
        <w:t>at-fault transmission provider</w:t>
      </w:r>
      <w:r>
        <w:t>’</w:t>
      </w:r>
      <w:r w:rsidRPr="008C362C">
        <w:t xml:space="preserve">s shareholders </w:t>
      </w:r>
      <w:r>
        <w:t>may</w:t>
      </w:r>
      <w:r w:rsidRPr="008C362C">
        <w:t xml:space="preserve"> pay the penalty</w:t>
      </w:r>
      <w:r>
        <w:t>).</w:t>
      </w:r>
    </w:p>
  </w:footnote>
  <w:footnote w:id="698">
    <w:p w:rsidR="00760048" w:rsidRPr="00EB0A1A" w:rsidP="00071614" w14:paraId="40BBD08B" w14:textId="77777777">
      <w:pPr>
        <w:pStyle w:val="FootnoteText"/>
      </w:pPr>
      <w:r w:rsidRPr="0072600F">
        <w:rPr>
          <w:rStyle w:val="FootnoteReference"/>
        </w:rPr>
        <w:footnoteRef/>
      </w:r>
      <w:r>
        <w:t xml:space="preserve"> </w:t>
      </w:r>
      <w:r>
        <w:rPr>
          <w:i/>
          <w:iCs/>
        </w:rPr>
        <w:t xml:space="preserve">See </w:t>
      </w:r>
      <w:r>
        <w:rPr>
          <w:i/>
          <w:iCs/>
        </w:rPr>
        <w:t>supra</w:t>
      </w:r>
      <w:r>
        <w:t xml:space="preserve"> P </w:t>
      </w:r>
      <w:r w:rsidRPr="00D50A25">
        <w:fldChar w:fldCharType="begin"/>
      </w:r>
      <w:r w:rsidRPr="00D50A25">
        <w:instrText xml:space="preserve"> REF _Ref160108763 \r \h </w:instrText>
      </w:r>
      <w:r>
        <w:instrText xml:space="preserve"> \* MERGEFORMAT </w:instrText>
      </w:r>
      <w:r w:rsidRPr="00D50A25">
        <w:fldChar w:fldCharType="separate"/>
      </w:r>
      <w:r w:rsidR="00C46123">
        <w:t>366</w:t>
      </w:r>
      <w:r w:rsidRPr="00D50A25">
        <w:fldChar w:fldCharType="end"/>
      </w:r>
      <w:r>
        <w:t>.</w:t>
      </w:r>
    </w:p>
  </w:footnote>
  <w:footnote w:id="699">
    <w:p w:rsidR="00760048" w:rsidRPr="00EB0A1A" w:rsidP="00071614" w14:paraId="003C48D4" w14:textId="77777777">
      <w:pPr>
        <w:pStyle w:val="FootnoteText"/>
      </w:pPr>
      <w:r w:rsidRPr="0072600F">
        <w:rPr>
          <w:rStyle w:val="FootnoteReference"/>
        </w:rPr>
        <w:footnoteRef/>
      </w:r>
      <w:r>
        <w:t xml:space="preserve"> </w:t>
      </w:r>
      <w:r>
        <w:rPr>
          <w:i/>
          <w:iCs/>
        </w:rPr>
        <w:t>See infra</w:t>
      </w:r>
      <w:r>
        <w:t xml:space="preserve"> PP </w:t>
      </w:r>
      <w:r w:rsidRPr="00D50A25">
        <w:fldChar w:fldCharType="begin"/>
      </w:r>
      <w:r w:rsidRPr="00D50A25">
        <w:instrText xml:space="preserve"> REF _Ref160110288 \r \h </w:instrText>
      </w:r>
      <w:r>
        <w:instrText xml:space="preserve"> \* MERGEFORMAT </w:instrText>
      </w:r>
      <w:r w:rsidRPr="00D50A25">
        <w:fldChar w:fldCharType="separate"/>
      </w:r>
      <w:r w:rsidR="00C46123">
        <w:t>429</w:t>
      </w:r>
      <w:r w:rsidRPr="00D50A25">
        <w:fldChar w:fldCharType="end"/>
      </w:r>
      <w:r w:rsidRPr="00D50A25">
        <w:t>-</w:t>
      </w:r>
      <w:r w:rsidRPr="00D50A25">
        <w:fldChar w:fldCharType="begin"/>
      </w:r>
      <w:r w:rsidRPr="00D50A25">
        <w:instrText xml:space="preserve"> REF _Ref160110290 \r \h </w:instrText>
      </w:r>
      <w:r>
        <w:instrText xml:space="preserve"> \* MERGEFORMAT </w:instrText>
      </w:r>
      <w:r w:rsidRPr="00D50A25">
        <w:fldChar w:fldCharType="separate"/>
      </w:r>
      <w:r w:rsidR="00C46123">
        <w:t>430</w:t>
      </w:r>
      <w:r w:rsidRPr="00D50A25">
        <w:fldChar w:fldCharType="end"/>
      </w:r>
      <w:r w:rsidRPr="00D50A25">
        <w:t xml:space="preserve"> (</w:t>
      </w:r>
      <w:r>
        <w:t>discussing why the Commission found that differences between deadline and penalty structure under Order No. 2023 and the structure under Order No. 890 were warranted).</w:t>
      </w:r>
    </w:p>
  </w:footnote>
  <w:footnote w:id="700">
    <w:p w:rsidR="00760048" w:rsidRPr="00CD2C57" w:rsidP="00071614" w14:paraId="23C2A8CF" w14:textId="77777777">
      <w:pPr>
        <w:pStyle w:val="FootnoteText"/>
        <w:rPr>
          <w:u w:val="single"/>
        </w:rPr>
      </w:pPr>
      <w:r w:rsidRPr="0072600F">
        <w:rPr>
          <w:rStyle w:val="FootnoteReference"/>
        </w:rPr>
        <w:footnoteRef/>
      </w:r>
      <w:r>
        <w:t xml:space="preserve"> </w:t>
      </w:r>
      <w:r>
        <w:rPr>
          <w:i/>
          <w:iCs/>
        </w:rPr>
        <w:t xml:space="preserve">See </w:t>
      </w:r>
      <w:r>
        <w:t xml:space="preserve">Order No. 2023, </w:t>
      </w:r>
      <w:r w:rsidRPr="009E552E">
        <w:t>184 FERC ¶ 61,054</w:t>
      </w:r>
      <w:r>
        <w:t xml:space="preserve"> at P 962 </w:t>
      </w:r>
      <w:r w:rsidRPr="00CD2C57">
        <w:t>(“[D]</w:t>
      </w:r>
      <w:r w:rsidRPr="00CD2C57">
        <w:t>elays of cluster studies beyond the tariff-specified deadline will incur a penalty of $1,000 per business day; delays of cluster restudies beyond the tariff-specified deadline will incur a penalty of $2,000 per business day; delays of affected system studies beyond the tariff-specified deadline will incur a penalty of $2,000 per business day; and delays of facilities studies beyond the tariff-specified deadline will incur a penalty of $2,500 per business day.”).</w:t>
      </w:r>
    </w:p>
  </w:footnote>
  <w:footnote w:id="701">
    <w:p w:rsidR="00760048" w:rsidRPr="00CD2C57" w:rsidP="00071614" w14:paraId="7DD2E517" w14:textId="77777777">
      <w:pPr>
        <w:pStyle w:val="FootnoteText"/>
        <w:rPr>
          <w:i/>
          <w:iCs/>
        </w:rPr>
      </w:pPr>
      <w:r w:rsidRPr="0072600F">
        <w:rPr>
          <w:rStyle w:val="FootnoteReference"/>
        </w:rPr>
        <w:footnoteRef/>
      </w:r>
      <w:r>
        <w:t xml:space="preserve"> The 10-day grace period also helps to address concerns that, for relatively short delays leading to minor penalties, transmission providers may wish to forego the burdens of seeking such an appeal.  </w:t>
      </w:r>
      <w:r>
        <w:rPr>
          <w:i/>
          <w:iCs/>
        </w:rPr>
        <w:t xml:space="preserve">See </w:t>
      </w:r>
      <w:r w:rsidRPr="00B04581">
        <w:t>NYTOs Rehearing Request at 27</w:t>
      </w:r>
      <w:r w:rsidRPr="00CD2C57">
        <w:t>.</w:t>
      </w:r>
      <w:r>
        <w:t xml:space="preserve">  It is, of course, up to transmission providers to manage their resources and determine whether taking an appeal of a minor penalty is in their best interest.</w:t>
      </w:r>
    </w:p>
  </w:footnote>
  <w:footnote w:id="702">
    <w:p w:rsidR="00760048" w:rsidP="00071614" w14:paraId="1EAB8E0E" w14:textId="77777777">
      <w:pPr>
        <w:pStyle w:val="FootnoteText"/>
      </w:pPr>
      <w:r w:rsidRPr="0072600F">
        <w:rPr>
          <w:rStyle w:val="FootnoteReference"/>
        </w:rPr>
        <w:footnoteRef/>
      </w:r>
      <w:r>
        <w:t xml:space="preserve"> We are also not persuaded by PacifiCorp’s suggestion that the appeals process is not workable because “it is highly likely that appeals will be filed faster and more frequently than the Commission can process them,” PacifiCorp Rehearing Request at 12, which is founded on speculation that transmission providers will frequently fail to meet their deadlines leading to such appeals, and that such appeals will be onerous to process.</w:t>
      </w:r>
    </w:p>
  </w:footnote>
  <w:footnote w:id="703">
    <w:p w:rsidR="00760048" w:rsidRPr="00E63E0C" w:rsidP="00071614" w14:paraId="36757BBD" w14:textId="77777777">
      <w:pPr>
        <w:pStyle w:val="FootnoteText"/>
      </w:pPr>
      <w:r w:rsidRPr="0072600F">
        <w:rPr>
          <w:rStyle w:val="FootnoteReference"/>
        </w:rPr>
        <w:footnoteRef/>
      </w:r>
      <w:r>
        <w:t xml:space="preserve"> </w:t>
      </w:r>
      <w:r>
        <w:rPr>
          <w:i/>
          <w:iCs/>
        </w:rPr>
        <w:t xml:space="preserve">See pro forma </w:t>
      </w:r>
      <w:r>
        <w:t xml:space="preserve">LGIP section 3.1.1.1.  To the extent that study deposits must be further increased, beyond these levels, the Commission can consider that going forward, including in response to compliance proposals or—if necessary—further reforms to the </w:t>
      </w:r>
      <w:r>
        <w:rPr>
          <w:i/>
          <w:iCs/>
        </w:rPr>
        <w:t>pro forma</w:t>
      </w:r>
      <w:r>
        <w:t xml:space="preserve"> LGIP.</w:t>
      </w:r>
    </w:p>
  </w:footnote>
  <w:footnote w:id="704">
    <w:p w:rsidR="00760048" w:rsidRPr="00CD5BDF" w:rsidP="00071614" w14:paraId="5418D488" w14:textId="77777777">
      <w:pPr>
        <w:pStyle w:val="FootnoteText"/>
      </w:pPr>
      <w:r w:rsidRPr="0072600F">
        <w:rPr>
          <w:rStyle w:val="FootnoteReference"/>
        </w:rPr>
        <w:footnoteRef/>
      </w:r>
      <w:r>
        <w:t xml:space="preserve"> Order No. 2023, </w:t>
      </w:r>
      <w:r w:rsidRPr="009E552E">
        <w:t>184 FERC ¶ 61,054</w:t>
      </w:r>
      <w:r>
        <w:t xml:space="preserve"> at P 1007; </w:t>
      </w:r>
      <w:r w:rsidRPr="007B5FC3">
        <w:rPr>
          <w:i/>
          <w:iCs/>
        </w:rPr>
        <w:t>see also, e.g.</w:t>
      </w:r>
      <w:r w:rsidRPr="007B5FC3">
        <w:t>,</w:t>
      </w:r>
      <w:r w:rsidRPr="007B5FC3">
        <w:rPr>
          <w:i/>
          <w:iCs/>
        </w:rPr>
        <w:t xml:space="preserve"> pro forma </w:t>
      </w:r>
      <w:r w:rsidRPr="007B5FC3">
        <w:t xml:space="preserve">LGIP </w:t>
      </w:r>
      <w:r>
        <w:t>sections</w:t>
      </w:r>
      <w:r w:rsidRPr="007B5FC3">
        <w:t xml:space="preserve"> 7.1, 8.1, 9.4, 13.3</w:t>
      </w:r>
      <w:r>
        <w:t>, app</w:t>
      </w:r>
      <w:r w:rsidR="00864C4B">
        <w:t>.</w:t>
      </w:r>
      <w:r>
        <w:t xml:space="preserve"> 2 at section 6, app</w:t>
      </w:r>
      <w:r w:rsidR="00864C4B">
        <w:t>.</w:t>
      </w:r>
      <w:r>
        <w:t xml:space="preserve"> </w:t>
      </w:r>
      <w:r w:rsidRPr="00CD5BDF">
        <w:t>7 at section 7, app</w:t>
      </w:r>
      <w:r w:rsidR="00864C4B">
        <w:t>.</w:t>
      </w:r>
      <w:r w:rsidRPr="00CD5BDF">
        <w:t xml:space="preserve"> 8 at sections 7-8, app</w:t>
      </w:r>
      <w:r w:rsidR="00864C4B">
        <w:t>.</w:t>
      </w:r>
      <w:r w:rsidRPr="00CD5BDF">
        <w:t xml:space="preserve"> 9 at section 6, a</w:t>
      </w:r>
      <w:r>
        <w:t>pp</w:t>
      </w:r>
      <w:r w:rsidR="00864C4B">
        <w:t>.</w:t>
      </w:r>
      <w:r w:rsidRPr="00CD5BDF">
        <w:t xml:space="preserve"> 10 at section 6</w:t>
      </w:r>
      <w:r w:rsidRPr="007B5FC3">
        <w:t>.</w:t>
      </w:r>
    </w:p>
  </w:footnote>
  <w:footnote w:id="705">
    <w:p w:rsidR="00760048" w14:paraId="579E3B33" w14:textId="77777777">
      <w:pPr>
        <w:pStyle w:val="FootnoteText"/>
      </w:pPr>
      <w:r w:rsidRPr="0072600F">
        <w:rPr>
          <w:rStyle w:val="FootnoteReference"/>
        </w:rPr>
        <w:footnoteRef/>
      </w:r>
      <w:r>
        <w:t xml:space="preserve"> </w:t>
      </w:r>
      <w:r w:rsidRPr="008223C1">
        <w:t>This argument also overlooks transmission providers</w:t>
      </w:r>
      <w:r>
        <w:t>’</w:t>
      </w:r>
      <w:r w:rsidRPr="008223C1">
        <w:t xml:space="preserve"> ability to propose alternative </w:t>
      </w:r>
      <w:r w:rsidRPr="004E25D3">
        <w:t>reforms, as informed by their stakeholder processes, under</w:t>
      </w:r>
      <w:r w:rsidRPr="008223C1">
        <w:t xml:space="preserve"> the </w:t>
      </w:r>
      <w:r>
        <w:t>“</w:t>
      </w:r>
      <w:r w:rsidRPr="008223C1">
        <w:t>consistent with or superior to</w:t>
      </w:r>
      <w:r>
        <w:t>”</w:t>
      </w:r>
      <w:r w:rsidRPr="008223C1">
        <w:t xml:space="preserve"> or </w:t>
      </w:r>
      <w:r>
        <w:t>“</w:t>
      </w:r>
      <w:r w:rsidRPr="008223C1">
        <w:t>independent entity variation</w:t>
      </w:r>
      <w:r>
        <w:t>”</w:t>
      </w:r>
      <w:r w:rsidRPr="008223C1">
        <w:t xml:space="preserve"> standards, as applicable. </w:t>
      </w:r>
      <w:r>
        <w:t xml:space="preserve"> </w:t>
      </w:r>
      <w:r w:rsidRPr="008223C1">
        <w:rPr>
          <w:i/>
          <w:iCs/>
        </w:rPr>
        <w:t xml:space="preserve">See </w:t>
      </w:r>
      <w:r w:rsidRPr="008223C1">
        <w:t>Order No. 2023, 184 FERC ¶ 61,054 at P 1764</w:t>
      </w:r>
      <w:r>
        <w:t xml:space="preserve">.  </w:t>
      </w:r>
    </w:p>
  </w:footnote>
  <w:footnote w:id="706">
    <w:p w:rsidR="00760048" w:rsidRPr="007C78B8" w:rsidP="00071614" w14:paraId="6C51EC8A" w14:textId="77777777">
      <w:pPr>
        <w:pStyle w:val="FootnoteText"/>
      </w:pPr>
      <w:r w:rsidRPr="0072600F">
        <w:rPr>
          <w:rStyle w:val="FootnoteReference"/>
        </w:rPr>
        <w:footnoteRef/>
      </w:r>
      <w:r>
        <w:t xml:space="preserve"> </w:t>
      </w:r>
      <w:r>
        <w:rPr>
          <w:i/>
          <w:iCs/>
        </w:rPr>
        <w:t>Cf.</w:t>
      </w:r>
      <w:r>
        <w:t xml:space="preserve"> </w:t>
      </w:r>
      <w:r w:rsidRPr="00F307ED">
        <w:rPr>
          <w:i/>
          <w:iCs/>
        </w:rPr>
        <w:t>id.</w:t>
      </w:r>
      <w:r w:rsidRPr="00F307ED">
        <w:rPr>
          <w:i/>
        </w:rPr>
        <w:t xml:space="preserve"> </w:t>
      </w:r>
      <w:r>
        <w:t>P 967 (“</w:t>
      </w:r>
      <w:r w:rsidRPr="007C78B8">
        <w:t>The reasonable efforts standard worsens</w:t>
      </w:r>
      <w:r>
        <w:t xml:space="preserve"> </w:t>
      </w:r>
      <w:r w:rsidRPr="007C78B8">
        <w:t>current-day challenges, as it fails to ensure that transmission providers are keeping pace with the changing and complex dynamics of today's interconnection queues.</w:t>
      </w:r>
      <w:r>
        <w:t>”).</w:t>
      </w:r>
    </w:p>
  </w:footnote>
  <w:footnote w:id="707">
    <w:p w:rsidR="00760048" w:rsidRPr="00946542" w:rsidP="00071614" w14:paraId="1DEC623F" w14:textId="77777777">
      <w:pPr>
        <w:pStyle w:val="FootnoteText"/>
        <w:rPr>
          <w:i/>
          <w:iCs/>
        </w:rPr>
      </w:pPr>
      <w:r w:rsidRPr="0072600F">
        <w:rPr>
          <w:rStyle w:val="FootnoteReference"/>
        </w:rPr>
        <w:footnoteRef/>
      </w:r>
      <w:r>
        <w:t xml:space="preserve"> </w:t>
      </w:r>
      <w:r>
        <w:rPr>
          <w:i/>
          <w:iCs/>
        </w:rPr>
        <w:t xml:space="preserve">See </w:t>
      </w:r>
      <w:r>
        <w:rPr>
          <w:i/>
          <w:iCs/>
        </w:rPr>
        <w:t xml:space="preserve">supra </w:t>
      </w:r>
      <w:r>
        <w:t xml:space="preserve">PP </w:t>
      </w:r>
      <w:r w:rsidRPr="00D50A25">
        <w:fldChar w:fldCharType="begin"/>
      </w:r>
      <w:r w:rsidRPr="00D50A25">
        <w:instrText xml:space="preserve"> REF _Ref160108206 \r \h  \* MERGEFORMAT </w:instrText>
      </w:r>
      <w:r w:rsidR="00BE439E">
        <w:fldChar w:fldCharType="separate"/>
      </w:r>
      <w:r w:rsidRPr="00D50A25">
        <w:fldChar w:fldCharType="end"/>
      </w:r>
      <w:r w:rsidRPr="00D50A25">
        <w:t>-</w:t>
      </w:r>
      <w:r w:rsidRPr="00D50A25">
        <w:fldChar w:fldCharType="begin"/>
      </w:r>
      <w:r w:rsidRPr="00D50A25">
        <w:instrText xml:space="preserve"> REF _Ref160109163 \r \h  \* MERGEFORMAT </w:instrText>
      </w:r>
      <w:r w:rsidRPr="00D50A25">
        <w:fldChar w:fldCharType="separate"/>
      </w:r>
      <w:r w:rsidR="00C46123">
        <w:t>360</w:t>
      </w:r>
      <w:r w:rsidRPr="00D50A25">
        <w:fldChar w:fldCharType="end"/>
      </w:r>
      <w:r w:rsidRPr="00D50A25">
        <w:t>.  Indeed, PJM acknowledges that transmission providers have the ability to “demonstrate that</w:t>
      </w:r>
      <w:r>
        <w:t xml:space="preserve"> the penalty imposed on it should not be assessed.”  PJM Rehearing Request at 31.</w:t>
      </w:r>
    </w:p>
  </w:footnote>
  <w:footnote w:id="708">
    <w:p w:rsidR="00760048" w:rsidP="00071614" w14:paraId="1081C4F6" w14:textId="77777777">
      <w:pPr>
        <w:pStyle w:val="FootnoteText"/>
      </w:pPr>
      <w:r w:rsidRPr="0072600F">
        <w:rPr>
          <w:rStyle w:val="FootnoteReference"/>
        </w:rPr>
        <w:footnoteRef/>
      </w:r>
      <w:r>
        <w:t xml:space="preserve"> </w:t>
      </w:r>
      <w:r w:rsidRPr="00216A27">
        <w:t xml:space="preserve">The economically </w:t>
      </w:r>
      <w:r>
        <w:t>rational</w:t>
      </w:r>
      <w:r w:rsidRPr="00216A27">
        <w:t xml:space="preserve"> response to </w:t>
      </w:r>
      <w:r>
        <w:t>a</w:t>
      </w:r>
      <w:r w:rsidRPr="00216A27">
        <w:t xml:space="preserve"> potential penalty, even one that is presumptively </w:t>
      </w:r>
      <w:r>
        <w:t>applied</w:t>
      </w:r>
      <w:r w:rsidRPr="00216A27">
        <w:t xml:space="preserve"> subject to an appeal, is to take the steps necessary to avoid or reduce the penalty, </w:t>
      </w:r>
      <w:r>
        <w:t>to the extent that the</w:t>
      </w:r>
      <w:r w:rsidRPr="00216A27">
        <w:t xml:space="preserve"> cost of taking such steps </w:t>
      </w:r>
      <w:r>
        <w:t>is lower than the expected value of the reduction in the amount</w:t>
      </w:r>
      <w:r w:rsidRPr="00216A27">
        <w:t xml:space="preserve"> of the penalty</w:t>
      </w:r>
      <w:r>
        <w:t>.</w:t>
      </w:r>
    </w:p>
  </w:footnote>
  <w:footnote w:id="709">
    <w:p w:rsidR="00760048" w:rsidRPr="00463A1D" w:rsidP="00071614" w14:paraId="5D6DBC13" w14:textId="77777777">
      <w:pPr>
        <w:pStyle w:val="FootnoteText"/>
      </w:pPr>
      <w:r w:rsidRPr="0072600F">
        <w:rPr>
          <w:rStyle w:val="FootnoteReference"/>
        </w:rPr>
        <w:footnoteRef/>
      </w:r>
      <w:r>
        <w:t xml:space="preserve"> </w:t>
      </w:r>
      <w:r>
        <w:rPr>
          <w:i/>
          <w:iCs/>
        </w:rPr>
        <w:t xml:space="preserve">See </w:t>
      </w:r>
      <w:r>
        <w:t xml:space="preserve">Order No. 2023, </w:t>
      </w:r>
      <w:r w:rsidRPr="009E552E">
        <w:t>184 FERC ¶ 61,054</w:t>
      </w:r>
      <w:r>
        <w:t xml:space="preserve"> at P 975.</w:t>
      </w:r>
    </w:p>
  </w:footnote>
  <w:footnote w:id="710">
    <w:p w:rsidR="00760048" w:rsidRPr="00E731CB" w:rsidP="00071614" w14:paraId="55D51345" w14:textId="77777777">
      <w:pPr>
        <w:pStyle w:val="FootnoteText"/>
      </w:pPr>
      <w:r w:rsidRPr="0072600F">
        <w:rPr>
          <w:rStyle w:val="FootnoteReference"/>
        </w:rPr>
        <w:footnoteRef/>
      </w:r>
      <w:r>
        <w:t xml:space="preserve"> NYISO Rehearing Request at 37 (arguing that this does not demonstrate that the Commission has set non-punitive penalty levels, particularly as applied to RTOs/ISOs).</w:t>
      </w:r>
    </w:p>
  </w:footnote>
  <w:footnote w:id="711">
    <w:p w:rsidR="00760048" w:rsidP="00071614" w14:paraId="6A512D42" w14:textId="77777777">
      <w:pPr>
        <w:pStyle w:val="FootnoteText"/>
      </w:pPr>
      <w:r w:rsidRPr="0072600F">
        <w:rPr>
          <w:rStyle w:val="FootnoteReference"/>
        </w:rPr>
        <w:footnoteRef/>
      </w:r>
      <w:r>
        <w:t xml:space="preserve"> </w:t>
      </w:r>
      <w:r>
        <w:rPr>
          <w:i/>
          <w:iCs/>
        </w:rPr>
        <w:t xml:space="preserve">See </w:t>
      </w:r>
      <w:r>
        <w:t xml:space="preserve">Order No. 2023, </w:t>
      </w:r>
      <w:r w:rsidRPr="009E552E">
        <w:t>184 FERC ¶ 61,054</w:t>
      </w:r>
      <w:r>
        <w:t xml:space="preserve"> at PP 973-78.</w:t>
      </w:r>
    </w:p>
  </w:footnote>
  <w:footnote w:id="712">
    <w:p w:rsidR="00760048" w:rsidRPr="00B273D7" w:rsidP="00071614" w14:paraId="47422C18" w14:textId="77777777">
      <w:pPr>
        <w:pStyle w:val="FootnoteText"/>
        <w:rPr>
          <w:i/>
          <w:iCs/>
        </w:rPr>
      </w:pPr>
      <w:r w:rsidRPr="0072600F">
        <w:rPr>
          <w:rStyle w:val="FootnoteReference"/>
        </w:rPr>
        <w:footnoteRef/>
      </w:r>
      <w:r>
        <w:t xml:space="preserve"> </w:t>
      </w:r>
      <w:r>
        <w:rPr>
          <w:i/>
          <w:iCs/>
        </w:rPr>
        <w:t>Cf., e.g.</w:t>
      </w:r>
      <w:r>
        <w:t>,</w:t>
      </w:r>
      <w:r>
        <w:rPr>
          <w:i/>
          <w:iCs/>
        </w:rPr>
        <w:t xml:space="preserve"> pro forma </w:t>
      </w:r>
      <w:r>
        <w:t>LGIP section 3.1.1.1 (specify study deposit amounts for each interconnection request).</w:t>
      </w:r>
    </w:p>
  </w:footnote>
  <w:footnote w:id="713">
    <w:p w:rsidR="00760048" w:rsidRPr="00285A98" w:rsidP="00071614" w14:paraId="50A27CDE" w14:textId="77777777">
      <w:pPr>
        <w:pStyle w:val="FootnoteText"/>
      </w:pPr>
      <w:r w:rsidRPr="0072600F">
        <w:rPr>
          <w:rStyle w:val="FootnoteReference"/>
        </w:rPr>
        <w:footnoteRef/>
      </w:r>
      <w:r>
        <w:t xml:space="preserve"> </w:t>
      </w:r>
      <w:r>
        <w:rPr>
          <w:i/>
          <w:iCs/>
        </w:rPr>
        <w:t xml:space="preserve">See </w:t>
      </w:r>
      <w:r>
        <w:t xml:space="preserve">Order No. 2023, </w:t>
      </w:r>
      <w:r w:rsidRPr="009E552E">
        <w:t>184 FERC ¶ 61,054</w:t>
      </w:r>
      <w:r>
        <w:t xml:space="preserve"> at P 975 (“</w:t>
      </w:r>
      <w:r w:rsidRPr="00B273D7">
        <w:t>We view such a penalty as insufficient considering that the purpose of the penalty is to incentivize timely study completion that may be achieved, for example, by hiring additional personnel or investing in new software.</w:t>
      </w:r>
      <w:r>
        <w:t xml:space="preserve">”); </w:t>
      </w:r>
      <w:r>
        <w:rPr>
          <w:i/>
          <w:iCs/>
        </w:rPr>
        <w:t>cf., e.g.</w:t>
      </w:r>
      <w:r w:rsidR="00017BE0">
        <w:t>,</w:t>
      </w:r>
      <w:r>
        <w:t xml:space="preserve"> </w:t>
      </w:r>
      <w:r w:rsidRPr="008819C5" w:rsidR="00C9277A">
        <w:rPr>
          <w:i/>
          <w:iCs/>
        </w:rPr>
        <w:t>EPSA</w:t>
      </w:r>
      <w:r w:rsidRPr="00285A98">
        <w:t xml:space="preserve">, 577 U.S. </w:t>
      </w:r>
      <w:r w:rsidR="00C9277A">
        <w:t>at</w:t>
      </w:r>
      <w:r w:rsidRPr="00285A98">
        <w:t xml:space="preserve"> 295</w:t>
      </w:r>
      <w:r>
        <w:t xml:space="preserve"> (ratemaking involves both technical understanding and policy judgment); </w:t>
      </w:r>
      <w:r w:rsidRPr="00B92518">
        <w:rPr>
          <w:i/>
          <w:iCs/>
        </w:rPr>
        <w:t>Cities of Bethany</w:t>
      </w:r>
      <w:r w:rsidRPr="00B92518">
        <w:t xml:space="preserve">, 727 F.2d </w:t>
      </w:r>
      <w:r w:rsidR="00EC06DC">
        <w:t xml:space="preserve">at </w:t>
      </w:r>
      <w:r w:rsidRPr="00B92518">
        <w:t xml:space="preserve">1138 </w:t>
      </w:r>
      <w:r>
        <w:t>(explaining that because “r</w:t>
      </w:r>
      <w:r w:rsidRPr="00B92518">
        <w:t>atemaking is</w:t>
      </w:r>
      <w:r>
        <w:t xml:space="preserve"> less of a science than it is an art” such that “substantial deference” to the Commission’s expert judgment is warranted (citing </w:t>
      </w:r>
      <w:r w:rsidRPr="00B92518">
        <w:rPr>
          <w:i/>
          <w:iCs/>
        </w:rPr>
        <w:t>Alabama Elec. Co-op., Inc. v. FERC</w:t>
      </w:r>
      <w:r w:rsidRPr="00B92518">
        <w:t>, 684 F.2d 20, 27 (D.C. Cir. 1982)</w:t>
      </w:r>
      <w:r>
        <w:t>).</w:t>
      </w:r>
    </w:p>
  </w:footnote>
  <w:footnote w:id="714">
    <w:p w:rsidR="00760048" w:rsidRPr="00EC2165" w:rsidP="00071614" w14:paraId="049D3CEC" w14:textId="77777777">
      <w:pPr>
        <w:pStyle w:val="FootnoteText"/>
        <w:rPr>
          <w:b/>
          <w:bCs/>
        </w:rPr>
      </w:pPr>
      <w:r w:rsidRPr="0072600F">
        <w:rPr>
          <w:rStyle w:val="FootnoteReference"/>
        </w:rPr>
        <w:footnoteRef/>
      </w:r>
      <w:r>
        <w:t xml:space="preserve"> </w:t>
      </w:r>
      <w:r w:rsidRPr="0077643D">
        <w:rPr>
          <w:i/>
          <w:iCs/>
        </w:rPr>
        <w:t>See pro forma</w:t>
      </w:r>
      <w:r>
        <w:t xml:space="preserve"> LGIP section 3.1.1.1 (requiring </w:t>
      </w:r>
      <w:r w:rsidRPr="00475568">
        <w:t>$5</w:t>
      </w:r>
      <w:r>
        <w:t>,000</w:t>
      </w:r>
      <w:r w:rsidRPr="00475568">
        <w:t xml:space="preserve"> application fee</w:t>
      </w:r>
      <w:r>
        <w:t xml:space="preserve"> and </w:t>
      </w:r>
      <w:r w:rsidRPr="00475568">
        <w:t>a $250</w:t>
      </w:r>
      <w:r>
        <w:t>,000</w:t>
      </w:r>
      <w:r w:rsidRPr="00475568">
        <w:t xml:space="preserve"> study deposi</w:t>
      </w:r>
      <w:r>
        <w:t>t</w:t>
      </w:r>
      <w:r w:rsidRPr="004D03FA">
        <w:t xml:space="preserve"> for </w:t>
      </w:r>
      <w:r>
        <w:t>i</w:t>
      </w:r>
      <w:r w:rsidRPr="004D03FA">
        <w:t xml:space="preserve">nterconnection </w:t>
      </w:r>
      <w:r>
        <w:t>r</w:t>
      </w:r>
      <w:r w:rsidRPr="004D03FA">
        <w:t>equest</w:t>
      </w:r>
      <w:r>
        <w:t>s</w:t>
      </w:r>
      <w:r w:rsidRPr="004D03FA">
        <w:t xml:space="preserve"> </w:t>
      </w:r>
      <w:r>
        <w:t xml:space="preserve">greater than or equal to </w:t>
      </w:r>
      <w:r w:rsidRPr="004D03FA">
        <w:t>200 MW</w:t>
      </w:r>
      <w:r>
        <w:t>) and</w:t>
      </w:r>
      <w:r w:rsidRPr="00475568">
        <w:t xml:space="preserve"> </w:t>
      </w:r>
      <w:r>
        <w:t xml:space="preserve">section 3.4.2(vi) (requiring a </w:t>
      </w:r>
      <w:r w:rsidRPr="00475568">
        <w:t xml:space="preserve">commercial readiness deposit </w:t>
      </w:r>
      <w:r>
        <w:t xml:space="preserve">of twice the study deposit). </w:t>
      </w:r>
    </w:p>
  </w:footnote>
  <w:footnote w:id="715">
    <w:p w:rsidR="00760048" w:rsidP="00071614" w14:paraId="1F36EF45" w14:textId="77777777">
      <w:pPr>
        <w:pStyle w:val="FootnoteText"/>
      </w:pPr>
      <w:r w:rsidRPr="0072600F">
        <w:rPr>
          <w:rStyle w:val="FootnoteReference"/>
        </w:rPr>
        <w:footnoteRef/>
      </w:r>
      <w:r>
        <w:t xml:space="preserve"> </w:t>
      </w:r>
      <w:r w:rsidRPr="00F215C2">
        <w:rPr>
          <w:i/>
          <w:iCs/>
        </w:rPr>
        <w:t>See</w:t>
      </w:r>
      <w:r>
        <w:rPr>
          <w:i/>
          <w:iCs/>
        </w:rPr>
        <w:t>, e.g.</w:t>
      </w:r>
      <w:r w:rsidRPr="00A639A5">
        <w:t>,</w:t>
      </w:r>
      <w:r w:rsidRPr="00F215C2">
        <w:rPr>
          <w:i/>
          <w:iCs/>
        </w:rPr>
        <w:t xml:space="preserve"> pro forma</w:t>
      </w:r>
      <w:r>
        <w:t xml:space="preserve"> LGIP sections 7.5(1)(b), 8.1(3), 11.3 (requiring adjustments to commercial readiness deposits to equal an increasing percentage of interconnection customer’s assigned network upgrade cost as the customer progresses through the interconnection process);</w:t>
      </w:r>
      <w:r w:rsidRPr="00475568">
        <w:t xml:space="preserve"> </w:t>
      </w:r>
      <w:r>
        <w:t xml:space="preserve">section 13.3 (requiring the interconnection customer to pay for interconnection </w:t>
      </w:r>
      <w:r w:rsidRPr="00475568">
        <w:t>study costs</w:t>
      </w:r>
      <w:r>
        <w:t>);</w:t>
      </w:r>
      <w:r w:rsidRPr="00475568">
        <w:t xml:space="preserve"> and </w:t>
      </w:r>
      <w:r>
        <w:t xml:space="preserve">section 3.7.1 (unless certain exemptions apply, requiring interconnection customer that withdraws from the interconnection process to pay a withdrawal penalty that increases as the customer progresses through the interconnection process). </w:t>
      </w:r>
    </w:p>
  </w:footnote>
  <w:footnote w:id="716">
    <w:p w:rsidR="00760048" w:rsidP="00071614" w14:paraId="1985F320" w14:textId="77777777">
      <w:pPr>
        <w:pStyle w:val="FootnoteText"/>
      </w:pPr>
      <w:r w:rsidRPr="0072600F">
        <w:rPr>
          <w:rStyle w:val="FootnoteReference"/>
        </w:rPr>
        <w:footnoteRef/>
      </w:r>
      <w:r>
        <w:t xml:space="preserve"> </w:t>
      </w:r>
      <w:r w:rsidRPr="00EC2165">
        <w:t>Order No. 2023</w:t>
      </w:r>
      <w:r>
        <w:t xml:space="preserve">, </w:t>
      </w:r>
      <w:r w:rsidRPr="009E552E">
        <w:t>184 FERC ¶ 61,054</w:t>
      </w:r>
      <w:r w:rsidRPr="00EC2165">
        <w:t xml:space="preserve"> at P 976</w:t>
      </w:r>
      <w:r>
        <w:t xml:space="preserve"> (“</w:t>
      </w:r>
      <w:r w:rsidRPr="00EC2165">
        <w:t>Based on the record before us, we believe the $1,000/$2,000/$2,500 per business</w:t>
      </w:r>
      <w:r>
        <w:t xml:space="preserve"> </w:t>
      </w:r>
      <w:r w:rsidRPr="00EC2165">
        <w:t>day penalty structure, combined with the transition, grace period, cap on penalties, and ability to appeal that we adopt below, strikes an appropriate balance because it creates an incentive for transmission providers to meet study deadlines while not being overly punitive.</w:t>
      </w:r>
      <w:r>
        <w:t>”).</w:t>
      </w:r>
    </w:p>
  </w:footnote>
  <w:footnote w:id="717">
    <w:p w:rsidR="00760048" w:rsidP="00071614" w14:paraId="42CCC9EC" w14:textId="77777777">
      <w:pPr>
        <w:pStyle w:val="FootnoteText"/>
      </w:pPr>
      <w:r w:rsidRPr="0072600F">
        <w:rPr>
          <w:rStyle w:val="FootnoteReference"/>
        </w:rPr>
        <w:footnoteRef/>
      </w:r>
      <w:r>
        <w:t xml:space="preserve"> </w:t>
      </w:r>
      <w:r w:rsidRPr="0014317B">
        <w:t xml:space="preserve">Dominion and </w:t>
      </w:r>
      <w:r>
        <w:t>Indicated PJM TOs’</w:t>
      </w:r>
      <w:r w:rsidRPr="0014317B">
        <w:t xml:space="preserve"> argument</w:t>
      </w:r>
      <w:r w:rsidR="00261127">
        <w:t>s</w:t>
      </w:r>
      <w:r>
        <w:t xml:space="preserve"> also</w:t>
      </w:r>
      <w:r w:rsidRPr="0014317B">
        <w:t xml:space="preserve"> presuppose that, in any appeal, the Commission would find there is not good cause for relief from penalties, on the facts of the relevant case.</w:t>
      </w:r>
      <w:r>
        <w:t xml:space="preserve">  That the Commission can consider the individualized factors in a particular case to determine whether to grant relief from penalties is another avenue to ensure that undue discrimination does not occur. </w:t>
      </w:r>
    </w:p>
  </w:footnote>
  <w:footnote w:id="718">
    <w:p w:rsidR="00760048" w:rsidP="00071614" w14:paraId="456B3E86" w14:textId="77777777">
      <w:pPr>
        <w:pStyle w:val="FootnoteText"/>
      </w:pPr>
      <w:r w:rsidRPr="0072600F">
        <w:rPr>
          <w:rStyle w:val="FootnoteReference"/>
        </w:rPr>
        <w:footnoteRef/>
      </w:r>
      <w:r>
        <w:t xml:space="preserve"> Similarly, where transmission providers are facing comparatively high volumes of interconnection requests in a given cluster study, there are more interconnection customers who will face uncertainty and increased costs due to any delays.  </w:t>
      </w:r>
    </w:p>
  </w:footnote>
  <w:footnote w:id="719">
    <w:p w:rsidR="00760048" w:rsidRPr="00DB482A" w:rsidP="00071614" w14:paraId="3E4A61B6" w14:textId="77777777">
      <w:pPr>
        <w:pStyle w:val="FootnoteText"/>
        <w:rPr>
          <w:b/>
          <w:bCs/>
        </w:rPr>
      </w:pPr>
      <w:r w:rsidRPr="0072600F">
        <w:rPr>
          <w:rStyle w:val="FootnoteReference"/>
        </w:rPr>
        <w:footnoteRef/>
      </w:r>
      <w:r>
        <w:t xml:space="preserve"> </w:t>
      </w:r>
      <w:r>
        <w:rPr>
          <w:i/>
          <w:iCs/>
        </w:rPr>
        <w:t>See, e</w:t>
      </w:r>
      <w:r w:rsidRPr="00196FFB">
        <w:rPr>
          <w:i/>
          <w:iCs/>
        </w:rPr>
        <w:t xml:space="preserve">.g., </w:t>
      </w:r>
      <w:r w:rsidRPr="0049414A" w:rsidR="0049414A">
        <w:rPr>
          <w:i/>
          <w:iCs/>
        </w:rPr>
        <w:t>AEMA</w:t>
      </w:r>
      <w:r w:rsidRPr="00D348D3">
        <w:t>, 860 F.3d at 670-71 (</w:t>
      </w:r>
      <w:r>
        <w:t>“</w:t>
      </w:r>
      <w:r w:rsidRPr="00AF15B4">
        <w:t>The law provides no basis to claim the Commission cannot approve uniform performance requirements simply because those requirements will be easier to satisfy for some generators than for others. . . . Using an annual performance standard is a reflection of the Commission’s policy judgment as to the level of capacity performance the market requires, not an undue privileging of one resource’s costs over another’s.</w:t>
      </w:r>
      <w:r>
        <w:t>”</w:t>
      </w:r>
      <w:r w:rsidRPr="00A2792F">
        <w:t>)</w:t>
      </w:r>
      <w:r>
        <w:t xml:space="preserve">; </w:t>
      </w:r>
      <w:r w:rsidRPr="00196FFB">
        <w:rPr>
          <w:i/>
          <w:iCs/>
        </w:rPr>
        <w:t>BP Energy Co. v. FERC</w:t>
      </w:r>
      <w:r w:rsidRPr="00196FFB">
        <w:t xml:space="preserve">, 828 F.3d 959, 967 (D.C. Cir. 2016) (“No undue discrimination exists where there is ‘a rational basis for treating [two entities] differently’ and such differential treatment is ‘based on relevant, significant facts which are explained.” (quoting </w:t>
      </w:r>
      <w:r w:rsidRPr="00196FFB">
        <w:rPr>
          <w:i/>
          <w:iCs/>
        </w:rPr>
        <w:t>Complex Consol. Edison Co. of N.Y., Inc. v. FERC</w:t>
      </w:r>
      <w:r w:rsidRPr="00196FFB">
        <w:t>, 165 F.3d 992, 1012-13 (D.C. Cir. 1999)));</w:t>
      </w:r>
      <w:r w:rsidRPr="00196FFB">
        <w:rPr>
          <w:i/>
          <w:iCs/>
        </w:rPr>
        <w:t xml:space="preserve"> Town of Norwood, Mass. v. FERC</w:t>
      </w:r>
      <w:r w:rsidRPr="00196FFB">
        <w:t xml:space="preserve">, 202 F.3d 393, 402 (1st Cir. 2000) (explaining that “differential treatment does not necessarily amount to </w:t>
      </w:r>
      <w:r w:rsidRPr="00196FFB">
        <w:rPr>
          <w:i/>
          <w:iCs/>
        </w:rPr>
        <w:t>undue</w:t>
      </w:r>
      <w:r w:rsidRPr="00196FFB">
        <w:t xml:space="preserve"> preference where the difference in treatment can be explained by some factor deemed acceptable by the regulators (and the courts)” (emphasis in original) (citing </w:t>
      </w:r>
      <w:r w:rsidRPr="00196FFB">
        <w:rPr>
          <w:i/>
          <w:iCs/>
        </w:rPr>
        <w:t>Cities of Newark v. FERC</w:t>
      </w:r>
      <w:r w:rsidRPr="00196FFB">
        <w:t>, 763 F.2d 533, 546 (3d Cir. 1985))).</w:t>
      </w:r>
    </w:p>
  </w:footnote>
  <w:footnote w:id="720">
    <w:p w:rsidR="00760048" w:rsidP="00071614" w14:paraId="46936473" w14:textId="77777777">
      <w:pPr>
        <w:pStyle w:val="FootnoteText"/>
      </w:pPr>
      <w:r w:rsidRPr="0072600F">
        <w:rPr>
          <w:rStyle w:val="FootnoteReference"/>
        </w:rPr>
        <w:footnoteRef/>
      </w:r>
      <w:r>
        <w:t xml:space="preserve"> Although Avangrid and NYTOs assert that study delay penalties are “regulatory takings,” their arguments focus on the purportedly confiscatory nature of the study delay penalties and they do not otherwise argue that the penalties are regulatory takings under the relevant legal standard.  </w:t>
      </w:r>
      <w:r>
        <w:rPr>
          <w:i/>
          <w:iCs/>
        </w:rPr>
        <w:t>See, e.g.</w:t>
      </w:r>
      <w:r>
        <w:t xml:space="preserve">, </w:t>
      </w:r>
      <w:r w:rsidRPr="00201ACE">
        <w:rPr>
          <w:i/>
          <w:iCs/>
        </w:rPr>
        <w:t>N</w:t>
      </w:r>
      <w:r w:rsidR="00E47038">
        <w:rPr>
          <w:i/>
          <w:iCs/>
        </w:rPr>
        <w:t>.</w:t>
      </w:r>
      <w:r w:rsidRPr="00201ACE">
        <w:rPr>
          <w:i/>
          <w:iCs/>
        </w:rPr>
        <w:t xml:space="preserve"> Y</w:t>
      </w:r>
      <w:r w:rsidR="00E47038">
        <w:rPr>
          <w:i/>
          <w:iCs/>
        </w:rPr>
        <w:t>.</w:t>
      </w:r>
      <w:r w:rsidRPr="00201ACE">
        <w:rPr>
          <w:i/>
          <w:iCs/>
        </w:rPr>
        <w:t xml:space="preserve"> Indep. Sys. Operator, Inc.</w:t>
      </w:r>
      <w:r w:rsidRPr="00201ACE">
        <w:t>, 151 FERC ¶ 61,075, 61,534</w:t>
      </w:r>
      <w:r>
        <w:t>, at PP 64-67</w:t>
      </w:r>
      <w:r w:rsidRPr="00201ACE">
        <w:t xml:space="preserve"> (2015)</w:t>
      </w:r>
      <w:r>
        <w:t xml:space="preserve"> (discussing the three-factor test to determine whether an action constitutes a regulatory taking under </w:t>
      </w:r>
      <w:r w:rsidRPr="00201ACE">
        <w:rPr>
          <w:i/>
          <w:iCs/>
        </w:rPr>
        <w:t>Penn Cent</w:t>
      </w:r>
      <w:r w:rsidR="007F39CB">
        <w:rPr>
          <w:i/>
          <w:iCs/>
        </w:rPr>
        <w:t>.</w:t>
      </w:r>
      <w:r w:rsidRPr="00201ACE">
        <w:rPr>
          <w:i/>
          <w:iCs/>
        </w:rPr>
        <w:t xml:space="preserve"> Transport</w:t>
      </w:r>
      <w:r w:rsidR="007F39CB">
        <w:rPr>
          <w:i/>
          <w:iCs/>
        </w:rPr>
        <w:t>.</w:t>
      </w:r>
      <w:r w:rsidRPr="00201ACE">
        <w:rPr>
          <w:i/>
          <w:iCs/>
        </w:rPr>
        <w:t xml:space="preserve"> Co. v. City of New York</w:t>
      </w:r>
      <w:r>
        <w:t xml:space="preserve">, which requires consideration of </w:t>
      </w:r>
      <w:r w:rsidRPr="00201ACE">
        <w:t>“[t]he economic impact of the regulation on the claimant and, particularly, the extent to which the regulation has interfered with distinct investment-backed expectations;” and “the character of the governmental action.”</w:t>
      </w:r>
      <w:r>
        <w:t xml:space="preserve"> </w:t>
      </w:r>
      <w:r w:rsidR="00543A40">
        <w:t xml:space="preserve"> </w:t>
      </w:r>
      <w:r>
        <w:t xml:space="preserve">438 U.S. 104, 123 (1978)).  </w:t>
      </w:r>
    </w:p>
  </w:footnote>
  <w:footnote w:id="721">
    <w:p w:rsidR="00760048" w:rsidRPr="0056528E" w:rsidP="00071614" w14:paraId="1F8167BF" w14:textId="77777777">
      <w:pPr>
        <w:pStyle w:val="FootnoteText"/>
        <w:rPr>
          <w:i/>
          <w:iCs/>
        </w:rPr>
      </w:pPr>
      <w:r w:rsidRPr="0072600F">
        <w:rPr>
          <w:rStyle w:val="FootnoteReference"/>
        </w:rPr>
        <w:footnoteRef/>
      </w:r>
      <w:r>
        <w:t xml:space="preserve"> </w:t>
      </w:r>
      <w:r>
        <w:rPr>
          <w:i/>
          <w:iCs/>
        </w:rPr>
        <w:t xml:space="preserve">See </w:t>
      </w:r>
      <w:r w:rsidRPr="00C555F8">
        <w:rPr>
          <w:i/>
          <w:iCs/>
        </w:rPr>
        <w:t>Ala. Power Co</w:t>
      </w:r>
      <w:r w:rsidRPr="00C555F8">
        <w:t xml:space="preserve">., 179 FERC ¶ 61,128, at P 15 (2022); </w:t>
      </w:r>
      <w:r w:rsidRPr="00C555F8">
        <w:rPr>
          <w:i/>
          <w:iCs/>
        </w:rPr>
        <w:t>KEI (Me.) Power Mgmt. (III) LLC</w:t>
      </w:r>
      <w:r w:rsidRPr="00C555F8">
        <w:t>, 173 FERC ¶ 61,069, at P 38 n.77 (2020)</w:t>
      </w:r>
      <w:r>
        <w:t xml:space="preserve">; </w:t>
      </w:r>
      <w:r w:rsidRPr="00A83702">
        <w:rPr>
          <w:i/>
          <w:iCs/>
        </w:rPr>
        <w:t>Tex. E. Transmission, LP</w:t>
      </w:r>
      <w:r w:rsidRPr="00A83702">
        <w:t>, 141 FERC ¶ 61,043, at P 19 (2012)</w:t>
      </w:r>
      <w:r>
        <w:t xml:space="preserve"> (“</w:t>
      </w:r>
      <w:r w:rsidRPr="007E4728">
        <w:t>We do so because (1) our regulations preclude other parties from responding to a request for rehearing and (2) such behavior is disruptive to the administrative process because it has the effect of moving the target for parties seeking a final administrative decision.”</w:t>
      </w:r>
      <w:r>
        <w:t xml:space="preserve"> (quotation marks omitted)); </w:t>
      </w:r>
      <w:r w:rsidRPr="00A83702">
        <w:rPr>
          <w:i/>
          <w:iCs/>
        </w:rPr>
        <w:t xml:space="preserve">Calpine </w:t>
      </w:r>
      <w:r w:rsidRPr="00A83702">
        <w:rPr>
          <w:i/>
          <w:iCs/>
        </w:rPr>
        <w:t>Oneta Power v. Am. Elec. Power Serv. Corp</w:t>
      </w:r>
      <w:r w:rsidRPr="00A83702">
        <w:t xml:space="preserve">., 114 FERC ¶ 61,030, at P 7 (2006); </w:t>
      </w:r>
      <w:r w:rsidRPr="00A83702">
        <w:rPr>
          <w:i/>
          <w:iCs/>
        </w:rPr>
        <w:t>Iroquois Gas Transmission Sys., L.P.</w:t>
      </w:r>
      <w:r w:rsidRPr="00A83702">
        <w:t xml:space="preserve">, 86 FERC ¶ 61,261, at 61,949 (1999)); </w:t>
      </w:r>
      <w:r w:rsidRPr="00A83702">
        <w:rPr>
          <w:i/>
          <w:iCs/>
        </w:rPr>
        <w:t>Ocean State Power II</w:t>
      </w:r>
      <w:r w:rsidRPr="00A83702">
        <w:t xml:space="preserve">, 69 FERC ¶ 61,146, at 61,548 (1994); </w:t>
      </w:r>
      <w:r w:rsidRPr="00A83702">
        <w:rPr>
          <w:i/>
          <w:iCs/>
        </w:rPr>
        <w:t>NO Gas Pipeline</w:t>
      </w:r>
      <w:r w:rsidRPr="00A83702">
        <w:t xml:space="preserve">, 756 F.3d </w:t>
      </w:r>
      <w:r w:rsidR="00205E42">
        <w:t>at</w:t>
      </w:r>
      <w:r w:rsidRPr="00A83702">
        <w:t xml:space="preserve"> 770 (“We finally note that Jersey City</w:t>
      </w:r>
      <w:r>
        <w:t>’</w:t>
      </w:r>
      <w:r w:rsidRPr="00A83702">
        <w:t xml:space="preserve">s alleged constitutional claim of actual bias is also barred as untimely. </w:t>
      </w:r>
      <w:r>
        <w:t xml:space="preserve"> </w:t>
      </w:r>
      <w:r w:rsidRPr="00A83702">
        <w:t>Jersey City has shown us nothing of record to establish that it raised this issue before FERC's issuance of the initial order.”)</w:t>
      </w:r>
      <w:r>
        <w:t xml:space="preserve">; </w:t>
      </w:r>
      <w:r>
        <w:rPr>
          <w:i/>
          <w:iCs/>
        </w:rPr>
        <w:t xml:space="preserve">see also </w:t>
      </w:r>
      <w:r w:rsidRPr="00A229F1">
        <w:t xml:space="preserve">18 CFR 385.713(c)(3) </w:t>
      </w:r>
      <w:r>
        <w:t xml:space="preserve">(providing that </w:t>
      </w:r>
      <w:r w:rsidRPr="0056528E">
        <w:t>any request for rehearing must “[s]et forth the matters relied upon by the party requesting rehearing, if rehearing is sought based on matters not available for consideration by the Commission at the time of the final decision or final order.”</w:t>
      </w:r>
      <w:r>
        <w:t>).</w:t>
      </w:r>
    </w:p>
  </w:footnote>
  <w:footnote w:id="722">
    <w:p w:rsidR="00760048" w:rsidP="00071614" w14:paraId="4275C74E" w14:textId="77777777">
      <w:pPr>
        <w:pStyle w:val="FootnoteText"/>
      </w:pPr>
      <w:r w:rsidRPr="0072600F">
        <w:rPr>
          <w:rStyle w:val="FootnoteReference"/>
        </w:rPr>
        <w:footnoteRef/>
      </w:r>
      <w:r>
        <w:t xml:space="preserve"> </w:t>
      </w:r>
      <w:r>
        <w:rPr>
          <w:i/>
          <w:iCs/>
        </w:rPr>
        <w:t xml:space="preserve">See </w:t>
      </w:r>
      <w:r w:rsidRPr="00101913">
        <w:rPr>
          <w:i/>
          <w:iCs/>
        </w:rPr>
        <w:t>U</w:t>
      </w:r>
      <w:r w:rsidR="00E11F1C">
        <w:rPr>
          <w:i/>
          <w:iCs/>
        </w:rPr>
        <w:t>.</w:t>
      </w:r>
      <w:r w:rsidRPr="00101913">
        <w:rPr>
          <w:i/>
          <w:iCs/>
        </w:rPr>
        <w:t>S</w:t>
      </w:r>
      <w:r w:rsidR="00E11F1C">
        <w:rPr>
          <w:i/>
          <w:iCs/>
        </w:rPr>
        <w:t>.</w:t>
      </w:r>
      <w:r w:rsidRPr="00101913">
        <w:rPr>
          <w:i/>
          <w:iCs/>
        </w:rPr>
        <w:t xml:space="preserve"> v. L. A. Tucker Truck Lines, Inc.</w:t>
      </w:r>
      <w:r w:rsidRPr="00101913">
        <w:t>, 344 U.S. 33, 37</w:t>
      </w:r>
      <w:r>
        <w:t xml:space="preserve"> </w:t>
      </w:r>
      <w:r w:rsidRPr="00101913">
        <w:t>(1952)</w:t>
      </w:r>
      <w:r>
        <w:t xml:space="preserve"> (</w:t>
      </w:r>
      <w:r w:rsidRPr="0052528A">
        <w:t>“Simple fairness to those who are engaged in the tasks of administration, and to litigants, requires as a general rule that courts should not topple over administrative decisions unless the administrative body not only has erred but has erred against objection made at the time appropriate under its practice.”</w:t>
      </w:r>
      <w:r>
        <w:t xml:space="preserve">); </w:t>
      </w:r>
      <w:r>
        <w:rPr>
          <w:i/>
          <w:iCs/>
        </w:rPr>
        <w:t xml:space="preserve">cf. </w:t>
      </w:r>
      <w:r w:rsidRPr="00CF1F62">
        <w:rPr>
          <w:i/>
          <w:iCs/>
        </w:rPr>
        <w:t>Reytblatt v. U.S. Nuclear Regul. Comm</w:t>
      </w:r>
      <w:r>
        <w:rPr>
          <w:i/>
          <w:iCs/>
        </w:rPr>
        <w:t>’</w:t>
      </w:r>
      <w:r w:rsidRPr="00CF1F62">
        <w:rPr>
          <w:i/>
          <w:iCs/>
        </w:rPr>
        <w:t>n</w:t>
      </w:r>
      <w:r w:rsidRPr="00CF1F62">
        <w:t>, 105 F.3d 715, 723 (D.C. Cir. 1997)</w:t>
      </w:r>
      <w:r>
        <w:t xml:space="preserve"> (agencies are not required to respond to untimely comments).</w:t>
      </w:r>
      <w:r w:rsidRPr="0052528A">
        <w:t xml:space="preserve"> </w:t>
      </w:r>
    </w:p>
  </w:footnote>
  <w:footnote w:id="723">
    <w:p w:rsidR="00760048" w:rsidRPr="000114E9" w:rsidP="00071614" w14:paraId="3B6BC8AA" w14:textId="77777777">
      <w:pPr>
        <w:pStyle w:val="FootnoteText"/>
      </w:pPr>
      <w:r w:rsidRPr="0072600F">
        <w:rPr>
          <w:rStyle w:val="FootnoteReference"/>
        </w:rPr>
        <w:footnoteRef/>
      </w:r>
      <w:r>
        <w:t xml:space="preserve"> </w:t>
      </w:r>
      <w:r>
        <w:rPr>
          <w:i/>
          <w:iCs/>
        </w:rPr>
        <w:t xml:space="preserve">See </w:t>
      </w:r>
      <w:r w:rsidR="00A407A8">
        <w:t>Avangrid Rehearing Request at 16 (similarly arguing that penalties that “potentially denies recovery of reasonable costs incurred for interconnection studies performed according to Good Utility Practice”);</w:t>
      </w:r>
      <w:r>
        <w:t xml:space="preserve"> MISO TOs Rehearing Request at 33-34 (arguing that “[t]he </w:t>
      </w:r>
      <w:r w:rsidRPr="000114E9">
        <w:t>FPA does not permit the Commission to compel utilities to provide service to others for free</w:t>
      </w:r>
      <w:r>
        <w:t>” and that applying a penalty in a “strict liability” fashion to transmission providers “when the fault is not theirs” is particularly problematic); NYTOs Rehearing Request at 25-26 (arguing that penalties will be “confiscatory” because transmission providers may not be provided “cost recovery plus a reasonable return on prudent investment” such that the imposition of penalties will “conscript public utility transmission providers into performing services without just and reasonable compensation”)</w:t>
      </w:r>
      <w:r w:rsidR="00A407A8">
        <w:t>.</w:t>
      </w:r>
    </w:p>
  </w:footnote>
  <w:footnote w:id="724">
    <w:p w:rsidR="00760048" w14:paraId="30FDE69E" w14:textId="77777777">
      <w:pPr>
        <w:pStyle w:val="FootnoteText"/>
      </w:pPr>
      <w:r w:rsidRPr="0072600F">
        <w:rPr>
          <w:rStyle w:val="FootnoteReference"/>
        </w:rPr>
        <w:footnoteRef/>
      </w:r>
      <w:r>
        <w:t xml:space="preserve"> For the reasons provided herein and in Order No. 2023, we find that this approach, under which transmission providers will be held to appropriate performance standards and incentivized to complete studies in a timely fashion, is permitted under FPA section 206, </w:t>
      </w:r>
      <w:r>
        <w:rPr>
          <w:i/>
          <w:iCs/>
        </w:rPr>
        <w:t xml:space="preserve">see supra </w:t>
      </w:r>
      <w:r>
        <w:t xml:space="preserve">section </w:t>
      </w:r>
      <w:r w:rsidRPr="00D50A25">
        <w:t xml:space="preserve">II.D.1.c; </w:t>
      </w:r>
      <w:r w:rsidRPr="00D50A25">
        <w:rPr>
          <w:i/>
          <w:iCs/>
        </w:rPr>
        <w:t xml:space="preserve">infra </w:t>
      </w:r>
      <w:r w:rsidRPr="00D50A25">
        <w:t>section II.D.1.c.iv</w:t>
      </w:r>
      <w:r>
        <w:t>, is just and reasonable, and reflects a preferable policy approach in light of the gravity of the problem of interconnection queue delays and backlogs.</w:t>
      </w:r>
    </w:p>
  </w:footnote>
  <w:footnote w:id="725">
    <w:p w:rsidR="00760048" w:rsidRPr="00193B04" w:rsidP="00071614" w14:paraId="17851278" w14:textId="77777777">
      <w:pPr>
        <w:pStyle w:val="FootnoteText"/>
        <w:rPr>
          <w:i/>
          <w:iCs/>
        </w:rPr>
      </w:pPr>
      <w:r w:rsidRPr="0072600F">
        <w:rPr>
          <w:rStyle w:val="FootnoteReference"/>
        </w:rPr>
        <w:footnoteRef/>
      </w:r>
      <w:r>
        <w:t xml:space="preserve"> </w:t>
      </w:r>
      <w:r w:rsidRPr="00E326CD">
        <w:rPr>
          <w:i/>
          <w:iCs/>
        </w:rPr>
        <w:t>Hope</w:t>
      </w:r>
      <w:r w:rsidRPr="00193B04">
        <w:t xml:space="preserve">320 U.S. </w:t>
      </w:r>
      <w:r w:rsidR="00B50DB8">
        <w:t>at</w:t>
      </w:r>
      <w:r w:rsidRPr="00193B04">
        <w:t xml:space="preserve"> 603</w:t>
      </w:r>
      <w:r>
        <w:t xml:space="preserve">; </w:t>
      </w:r>
      <w:r>
        <w:rPr>
          <w:i/>
          <w:iCs/>
        </w:rPr>
        <w:t xml:space="preserve">see also </w:t>
      </w:r>
      <w:r w:rsidRPr="00193B04">
        <w:rPr>
          <w:i/>
          <w:iCs/>
        </w:rPr>
        <w:t>Jersey Cent.</w:t>
      </w:r>
      <w:r w:rsidRPr="00193B04">
        <w:t xml:space="preserve">, 810 F.2d </w:t>
      </w:r>
      <w:r w:rsidR="008F1F51">
        <w:t>at</w:t>
      </w:r>
      <w:r w:rsidRPr="00193B04">
        <w:t xml:space="preserve"> 1177–78</w:t>
      </w:r>
      <w:r>
        <w:t xml:space="preserve">.  </w:t>
      </w:r>
      <w:r w:rsidRPr="00193B04">
        <w:rPr>
          <w:i/>
          <w:iCs/>
        </w:rPr>
        <w:t>Hope</w:t>
      </w:r>
      <w:r w:rsidRPr="00193B04">
        <w:t xml:space="preserve"> interpreted the Natural Gas Act, whereas the instant proceedings concern the FPA.</w:t>
      </w:r>
      <w:r>
        <w:t xml:space="preserve"> </w:t>
      </w:r>
      <w:r w:rsidRPr="00193B04">
        <w:t xml:space="preserve"> Nevertheless, “courts rely interchangeably on cases construing each of these Acts when interpreting the other,” including the standards articulated by the Court in </w:t>
      </w:r>
      <w:r w:rsidRPr="00193B04">
        <w:rPr>
          <w:i/>
          <w:iCs/>
        </w:rPr>
        <w:t xml:space="preserve">Hope. </w:t>
      </w:r>
      <w:r w:rsidR="008F1F51">
        <w:rPr>
          <w:i/>
          <w:iCs/>
        </w:rPr>
        <w:t xml:space="preserve"> </w:t>
      </w:r>
      <w:r w:rsidRPr="00193B04">
        <w:rPr>
          <w:i/>
          <w:iCs/>
        </w:rPr>
        <w:t>See Jersey Cent.</w:t>
      </w:r>
      <w:r w:rsidRPr="00193B04">
        <w:t xml:space="preserve">, 810 F.2d </w:t>
      </w:r>
      <w:r>
        <w:t>at </w:t>
      </w:r>
      <w:r w:rsidRPr="00193B04">
        <w:t>1175.</w:t>
      </w:r>
    </w:p>
  </w:footnote>
  <w:footnote w:id="726">
    <w:p w:rsidR="00760048" w:rsidP="00071614" w14:paraId="67223B9D" w14:textId="77777777">
      <w:pPr>
        <w:pStyle w:val="FootnoteText"/>
      </w:pPr>
      <w:r w:rsidRPr="0072600F">
        <w:rPr>
          <w:rStyle w:val="FootnoteReference"/>
        </w:rPr>
        <w:footnoteRef/>
      </w:r>
      <w:r>
        <w:t xml:space="preserve"> </w:t>
      </w:r>
      <w:r>
        <w:rPr>
          <w:i/>
          <w:iCs/>
        </w:rPr>
        <w:t>See Hope</w:t>
      </w:r>
      <w:r>
        <w:t>, 320 U.S. at 603 (ratemaking does not guarantee that the regulated utility will produce net revenues).</w:t>
      </w:r>
    </w:p>
  </w:footnote>
  <w:footnote w:id="727">
    <w:p w:rsidR="00760048" w:rsidRPr="00D44EC3" w:rsidP="00071614" w14:paraId="2755F4D1" w14:textId="77777777">
      <w:pPr>
        <w:pStyle w:val="FootnoteText"/>
      </w:pPr>
      <w:r w:rsidRPr="0072600F">
        <w:rPr>
          <w:rStyle w:val="FootnoteReference"/>
        </w:rPr>
        <w:footnoteRef/>
      </w:r>
      <w:r>
        <w:t xml:space="preserve"> The arguments that Order No. 2023 is confiscatory or works a regulatory taking also depend on claims that the penalty structure set forth in Order No. 2023 is “strict liability” or that the deadlines selected for the completion of studies are “unjustified and arbitrary.”  </w:t>
      </w:r>
      <w:r w:rsidRPr="00575557" w:rsidR="00597946">
        <w:rPr>
          <w:i/>
        </w:rPr>
        <w:t>See</w:t>
      </w:r>
      <w:r w:rsidR="00597946">
        <w:t xml:space="preserve"> Avangrid Rehearing Request at 16; </w:t>
      </w:r>
      <w:r>
        <w:t>MISO TOs Rehearing Request at 33</w:t>
      </w:r>
      <w:r>
        <w:rPr>
          <w:i/>
          <w:iCs/>
        </w:rPr>
        <w:t>e</w:t>
      </w:r>
      <w:r>
        <w:t xml:space="preserve">.  As explained above, these arguments are not meritorious.  </w:t>
      </w:r>
      <w:r>
        <w:rPr>
          <w:i/>
          <w:iCs/>
        </w:rPr>
        <w:t>See supra</w:t>
      </w:r>
      <w:r>
        <w:t xml:space="preserve"> </w:t>
      </w:r>
      <w:r w:rsidRPr="00D50A25">
        <w:t xml:space="preserve">section II.D.1.c.i; PP </w:t>
      </w:r>
      <w:r w:rsidRPr="00D50A25">
        <w:fldChar w:fldCharType="begin"/>
      </w:r>
      <w:r w:rsidRPr="00D50A25">
        <w:instrText xml:space="preserve"> REF _Ref160108206 \r \h  \* MERGEFORMAT </w:instrText>
      </w:r>
      <w:r w:rsidRPr="00D50A25">
        <w:fldChar w:fldCharType="separate"/>
      </w:r>
      <w:r w:rsidR="00C46123">
        <w:t>359</w:t>
      </w:r>
      <w:r w:rsidRPr="00D50A25">
        <w:fldChar w:fldCharType="end"/>
      </w:r>
      <w:r w:rsidRPr="00D50A25">
        <w:t>-</w:t>
      </w:r>
      <w:r w:rsidRPr="00D50A25">
        <w:fldChar w:fldCharType="begin"/>
      </w:r>
      <w:r w:rsidRPr="00D50A25">
        <w:instrText xml:space="preserve"> REF _Ref160109163 \r \h  \* MERGEFORMAT </w:instrText>
      </w:r>
      <w:r w:rsidRPr="00D50A25">
        <w:fldChar w:fldCharType="separate"/>
      </w:r>
      <w:r w:rsidR="00C46123">
        <w:t>360</w:t>
      </w:r>
      <w:r w:rsidRPr="00D50A25">
        <w:fldChar w:fldCharType="end"/>
      </w:r>
      <w:r w:rsidRPr="00D50A25">
        <w:t>.</w:t>
      </w:r>
    </w:p>
  </w:footnote>
  <w:footnote w:id="728">
    <w:p w:rsidR="00760048" w:rsidP="00071614" w14:paraId="279DB64A" w14:textId="77777777">
      <w:pPr>
        <w:pStyle w:val="FootnoteText"/>
      </w:pPr>
      <w:r w:rsidRPr="0072600F">
        <w:rPr>
          <w:rStyle w:val="FootnoteReference"/>
        </w:rPr>
        <w:footnoteRef/>
      </w:r>
      <w:r>
        <w:t xml:space="preserve"> NYISO Rehearing Request at 17-18 (asserting that this penalty structure as applied to RTOs/ISOs is “</w:t>
      </w:r>
      <w:r w:rsidRPr="00602DA2">
        <w:t>unjust, unreasonable, unduly discriminatory, and violative of due</w:t>
      </w:r>
      <w:r>
        <w:t xml:space="preserve"> </w:t>
      </w:r>
      <w:r w:rsidRPr="00602DA2">
        <w:t>process, and would impede the Commission’s policy goals</w:t>
      </w:r>
      <w:r>
        <w:t>”).</w:t>
      </w:r>
    </w:p>
  </w:footnote>
  <w:footnote w:id="729">
    <w:p w:rsidR="00760048" w:rsidRPr="00602DA2" w:rsidP="00071614" w14:paraId="68670FD8" w14:textId="77777777">
      <w:pPr>
        <w:pStyle w:val="FootnoteText"/>
      </w:pPr>
      <w:r w:rsidRPr="0072600F">
        <w:rPr>
          <w:rStyle w:val="FootnoteReference"/>
        </w:rPr>
        <w:footnoteRef/>
      </w:r>
      <w:r>
        <w:t xml:space="preserve"> </w:t>
      </w:r>
      <w:r>
        <w:rPr>
          <w:i/>
          <w:iCs/>
        </w:rPr>
        <w:t>Id.</w:t>
      </w:r>
      <w:r>
        <w:t xml:space="preserve"> at 21-23 (arguing that </w:t>
      </w:r>
      <w:r w:rsidRPr="00602DA2">
        <w:t>NYISO and similarly</w:t>
      </w:r>
      <w:r w:rsidR="001C3441">
        <w:t>-</w:t>
      </w:r>
      <w:r w:rsidRPr="00602DA2">
        <w:t>situated RTOs/ISOs cannot pay penalties without recovering costs from customers in some form</w:t>
      </w:r>
      <w:r>
        <w:t xml:space="preserve"> and that being denied permission to recover such costs could threaten their financial viability).</w:t>
      </w:r>
    </w:p>
  </w:footnote>
  <w:footnote w:id="730">
    <w:p w:rsidR="00760048" w:rsidP="00071614" w14:paraId="54D7BEF0" w14:textId="77777777">
      <w:pPr>
        <w:pStyle w:val="FootnoteText"/>
      </w:pPr>
      <w:r w:rsidRPr="0072600F">
        <w:rPr>
          <w:rStyle w:val="FootnoteReference"/>
        </w:rPr>
        <w:footnoteRef/>
      </w:r>
      <w:r>
        <w:t xml:space="preserve"> </w:t>
      </w:r>
      <w:r>
        <w:rPr>
          <w:i/>
          <w:iCs/>
        </w:rPr>
        <w:t>Id.</w:t>
      </w:r>
      <w:r w:rsidRPr="00602DA2">
        <w:t xml:space="preserve"> at 23-24</w:t>
      </w:r>
      <w:r>
        <w:t xml:space="preserve"> (noting that in </w:t>
      </w:r>
      <w:r w:rsidRPr="00CD69BB">
        <w:rPr>
          <w:i/>
          <w:iCs/>
        </w:rPr>
        <w:t>N.Y. Indep. Sys. Operator, Inc.</w:t>
      </w:r>
      <w:r w:rsidRPr="00CD69BB">
        <w:t>,</w:t>
      </w:r>
      <w:r w:rsidRPr="00CD69BB">
        <w:rPr>
          <w:i/>
          <w:iCs/>
        </w:rPr>
        <w:t xml:space="preserve"> </w:t>
      </w:r>
      <w:r w:rsidRPr="00CD69BB">
        <w:t>127 FERC ¶</w:t>
      </w:r>
      <w:r w:rsidR="00C15AFF">
        <w:t xml:space="preserve"> </w:t>
      </w:r>
      <w:r w:rsidRPr="00CD69BB">
        <w:t>61,196</w:t>
      </w:r>
      <w:r w:rsidR="001C3441">
        <w:t>,</w:t>
      </w:r>
      <w:r w:rsidRPr="00CD69BB">
        <w:t xml:space="preserve"> at P 36 (2009)</w:t>
      </w:r>
      <w:r>
        <w:t>, the Commission indicated that Commission review serves as a check on NYISO’s ability to pass through a penalty and that denial of relief or other appropriate action is a possibility).</w:t>
      </w:r>
    </w:p>
  </w:footnote>
  <w:footnote w:id="731">
    <w:p w:rsidR="00760048" w:rsidRPr="0008789E" w:rsidP="00071614" w14:paraId="73C4E57C" w14:textId="77777777">
      <w:pPr>
        <w:pStyle w:val="FootnoteText"/>
      </w:pPr>
      <w:r w:rsidRPr="0072600F">
        <w:rPr>
          <w:rStyle w:val="FootnoteReference"/>
        </w:rPr>
        <w:footnoteRef/>
      </w:r>
      <w:r>
        <w:t xml:space="preserve"> </w:t>
      </w:r>
      <w:r>
        <w:rPr>
          <w:i/>
          <w:iCs/>
        </w:rPr>
        <w:t>Id.</w:t>
      </w:r>
      <w:r>
        <w:t xml:space="preserve"> at 25.</w:t>
      </w:r>
    </w:p>
  </w:footnote>
  <w:footnote w:id="732">
    <w:p w:rsidR="00760048" w:rsidRPr="0008789E" w:rsidP="00071614" w14:paraId="63A4C041" w14:textId="77777777">
      <w:pPr>
        <w:pStyle w:val="FootnoteText"/>
      </w:pPr>
      <w:r w:rsidRPr="0072600F">
        <w:rPr>
          <w:rStyle w:val="FootnoteReference"/>
        </w:rPr>
        <w:footnoteRef/>
      </w:r>
      <w:r>
        <w:t xml:space="preserve"> </w:t>
      </w:r>
      <w:r>
        <w:rPr>
          <w:i/>
          <w:iCs/>
        </w:rPr>
        <w:t>Id.</w:t>
      </w:r>
      <w:r>
        <w:t xml:space="preserve"> at 25-26 (noting that NYISO anticipates that there will be objections to allowing automatic recovery via non-transmission related charges, such that recovery through this avenue is also not guaranteed).</w:t>
      </w:r>
    </w:p>
  </w:footnote>
  <w:footnote w:id="733">
    <w:p w:rsidR="00760048" w:rsidRPr="006B3EDE" w:rsidP="00071614" w14:paraId="42706158" w14:textId="77777777">
      <w:pPr>
        <w:pStyle w:val="FootnoteText"/>
      </w:pPr>
      <w:r w:rsidRPr="0072600F">
        <w:rPr>
          <w:rStyle w:val="FootnoteReference"/>
        </w:rPr>
        <w:footnoteRef/>
      </w:r>
      <w:r>
        <w:t xml:space="preserve"> </w:t>
      </w:r>
      <w:r>
        <w:rPr>
          <w:i/>
          <w:iCs/>
        </w:rPr>
        <w:t>Id.</w:t>
      </w:r>
      <w:r>
        <w:t xml:space="preserve"> at 38-39 (arguing that “the same penalties are harsher when applied to the RTO/ISO” because of potential uncertainties around the ability of RTOs/ISOs to recover penalty costs and the risks penalties pose to RTOs/ISOs).</w:t>
      </w:r>
    </w:p>
  </w:footnote>
  <w:footnote w:id="734">
    <w:p w:rsidR="00760048" w:rsidP="00071614" w14:paraId="6C533DBD" w14:textId="77777777">
      <w:pPr>
        <w:pStyle w:val="FootnoteText"/>
      </w:pPr>
      <w:r w:rsidRPr="0072600F">
        <w:rPr>
          <w:rStyle w:val="FootnoteReference"/>
        </w:rPr>
        <w:footnoteRef/>
      </w:r>
      <w:r>
        <w:t xml:space="preserve"> AEP Rehearing Request at 17-19.</w:t>
      </w:r>
    </w:p>
  </w:footnote>
  <w:footnote w:id="735">
    <w:p w:rsidR="00760048" w:rsidRPr="00223690" w:rsidP="00071614" w14:paraId="50747485" w14:textId="77777777">
      <w:pPr>
        <w:pStyle w:val="FootnoteText"/>
      </w:pPr>
      <w:r w:rsidRPr="0072600F">
        <w:rPr>
          <w:rStyle w:val="FootnoteReference"/>
        </w:rPr>
        <w:footnoteRef/>
      </w:r>
      <w:r>
        <w:t xml:space="preserve"> </w:t>
      </w:r>
      <w:r>
        <w:rPr>
          <w:i/>
          <w:iCs/>
        </w:rPr>
        <w:t>Id.</w:t>
      </w:r>
      <w:r>
        <w:t xml:space="preserve"> at 18-19 (arguing that imposing such burdens is particularly unwarranted because </w:t>
      </w:r>
      <w:r w:rsidRPr="005D0314">
        <w:t xml:space="preserve">the record does not support that penalties will reduce delays and if penalties are not assigned to the right entity, </w:t>
      </w:r>
      <w:r>
        <w:t>penalties cannot constitute an effective incentive).</w:t>
      </w:r>
    </w:p>
  </w:footnote>
  <w:footnote w:id="736">
    <w:p w:rsidR="00760048" w:rsidRPr="00C042DA" w:rsidP="00071614" w14:paraId="1EA6EBB5" w14:textId="77777777">
      <w:pPr>
        <w:pStyle w:val="FootnoteText"/>
      </w:pPr>
      <w:r w:rsidRPr="0072600F">
        <w:rPr>
          <w:rStyle w:val="FootnoteReference"/>
        </w:rPr>
        <w:footnoteRef/>
      </w:r>
      <w:r>
        <w:t xml:space="preserve"> </w:t>
      </w:r>
      <w:r>
        <w:rPr>
          <w:i/>
          <w:iCs/>
        </w:rPr>
        <w:t>Id.</w:t>
      </w:r>
      <w:r>
        <w:t xml:space="preserve"> at 19-20 (citing </w:t>
      </w:r>
      <w:r w:rsidRPr="008044D2">
        <w:t>Order No. 2023</w:t>
      </w:r>
      <w:r>
        <w:t xml:space="preserve">, </w:t>
      </w:r>
      <w:r w:rsidRPr="00E35DDE">
        <w:t>184 FERC ¶ 61,054</w:t>
      </w:r>
      <w:r w:rsidRPr="008044D2">
        <w:t xml:space="preserve"> at P 963)</w:t>
      </w:r>
      <w:r>
        <w:t>.</w:t>
      </w:r>
    </w:p>
  </w:footnote>
  <w:footnote w:id="737">
    <w:p w:rsidR="00760048" w:rsidP="00071614" w14:paraId="04AD4CFC" w14:textId="77777777">
      <w:pPr>
        <w:pStyle w:val="FootnoteText"/>
      </w:pPr>
      <w:r w:rsidRPr="0072600F">
        <w:rPr>
          <w:rStyle w:val="FootnoteReference"/>
        </w:rPr>
        <w:footnoteRef/>
      </w:r>
      <w:r>
        <w:t xml:space="preserve"> Indicated PJM TOs Rehearing Request at 9-10.</w:t>
      </w:r>
    </w:p>
  </w:footnote>
  <w:footnote w:id="738">
    <w:p w:rsidR="00760048" w:rsidRPr="006B668E" w:rsidP="00071614" w14:paraId="076F04F1" w14:textId="77777777">
      <w:pPr>
        <w:pStyle w:val="FootnoteText"/>
      </w:pPr>
      <w:r w:rsidRPr="0072600F">
        <w:rPr>
          <w:rStyle w:val="FootnoteReference"/>
        </w:rPr>
        <w:footnoteRef/>
      </w:r>
      <w:r>
        <w:t xml:space="preserve"> </w:t>
      </w:r>
      <w:r>
        <w:rPr>
          <w:i/>
          <w:iCs/>
        </w:rPr>
        <w:t>Id.</w:t>
      </w:r>
      <w:r>
        <w:t xml:space="preserve"> at 11, 21.</w:t>
      </w:r>
    </w:p>
  </w:footnote>
  <w:footnote w:id="739">
    <w:p w:rsidR="00760048" w:rsidRPr="00161372" w:rsidP="00071614" w14:paraId="491D372A" w14:textId="77777777">
      <w:pPr>
        <w:pStyle w:val="FootnoteText"/>
      </w:pPr>
      <w:r w:rsidRPr="0072600F">
        <w:rPr>
          <w:rStyle w:val="FootnoteReference"/>
        </w:rPr>
        <w:footnoteRef/>
      </w:r>
      <w:r>
        <w:t xml:space="preserve"> </w:t>
      </w:r>
      <w:r>
        <w:rPr>
          <w:i/>
          <w:iCs/>
        </w:rPr>
        <w:t>Id.</w:t>
      </w:r>
      <w:r>
        <w:t xml:space="preserve"> at 25.</w:t>
      </w:r>
    </w:p>
  </w:footnote>
  <w:footnote w:id="740">
    <w:p w:rsidR="00760048" w:rsidRPr="007942A2" w:rsidP="00071614" w14:paraId="00DA2725" w14:textId="77777777">
      <w:pPr>
        <w:pStyle w:val="FootnoteText"/>
      </w:pPr>
      <w:r w:rsidRPr="0072600F">
        <w:rPr>
          <w:rStyle w:val="FootnoteReference"/>
        </w:rPr>
        <w:footnoteRef/>
      </w:r>
      <w:r>
        <w:t xml:space="preserve"> </w:t>
      </w:r>
      <w:r>
        <w:rPr>
          <w:i/>
          <w:iCs/>
        </w:rPr>
        <w:t xml:space="preserve">Id. </w:t>
      </w:r>
      <w:r>
        <w:t>at 22.</w:t>
      </w:r>
    </w:p>
  </w:footnote>
  <w:footnote w:id="741">
    <w:p w:rsidR="00760048" w:rsidP="00071614" w14:paraId="4C1C6499" w14:textId="77777777">
      <w:pPr>
        <w:pStyle w:val="FootnoteText"/>
      </w:pPr>
      <w:r w:rsidRPr="0072600F">
        <w:rPr>
          <w:rStyle w:val="FootnoteReference"/>
        </w:rPr>
        <w:footnoteRef/>
      </w:r>
      <w:r>
        <w:t xml:space="preserve"> MISO TOs Rehearing Request at 30-31.</w:t>
      </w:r>
    </w:p>
  </w:footnote>
  <w:footnote w:id="742">
    <w:p w:rsidR="00760048" w:rsidP="00071614" w14:paraId="784C1739" w14:textId="77777777">
      <w:pPr>
        <w:pStyle w:val="FootnoteText"/>
      </w:pPr>
      <w:r w:rsidRPr="0072600F">
        <w:rPr>
          <w:rStyle w:val="FootnoteReference"/>
        </w:rPr>
        <w:footnoteRef/>
      </w:r>
      <w:r>
        <w:t xml:space="preserve"> </w:t>
      </w:r>
      <w:r w:rsidRPr="0008789E">
        <w:t>NYISO Rehearing Request at 35-37</w:t>
      </w:r>
      <w:r>
        <w:t xml:space="preserve"> (“In the NYISO, </w:t>
      </w:r>
      <w:r w:rsidRPr="002B13B1">
        <w:t>transmission</w:t>
      </w:r>
      <w:r>
        <w:t xml:space="preserve"> </w:t>
      </w:r>
      <w:r w:rsidRPr="002B13B1">
        <w:t>owners perform some part of all interconnection studies, and none are performed entirely by</w:t>
      </w:r>
      <w:r>
        <w:t xml:space="preserve"> </w:t>
      </w:r>
      <w:r w:rsidRPr="002B13B1">
        <w:t>transmission owners</w:t>
      </w:r>
      <w:r>
        <w:t>.”).</w:t>
      </w:r>
    </w:p>
  </w:footnote>
  <w:footnote w:id="743">
    <w:p w:rsidR="00760048" w:rsidRPr="00E35DDE" w:rsidP="00071614" w14:paraId="1A23E29D" w14:textId="77777777">
      <w:pPr>
        <w:pStyle w:val="FootnoteText"/>
      </w:pPr>
      <w:r w:rsidRPr="0072600F">
        <w:rPr>
          <w:rStyle w:val="FootnoteReference"/>
        </w:rPr>
        <w:footnoteRef/>
      </w:r>
      <w:r>
        <w:t xml:space="preserve"> </w:t>
      </w:r>
      <w:r>
        <w:rPr>
          <w:i/>
          <w:iCs/>
        </w:rPr>
        <w:t>Id.</w:t>
      </w:r>
      <w:r>
        <w:t xml:space="preserve"> at 36.</w:t>
      </w:r>
    </w:p>
  </w:footnote>
  <w:footnote w:id="744">
    <w:p w:rsidR="00760048" w:rsidP="00071614" w14:paraId="6DB97314" w14:textId="77777777">
      <w:pPr>
        <w:pStyle w:val="FootnoteText"/>
      </w:pPr>
      <w:r w:rsidRPr="0072600F">
        <w:rPr>
          <w:rStyle w:val="FootnoteReference"/>
        </w:rPr>
        <w:footnoteRef/>
      </w:r>
      <w:r>
        <w:t xml:space="preserve"> Dominion Rehearing Request at 25.</w:t>
      </w:r>
    </w:p>
  </w:footnote>
  <w:footnote w:id="745">
    <w:p w:rsidR="00760048" w:rsidP="00071614" w14:paraId="7E80C27E" w14:textId="77777777">
      <w:pPr>
        <w:pStyle w:val="FootnoteText"/>
      </w:pPr>
      <w:r w:rsidRPr="0072600F">
        <w:rPr>
          <w:rStyle w:val="FootnoteReference"/>
        </w:rPr>
        <w:footnoteRef/>
      </w:r>
      <w:r>
        <w:t xml:space="preserve"> Avangrid Rehearing Request at 6 (noting that the Commission indicated that RTOs/ISOs could submit FPA section 205 filings).</w:t>
      </w:r>
    </w:p>
  </w:footnote>
  <w:footnote w:id="746">
    <w:p w:rsidR="00760048" w:rsidP="00071614" w14:paraId="2CB26245" w14:textId="77777777">
      <w:pPr>
        <w:pStyle w:val="FootnoteText"/>
      </w:pPr>
      <w:r w:rsidRPr="0072600F">
        <w:rPr>
          <w:rStyle w:val="FootnoteReference"/>
        </w:rPr>
        <w:footnoteRef/>
      </w:r>
      <w:r>
        <w:t xml:space="preserve"> NYSPSC Rehearing Request at 6-8 (arguing the Commission recognized, for non-RTO/ISO transmission providers and transmission-owning members of RTOs/ISOs, the need to have “skin in the game” by making shareholders accountable and urging the Commission to consider other mechanisms to incentivize RTOs/ISOs).</w:t>
      </w:r>
    </w:p>
  </w:footnote>
  <w:footnote w:id="747">
    <w:p w:rsidR="00760048" w:rsidP="00071614" w14:paraId="5270CCB4" w14:textId="77777777">
      <w:pPr>
        <w:pStyle w:val="FootnoteText"/>
      </w:pPr>
      <w:r w:rsidRPr="0072600F">
        <w:rPr>
          <w:rStyle w:val="FootnoteReference"/>
        </w:rPr>
        <w:footnoteRef/>
      </w:r>
      <w:r>
        <w:t xml:space="preserve"> </w:t>
      </w:r>
      <w:r w:rsidRPr="00D838C0">
        <w:t>NYTOs Rehearing Request at 28</w:t>
      </w:r>
      <w:r>
        <w:t xml:space="preserve"> (citing </w:t>
      </w:r>
      <w:r w:rsidRPr="006B4AB2">
        <w:rPr>
          <w:i/>
          <w:iCs/>
        </w:rPr>
        <w:t>Garcia v. U.S. Bd. of Parole</w:t>
      </w:r>
      <w:r w:rsidRPr="006A7C20">
        <w:t>, 409 F. Supp. 1230, 1239 (N.D. Ill. 1976)</w:t>
      </w:r>
      <w:r>
        <w:t>)</w:t>
      </w:r>
      <w:r w:rsidRPr="00D838C0">
        <w:t>.</w:t>
      </w:r>
    </w:p>
  </w:footnote>
  <w:footnote w:id="748">
    <w:p w:rsidR="00760048" w:rsidP="00071614" w14:paraId="4C69F4D9" w14:textId="77777777">
      <w:pPr>
        <w:pStyle w:val="FootnoteText"/>
      </w:pPr>
      <w:r w:rsidRPr="0072600F">
        <w:rPr>
          <w:rStyle w:val="FootnoteReference"/>
        </w:rPr>
        <w:footnoteRef/>
      </w:r>
      <w:r>
        <w:t xml:space="preserve"> Avangrid Rehearing Request at 6-7.</w:t>
      </w:r>
    </w:p>
  </w:footnote>
  <w:footnote w:id="749">
    <w:p w:rsidR="00760048" w:rsidP="00071614" w14:paraId="17E31269" w14:textId="77777777">
      <w:pPr>
        <w:pStyle w:val="FootnoteText"/>
      </w:pPr>
      <w:r w:rsidRPr="0072600F">
        <w:rPr>
          <w:rStyle w:val="FootnoteReference"/>
        </w:rPr>
        <w:footnoteRef/>
      </w:r>
      <w:r>
        <w:t xml:space="preserve"> </w:t>
      </w:r>
      <w:r w:rsidRPr="00D838C0">
        <w:t>NYISO Rehearing Request at 18</w:t>
      </w:r>
      <w:r>
        <w:t>.</w:t>
      </w:r>
    </w:p>
  </w:footnote>
  <w:footnote w:id="750">
    <w:p w:rsidR="00760048" w:rsidP="00071614" w14:paraId="7D45F6FF" w14:textId="77777777">
      <w:pPr>
        <w:pStyle w:val="FootnoteText"/>
      </w:pPr>
      <w:r w:rsidRPr="0072600F">
        <w:rPr>
          <w:rStyle w:val="FootnoteReference"/>
        </w:rPr>
        <w:footnoteRef/>
      </w:r>
      <w:r>
        <w:t xml:space="preserve"> </w:t>
      </w:r>
      <w:r w:rsidRPr="00D838C0">
        <w:t>NYSPC Rehearing Request at 8-9</w:t>
      </w:r>
      <w:r>
        <w:t>.</w:t>
      </w:r>
    </w:p>
  </w:footnote>
  <w:footnote w:id="751">
    <w:p w:rsidR="00760048" w:rsidP="00071614" w14:paraId="00217EF7" w14:textId="77777777">
      <w:pPr>
        <w:pStyle w:val="FootnoteText"/>
      </w:pPr>
      <w:r w:rsidRPr="0072600F">
        <w:rPr>
          <w:rStyle w:val="FootnoteReference"/>
        </w:rPr>
        <w:footnoteRef/>
      </w:r>
      <w:r>
        <w:t xml:space="preserve"> </w:t>
      </w:r>
      <w:r w:rsidRPr="00D838C0">
        <w:t>NYTOs Rehearing Request at 28</w:t>
      </w:r>
      <w:r>
        <w:t>.</w:t>
      </w:r>
    </w:p>
  </w:footnote>
  <w:footnote w:id="752">
    <w:p w:rsidR="00760048" w:rsidP="00071614" w14:paraId="2010739E" w14:textId="77777777">
      <w:pPr>
        <w:pStyle w:val="FootnoteText"/>
      </w:pPr>
      <w:r w:rsidRPr="0072600F">
        <w:rPr>
          <w:rStyle w:val="FootnoteReference"/>
        </w:rPr>
        <w:footnoteRef/>
      </w:r>
      <w:r>
        <w:t xml:space="preserve"> NYISO Rehearing Request at 19-20 (“</w:t>
      </w:r>
      <w:r w:rsidRPr="00821B11">
        <w:t>The Commission should not defer the question to future</w:t>
      </w:r>
      <w:r>
        <w:t xml:space="preserve"> </w:t>
      </w:r>
      <w:r w:rsidRPr="00821B11">
        <w:t>section 205 or penalty appeal proceedings. It must resolve the problem now.</w:t>
      </w:r>
      <w:r>
        <w:t>”).</w:t>
      </w:r>
    </w:p>
  </w:footnote>
  <w:footnote w:id="753">
    <w:p w:rsidR="00760048" w:rsidP="00071614" w14:paraId="32303C7B" w14:textId="77777777">
      <w:pPr>
        <w:pStyle w:val="FootnoteText"/>
      </w:pPr>
      <w:r w:rsidRPr="0072600F">
        <w:rPr>
          <w:rStyle w:val="FootnoteReference"/>
        </w:rPr>
        <w:footnoteRef/>
      </w:r>
      <w:r>
        <w:t xml:space="preserve"> Dominion Rehearing Request at 25-26.</w:t>
      </w:r>
    </w:p>
  </w:footnote>
  <w:footnote w:id="754">
    <w:p w:rsidR="00760048" w:rsidP="00071614" w14:paraId="7F8D18DD" w14:textId="77777777">
      <w:pPr>
        <w:pStyle w:val="FootnoteText"/>
      </w:pPr>
      <w:r w:rsidRPr="0072600F">
        <w:rPr>
          <w:rStyle w:val="FootnoteReference"/>
        </w:rPr>
        <w:footnoteRef/>
      </w:r>
      <w:r>
        <w:t xml:space="preserve"> MISO Rehearing Request at 8-11.</w:t>
      </w:r>
    </w:p>
  </w:footnote>
  <w:footnote w:id="755">
    <w:p w:rsidR="00760048" w:rsidRPr="000E6183" w:rsidP="00071614" w14:paraId="62FFE2D9" w14:textId="77777777">
      <w:pPr>
        <w:pStyle w:val="FootnoteText"/>
        <w:rPr>
          <w:i/>
        </w:rPr>
      </w:pPr>
      <w:r w:rsidRPr="0072600F">
        <w:rPr>
          <w:rStyle w:val="FootnoteReference"/>
        </w:rPr>
        <w:footnoteRef/>
      </w:r>
      <w:r>
        <w:t xml:space="preserve"> </w:t>
      </w:r>
      <w:r>
        <w:rPr>
          <w:i/>
          <w:iCs/>
        </w:rPr>
        <w:t>See also</w:t>
      </w:r>
      <w:r>
        <w:t xml:space="preserve"> </w:t>
      </w:r>
      <w:r w:rsidRPr="000E6183">
        <w:t>Order No. 890, 118 FERC ¶ 61,119</w:t>
      </w:r>
      <w:r w:rsidR="001B3357">
        <w:t xml:space="preserve"> at P 1353</w:t>
      </w:r>
      <w:r w:rsidRPr="000E6183">
        <w:t>.</w:t>
      </w:r>
    </w:p>
  </w:footnote>
  <w:footnote w:id="756">
    <w:p w:rsidR="00760048" w:rsidP="00071614" w14:paraId="0DAE95BF" w14:textId="77777777">
      <w:pPr>
        <w:pStyle w:val="FootnoteText"/>
      </w:pPr>
      <w:r w:rsidRPr="0072600F">
        <w:rPr>
          <w:rStyle w:val="FootnoteReference"/>
        </w:rPr>
        <w:footnoteRef/>
      </w:r>
      <w:r>
        <w:t xml:space="preserve"> </w:t>
      </w:r>
      <w:r>
        <w:rPr>
          <w:i/>
          <w:iCs/>
        </w:rPr>
        <w:t>See</w:t>
      </w:r>
      <w:r>
        <w:rPr>
          <w:i/>
        </w:rPr>
        <w:t xml:space="preserve"> </w:t>
      </w:r>
      <w:r>
        <w:t xml:space="preserve">Order No. 2023, </w:t>
      </w:r>
      <w:r w:rsidRPr="00C84DE9">
        <w:t>184 FERC ¶ 61,054</w:t>
      </w:r>
      <w:r>
        <w:t xml:space="preserve"> at </w:t>
      </w:r>
      <w:r w:rsidR="00E11F1C">
        <w:t>a</w:t>
      </w:r>
      <w:r>
        <w:t xml:space="preserve">pp. </w:t>
      </w:r>
      <w:r w:rsidRPr="00410342">
        <w:t>B</w:t>
      </w:r>
      <w:r>
        <w:t>.</w:t>
      </w:r>
    </w:p>
  </w:footnote>
  <w:footnote w:id="757">
    <w:p w:rsidR="00760048" w14:paraId="7DB37DF9" w14:textId="77777777">
      <w:pPr>
        <w:pStyle w:val="FootnoteText"/>
      </w:pPr>
      <w:r w:rsidRPr="0072600F">
        <w:rPr>
          <w:rStyle w:val="FootnoteReference"/>
        </w:rPr>
        <w:footnoteRef/>
      </w:r>
      <w:r>
        <w:t xml:space="preserve"> Queued Up 2023 at 9, 27, 32.</w:t>
      </w:r>
    </w:p>
  </w:footnote>
  <w:footnote w:id="758">
    <w:p w:rsidR="00760048" w:rsidP="00071614" w14:paraId="69F4C57F" w14:textId="77777777">
      <w:pPr>
        <w:pStyle w:val="FootnoteText"/>
      </w:pPr>
      <w:r w:rsidRPr="0072600F">
        <w:rPr>
          <w:rStyle w:val="FootnoteReference"/>
        </w:rPr>
        <w:footnoteRef/>
      </w:r>
      <w:r>
        <w:t xml:space="preserve"> Order No. 2023, </w:t>
      </w:r>
      <w:r w:rsidRPr="00C84DE9">
        <w:t>184 FERC ¶ 61,054</w:t>
      </w:r>
      <w:r>
        <w:t xml:space="preserve"> at </w:t>
      </w:r>
      <w:r w:rsidRPr="00410342">
        <w:t>PP</w:t>
      </w:r>
      <w:r>
        <w:t xml:space="preserve"> 37-58.</w:t>
      </w:r>
    </w:p>
  </w:footnote>
  <w:footnote w:id="759">
    <w:p w:rsidR="00760048" w:rsidP="00071614" w14:paraId="6E4985B5" w14:textId="77777777">
      <w:pPr>
        <w:pStyle w:val="FootnoteText"/>
      </w:pPr>
      <w:r w:rsidRPr="0072600F">
        <w:rPr>
          <w:rStyle w:val="FootnoteReference"/>
        </w:rPr>
        <w:footnoteRef/>
      </w:r>
      <w:r>
        <w:t xml:space="preserve"> </w:t>
      </w:r>
      <w:r w:rsidRPr="0080652B">
        <w:rPr>
          <w:i/>
          <w:iCs/>
        </w:rPr>
        <w:t>Id.</w:t>
      </w:r>
      <w:r>
        <w:t xml:space="preserve"> P 995.</w:t>
      </w:r>
    </w:p>
  </w:footnote>
  <w:footnote w:id="760">
    <w:p w:rsidR="00760048" w:rsidP="00071614" w14:paraId="159B522A" w14:textId="77777777">
      <w:pPr>
        <w:pStyle w:val="FootnoteText"/>
      </w:pPr>
      <w:r w:rsidRPr="0072600F">
        <w:rPr>
          <w:rStyle w:val="FootnoteReference"/>
        </w:rPr>
        <w:footnoteRef/>
      </w:r>
      <w:r>
        <w:t xml:space="preserve"> </w:t>
      </w:r>
      <w:r>
        <w:rPr>
          <w:i/>
          <w:iCs/>
        </w:rPr>
        <w:t xml:space="preserve">See </w:t>
      </w:r>
      <w:r w:rsidR="00AB1A97">
        <w:rPr>
          <w:i/>
          <w:iCs/>
        </w:rPr>
        <w:t>i</w:t>
      </w:r>
      <w:r w:rsidRPr="0080652B" w:rsidR="00AB1A97">
        <w:rPr>
          <w:i/>
          <w:iCs/>
        </w:rPr>
        <w:t>d.</w:t>
      </w:r>
      <w:r>
        <w:t xml:space="preserve"> P 921; </w:t>
      </w:r>
      <w:r w:rsidRPr="00AA1505">
        <w:t>OPSI Initial Comments at 9.</w:t>
      </w:r>
    </w:p>
  </w:footnote>
  <w:footnote w:id="761">
    <w:p w:rsidR="00760048" w:rsidP="00071614" w14:paraId="02ABCDD5" w14:textId="77777777">
      <w:pPr>
        <w:pStyle w:val="FootnoteText"/>
      </w:pPr>
      <w:r w:rsidRPr="0072600F">
        <w:rPr>
          <w:rStyle w:val="FootnoteReference"/>
        </w:rPr>
        <w:footnoteRef/>
      </w:r>
      <w:r>
        <w:t xml:space="preserve"> </w:t>
      </w:r>
      <w:r w:rsidRPr="00037224">
        <w:t>Order No. 2023, 184 FERC ¶ 61,054 at</w:t>
      </w:r>
      <w:r>
        <w:t xml:space="preserve"> </w:t>
      </w:r>
      <w:r w:rsidR="00271E93">
        <w:t xml:space="preserve">P </w:t>
      </w:r>
      <w:r>
        <w:t>994.</w:t>
      </w:r>
    </w:p>
  </w:footnote>
  <w:footnote w:id="762">
    <w:p w:rsidR="00760048" w:rsidP="00071614" w14:paraId="14041D2D" w14:textId="77777777">
      <w:pPr>
        <w:pStyle w:val="FootnoteText"/>
      </w:pPr>
      <w:r w:rsidRPr="0072600F">
        <w:rPr>
          <w:rStyle w:val="FootnoteReference"/>
        </w:rPr>
        <w:footnoteRef/>
      </w:r>
      <w:r>
        <w:t xml:space="preserve"> </w:t>
      </w:r>
      <w:r>
        <w:rPr>
          <w:i/>
          <w:iCs/>
        </w:rPr>
        <w:t>Id.</w:t>
      </w:r>
      <w:r>
        <w:t xml:space="preserve"> PP 994-1001.</w:t>
      </w:r>
    </w:p>
  </w:footnote>
  <w:footnote w:id="763">
    <w:p w:rsidR="00760048" w:rsidP="00071614" w14:paraId="7CE0150C" w14:textId="77777777">
      <w:pPr>
        <w:pStyle w:val="FootnoteText"/>
      </w:pPr>
      <w:r w:rsidRPr="0072600F">
        <w:rPr>
          <w:rStyle w:val="FootnoteReference"/>
        </w:rPr>
        <w:footnoteRef/>
      </w:r>
      <w:r>
        <w:t xml:space="preserve"> </w:t>
      </w:r>
      <w:r w:rsidRPr="00971DCE">
        <w:t xml:space="preserve">16 U.S.C. </w:t>
      </w:r>
      <w:r w:rsidRPr="00B332EA" w:rsidR="00B332EA">
        <w:t>§</w:t>
      </w:r>
      <w:r w:rsidR="00B332EA">
        <w:t xml:space="preserve"> </w:t>
      </w:r>
      <w:r w:rsidRPr="00971DCE">
        <w:t>825o</w:t>
      </w:r>
      <w:r>
        <w:t>.</w:t>
      </w:r>
    </w:p>
  </w:footnote>
  <w:footnote w:id="764">
    <w:p w:rsidR="00760048" w:rsidP="00071614" w14:paraId="3B946C10" w14:textId="77777777">
      <w:pPr>
        <w:pStyle w:val="FootnoteText"/>
      </w:pPr>
      <w:r w:rsidRPr="0072600F">
        <w:rPr>
          <w:rStyle w:val="FootnoteReference"/>
        </w:rPr>
        <w:footnoteRef/>
      </w:r>
      <w:r>
        <w:t xml:space="preserve"> 16 U.S.C. </w:t>
      </w:r>
      <w:r w:rsidRPr="00B332EA" w:rsidR="00B332EA">
        <w:t>§</w:t>
      </w:r>
      <w:r w:rsidR="00B332EA">
        <w:t xml:space="preserve"> </w:t>
      </w:r>
      <w:r>
        <w:t>825o-1.</w:t>
      </w:r>
    </w:p>
  </w:footnote>
  <w:footnote w:id="765">
    <w:p w:rsidR="00760048" w:rsidP="00071614" w14:paraId="480281A5" w14:textId="77777777">
      <w:pPr>
        <w:pStyle w:val="FootnoteText"/>
      </w:pPr>
      <w:r w:rsidRPr="0072600F">
        <w:rPr>
          <w:rStyle w:val="FootnoteReference"/>
        </w:rPr>
        <w:footnoteRef/>
      </w:r>
      <w:r>
        <w:t xml:space="preserve"> NYTOs Rehearing Request at 22-23; PacifiCorp Rehearing Request at </w:t>
      </w:r>
      <w:r w:rsidRPr="008044D2">
        <w:t>10-11 (asserting that the Commission cites no precedent for civil penalties under section 206; also claiming that the Commission failed to address whether a study timely violation was itself a tariff violation).</w:t>
      </w:r>
    </w:p>
  </w:footnote>
  <w:footnote w:id="766">
    <w:p w:rsidR="00760048" w:rsidRPr="00F24E40" w:rsidP="00071614" w14:paraId="23347CFF" w14:textId="77777777">
      <w:pPr>
        <w:pStyle w:val="FootnoteText"/>
      </w:pPr>
      <w:r w:rsidRPr="0072600F">
        <w:rPr>
          <w:rStyle w:val="FootnoteReference"/>
        </w:rPr>
        <w:footnoteRef/>
      </w:r>
      <w:r>
        <w:t xml:space="preserve"> PacifiCorp Rehearing Request at 11.</w:t>
      </w:r>
    </w:p>
  </w:footnote>
  <w:footnote w:id="767">
    <w:p w:rsidR="00760048" w:rsidRPr="00971DCE" w:rsidP="00116079" w14:paraId="2FAC0540" w14:textId="77777777">
      <w:pPr>
        <w:pStyle w:val="FootnoteText"/>
        <w:ind w:right="-450"/>
      </w:pPr>
      <w:r w:rsidRPr="0072600F">
        <w:rPr>
          <w:rStyle w:val="FootnoteReference"/>
        </w:rPr>
        <w:footnoteRef/>
      </w:r>
      <w:r>
        <w:t xml:space="preserve"> NYTOs Rehearing Request at 22 (citing </w:t>
      </w:r>
      <w:r w:rsidRPr="00F24E40">
        <w:rPr>
          <w:i/>
          <w:iCs/>
        </w:rPr>
        <w:t>Enf</w:t>
      </w:r>
      <w:r w:rsidR="00E11F1C">
        <w:rPr>
          <w:i/>
          <w:iCs/>
        </w:rPr>
        <w:t>’</w:t>
      </w:r>
      <w:r w:rsidRPr="00F24E40">
        <w:rPr>
          <w:i/>
          <w:iCs/>
        </w:rPr>
        <w:t>t of Statutes, Ords</w:t>
      </w:r>
      <w:r w:rsidR="00E11F1C">
        <w:rPr>
          <w:i/>
          <w:iCs/>
        </w:rPr>
        <w:t>.</w:t>
      </w:r>
      <w:r w:rsidRPr="00F24E40">
        <w:rPr>
          <w:i/>
          <w:iCs/>
        </w:rPr>
        <w:t xml:space="preserve">, Rules, </w:t>
      </w:r>
      <w:r w:rsidR="00E11F1C">
        <w:rPr>
          <w:i/>
          <w:iCs/>
        </w:rPr>
        <w:t>&amp;</w:t>
      </w:r>
      <w:r w:rsidRPr="00F24E40" w:rsidR="00E11F1C">
        <w:rPr>
          <w:i/>
          <w:iCs/>
        </w:rPr>
        <w:t xml:space="preserve"> </w:t>
      </w:r>
      <w:r w:rsidRPr="00F24E40">
        <w:rPr>
          <w:i/>
          <w:iCs/>
        </w:rPr>
        <w:t>Reguls</w:t>
      </w:r>
      <w:r w:rsidR="00E11F1C">
        <w:rPr>
          <w:i/>
          <w:iCs/>
        </w:rPr>
        <w:t>.</w:t>
      </w:r>
      <w:r w:rsidRPr="00F24E40">
        <w:t>, 113 FERC ¶ 61,068, at P</w:t>
      </w:r>
      <w:r>
        <w:t>P 14,</w:t>
      </w:r>
      <w:r w:rsidRPr="00F24E40">
        <w:t xml:space="preserve"> 26 (2005)</w:t>
      </w:r>
      <w:r>
        <w:t xml:space="preserve">; </w:t>
      </w:r>
      <w:r w:rsidRPr="00F24E40">
        <w:rPr>
          <w:i/>
          <w:iCs/>
        </w:rPr>
        <w:t>Kokesh</w:t>
      </w:r>
      <w:r w:rsidRPr="00F24E40">
        <w:t xml:space="preserve">, </w:t>
      </w:r>
      <w:r>
        <w:t>581 U.S. at 461</w:t>
      </w:r>
      <w:r w:rsidRPr="00F24E40">
        <w:t xml:space="preserve"> (government-assessed penalties are “for the purpose of punishment, and to deter others from offending in like manner</w:t>
      </w:r>
      <w:r w:rsidR="00D93B40">
        <w:t>.</w:t>
      </w:r>
      <w:r w:rsidRPr="00F24E40">
        <w:t>”)</w:t>
      </w:r>
      <w:r>
        <w:t>)</w:t>
      </w:r>
      <w:r w:rsidRPr="00F24E40">
        <w:t>.</w:t>
      </w:r>
    </w:p>
  </w:footnote>
  <w:footnote w:id="768">
    <w:p w:rsidR="00760048" w:rsidP="00071614" w14:paraId="75522E15" w14:textId="77777777">
      <w:pPr>
        <w:pStyle w:val="FootnoteText"/>
      </w:pPr>
      <w:r w:rsidRPr="0072600F">
        <w:rPr>
          <w:rStyle w:val="FootnoteReference"/>
        </w:rPr>
        <w:footnoteRef/>
      </w:r>
      <w:r>
        <w:t xml:space="preserve"> 16 U.S.C. </w:t>
      </w:r>
      <w:r w:rsidRPr="00B332EA" w:rsidR="00B332EA">
        <w:t>§</w:t>
      </w:r>
      <w:r w:rsidR="00B332EA">
        <w:t xml:space="preserve"> </w:t>
      </w:r>
      <w:r>
        <w:t>825n.</w:t>
      </w:r>
    </w:p>
  </w:footnote>
  <w:footnote w:id="769">
    <w:p w:rsidR="00760048" w:rsidP="00071614" w14:paraId="6CBEC08E" w14:textId="77777777">
      <w:pPr>
        <w:pStyle w:val="FootnoteText"/>
      </w:pPr>
      <w:r w:rsidRPr="0072600F">
        <w:rPr>
          <w:rStyle w:val="FootnoteReference"/>
        </w:rPr>
        <w:footnoteRef/>
      </w:r>
      <w:r>
        <w:t xml:space="preserve"> PJM Rehearing Request at 29-30.</w:t>
      </w:r>
    </w:p>
  </w:footnote>
  <w:footnote w:id="770">
    <w:p w:rsidR="00760048" w:rsidP="00071614" w14:paraId="6CEDFB33" w14:textId="77777777">
      <w:pPr>
        <w:pStyle w:val="FootnoteText"/>
      </w:pPr>
      <w:r w:rsidRPr="0072600F">
        <w:rPr>
          <w:rStyle w:val="FootnoteReference"/>
        </w:rPr>
        <w:footnoteRef/>
      </w:r>
      <w:r>
        <w:t xml:space="preserve"> AEP Rehearing Request at 7-8 (citing </w:t>
      </w:r>
      <w:r w:rsidRPr="007E4C33">
        <w:rPr>
          <w:i/>
          <w:iCs/>
        </w:rPr>
        <w:t>Bachofer v. Calpine Corp.</w:t>
      </w:r>
      <w:r w:rsidRPr="007E4C33">
        <w:t>, 134 FERC ¶ 61,100, at P 9 (2011)</w:t>
      </w:r>
      <w:r>
        <w:t xml:space="preserve">; </w:t>
      </w:r>
      <w:r w:rsidRPr="007E4C33">
        <w:rPr>
          <w:i/>
          <w:iCs/>
        </w:rPr>
        <w:t>New England Power Pool</w:t>
      </w:r>
      <w:r w:rsidRPr="007E4C33">
        <w:t>, 98 FERC ¶ 61,299, at 62,290 n.6 (2002)</w:t>
      </w:r>
      <w:r>
        <w:t xml:space="preserve">; </w:t>
      </w:r>
      <w:r w:rsidRPr="007E4C33">
        <w:rPr>
          <w:i/>
          <w:iCs/>
        </w:rPr>
        <w:t>TranSource, LLC v. PJM Interconnection, L.L.C.</w:t>
      </w:r>
      <w:r w:rsidRPr="007E4C33">
        <w:t>, 168 FERC ¶ 61,119 at n.896 (2019)</w:t>
      </w:r>
      <w:r>
        <w:t>)</w:t>
      </w:r>
      <w:r w:rsidRPr="007E4C33">
        <w:t>.</w:t>
      </w:r>
    </w:p>
  </w:footnote>
  <w:footnote w:id="771">
    <w:p w:rsidR="00760048" w:rsidRPr="00266533" w:rsidP="00071614" w14:paraId="00CAB7DC" w14:textId="77777777">
      <w:pPr>
        <w:pStyle w:val="FootnoteText"/>
      </w:pPr>
      <w:r w:rsidRPr="0072600F">
        <w:rPr>
          <w:rStyle w:val="FootnoteReference"/>
        </w:rPr>
        <w:footnoteRef/>
      </w:r>
      <w:r>
        <w:t xml:space="preserve"> </w:t>
      </w:r>
      <w:r>
        <w:rPr>
          <w:i/>
          <w:iCs/>
        </w:rPr>
        <w:t>Id.</w:t>
      </w:r>
      <w:r>
        <w:t xml:space="preserve"> at 8-9 (asserting that the Commission failed to </w:t>
      </w:r>
      <w:r w:rsidRPr="008044D2">
        <w:t>explain this change</w:t>
      </w:r>
      <w:r w:rsidR="00BB015F">
        <w:t>)</w:t>
      </w:r>
      <w:r w:rsidRPr="008044D2">
        <w:t xml:space="preserve"> </w:t>
      </w:r>
      <w:r w:rsidR="00BB015F">
        <w:t>(</w:t>
      </w:r>
      <w:r w:rsidRPr="008044D2">
        <w:t xml:space="preserve">citing </w:t>
      </w:r>
      <w:r w:rsidRPr="008044D2" w:rsidR="00E12EB0">
        <w:t>Order No. 2003</w:t>
      </w:r>
      <w:r w:rsidR="00E12EB0">
        <w:t xml:space="preserve">, </w:t>
      </w:r>
      <w:r w:rsidRPr="00A24988" w:rsidR="00E12EB0">
        <w:t>1</w:t>
      </w:r>
      <w:r w:rsidR="00E12EB0">
        <w:t>0</w:t>
      </w:r>
      <w:r w:rsidRPr="00A24988" w:rsidR="00E12EB0">
        <w:t>4 FERC ¶ 61,</w:t>
      </w:r>
      <w:r w:rsidR="00E12EB0">
        <w:t>103</w:t>
      </w:r>
      <w:r w:rsidRPr="008044D2" w:rsidR="00E12EB0">
        <w:t xml:space="preserve"> at PP 883, 898;</w:t>
      </w:r>
      <w:r w:rsidR="00E12EB0">
        <w:t xml:space="preserve"> </w:t>
      </w:r>
      <w:r w:rsidRPr="008044D2">
        <w:t>Order No. 2003-A</w:t>
      </w:r>
      <w:r w:rsidR="00E12EB0">
        <w:t xml:space="preserve">, </w:t>
      </w:r>
      <w:r w:rsidRPr="00466EFE" w:rsidR="00E12EB0">
        <w:t>106 FERC ¶ 61,220</w:t>
      </w:r>
      <w:r w:rsidRPr="008044D2">
        <w:t xml:space="preserve"> at P 249; Order No. 845</w:t>
      </w:r>
      <w:r w:rsidR="00E12EB0">
        <w:t xml:space="preserve">, </w:t>
      </w:r>
      <w:r w:rsidRPr="0095558B" w:rsidR="002501A3">
        <w:t>163 FERC ¶ 61,043</w:t>
      </w:r>
      <w:r w:rsidRPr="008044D2">
        <w:t xml:space="preserve"> at P 309; </w:t>
      </w:r>
      <w:r w:rsidRPr="00680A18">
        <w:rPr>
          <w:i/>
        </w:rPr>
        <w:t>N.Y. Indep. Sys. Operator, Inc.</w:t>
      </w:r>
      <w:r>
        <w:t>,</w:t>
      </w:r>
      <w:r w:rsidRPr="008044D2">
        <w:t xml:space="preserve"> 108 FERC </w:t>
      </w:r>
      <w:r w:rsidRPr="00C555F8" w:rsidR="002501A3">
        <w:t>¶</w:t>
      </w:r>
      <w:r w:rsidR="002501A3">
        <w:t xml:space="preserve"> </w:t>
      </w:r>
      <w:r w:rsidRPr="008044D2">
        <w:t>61,159</w:t>
      </w:r>
      <w:r>
        <w:t>,</w:t>
      </w:r>
      <w:r w:rsidRPr="008044D2">
        <w:t xml:space="preserve"> at PP 77-78 (2004)).</w:t>
      </w:r>
    </w:p>
  </w:footnote>
  <w:footnote w:id="772">
    <w:p w:rsidR="00760048" w:rsidRPr="005D7C95" w14:paraId="7BFC2EC9" w14:textId="77777777">
      <w:pPr>
        <w:pStyle w:val="FootnoteText"/>
      </w:pPr>
      <w:r w:rsidRPr="0072600F">
        <w:rPr>
          <w:rStyle w:val="FootnoteReference"/>
        </w:rPr>
        <w:footnoteRef/>
      </w:r>
      <w:r>
        <w:t xml:space="preserve"> </w:t>
      </w:r>
      <w:r>
        <w:rPr>
          <w:i/>
          <w:iCs/>
        </w:rPr>
        <w:t xml:space="preserve">See </w:t>
      </w:r>
      <w:r>
        <w:rPr>
          <w:i/>
          <w:iCs/>
        </w:rPr>
        <w:t>supra</w:t>
      </w:r>
      <w:r>
        <w:t xml:space="preserve"> </w:t>
      </w:r>
      <w:r w:rsidRPr="00D50A25">
        <w:t xml:space="preserve">P </w:t>
      </w:r>
      <w:r w:rsidRPr="00D50A25">
        <w:fldChar w:fldCharType="begin"/>
      </w:r>
      <w:r w:rsidRPr="00D50A25">
        <w:instrText xml:space="preserve"> REF _Ref160109312 \r \h </w:instrText>
      </w:r>
      <w:r>
        <w:instrText xml:space="preserve"> \* MERGEFORMAT </w:instrText>
      </w:r>
      <w:r w:rsidRPr="00D50A25">
        <w:fldChar w:fldCharType="separate"/>
      </w:r>
      <w:r w:rsidR="00C46123">
        <w:t>386</w:t>
      </w:r>
      <w:r w:rsidRPr="00D50A25">
        <w:fldChar w:fldCharType="end"/>
      </w:r>
      <w:r>
        <w:t xml:space="preserve"> &amp; </w:t>
      </w:r>
      <w:r w:rsidRPr="00D50A25">
        <w:t>nn.</w:t>
      </w:r>
      <w:r w:rsidR="00EB2DE8">
        <w:t xml:space="preserve"> </w:t>
      </w:r>
      <w:r w:rsidR="00EB2DE8">
        <w:fldChar w:fldCharType="begin"/>
      </w:r>
      <w:r w:rsidR="00EB2DE8">
        <w:instrText xml:space="preserve"> NOTEREF _Ref160109331 \h </w:instrText>
      </w:r>
      <w:r w:rsidR="00EB2DE8">
        <w:fldChar w:fldCharType="separate"/>
      </w:r>
      <w:r w:rsidR="00EB2DE8">
        <w:t>723</w:t>
      </w:r>
      <w:r w:rsidR="00EB2DE8">
        <w:fldChar w:fldCharType="end"/>
      </w:r>
      <w:r w:rsidRPr="00D50A25">
        <w:fldChar w:fldCharType="begin"/>
      </w:r>
      <w:r w:rsidRPr="00D50A25">
        <w:instrText xml:space="preserve"> NOTEREF _Ref160109331 \h </w:instrText>
      </w:r>
      <w:r>
        <w:instrText xml:space="preserve"> \* MERGEFORMAT </w:instrText>
      </w:r>
      <w:r w:rsidR="00BE439E">
        <w:fldChar w:fldCharType="separate"/>
      </w:r>
      <w:r w:rsidRPr="00D50A25">
        <w:fldChar w:fldCharType="end"/>
      </w:r>
      <w:r>
        <w:t>-</w:t>
      </w:r>
      <w:r w:rsidR="00EB2DE8">
        <w:fldChar w:fldCharType="begin"/>
      </w:r>
      <w:r w:rsidR="00EB2DE8">
        <w:instrText xml:space="preserve"> NOTEREF _Ref160109334 \h </w:instrText>
      </w:r>
      <w:r w:rsidR="00EB2DE8">
        <w:fldChar w:fldCharType="separate"/>
      </w:r>
      <w:r w:rsidR="00EB2DE8">
        <w:t>724</w:t>
      </w:r>
      <w:r w:rsidR="00EB2DE8">
        <w:fldChar w:fldCharType="end"/>
      </w:r>
      <w:r w:rsidRPr="00D50A25">
        <w:fldChar w:fldCharType="begin"/>
      </w:r>
      <w:r w:rsidRPr="00D50A25">
        <w:instrText xml:space="preserve"> NOTEREF _Ref160109334 \h </w:instrText>
      </w:r>
      <w:r>
        <w:instrText xml:space="preserve"> \* MERGEFORMAT </w:instrText>
      </w:r>
      <w:r w:rsidR="00BE439E">
        <w:fldChar w:fldCharType="separate"/>
      </w:r>
      <w:r w:rsidRPr="00D50A25">
        <w:fldChar w:fldCharType="end"/>
      </w:r>
      <w:r w:rsidRPr="00D50A25">
        <w:t>;</w:t>
      </w:r>
      <w:r>
        <w:t xml:space="preserve"> </w:t>
      </w:r>
      <w:r w:rsidRPr="00A229F1">
        <w:t xml:space="preserve">18 CFR 385.713(c)(3) </w:t>
      </w:r>
      <w:r>
        <w:t xml:space="preserve">(providing that </w:t>
      </w:r>
      <w:r w:rsidRPr="0056528E">
        <w:t>any request for rehearing must “[s]et forth the matters relied upon by the party requesting rehearing, if rehearing is sought based on matters not available for consideration by the Commission at the time of the final decision or final order”</w:t>
      </w:r>
      <w:r>
        <w:t>).</w:t>
      </w:r>
    </w:p>
  </w:footnote>
  <w:footnote w:id="773">
    <w:p w:rsidR="00760048" w:rsidRPr="00A229F1" w:rsidP="00071614" w14:paraId="149BDA3F" w14:textId="77777777">
      <w:pPr>
        <w:pStyle w:val="FootnoteText"/>
      </w:pPr>
      <w:r w:rsidRPr="0072600F">
        <w:rPr>
          <w:rStyle w:val="FootnoteReference"/>
        </w:rPr>
        <w:footnoteRef/>
      </w:r>
      <w:r>
        <w:t xml:space="preserve"> </w:t>
      </w:r>
      <w:r>
        <w:rPr>
          <w:i/>
          <w:iCs/>
        </w:rPr>
        <w:t xml:space="preserve">See </w:t>
      </w:r>
      <w:r>
        <w:t xml:space="preserve">NOPR, </w:t>
      </w:r>
      <w:r w:rsidRPr="00C555F8">
        <w:t>179 FERC ¶ 61,194</w:t>
      </w:r>
      <w:r>
        <w:t xml:space="preserve"> at PP 161-73.</w:t>
      </w:r>
    </w:p>
  </w:footnote>
  <w:footnote w:id="774">
    <w:p w:rsidR="00760048" w:rsidRPr="003C3D4A" w14:paraId="3A106041" w14:textId="77777777">
      <w:pPr>
        <w:pStyle w:val="FootnoteText"/>
      </w:pPr>
      <w:r w:rsidRPr="0072600F">
        <w:rPr>
          <w:rStyle w:val="FootnoteReference"/>
        </w:rPr>
        <w:footnoteRef/>
      </w:r>
      <w:r>
        <w:t xml:space="preserve"> </w:t>
      </w:r>
      <w:r>
        <w:rPr>
          <w:i/>
          <w:iCs/>
        </w:rPr>
        <w:t xml:space="preserve">See supra </w:t>
      </w:r>
      <w:r>
        <w:t xml:space="preserve">section </w:t>
      </w:r>
      <w:r w:rsidRPr="00D50A25">
        <w:t>II.D.1.c.</w:t>
      </w:r>
    </w:p>
  </w:footnote>
  <w:footnote w:id="775">
    <w:p w:rsidR="00760048" w:rsidRPr="002042F8" w:rsidP="00071614" w14:paraId="21496E63" w14:textId="77777777">
      <w:pPr>
        <w:pStyle w:val="FootnoteText"/>
        <w:rPr>
          <w:i/>
          <w:iCs/>
        </w:rPr>
      </w:pPr>
      <w:r w:rsidRPr="0072600F">
        <w:rPr>
          <w:rStyle w:val="FootnoteReference"/>
        </w:rPr>
        <w:footnoteRef/>
      </w:r>
      <w:r>
        <w:t xml:space="preserve"> NYTOs Rehearing Request at 22-23 n.60 (quoting </w:t>
      </w:r>
      <w:r w:rsidRPr="00F24E40">
        <w:rPr>
          <w:i/>
          <w:iCs/>
        </w:rPr>
        <w:t>Kokesh</w:t>
      </w:r>
      <w:r w:rsidRPr="00F24E40">
        <w:t xml:space="preserve">, </w:t>
      </w:r>
      <w:r>
        <w:t>581 U.S. at 461</w:t>
      </w:r>
      <w:r w:rsidRPr="00F24E40">
        <w:t xml:space="preserve"> </w:t>
      </w:r>
      <w:r>
        <w:t xml:space="preserve">); </w:t>
      </w:r>
      <w:r>
        <w:rPr>
          <w:i/>
          <w:iCs/>
        </w:rPr>
        <w:t>see also id.</w:t>
      </w:r>
      <w:r>
        <w:t xml:space="preserve"> at 22-23 nn. 56, 61 (citing</w:t>
      </w:r>
      <w:r>
        <w:rPr>
          <w:i/>
          <w:iCs/>
        </w:rPr>
        <w:t xml:space="preserve"> </w:t>
      </w:r>
      <w:r w:rsidRPr="00AE3EFF">
        <w:rPr>
          <w:i/>
          <w:iCs/>
        </w:rPr>
        <w:t>Cal. Indep. Sys. Operator Corp. v. FERC</w:t>
      </w:r>
      <w:r w:rsidRPr="00AE3EFF">
        <w:t>, 372 F.3d 395, 398 (D.C. Cir. 2004) (the Commission’s authority is defined by Congress)</w:t>
      </w:r>
      <w:r w:rsidRPr="00AE3EFF">
        <w:rPr>
          <w:i/>
          <w:iCs/>
        </w:rPr>
        <w:t>; Altamont Gas Transmission Co. v. FERC</w:t>
      </w:r>
      <w:r w:rsidRPr="00AE3EFF">
        <w:t>, 92 F.3d 1239, 1248 (D.C. Cir. 1996) (the Commission cannot do indirectly what it could not do directly)</w:t>
      </w:r>
      <w:r>
        <w:t>).</w:t>
      </w:r>
    </w:p>
  </w:footnote>
  <w:footnote w:id="776">
    <w:p w:rsidR="00760048" w:rsidP="00071614" w14:paraId="191C9E77" w14:textId="77777777">
      <w:pPr>
        <w:pStyle w:val="FootnoteText"/>
      </w:pPr>
      <w:r w:rsidRPr="0072600F">
        <w:rPr>
          <w:rStyle w:val="FootnoteReference"/>
        </w:rPr>
        <w:footnoteRef/>
      </w:r>
      <w:r>
        <w:t xml:space="preserve"> PacifiCorp Rehearing Request at 11.</w:t>
      </w:r>
    </w:p>
  </w:footnote>
  <w:footnote w:id="777">
    <w:p w:rsidR="00760048" w:rsidP="00071614" w14:paraId="79F7EE2E" w14:textId="77777777">
      <w:pPr>
        <w:pStyle w:val="FootnoteText"/>
      </w:pPr>
      <w:r w:rsidRPr="0072600F">
        <w:rPr>
          <w:rStyle w:val="FootnoteReference"/>
        </w:rPr>
        <w:footnoteRef/>
      </w:r>
      <w:r>
        <w:t xml:space="preserve"> In </w:t>
      </w:r>
      <w:r w:rsidRPr="00D7267E">
        <w:rPr>
          <w:i/>
          <w:iCs/>
        </w:rPr>
        <w:t>Kokesh</w:t>
      </w:r>
      <w:r>
        <w:t xml:space="preserve">, the Court considered whether </w:t>
      </w:r>
      <w:r w:rsidRPr="00D7267E">
        <w:t>the general statute of limitations applicable for “action, suit or proceeding for the enforcement of any civil fine, penalty, or forfeiture, pecuniary or otherwise</w:t>
      </w:r>
      <w:r>
        <w:t>,</w:t>
      </w:r>
      <w:r w:rsidRPr="00D7267E">
        <w:t>”</w:t>
      </w:r>
      <w:r>
        <w:t xml:space="preserve"> 28 U.S.C. § 2462, </w:t>
      </w:r>
      <w:r w:rsidRPr="00D7267E">
        <w:t>applied to claims for disgorgement as a sanction for violating a federal securities law</w:t>
      </w:r>
      <w:r>
        <w:t xml:space="preserve">.  </w:t>
      </w:r>
      <w:r w:rsidRPr="00D7267E">
        <w:t>581 U.S. at 457</w:t>
      </w:r>
      <w:r>
        <w:t>.</w:t>
      </w:r>
    </w:p>
  </w:footnote>
  <w:footnote w:id="778">
    <w:p w:rsidR="00760048" w:rsidP="00071614" w14:paraId="37794855" w14:textId="77777777">
      <w:pPr>
        <w:pStyle w:val="FootnoteText"/>
      </w:pPr>
      <w:r w:rsidRPr="0072600F">
        <w:rPr>
          <w:rStyle w:val="FootnoteReference"/>
        </w:rPr>
        <w:footnoteRef/>
      </w:r>
      <w:r>
        <w:t xml:space="preserve"> </w:t>
      </w:r>
      <w:r w:rsidRPr="006B0BF6">
        <w:rPr>
          <w:i/>
          <w:iCs/>
        </w:rPr>
        <w:t xml:space="preserve">Id. </w:t>
      </w:r>
      <w:r w:rsidRPr="006B0BF6">
        <w:t xml:space="preserve">at 461 (quoting </w:t>
      </w:r>
      <w:r w:rsidRPr="006B0BF6">
        <w:rPr>
          <w:i/>
          <w:iCs/>
        </w:rPr>
        <w:t>Huntington v. Attrill</w:t>
      </w:r>
      <w:r w:rsidRPr="006B0BF6">
        <w:t>, 146 U.S. 657, 667 (1892)).</w:t>
      </w:r>
    </w:p>
  </w:footnote>
  <w:footnote w:id="779">
    <w:p w:rsidR="00760048" w:rsidRPr="005840F5" w:rsidP="00071614" w14:paraId="42D8B4D4" w14:textId="77777777">
      <w:pPr>
        <w:pStyle w:val="FootnoteText"/>
      </w:pPr>
      <w:r w:rsidRPr="0072600F">
        <w:rPr>
          <w:rStyle w:val="FootnoteReference"/>
        </w:rPr>
        <w:footnoteRef/>
      </w:r>
      <w:r>
        <w:t xml:space="preserve"> </w:t>
      </w:r>
      <w:r w:rsidRPr="00B92234">
        <w:t>236 U.S. 412, 423 (1915) (“The words ‘penalty or forfeiture’ in this section refer to something imposed</w:t>
      </w:r>
      <w:r w:rsidRPr="009E16BF">
        <w:t xml:space="preserve"> in a punitive way for an infraction of a public law, and do not include a liability imposed solely for the purpose of redressing a private injury, even though the wrongful act be a public offense, and punishable as such. Here the liability sought to be enforced was not punitive, but strictly remedial</w:t>
      </w:r>
      <w:r>
        <w:t xml:space="preserve"> . . . .”).</w:t>
      </w:r>
    </w:p>
  </w:footnote>
  <w:footnote w:id="780">
    <w:p w:rsidR="00760048" w:rsidRPr="006B0BF6" w:rsidP="00071614" w14:paraId="0E9DFB97" w14:textId="77777777">
      <w:pPr>
        <w:pStyle w:val="FootnoteText"/>
        <w:rPr>
          <w:i/>
          <w:iCs/>
        </w:rPr>
      </w:pPr>
      <w:r w:rsidRPr="0072600F">
        <w:rPr>
          <w:rStyle w:val="FootnoteReference"/>
        </w:rPr>
        <w:footnoteRef/>
      </w:r>
      <w:r>
        <w:t xml:space="preserve"> </w:t>
      </w:r>
      <w:r>
        <w:rPr>
          <w:i/>
          <w:iCs/>
        </w:rPr>
        <w:t>See supra</w:t>
      </w:r>
      <w:r>
        <w:t xml:space="preserve"> section </w:t>
      </w:r>
      <w:r w:rsidRPr="00D50A25">
        <w:t>II.D.1.c</w:t>
      </w:r>
      <w:r>
        <w:t xml:space="preserve"> (explaining that the penalty structure reflects how </w:t>
      </w:r>
      <w:r w:rsidRPr="006B0BF6">
        <w:t>the interconnection relationship may impact overall rates for consumers and</w:t>
      </w:r>
      <w:r>
        <w:t xml:space="preserve"> th</w:t>
      </w:r>
      <w:r w:rsidRPr="006B0BF6">
        <w:t>e costs to interconnection customers of late studies, in terms of defining the charges transmission providers may assess for such studies as a function of their timeliness</w:t>
      </w:r>
      <w:r>
        <w:t xml:space="preserve">); </w:t>
      </w:r>
      <w:r>
        <w:rPr>
          <w:i/>
          <w:iCs/>
        </w:rPr>
        <w:t>Kokesh</w:t>
      </w:r>
      <w:r>
        <w:t xml:space="preserve">, 581 U.S. at 463 (explaining that one factor that favored concluding that disgorgement was a penalty falling within 28 U.S.C. § 2462 was that the SEC was acting to protect the public interest, writ large, rather than standing in the shoes of particular parties, reflecting that the violation for which the remedy was sought was committed against the United States, rather than aggrieved individuals); </w:t>
      </w:r>
      <w:r>
        <w:rPr>
          <w:i/>
          <w:iCs/>
        </w:rPr>
        <w:t>c</w:t>
      </w:r>
      <w:r w:rsidRPr="0011003C">
        <w:rPr>
          <w:i/>
          <w:iCs/>
        </w:rPr>
        <w:t>f. Oneok, Inc. v. Learjet, Inc</w:t>
      </w:r>
      <w:r w:rsidRPr="0011003C">
        <w:t>., 575 U.S. 373, 385 (2015) (</w:t>
      </w:r>
      <w:r>
        <w:t>discussing, in the context of preemption, the</w:t>
      </w:r>
      <w:r w:rsidRPr="0011003C">
        <w:t xml:space="preserve"> importance of looking to the aim of </w:t>
      </w:r>
      <w:r>
        <w:t>an</w:t>
      </w:r>
      <w:r w:rsidRPr="0011003C">
        <w:t xml:space="preserve"> initiative in assessing whether it crosses a jurisdictional boundary).  </w:t>
      </w:r>
    </w:p>
  </w:footnote>
  <w:footnote w:id="781">
    <w:p w:rsidR="00760048" w:rsidRPr="00C42B23" w:rsidP="00071614" w14:paraId="5DC989C6" w14:textId="77777777">
      <w:pPr>
        <w:pStyle w:val="FootnoteText"/>
        <w:rPr>
          <w:i/>
          <w:iCs/>
        </w:rPr>
      </w:pPr>
      <w:r w:rsidRPr="0072600F">
        <w:rPr>
          <w:rStyle w:val="FootnoteReference"/>
        </w:rPr>
        <w:footnoteRef/>
      </w:r>
      <w:r>
        <w:t xml:space="preserve"> Order No. 2023,</w:t>
      </w:r>
      <w:r w:rsidRPr="0011003C">
        <w:t xml:space="preserve"> </w:t>
      </w:r>
      <w:r w:rsidRPr="000622AC">
        <w:t>184 FERC ¶ 61,054</w:t>
      </w:r>
      <w:r>
        <w:t xml:space="preserve"> at P 966; </w:t>
      </w:r>
      <w:r>
        <w:rPr>
          <w:i/>
          <w:iCs/>
        </w:rPr>
        <w:t xml:space="preserve">see </w:t>
      </w:r>
      <w:r w:rsidRPr="00767020">
        <w:rPr>
          <w:i/>
          <w:iCs/>
        </w:rPr>
        <w:t>Gabelli v. S.E.C.</w:t>
      </w:r>
      <w:r w:rsidRPr="00767020">
        <w:t>, 568 U.S. 442, 451–52 (2013)</w:t>
      </w:r>
      <w:r>
        <w:t>.</w:t>
      </w:r>
    </w:p>
  </w:footnote>
  <w:footnote w:id="782">
    <w:p w:rsidR="00760048" w:rsidP="00071614" w14:paraId="17B75A6E" w14:textId="77777777">
      <w:pPr>
        <w:pStyle w:val="FootnoteText"/>
      </w:pPr>
      <w:r w:rsidRPr="0072600F">
        <w:rPr>
          <w:rStyle w:val="FootnoteReference"/>
        </w:rPr>
        <w:footnoteRef/>
      </w:r>
      <w:r>
        <w:t xml:space="preserve"> </w:t>
      </w:r>
      <w:r w:rsidRPr="00796610">
        <w:rPr>
          <w:i/>
          <w:iCs/>
        </w:rPr>
        <w:t xml:space="preserve">See </w:t>
      </w:r>
      <w:r w:rsidRPr="00796610">
        <w:rPr>
          <w:i/>
          <w:iCs/>
        </w:rPr>
        <w:t>Kokesh</w:t>
      </w:r>
      <w:r>
        <w:t xml:space="preserve">, </w:t>
      </w:r>
      <w:r w:rsidRPr="00D7267E">
        <w:t xml:space="preserve">581 U.S. </w:t>
      </w:r>
      <w:r w:rsidRPr="00796610">
        <w:t xml:space="preserve">at 466-67 (finding it significant that disgorgement sometimes exceeds the profits gained as the result of a violation, in rejecting </w:t>
      </w:r>
      <w:r>
        <w:t xml:space="preserve">an </w:t>
      </w:r>
      <w:r w:rsidRPr="00796610">
        <w:t xml:space="preserve">argument that disgorgement was remedial rather than punitive); </w:t>
      </w:r>
      <w:r w:rsidRPr="00796610">
        <w:rPr>
          <w:i/>
          <w:iCs/>
        </w:rPr>
        <w:t xml:space="preserve">cf. also </w:t>
      </w:r>
      <w:r w:rsidRPr="00796610">
        <w:rPr>
          <w:i/>
        </w:rPr>
        <w:t>Liu v. Sec. &amp; Exch. Comm’n</w:t>
      </w:r>
      <w:r w:rsidRPr="00796610">
        <w:t>, 140 S. Ct. 1936, 1940, 1947 (2020) (holding that “a disgorgement award that does not exceed a wrongdoer</w:t>
      </w:r>
      <w:r w:rsidR="006A3A51">
        <w:t>’</w:t>
      </w:r>
      <w:r w:rsidRPr="00796610">
        <w:t>s net profits and is awarded for victims is equitable relief permissible under [15 U.S.C. § 78u(d)(5)</w:t>
      </w:r>
      <w:r w:rsidR="002C6D08">
        <w:t>]</w:t>
      </w:r>
      <w:r w:rsidRPr="00796610">
        <w:t>”).</w:t>
      </w:r>
    </w:p>
  </w:footnote>
  <w:footnote w:id="783">
    <w:p w:rsidR="00760048" w:rsidRPr="0011003C" w:rsidP="00071614" w14:paraId="7014FE35" w14:textId="77777777">
      <w:pPr>
        <w:pStyle w:val="FootnoteText"/>
      </w:pPr>
      <w:r w:rsidRPr="0072600F">
        <w:rPr>
          <w:rStyle w:val="FootnoteReference"/>
        </w:rPr>
        <w:footnoteRef/>
      </w:r>
      <w:r>
        <w:t xml:space="preserve"> </w:t>
      </w:r>
      <w:r>
        <w:rPr>
          <w:i/>
          <w:iCs/>
        </w:rPr>
        <w:t xml:space="preserve">See </w:t>
      </w:r>
      <w:r>
        <w:t>Order No. 2023,</w:t>
      </w:r>
      <w:r w:rsidRPr="0011003C">
        <w:t xml:space="preserve"> </w:t>
      </w:r>
      <w:r w:rsidRPr="000622AC">
        <w:t>184 FERC ¶ 61,054</w:t>
      </w:r>
      <w:r>
        <w:t xml:space="preserve"> at PP 875, 972, 984-85.</w:t>
      </w:r>
    </w:p>
  </w:footnote>
  <w:footnote w:id="784">
    <w:p w:rsidR="00760048" w:rsidRPr="00B86908" w:rsidP="00071614" w14:paraId="706925B2" w14:textId="77777777">
      <w:pPr>
        <w:pStyle w:val="FootnoteText"/>
      </w:pPr>
      <w:r w:rsidRPr="0072600F">
        <w:rPr>
          <w:rStyle w:val="FootnoteReference"/>
        </w:rPr>
        <w:footnoteRef/>
      </w:r>
      <w:r>
        <w:t xml:space="preserve"> </w:t>
      </w:r>
      <w:r>
        <w:rPr>
          <w:i/>
          <w:iCs/>
        </w:rPr>
        <w:t>Cf. id.</w:t>
      </w:r>
      <w:r>
        <w:t xml:space="preserve"> P 1003 (noting that the appeals process is an avenue to account for delays beyond a transmission provider’s control, such as those due to </w:t>
      </w:r>
      <w:r>
        <w:rPr>
          <w:i/>
          <w:iCs/>
        </w:rPr>
        <w:t>force majeure</w:t>
      </w:r>
      <w:r>
        <w:t>, which could excuse a failure to perform at a particular standard)</w:t>
      </w:r>
      <w:r w:rsidR="007302C1">
        <w:t>.</w:t>
      </w:r>
    </w:p>
  </w:footnote>
  <w:footnote w:id="785">
    <w:p w:rsidR="00760048" w:rsidRPr="00276D3E" w:rsidP="00071614" w14:paraId="0CD813FB" w14:textId="77777777">
      <w:pPr>
        <w:pStyle w:val="FootnoteText"/>
      </w:pPr>
      <w:r w:rsidRPr="0072600F">
        <w:rPr>
          <w:rStyle w:val="FootnoteReference"/>
        </w:rPr>
        <w:footnoteRef/>
      </w:r>
      <w:r>
        <w:t xml:space="preserve"> </w:t>
      </w:r>
      <w:r w:rsidRPr="00C42B23">
        <w:rPr>
          <w:i/>
          <w:iCs/>
        </w:rPr>
        <w:t>Kokesh</w:t>
      </w:r>
      <w:r>
        <w:t xml:space="preserve">, </w:t>
      </w:r>
      <w:r w:rsidRPr="00C42B23">
        <w:t>581</w:t>
      </w:r>
      <w:r>
        <w:t xml:space="preserve"> U.S.</w:t>
      </w:r>
      <w:r w:rsidRPr="00C42B23">
        <w:t xml:space="preserve"> at 464-65 (explaining that</w:t>
      </w:r>
      <w:r>
        <w:t xml:space="preserve"> in many cases</w:t>
      </w:r>
      <w:r w:rsidRPr="00C42B23">
        <w:t xml:space="preserve"> SEC disgorgement is not compensatory, because disgorged profits are not necessarily paid to investors but rather paid to the district court and may ultimately be paid to the Treasury)</w:t>
      </w:r>
      <w:r>
        <w:t xml:space="preserve">; </w:t>
      </w:r>
      <w:r>
        <w:rPr>
          <w:i/>
          <w:iCs/>
        </w:rPr>
        <w:t>see also id.</w:t>
      </w:r>
      <w:r>
        <w:t xml:space="preserve"> at 462-63.</w:t>
      </w:r>
    </w:p>
  </w:footnote>
  <w:footnote w:id="786">
    <w:p w:rsidR="00760048" w:rsidP="00071614" w14:paraId="58833077" w14:textId="77777777">
      <w:pPr>
        <w:pStyle w:val="FootnoteText"/>
      </w:pPr>
      <w:r w:rsidRPr="0072600F">
        <w:rPr>
          <w:rStyle w:val="FootnoteReference"/>
        </w:rPr>
        <w:footnoteRef/>
      </w:r>
      <w:r>
        <w:t xml:space="preserve"> </w:t>
      </w:r>
      <w:r>
        <w:rPr>
          <w:i/>
          <w:iCs/>
        </w:rPr>
        <w:t xml:space="preserve">See </w:t>
      </w:r>
      <w:r>
        <w:t>Order No. 2023,</w:t>
      </w:r>
      <w:r w:rsidRPr="0011003C">
        <w:t xml:space="preserve"> </w:t>
      </w:r>
      <w:r w:rsidRPr="000622AC">
        <w:t>184 FERC ¶ 61,054</w:t>
      </w:r>
      <w:r>
        <w:t xml:space="preserve"> at P 971.</w:t>
      </w:r>
    </w:p>
  </w:footnote>
  <w:footnote w:id="787">
    <w:p w:rsidR="00760048" w:rsidRPr="00276D3E" w:rsidP="00071614" w14:paraId="3BE72C7B" w14:textId="77777777">
      <w:pPr>
        <w:pStyle w:val="FootnoteText"/>
        <w:rPr>
          <w:i/>
          <w:iCs/>
        </w:rPr>
      </w:pPr>
      <w:r w:rsidRPr="0072600F">
        <w:rPr>
          <w:rStyle w:val="FootnoteReference"/>
        </w:rPr>
        <w:footnoteRef/>
      </w:r>
      <w:r>
        <w:t xml:space="preserve"> </w:t>
      </w:r>
      <w:r>
        <w:rPr>
          <w:i/>
          <w:iCs/>
        </w:rPr>
        <w:t xml:space="preserve">Cf. </w:t>
      </w:r>
      <w:r w:rsidRPr="00C42B23">
        <w:rPr>
          <w:i/>
          <w:iCs/>
        </w:rPr>
        <w:t>Kokesh</w:t>
      </w:r>
      <w:r>
        <w:t xml:space="preserve">, </w:t>
      </w:r>
      <w:r w:rsidRPr="00C42B23">
        <w:t>581</w:t>
      </w:r>
      <w:r>
        <w:t xml:space="preserve"> U.S.</w:t>
      </w:r>
      <w:r w:rsidRPr="00C42B23">
        <w:t xml:space="preserve"> at 46</w:t>
      </w:r>
      <w:r>
        <w:t>2-63 (discussing cases in which liability was found to remedy private wrongs, with payments made to the party suffering the injury, as essentially compensatory not imposing penalties).</w:t>
      </w:r>
    </w:p>
  </w:footnote>
  <w:footnote w:id="788">
    <w:p w:rsidR="00760048" w:rsidRPr="002043D0" w:rsidP="00071614" w14:paraId="2EA25010" w14:textId="77777777">
      <w:pPr>
        <w:pStyle w:val="FootnoteText"/>
      </w:pPr>
      <w:r w:rsidRPr="0072600F">
        <w:rPr>
          <w:rStyle w:val="FootnoteReference"/>
        </w:rPr>
        <w:footnoteRef/>
      </w:r>
      <w:r>
        <w:t xml:space="preserve"> </w:t>
      </w:r>
      <w:r>
        <w:rPr>
          <w:i/>
          <w:iCs/>
        </w:rPr>
        <w:t>See, e.g.</w:t>
      </w:r>
      <w:r>
        <w:t xml:space="preserve">, </w:t>
      </w:r>
      <w:r w:rsidRPr="002D2208">
        <w:rPr>
          <w:i/>
        </w:rPr>
        <w:t xml:space="preserve">Morgan Stanley Cap. Grp. Inc. v. Pub. Util. Dist. No. 1 of Snohomish </w:t>
      </w:r>
      <w:r w:rsidRPr="002D2208">
        <w:rPr>
          <w:i/>
        </w:rPr>
        <w:t>Cnty., Wash.</w:t>
      </w:r>
      <w:r w:rsidRPr="002D2208">
        <w:t xml:space="preserve">, 554 U.S. 527, 532 (2008) (explaining that the just and reasonable standard is “obviously incapable of precise definition” such that the Commission is afforded “great deference” in its rate decisions); </w:t>
      </w:r>
      <w:r w:rsidRPr="002D2208">
        <w:rPr>
          <w:i/>
          <w:iCs/>
        </w:rPr>
        <w:t>Mobil Oil Expl. &amp; Producing Se. Inc. v. United Distrib</w:t>
      </w:r>
      <w:r w:rsidR="000861D7">
        <w:rPr>
          <w:i/>
          <w:iCs/>
        </w:rPr>
        <w:t>.</w:t>
      </w:r>
      <w:r w:rsidRPr="002D2208">
        <w:rPr>
          <w:i/>
          <w:iCs/>
        </w:rPr>
        <w:t xml:space="preserve"> Cos</w:t>
      </w:r>
      <w:r w:rsidR="000861D7">
        <w:rPr>
          <w:i/>
          <w:iCs/>
        </w:rPr>
        <w:t>.</w:t>
      </w:r>
      <w:r w:rsidRPr="002D2208">
        <w:t xml:space="preserve">, 498 U.S. 211, 214 (1991) (explaining that the just and reasonable standard, “far from binding the Commission . . . accords it broad ratemaking authority” and does not compel a particular approach); </w:t>
      </w:r>
      <w:r w:rsidRPr="002D2208">
        <w:rPr>
          <w:i/>
          <w:iCs/>
        </w:rPr>
        <w:t>MISO Transmission Owners v. FERC</w:t>
      </w:r>
      <w:r w:rsidRPr="002D2208">
        <w:t xml:space="preserve">, 45 F.4th </w:t>
      </w:r>
      <w:r w:rsidR="000861D7">
        <w:t>at</w:t>
      </w:r>
      <w:r w:rsidRPr="002D2208">
        <w:t xml:space="preserve"> 261 (“FERC</w:t>
      </w:r>
      <w:r w:rsidRPr="006601EC">
        <w:t xml:space="preserve"> is entitled to adopt any methodology it believes will help it ensure that rates are just and reasonable, so long as it doesn</w:t>
      </w:r>
      <w:r>
        <w:t>’</w:t>
      </w:r>
      <w:r w:rsidRPr="006601EC">
        <w:t>t adopt that methodology in an arbitrary and capricious manner.</w:t>
      </w:r>
      <w:r>
        <w:t xml:space="preserve">”) (citing </w:t>
      </w:r>
      <w:r w:rsidRPr="002D2208">
        <w:rPr>
          <w:i/>
          <w:iCs/>
        </w:rPr>
        <w:t>S</w:t>
      </w:r>
      <w:r w:rsidR="000861D7">
        <w:rPr>
          <w:i/>
          <w:iCs/>
        </w:rPr>
        <w:t>.</w:t>
      </w:r>
      <w:r w:rsidRPr="002D2208">
        <w:rPr>
          <w:i/>
          <w:iCs/>
        </w:rPr>
        <w:t xml:space="preserve"> Cal</w:t>
      </w:r>
      <w:r w:rsidR="000861D7">
        <w:rPr>
          <w:i/>
          <w:iCs/>
        </w:rPr>
        <w:t>.</w:t>
      </w:r>
      <w:r w:rsidRPr="002D2208">
        <w:rPr>
          <w:i/>
          <w:iCs/>
        </w:rPr>
        <w:t xml:space="preserve"> Edison Co. v. FERC</w:t>
      </w:r>
      <w:r w:rsidRPr="002D2208">
        <w:t>, 717 F.3d 177, 182 (D.C. Cir. 2013)</w:t>
      </w:r>
      <w:r>
        <w:t>).</w:t>
      </w:r>
    </w:p>
  </w:footnote>
  <w:footnote w:id="789">
    <w:p w:rsidR="00760048" w:rsidP="00071614" w14:paraId="23E64670" w14:textId="77777777">
      <w:pPr>
        <w:pStyle w:val="FootnoteText"/>
      </w:pPr>
      <w:r w:rsidRPr="0072600F">
        <w:rPr>
          <w:rStyle w:val="FootnoteReference"/>
        </w:rPr>
        <w:footnoteRef/>
      </w:r>
      <w:r>
        <w:t xml:space="preserve"> </w:t>
      </w:r>
      <w:r w:rsidRPr="006346EB">
        <w:t>PJM Rehearing Request at 30.</w:t>
      </w:r>
    </w:p>
  </w:footnote>
  <w:footnote w:id="790">
    <w:p w:rsidR="00760048" w:rsidP="00071614" w14:paraId="5428FB3F" w14:textId="77777777">
      <w:pPr>
        <w:pStyle w:val="FootnoteText"/>
      </w:pPr>
      <w:r w:rsidRPr="0072600F">
        <w:rPr>
          <w:rStyle w:val="FootnoteReference"/>
        </w:rPr>
        <w:footnoteRef/>
      </w:r>
      <w:r>
        <w:t xml:space="preserve"> </w:t>
      </w:r>
      <w:r w:rsidRPr="00E2006E">
        <w:t xml:space="preserve">PJM’s implication that penalties have only been previously adopted under FPA section 205 is </w:t>
      </w:r>
      <w:r w:rsidRPr="00E96AA4">
        <w:t xml:space="preserve">also </w:t>
      </w:r>
      <w:r w:rsidRPr="00E2006E">
        <w:t>incorrect.</w:t>
      </w:r>
      <w:r>
        <w:t xml:space="preserve">  </w:t>
      </w:r>
      <w:r>
        <w:rPr>
          <w:i/>
          <w:iCs/>
        </w:rPr>
        <w:t xml:space="preserve">See </w:t>
      </w:r>
      <w:r w:rsidRPr="006346EB">
        <w:t>Order No. 890, 118 FERC ¶ 61,119</w:t>
      </w:r>
      <w:r>
        <w:t xml:space="preserve"> at PP 40, 1324-57</w:t>
      </w:r>
      <w:r w:rsidRPr="00E96B49">
        <w:rPr>
          <w:i/>
          <w:iCs/>
        </w:rPr>
        <w:t>, order on reh</w:t>
      </w:r>
      <w:r>
        <w:rPr>
          <w:i/>
          <w:iCs/>
        </w:rPr>
        <w:t>’</w:t>
      </w:r>
      <w:r w:rsidRPr="00E96B49">
        <w:rPr>
          <w:i/>
          <w:iCs/>
        </w:rPr>
        <w:t xml:space="preserve">g, </w:t>
      </w:r>
      <w:r w:rsidRPr="00E96B49">
        <w:t>Order No. 890-A, 121 FERC ¶ 61,297, </w:t>
      </w:r>
      <w:r w:rsidRPr="00E96B49">
        <w:rPr>
          <w:i/>
          <w:iCs/>
        </w:rPr>
        <w:t>order on reh</w:t>
      </w:r>
      <w:r>
        <w:rPr>
          <w:i/>
          <w:iCs/>
        </w:rPr>
        <w:t>’</w:t>
      </w:r>
      <w:r w:rsidRPr="00E96B49">
        <w:rPr>
          <w:i/>
          <w:iCs/>
        </w:rPr>
        <w:t>g</w:t>
      </w:r>
      <w:r w:rsidRPr="00E96B49">
        <w:t>, Order No. 890-B, 123 FERC ¶ 61,299, </w:t>
      </w:r>
      <w:r w:rsidRPr="00E96B49">
        <w:rPr>
          <w:i/>
          <w:iCs/>
        </w:rPr>
        <w:t>order on reh</w:t>
      </w:r>
      <w:r>
        <w:rPr>
          <w:i/>
          <w:iCs/>
        </w:rPr>
        <w:t>’</w:t>
      </w:r>
      <w:r w:rsidRPr="00E96B49">
        <w:rPr>
          <w:i/>
          <w:iCs/>
        </w:rPr>
        <w:t>g</w:t>
      </w:r>
      <w:r w:rsidRPr="00E96B49">
        <w:t>, Order No. 890-C, 126 FERC ¶ 61,228, </w:t>
      </w:r>
      <w:r w:rsidRPr="00E96B49">
        <w:rPr>
          <w:i/>
          <w:iCs/>
        </w:rPr>
        <w:t>order on clarification</w:t>
      </w:r>
      <w:r w:rsidRPr="00E96B49">
        <w:t>, Order No. 890-D, 129 FERC ¶ 61,126</w:t>
      </w:r>
      <w:r>
        <w:t xml:space="preserve"> (adopting, through generic proceedings under FPA section 206, a penalty structure that is similar in several respects to that adopted in Order No. 2023)</w:t>
      </w:r>
      <w:r w:rsidRPr="00E96B49">
        <w:t>.</w:t>
      </w:r>
    </w:p>
  </w:footnote>
  <w:footnote w:id="791">
    <w:p w:rsidR="00760048" w:rsidRPr="002042F8" w:rsidP="00071614" w14:paraId="433B8172" w14:textId="77777777">
      <w:pPr>
        <w:pStyle w:val="FootnoteText"/>
      </w:pPr>
      <w:r w:rsidRPr="0072600F">
        <w:rPr>
          <w:rStyle w:val="FootnoteReference"/>
        </w:rPr>
        <w:footnoteRef/>
      </w:r>
      <w:r>
        <w:t xml:space="preserve"> </w:t>
      </w:r>
      <w:r>
        <w:rPr>
          <w:i/>
          <w:iCs/>
        </w:rPr>
        <w:t xml:space="preserve">See </w:t>
      </w:r>
      <w:r>
        <w:t>NYTOs Rehearing Request at 22 &amp; n.60 (“</w:t>
      </w:r>
      <w:r w:rsidRPr="002042F8">
        <w:t>Under the Commission’s policy statements on enforcement and compliance, penalties are meted out for wrongdoing and misconduct</w:t>
      </w:r>
      <w:r>
        <w:t xml:space="preserve">.” (citing </w:t>
      </w:r>
      <w:r w:rsidRPr="00F24E40">
        <w:rPr>
          <w:i/>
          <w:iCs/>
        </w:rPr>
        <w:t>Enf</w:t>
      </w:r>
      <w:r w:rsidR="000861D7">
        <w:rPr>
          <w:i/>
          <w:iCs/>
        </w:rPr>
        <w:t>’</w:t>
      </w:r>
      <w:r w:rsidRPr="00F24E40">
        <w:rPr>
          <w:i/>
          <w:iCs/>
        </w:rPr>
        <w:t>t of Statutes, Ords</w:t>
      </w:r>
      <w:r w:rsidR="000861D7">
        <w:rPr>
          <w:i/>
          <w:iCs/>
        </w:rPr>
        <w:t>.</w:t>
      </w:r>
      <w:r w:rsidRPr="00F24E40">
        <w:rPr>
          <w:i/>
          <w:iCs/>
        </w:rPr>
        <w:t>, Rules, and Reguls</w:t>
      </w:r>
      <w:r w:rsidR="000861D7">
        <w:rPr>
          <w:i/>
          <w:iCs/>
        </w:rPr>
        <w:t>.</w:t>
      </w:r>
      <w:r w:rsidRPr="00F24E40">
        <w:t>, 113 FERC ¶ 61,068 at P</w:t>
      </w:r>
      <w:r>
        <w:t>P 14,</w:t>
      </w:r>
      <w:r w:rsidRPr="00F24E40">
        <w:t xml:space="preserve"> 26</w:t>
      </w:r>
      <w:r>
        <w:t xml:space="preserve">); </w:t>
      </w:r>
      <w:r>
        <w:rPr>
          <w:i/>
          <w:iCs/>
        </w:rPr>
        <w:t>see also id.</w:t>
      </w:r>
      <w:r>
        <w:t xml:space="preserve"> at 27</w:t>
      </w:r>
      <w:r>
        <w:t>.</w:t>
      </w:r>
    </w:p>
  </w:footnote>
  <w:footnote w:id="792">
    <w:p w:rsidR="00760048" w:rsidRPr="00710975" w:rsidP="00071614" w14:paraId="5CE1B8EC" w14:textId="77777777">
      <w:pPr>
        <w:pStyle w:val="FootnoteText"/>
      </w:pPr>
      <w:r w:rsidRPr="0072600F">
        <w:rPr>
          <w:rStyle w:val="FootnoteReference"/>
        </w:rPr>
        <w:footnoteRef/>
      </w:r>
      <w:r>
        <w:t xml:space="preserve"> </w:t>
      </w:r>
      <w:r>
        <w:rPr>
          <w:i/>
          <w:iCs/>
        </w:rPr>
        <w:t xml:space="preserve">See </w:t>
      </w:r>
      <w:r w:rsidRPr="00710975">
        <w:t>MISO TOs Rehearing Request at 31</w:t>
      </w:r>
      <w:r>
        <w:t xml:space="preserve"> (asserting that the study delay penalty structure results in a deprivation of due process whereas “</w:t>
      </w:r>
      <w:r w:rsidRPr="00710975">
        <w:t xml:space="preserve">both the Commission’s Office of Enforcement and NERC Reliability Standard enforcement involve fact finding and affording the targeted entity the opportunity to present evidence to demonstrate lack of fault or mitigating circumstances </w:t>
      </w:r>
      <w:r w:rsidRPr="00710975">
        <w:rPr>
          <w:i/>
          <w:iCs/>
        </w:rPr>
        <w:t xml:space="preserve">before </w:t>
      </w:r>
      <w:r w:rsidRPr="00710975">
        <w:t>a penalty is imposed</w:t>
      </w:r>
      <w:r>
        <w:t>”); NYISO Rehearing Request at 31 &amp; n.89 (arguing that “t</w:t>
      </w:r>
      <w:r w:rsidRPr="00710975">
        <w:t>he Commission may not establish penalties that</w:t>
      </w:r>
      <w:r>
        <w:t xml:space="preserve"> </w:t>
      </w:r>
      <w:r w:rsidRPr="00710975">
        <w:t>are excessively punitive in relation to the severity of a violation</w:t>
      </w:r>
      <w:r>
        <w:t>” and citing Commission policies in the enforcement context); PJM Rehearing Request at 31 n.67.</w:t>
      </w:r>
    </w:p>
  </w:footnote>
  <w:footnote w:id="793">
    <w:p w:rsidR="00760048" w:rsidRPr="001E5E38" w:rsidP="00071614" w14:paraId="5A800CA6" w14:textId="77777777">
      <w:pPr>
        <w:pStyle w:val="FootnoteText"/>
      </w:pPr>
      <w:r w:rsidRPr="0072600F">
        <w:rPr>
          <w:rStyle w:val="FootnoteReference"/>
        </w:rPr>
        <w:footnoteRef/>
      </w:r>
      <w:r>
        <w:t xml:space="preserve"> </w:t>
      </w:r>
      <w:r w:rsidRPr="00D64C0B">
        <w:t>134 FERC ¶ 61,100 at P 9</w:t>
      </w:r>
      <w:r>
        <w:t>.</w:t>
      </w:r>
    </w:p>
  </w:footnote>
  <w:footnote w:id="794">
    <w:p w:rsidR="00760048" w:rsidP="00071614" w14:paraId="7D72311D" w14:textId="77777777">
      <w:pPr>
        <w:pStyle w:val="FootnoteText"/>
      </w:pPr>
      <w:r w:rsidRPr="0072600F">
        <w:rPr>
          <w:rStyle w:val="FootnoteReference"/>
        </w:rPr>
        <w:footnoteRef/>
      </w:r>
      <w:r>
        <w:t xml:space="preserve"> </w:t>
      </w:r>
      <w:r w:rsidRPr="00D64C0B">
        <w:t xml:space="preserve">168 FERC </w:t>
      </w:r>
      <w:r w:rsidRPr="00D64C0B" w:rsidR="00E52C65">
        <w:t>¶</w:t>
      </w:r>
      <w:r w:rsidR="00E52C65">
        <w:t xml:space="preserve"> </w:t>
      </w:r>
      <w:r w:rsidRPr="00D64C0B">
        <w:t>61,119</w:t>
      </w:r>
      <w:r>
        <w:t xml:space="preserve"> at P 285 &amp;</w:t>
      </w:r>
      <w:r w:rsidRPr="00D64C0B">
        <w:t xml:space="preserve"> n.896.</w:t>
      </w:r>
    </w:p>
  </w:footnote>
  <w:footnote w:id="795">
    <w:p w:rsidR="00760048" w:rsidP="00071614" w14:paraId="20D32C8F" w14:textId="77777777">
      <w:pPr>
        <w:pStyle w:val="FootnoteText"/>
      </w:pPr>
      <w:r w:rsidRPr="0072600F">
        <w:rPr>
          <w:rStyle w:val="FootnoteReference"/>
        </w:rPr>
        <w:footnoteRef/>
      </w:r>
      <w:r>
        <w:t xml:space="preserve"> </w:t>
      </w:r>
      <w:r w:rsidRPr="001E5E38">
        <w:t>98 FERC ¶ 61,299 at 62,290</w:t>
      </w:r>
      <w:r>
        <w:t xml:space="preserve"> &amp;</w:t>
      </w:r>
      <w:r w:rsidRPr="001E5E38">
        <w:t xml:space="preserve"> n.6</w:t>
      </w:r>
      <w:r>
        <w:t>.</w:t>
      </w:r>
    </w:p>
  </w:footnote>
  <w:footnote w:id="796">
    <w:p w:rsidR="00760048" w:rsidP="00071614" w14:paraId="606129B6" w14:textId="77777777">
      <w:pPr>
        <w:pStyle w:val="FootnoteText"/>
      </w:pPr>
      <w:r w:rsidRPr="0072600F">
        <w:rPr>
          <w:rStyle w:val="FootnoteReference"/>
        </w:rPr>
        <w:footnoteRef/>
      </w:r>
      <w:r>
        <w:t xml:space="preserve"> MISO TOs Rehearing Request at 24-25 (arguing that the Commission failed to respond to MISO TOs comments on this point).</w:t>
      </w:r>
    </w:p>
  </w:footnote>
  <w:footnote w:id="797">
    <w:p w:rsidR="00760048" w:rsidRPr="00D63348" w:rsidP="00071614" w14:paraId="0A8A1B10" w14:textId="77777777">
      <w:pPr>
        <w:pStyle w:val="FootnoteText"/>
      </w:pPr>
      <w:r w:rsidRPr="0072600F">
        <w:rPr>
          <w:rStyle w:val="FootnoteReference"/>
        </w:rPr>
        <w:footnoteRef/>
      </w:r>
      <w:r>
        <w:t xml:space="preserve"> </w:t>
      </w:r>
      <w:r>
        <w:rPr>
          <w:i/>
          <w:iCs/>
        </w:rPr>
        <w:t>Id.</w:t>
      </w:r>
      <w:r>
        <w:t xml:space="preserve"> at 25 (arguing that the Commission failed to articulate a meaningful response, but instead simply asserts that it is attempting to remedy unjust and unreasonable rates and ensure interconnection in a reliable, efficient, transparent, and timely manner; contending that the penalty structure will not accomplish these aims).</w:t>
      </w:r>
    </w:p>
  </w:footnote>
  <w:footnote w:id="798">
    <w:p w:rsidR="00760048" w:rsidP="00071614" w14:paraId="6F3CF686" w14:textId="77777777">
      <w:pPr>
        <w:pStyle w:val="FootnoteText"/>
      </w:pPr>
      <w:r w:rsidRPr="0072600F">
        <w:rPr>
          <w:rStyle w:val="FootnoteReference"/>
        </w:rPr>
        <w:footnoteRef/>
      </w:r>
      <w:r>
        <w:t xml:space="preserve"> </w:t>
      </w:r>
      <w:r>
        <w:rPr>
          <w:i/>
          <w:iCs/>
        </w:rPr>
        <w:t>Id.</w:t>
      </w:r>
      <w:r w:rsidRPr="00266533">
        <w:t xml:space="preserve"> at 26 (citing </w:t>
      </w:r>
      <w:r w:rsidRPr="00266533">
        <w:rPr>
          <w:i/>
          <w:iCs/>
        </w:rPr>
        <w:t>PJM Interconnection, L.L.C.</w:t>
      </w:r>
      <w:r w:rsidRPr="00266533">
        <w:t>, 181 FERC ¶ 61,162 at P 138 )</w:t>
      </w:r>
      <w:r>
        <w:t>.</w:t>
      </w:r>
    </w:p>
  </w:footnote>
  <w:footnote w:id="799">
    <w:p w:rsidR="00760048" w:rsidP="00071614" w14:paraId="10CA57FC" w14:textId="77777777">
      <w:pPr>
        <w:pStyle w:val="FootnoteText"/>
      </w:pPr>
      <w:r w:rsidRPr="0072600F">
        <w:rPr>
          <w:rStyle w:val="FootnoteReference"/>
        </w:rPr>
        <w:footnoteRef/>
      </w:r>
      <w:r>
        <w:t xml:space="preserve"> </w:t>
      </w:r>
      <w:r w:rsidRPr="006B4AB2">
        <w:rPr>
          <w:i/>
          <w:iCs/>
        </w:rPr>
        <w:t>Id</w:t>
      </w:r>
      <w:r>
        <w:t xml:space="preserve">. </w:t>
      </w:r>
      <w:r w:rsidR="00EC2A83">
        <w:t xml:space="preserve">at </w:t>
      </w:r>
      <w:r>
        <w:t>20-24 (noting that in Order 890-A, the Commission clarified that such penalties would apply only to transmission providers unable to justify their repeated failure to meet deadlines and discussed the factors that might excuse such failures).</w:t>
      </w:r>
    </w:p>
  </w:footnote>
  <w:footnote w:id="800">
    <w:p w:rsidR="00760048" w:rsidRPr="00010686" w:rsidP="00071614" w14:paraId="3D9E2834" w14:textId="77777777">
      <w:pPr>
        <w:pStyle w:val="FootnoteText"/>
      </w:pPr>
      <w:r w:rsidRPr="0072600F">
        <w:rPr>
          <w:rStyle w:val="FootnoteReference"/>
        </w:rPr>
        <w:footnoteRef/>
      </w:r>
      <w:r>
        <w:t xml:space="preserve"> </w:t>
      </w:r>
      <w:r>
        <w:rPr>
          <w:i/>
          <w:iCs/>
        </w:rPr>
        <w:t xml:space="preserve">Id. </w:t>
      </w:r>
      <w:r>
        <w:t xml:space="preserve">at 23-24; </w:t>
      </w:r>
      <w:r w:rsidRPr="006A72F0">
        <w:rPr>
          <w:i/>
          <w:iCs/>
        </w:rPr>
        <w:t>see also</w:t>
      </w:r>
      <w:r>
        <w:t xml:space="preserve"> NYISO Rehearing Request at 31-32.</w:t>
      </w:r>
    </w:p>
  </w:footnote>
  <w:footnote w:id="801">
    <w:p w:rsidR="00760048" w:rsidRPr="005E5A3E" w:rsidP="00071614" w14:paraId="77791B91" w14:textId="77777777">
      <w:pPr>
        <w:pStyle w:val="FootnoteText"/>
      </w:pPr>
      <w:r w:rsidRPr="0072600F">
        <w:rPr>
          <w:rStyle w:val="FootnoteReference"/>
        </w:rPr>
        <w:footnoteRef/>
      </w:r>
      <w:r>
        <w:t xml:space="preserve"> NYISO Rehearing Request at 31 (stating that “[t]</w:t>
      </w:r>
      <w:r w:rsidRPr="005E5A3E">
        <w:t>he fact that the Commission recognized the need for an appeals process to</w:t>
      </w:r>
      <w:r>
        <w:t xml:space="preserve"> </w:t>
      </w:r>
      <w:r w:rsidRPr="005E5A3E">
        <w:t>resolve inevitable factual disputes about penalties demonstrates that the traffic ticket model is not</w:t>
      </w:r>
      <w:r>
        <w:t xml:space="preserve"> </w:t>
      </w:r>
      <w:r w:rsidRPr="005E5A3E">
        <w:t>relevant</w:t>
      </w:r>
      <w:r>
        <w:t xml:space="preserve">”); Indicated </w:t>
      </w:r>
      <w:r w:rsidRPr="002A7021">
        <w:t>PJM TOs Rehearing Request at</w:t>
      </w:r>
      <w:r>
        <w:t xml:space="preserve"> 19-21.</w:t>
      </w:r>
    </w:p>
  </w:footnote>
  <w:footnote w:id="802">
    <w:p w:rsidR="00760048" w:rsidRPr="002A7021" w:rsidP="00071614" w14:paraId="7C239138" w14:textId="77777777">
      <w:pPr>
        <w:pStyle w:val="FootnoteText"/>
      </w:pPr>
      <w:r w:rsidRPr="0072600F">
        <w:rPr>
          <w:rStyle w:val="FootnoteReference"/>
        </w:rPr>
        <w:footnoteRef/>
      </w:r>
      <w:r>
        <w:t xml:space="preserve"> NYISO Rehearing Request at 31-32 (asserting that the appeals process, which the Commission discussed in response to these arguments, is not an adequate process because it is inchoate and unreasonably presumes fault on the part of transmission providers and presumes that penalties are warranted for delays); </w:t>
      </w:r>
      <w:r>
        <w:rPr>
          <w:i/>
          <w:iCs/>
        </w:rPr>
        <w:t>see id.</w:t>
      </w:r>
      <w:r>
        <w:t xml:space="preserve"> at 31 n.85 (“</w:t>
      </w:r>
      <w:r w:rsidRPr="00010686">
        <w:t>Violators may avoid penalties for a variety of reasons including demonstrating a culture of compliance, cooperating with investigations, and taking effective remedial actions. Thus, the reliability penalty regime incorporates due process</w:t>
      </w:r>
      <w:r>
        <w:t>.”)</w:t>
      </w:r>
      <w:r w:rsidR="000B729C">
        <w:t>.</w:t>
      </w:r>
    </w:p>
  </w:footnote>
  <w:footnote w:id="803">
    <w:p w:rsidR="00760048" w:rsidP="00071614" w14:paraId="7B8701CF" w14:textId="77777777">
      <w:pPr>
        <w:pStyle w:val="FootnoteText"/>
      </w:pPr>
      <w:r w:rsidRPr="0072600F">
        <w:rPr>
          <w:rStyle w:val="FootnoteReference"/>
        </w:rPr>
        <w:footnoteRef/>
      </w:r>
      <w:r w:rsidRPr="008044D2">
        <w:t xml:space="preserve"> </w:t>
      </w:r>
      <w:r w:rsidR="000B729C">
        <w:t xml:space="preserve">Indicated </w:t>
      </w:r>
      <w:r w:rsidRPr="002A7021" w:rsidR="000B729C">
        <w:t xml:space="preserve">PJM TOs Rehearing Request </w:t>
      </w:r>
      <w:r w:rsidRPr="008044D2">
        <w:t xml:space="preserve">at 8-12 (citing </w:t>
      </w:r>
      <w:r w:rsidRPr="008044D2">
        <w:rPr>
          <w:i/>
          <w:iCs/>
        </w:rPr>
        <w:t>Atl</w:t>
      </w:r>
      <w:r w:rsidR="001073AC">
        <w:rPr>
          <w:i/>
          <w:iCs/>
        </w:rPr>
        <w:t>.</w:t>
      </w:r>
      <w:r w:rsidRPr="008044D2">
        <w:rPr>
          <w:i/>
          <w:iCs/>
        </w:rPr>
        <w:t xml:space="preserve"> City I</w:t>
      </w:r>
      <w:r w:rsidRPr="008044D2">
        <w:t xml:space="preserve">, 295 F.3d at 10 (“Nor may FERC prohibit public utilities from filing changes in the first instance.”); </w:t>
      </w:r>
      <w:r w:rsidRPr="00361191" w:rsidR="003F7BBA">
        <w:rPr>
          <w:i/>
          <w:iCs/>
        </w:rPr>
        <w:t>Atl. City Elec. Co. v. FERC</w:t>
      </w:r>
      <w:r w:rsidRPr="00361191" w:rsidR="003F7BBA">
        <w:t xml:space="preserve">, </w:t>
      </w:r>
      <w:r w:rsidRPr="008044D2">
        <w:t xml:space="preserve">329 F.3d </w:t>
      </w:r>
      <w:r w:rsidR="00691C34">
        <w:t xml:space="preserve">856, </w:t>
      </w:r>
      <w:r w:rsidRPr="008044D2">
        <w:t xml:space="preserve">859 </w:t>
      </w:r>
      <w:r w:rsidR="00691C34">
        <w:t xml:space="preserve">(2003) (per </w:t>
      </w:r>
      <w:r w:rsidR="00691C34">
        <w:t>curiam) (</w:t>
      </w:r>
      <w:r w:rsidRPr="008044D2" w:rsidR="00691C34">
        <w:rPr>
          <w:i/>
          <w:iCs/>
        </w:rPr>
        <w:t>Atl</w:t>
      </w:r>
      <w:r w:rsidR="00377F3B">
        <w:rPr>
          <w:i/>
          <w:iCs/>
        </w:rPr>
        <w:t>.</w:t>
      </w:r>
      <w:r w:rsidRPr="008044D2" w:rsidR="00691C34">
        <w:rPr>
          <w:i/>
          <w:iCs/>
        </w:rPr>
        <w:t xml:space="preserve"> City II</w:t>
      </w:r>
      <w:r w:rsidR="00691C34">
        <w:t xml:space="preserve">) </w:t>
      </w:r>
      <w:r w:rsidRPr="008044D2">
        <w:t>(“FERC has no jurisdiction to enter limitations requiring utilities to surrender their rights under § 205 of the FPA to make filings to initiate rate changes.”)).</w:t>
      </w:r>
    </w:p>
  </w:footnote>
  <w:footnote w:id="804">
    <w:p w:rsidR="00760048" w:rsidRPr="003973DC" w:rsidP="00071614" w14:paraId="055D54C5" w14:textId="77777777">
      <w:pPr>
        <w:pStyle w:val="FootnoteText"/>
      </w:pPr>
      <w:r w:rsidRPr="0072600F">
        <w:rPr>
          <w:rStyle w:val="FootnoteReference"/>
        </w:rPr>
        <w:footnoteRef/>
      </w:r>
      <w:r>
        <w:t xml:space="preserve"> </w:t>
      </w:r>
      <w:r>
        <w:rPr>
          <w:i/>
          <w:iCs/>
        </w:rPr>
        <w:t>Id.</w:t>
      </w:r>
      <w:r>
        <w:t xml:space="preserve"> at 11-12.</w:t>
      </w:r>
    </w:p>
  </w:footnote>
  <w:footnote w:id="805">
    <w:p w:rsidR="00760048" w:rsidRPr="00704964" w:rsidP="00071614" w14:paraId="6889B2B3" w14:textId="77777777">
      <w:pPr>
        <w:pStyle w:val="FootnoteText"/>
        <w:rPr>
          <w:b/>
          <w:bCs/>
        </w:rPr>
      </w:pPr>
      <w:r w:rsidRPr="0072600F">
        <w:rPr>
          <w:rStyle w:val="FootnoteReference"/>
        </w:rPr>
        <w:footnoteRef/>
      </w:r>
      <w:r>
        <w:rPr>
          <w:b/>
          <w:bCs/>
        </w:rPr>
        <w:t xml:space="preserve"> </w:t>
      </w:r>
      <w:r w:rsidRPr="006564B6">
        <w:rPr>
          <w:i/>
          <w:iCs/>
        </w:rPr>
        <w:t xml:space="preserve">See </w:t>
      </w:r>
      <w:r w:rsidRPr="006564B6">
        <w:t>AEP Rehearing Request at 7-8; MISO TOs Rehearing Request at 24-25.</w:t>
      </w:r>
    </w:p>
  </w:footnote>
  <w:footnote w:id="806">
    <w:p w:rsidR="00760048" w:rsidRPr="00E37053" w:rsidP="00071614" w14:paraId="05997285" w14:textId="77777777">
      <w:pPr>
        <w:pStyle w:val="FootnoteText"/>
      </w:pPr>
      <w:r w:rsidRPr="0072600F">
        <w:rPr>
          <w:rStyle w:val="FootnoteReference"/>
        </w:rPr>
        <w:footnoteRef/>
      </w:r>
      <w:r>
        <w:t xml:space="preserve"> Order No. 2023, </w:t>
      </w:r>
      <w:r w:rsidRPr="00A24988">
        <w:t>184 FERC ¶ 61,054</w:t>
      </w:r>
      <w:r>
        <w:t xml:space="preserve"> at P 1012; </w:t>
      </w:r>
      <w:r>
        <w:rPr>
          <w:i/>
          <w:iCs/>
        </w:rPr>
        <w:t xml:space="preserve">see </w:t>
      </w:r>
      <w:r>
        <w:rPr>
          <w:i/>
          <w:iCs/>
        </w:rPr>
        <w:t xml:space="preserve">supra </w:t>
      </w:r>
      <w:r>
        <w:t xml:space="preserve">PP </w:t>
      </w:r>
      <w:r w:rsidRPr="00D50A25">
        <w:fldChar w:fldCharType="begin"/>
      </w:r>
      <w:r w:rsidRPr="00D50A25">
        <w:instrText xml:space="preserve"> REF _Ref160109516 \r \h  \* MERGEFORMAT </w:instrText>
      </w:r>
      <w:r w:rsidRPr="00D50A25">
        <w:fldChar w:fldCharType="separate"/>
      </w:r>
      <w:r w:rsidR="00C46123">
        <w:t>281</w:t>
      </w:r>
      <w:r w:rsidRPr="00D50A25">
        <w:fldChar w:fldCharType="end"/>
      </w:r>
      <w:r w:rsidRPr="00D50A25">
        <w:t>-</w:t>
      </w:r>
      <w:r w:rsidRPr="00D50A25">
        <w:fldChar w:fldCharType="begin"/>
      </w:r>
      <w:r w:rsidRPr="00D50A25">
        <w:instrText xml:space="preserve"> REF _Ref160109518 \r \h  \* MERGEFORMAT </w:instrText>
      </w:r>
      <w:r w:rsidRPr="00D50A25">
        <w:fldChar w:fldCharType="separate"/>
      </w:r>
      <w:r w:rsidR="00C46123">
        <w:t>282</w:t>
      </w:r>
      <w:r w:rsidRPr="00D50A25">
        <w:fldChar w:fldCharType="end"/>
      </w:r>
      <w:r>
        <w:t>.</w:t>
      </w:r>
    </w:p>
  </w:footnote>
  <w:footnote w:id="807">
    <w:p w:rsidR="00760048" w:rsidP="00071614" w14:paraId="6ACB0499" w14:textId="77777777">
      <w:pPr>
        <w:pStyle w:val="FootnoteText"/>
      </w:pPr>
      <w:r w:rsidRPr="0072600F">
        <w:rPr>
          <w:rStyle w:val="FootnoteReference"/>
        </w:rPr>
        <w:footnoteRef/>
      </w:r>
      <w:r>
        <w:t xml:space="preserve"> In particular, the Commission has established the appeals process to take into account the possibility that an interconnection study is delayed due to factors beyond the control of the transmission provider.</w:t>
      </w:r>
    </w:p>
  </w:footnote>
  <w:footnote w:id="808">
    <w:p w:rsidR="00760048" w:rsidRPr="00A22321" w:rsidP="00071614" w14:paraId="097C48D6" w14:textId="77777777">
      <w:pPr>
        <w:pStyle w:val="FootnoteText"/>
        <w:rPr>
          <w:b/>
          <w:bCs/>
        </w:rPr>
      </w:pPr>
      <w:r w:rsidRPr="0072600F">
        <w:rPr>
          <w:rStyle w:val="FootnoteReference"/>
        </w:rPr>
        <w:footnoteRef/>
      </w:r>
      <w:r>
        <w:t xml:space="preserve"> Order No. 2003, </w:t>
      </w:r>
      <w:r w:rsidRPr="00A24988">
        <w:t>1</w:t>
      </w:r>
      <w:r>
        <w:t>0</w:t>
      </w:r>
      <w:r w:rsidRPr="00A24988">
        <w:t>4 FERC ¶ 61,</w:t>
      </w:r>
      <w:r>
        <w:t>103 at P 898</w:t>
      </w:r>
      <w:r w:rsidRPr="00557B12">
        <w:t>.</w:t>
      </w:r>
    </w:p>
  </w:footnote>
  <w:footnote w:id="809">
    <w:p w:rsidR="00760048" w:rsidRPr="008578C1" w:rsidP="00071614" w14:paraId="0002F8E9" w14:textId="77777777">
      <w:pPr>
        <w:pStyle w:val="FootnoteText"/>
      </w:pPr>
      <w:r w:rsidRPr="0072600F">
        <w:rPr>
          <w:rStyle w:val="FootnoteReference"/>
        </w:rPr>
        <w:footnoteRef/>
      </w:r>
      <w:r>
        <w:t xml:space="preserve"> </w:t>
      </w:r>
      <w:r>
        <w:rPr>
          <w:i/>
          <w:iCs/>
        </w:rPr>
        <w:t xml:space="preserve">See </w:t>
      </w:r>
      <w:r w:rsidRPr="00D373C6">
        <w:rPr>
          <w:i/>
          <w:iCs/>
        </w:rPr>
        <w:t>id.</w:t>
      </w:r>
      <w:r w:rsidRPr="00D373C6">
        <w:rPr>
          <w:i/>
        </w:rPr>
        <w:t xml:space="preserve"> </w:t>
      </w:r>
      <w:r>
        <w:t xml:space="preserve">PP 851-52 (describing the liquidated damages provision proposed the Commission proposed to include in Article 5.1); </w:t>
      </w:r>
      <w:r>
        <w:rPr>
          <w:i/>
          <w:iCs/>
        </w:rPr>
        <w:t>id.</w:t>
      </w:r>
      <w:r>
        <w:t xml:space="preserve"> P 854 (explaining that while there were some common issues regarding the two liquidated damages provisions the Commission was considering, “the provisions serve different functions”); </w:t>
      </w:r>
      <w:r>
        <w:rPr>
          <w:i/>
          <w:iCs/>
        </w:rPr>
        <w:t>id.</w:t>
      </w:r>
      <w:r>
        <w:t xml:space="preserve"> PP 868-85 (discussing the proposed LGIA liquidated damages provision, and the Commission’s rationale for declining to adopt it).</w:t>
      </w:r>
    </w:p>
  </w:footnote>
  <w:footnote w:id="810">
    <w:p w:rsidR="00760048" w:rsidRPr="008578C1" w:rsidP="00071614" w14:paraId="0D13BAD8" w14:textId="77777777">
      <w:pPr>
        <w:pStyle w:val="FootnoteText"/>
      </w:pPr>
      <w:r w:rsidRPr="0072600F">
        <w:rPr>
          <w:rStyle w:val="FootnoteReference"/>
        </w:rPr>
        <w:footnoteRef/>
      </w:r>
      <w:r>
        <w:t xml:space="preserve"> </w:t>
      </w:r>
      <w:r>
        <w:rPr>
          <w:i/>
          <w:iCs/>
        </w:rPr>
        <w:t>See, e.g.</w:t>
      </w:r>
      <w:r>
        <w:t xml:space="preserve">, Order No. 2003-A, </w:t>
      </w:r>
      <w:r w:rsidRPr="008578C1">
        <w:t>106 FERC ¶ 61,220</w:t>
      </w:r>
      <w:r>
        <w:t xml:space="preserve"> at P 249; </w:t>
      </w:r>
      <w:r w:rsidRPr="00415EF8">
        <w:rPr>
          <w:i/>
          <w:iCs/>
        </w:rPr>
        <w:t>see also N.Y. Indep. Sys. Operator, Inc.</w:t>
      </w:r>
      <w:r w:rsidRPr="00415EF8">
        <w:t xml:space="preserve"> 108 FERC </w:t>
      </w:r>
      <w:r>
        <w:t>¶</w:t>
      </w:r>
      <w:r w:rsidRPr="00415EF8">
        <w:t xml:space="preserve"> 61,159 at PP 77-78 (liquidated damages are permissible upon agreement of the parties).</w:t>
      </w:r>
    </w:p>
  </w:footnote>
  <w:footnote w:id="811">
    <w:p w:rsidR="00760048" w:rsidP="00071614" w14:paraId="48F3ACCA" w14:textId="77777777">
      <w:pPr>
        <w:pStyle w:val="FootnoteText"/>
      </w:pPr>
      <w:r w:rsidRPr="0072600F">
        <w:rPr>
          <w:rStyle w:val="FootnoteReference"/>
        </w:rPr>
        <w:footnoteRef/>
      </w:r>
      <w:r>
        <w:t xml:space="preserve"> </w:t>
      </w:r>
      <w:r>
        <w:rPr>
          <w:i/>
          <w:iCs/>
        </w:rPr>
        <w:t xml:space="preserve">See </w:t>
      </w:r>
      <w:r>
        <w:t>Order No. 2023,</w:t>
      </w:r>
      <w:r>
        <w:rPr>
          <w:rFonts w:ascii="TimesNewRoman" w:hAnsi="TimesNewRoman" w:cs="TimesNewRoman"/>
          <w:szCs w:val="26"/>
        </w:rPr>
        <w:t xml:space="preserve"> </w:t>
      </w:r>
      <w:r w:rsidRPr="00D373C6">
        <w:t>184 FERC ¶ 61,054</w:t>
      </w:r>
      <w:r>
        <w:t xml:space="preserve"> at P 3 (“</w:t>
      </w:r>
      <w:r w:rsidRPr="004C2B83">
        <w:t>The electricity sector has transformed significantly since the issuance of Order Nos. 2003 and 2006.</w:t>
      </w:r>
      <w:r>
        <w:t xml:space="preserve"> . . . </w:t>
      </w:r>
      <w:r w:rsidRPr="008B1DA7">
        <w:t>These new challenges are creating large interconnection queue backlogs and uncertainty regarding the cost and timing of interconnecting to the transmission system, increasing costs for consumers.</w:t>
      </w:r>
      <w:r>
        <w:t>”).</w:t>
      </w:r>
    </w:p>
  </w:footnote>
  <w:footnote w:id="812">
    <w:p w:rsidR="00760048" w:rsidRPr="008B1DA7" w:rsidP="00071614" w14:paraId="47388B29" w14:textId="77777777">
      <w:pPr>
        <w:pStyle w:val="FootnoteText"/>
      </w:pPr>
      <w:r w:rsidRPr="0072600F">
        <w:rPr>
          <w:rStyle w:val="FootnoteReference"/>
        </w:rPr>
        <w:footnoteRef/>
      </w:r>
      <w:r>
        <w:t xml:space="preserve"> Even in Order No. 2003—when it was not confronting the magnitude of interconnection queue backlogs and late studies occurring now—the Commission recognized “</w:t>
      </w:r>
      <w:r w:rsidRPr="00263848">
        <w:t>value of providing an incentive to complete Interconnection Studies</w:t>
      </w:r>
      <w:r>
        <w:t xml:space="preserve">.”  Order No. 2003, </w:t>
      </w:r>
      <w:r w:rsidRPr="00A24988">
        <w:t>1</w:t>
      </w:r>
      <w:r>
        <w:t>0</w:t>
      </w:r>
      <w:r w:rsidRPr="00A24988">
        <w:t>4 FERC ¶ 61,</w:t>
      </w:r>
      <w:r>
        <w:t xml:space="preserve">103 at P 898.  It also </w:t>
      </w:r>
      <w:r w:rsidRPr="002407DB">
        <w:t xml:space="preserve">concluded that it had statutory authority to adopt liquidated damages provisions.  </w:t>
      </w:r>
      <w:r w:rsidRPr="002407DB">
        <w:rPr>
          <w:i/>
          <w:iCs/>
        </w:rPr>
        <w:t>Id.</w:t>
      </w:r>
      <w:r w:rsidRPr="002407DB">
        <w:t xml:space="preserve"> P 857.</w:t>
      </w:r>
    </w:p>
  </w:footnote>
  <w:footnote w:id="813">
    <w:p w:rsidR="00760048" w:rsidRPr="008B1DA7" w:rsidP="00071614" w14:paraId="5F3F7318" w14:textId="77777777">
      <w:pPr>
        <w:pStyle w:val="FootnoteText"/>
      </w:pPr>
      <w:r w:rsidRPr="0072600F">
        <w:rPr>
          <w:rStyle w:val="FootnoteReference"/>
        </w:rPr>
        <w:footnoteRef/>
      </w:r>
      <w:r>
        <w:t xml:space="preserve"> </w:t>
      </w:r>
      <w:r>
        <w:rPr>
          <w:i/>
          <w:iCs/>
        </w:rPr>
        <w:t>See, e.g.</w:t>
      </w:r>
      <w:r>
        <w:t xml:space="preserve">, Order No. 2023, </w:t>
      </w:r>
      <w:r w:rsidRPr="00381658">
        <w:t>184 FERC ¶ 61,054</w:t>
      </w:r>
      <w:r>
        <w:t xml:space="preserve"> at PP 3, 27, 37-40, 43, 50.</w:t>
      </w:r>
    </w:p>
  </w:footnote>
  <w:footnote w:id="814">
    <w:p w:rsidR="00760048" w:rsidRPr="008B1DA7" w:rsidP="00071614" w14:paraId="202F3956" w14:textId="77777777">
      <w:pPr>
        <w:pStyle w:val="FootnoteText"/>
      </w:pPr>
      <w:r w:rsidRPr="0072600F">
        <w:rPr>
          <w:rStyle w:val="FootnoteReference"/>
        </w:rPr>
        <w:footnoteRef/>
      </w:r>
      <w:r>
        <w:t xml:space="preserve"> </w:t>
      </w:r>
      <w:r>
        <w:rPr>
          <w:i/>
          <w:iCs/>
        </w:rPr>
        <w:t>Id.</w:t>
      </w:r>
      <w:r>
        <w:t xml:space="preserve"> P 972.</w:t>
      </w:r>
    </w:p>
  </w:footnote>
  <w:footnote w:id="815">
    <w:p w:rsidR="00760048" w:rsidP="00071614" w14:paraId="4EB75502" w14:textId="77777777">
      <w:pPr>
        <w:pStyle w:val="FootnoteText"/>
      </w:pPr>
      <w:r w:rsidRPr="0072600F">
        <w:rPr>
          <w:rStyle w:val="FootnoteReference"/>
        </w:rPr>
        <w:footnoteRef/>
      </w:r>
      <w:r>
        <w:t xml:space="preserve"> </w:t>
      </w:r>
      <w:r w:rsidRPr="001850E1">
        <w:t xml:space="preserve">MISO TOs Rehearing Request at 26 (citing </w:t>
      </w:r>
      <w:r w:rsidRPr="001850E1">
        <w:rPr>
          <w:i/>
          <w:iCs/>
        </w:rPr>
        <w:t>PJM Interconnection, L.L.C.</w:t>
      </w:r>
      <w:r w:rsidRPr="001850E1">
        <w:t>, 181 FERC ¶ 61,162 at P 138)</w:t>
      </w:r>
      <w:r>
        <w:t>.</w:t>
      </w:r>
    </w:p>
  </w:footnote>
  <w:footnote w:id="816">
    <w:p w:rsidR="00760048" w:rsidRPr="00A01935" w:rsidP="00071614" w14:paraId="6A45137A" w14:textId="77777777">
      <w:pPr>
        <w:pStyle w:val="FootnoteText"/>
      </w:pPr>
      <w:r w:rsidRPr="0072600F">
        <w:rPr>
          <w:rStyle w:val="FootnoteReference"/>
        </w:rPr>
        <w:footnoteRef/>
      </w:r>
      <w:r>
        <w:t xml:space="preserve"> </w:t>
      </w:r>
      <w:r w:rsidRPr="001850E1">
        <w:rPr>
          <w:i/>
          <w:iCs/>
        </w:rPr>
        <w:t>PJM Interconnection, L.L.C.</w:t>
      </w:r>
      <w:r w:rsidRPr="001850E1">
        <w:t>, 181 FERC ¶ 61,162 at P 138</w:t>
      </w:r>
      <w:r>
        <w:t xml:space="preserve"> (“</w:t>
      </w:r>
      <w:r w:rsidRPr="00596E8D">
        <w:t xml:space="preserve">Accordingly, </w:t>
      </w:r>
      <w:r w:rsidRPr="00596E8D">
        <w:rPr>
          <w:i/>
          <w:iCs/>
        </w:rPr>
        <w:t>at this time</w:t>
      </w:r>
      <w:r w:rsidRPr="00596E8D">
        <w:t xml:space="preserve">, we decline to require PJM to adopt firm study deadlines instead of its proposed </w:t>
      </w:r>
      <w:r>
        <w:t>‘</w:t>
      </w:r>
      <w:r w:rsidRPr="00596E8D">
        <w:t>Reasonable Efforts</w:t>
      </w:r>
      <w:r>
        <w:t>’</w:t>
      </w:r>
      <w:r w:rsidRPr="00596E8D">
        <w:t xml:space="preserve"> standard.” (emphasis added)</w:t>
      </w:r>
      <w:r>
        <w:t xml:space="preserve">).  Because the Commission relied on the fact that the reasonable efforts standard was the then-applicable </w:t>
      </w:r>
      <w:r>
        <w:rPr>
          <w:i/>
          <w:iCs/>
        </w:rPr>
        <w:t>pro forma</w:t>
      </w:r>
      <w:r>
        <w:t xml:space="preserve"> standard, nothing in that case conflicts with our decision here.  </w:t>
      </w:r>
    </w:p>
  </w:footnote>
  <w:footnote w:id="817">
    <w:p w:rsidR="00760048" w:rsidRPr="00112D83" w:rsidP="00071614" w14:paraId="770922C8" w14:textId="77777777">
      <w:pPr>
        <w:pStyle w:val="FootnoteText"/>
      </w:pPr>
      <w:r w:rsidRPr="0072600F">
        <w:rPr>
          <w:rStyle w:val="FootnoteReference"/>
        </w:rPr>
        <w:footnoteRef/>
      </w:r>
      <w:r>
        <w:t xml:space="preserve"> </w:t>
      </w:r>
      <w:r>
        <w:rPr>
          <w:i/>
          <w:iCs/>
        </w:rPr>
        <w:t xml:space="preserve">See </w:t>
      </w:r>
      <w:r w:rsidRPr="00112D83">
        <w:rPr>
          <w:i/>
          <w:iCs/>
        </w:rPr>
        <w:t>Cal</w:t>
      </w:r>
      <w:r w:rsidR="000861D7">
        <w:rPr>
          <w:i/>
          <w:iCs/>
        </w:rPr>
        <w:t>.</w:t>
      </w:r>
      <w:r w:rsidRPr="00112D83">
        <w:rPr>
          <w:i/>
          <w:iCs/>
        </w:rPr>
        <w:t xml:space="preserve"> Indep. Sys. Operator Corp.</w:t>
      </w:r>
      <w:r w:rsidRPr="00112D83">
        <w:t xml:space="preserve">, 134 FERC ¶ 61,050, </w:t>
      </w:r>
      <w:r>
        <w:t>at P 34</w:t>
      </w:r>
      <w:r w:rsidRPr="00112D83">
        <w:t xml:space="preserve"> (2011)</w:t>
      </w:r>
      <w:r>
        <w:t xml:space="preserve"> (“[T]</w:t>
      </w:r>
      <w:r>
        <w:t xml:space="preserve">hree qualifications must be met: </w:t>
      </w:r>
      <w:r w:rsidR="00D17A53">
        <w:t xml:space="preserve"> </w:t>
      </w:r>
      <w:r w:rsidRPr="00DA589C">
        <w:t>(1) The activity must be expressly set forth in the tariff;</w:t>
      </w:r>
      <w:r>
        <w:t xml:space="preserve"> </w:t>
      </w:r>
      <w:r w:rsidRPr="00DA589C">
        <w:t>(2) The activity must involve objectively identifiable behavior</w:t>
      </w:r>
      <w:r w:rsidR="00D17A53">
        <w:t>;</w:t>
      </w:r>
      <w:r w:rsidRPr="00DA589C">
        <w:t xml:space="preserve"> and</w:t>
      </w:r>
      <w:r>
        <w:t xml:space="preserve"> </w:t>
      </w:r>
      <w:r w:rsidRPr="00DA589C">
        <w:t>(3) The activity does not subject the actor to sanctions or consequences other than those expressly approved by the Commission and set forth in the tariff, with the right of appeal to the Commission.</w:t>
      </w:r>
      <w:r>
        <w:t>”).</w:t>
      </w:r>
    </w:p>
  </w:footnote>
  <w:footnote w:id="818">
    <w:p w:rsidR="00760048" w:rsidP="00071614" w14:paraId="34884F57" w14:textId="77777777">
      <w:pPr>
        <w:pStyle w:val="FootnoteText"/>
      </w:pPr>
      <w:r w:rsidRPr="0072600F">
        <w:rPr>
          <w:rStyle w:val="FootnoteReference"/>
        </w:rPr>
        <w:footnoteRef/>
      </w:r>
      <w:r>
        <w:t xml:space="preserve"> </w:t>
      </w:r>
      <w:r w:rsidR="000553B6">
        <w:rPr>
          <w:i/>
          <w:iCs/>
        </w:rPr>
        <w:t>Id.</w:t>
      </w:r>
      <w:r>
        <w:t xml:space="preserve"> P 37.</w:t>
      </w:r>
    </w:p>
  </w:footnote>
  <w:footnote w:id="819">
    <w:p w:rsidR="00760048" w:rsidP="00071614" w14:paraId="6C5879AB" w14:textId="77777777">
      <w:pPr>
        <w:pStyle w:val="FootnoteText"/>
      </w:pPr>
      <w:r w:rsidRPr="0072600F">
        <w:rPr>
          <w:rStyle w:val="FootnoteReference"/>
        </w:rPr>
        <w:footnoteRef/>
      </w:r>
      <w:r>
        <w:t xml:space="preserve"> Indicated PJM TOs Rehearing Request at 22.</w:t>
      </w:r>
    </w:p>
  </w:footnote>
  <w:footnote w:id="820">
    <w:p w:rsidR="00760048" w:rsidRPr="009E6CE3" w:rsidP="00071614" w14:paraId="194096C0" w14:textId="77777777">
      <w:pPr>
        <w:pStyle w:val="FootnoteText"/>
      </w:pPr>
      <w:r w:rsidRPr="0072600F">
        <w:rPr>
          <w:rStyle w:val="FootnoteReference"/>
        </w:rPr>
        <w:footnoteRef/>
      </w:r>
      <w:r>
        <w:t xml:space="preserve"> Indicated PJM TOs also argue that the Commission “cannot delegate authority to RTOs and ISOs to determine the reasonableness of study delay penalty allocations” such that it would be inappropriate to “</w:t>
      </w:r>
      <w:r>
        <w:t xml:space="preserve">giv[e] deference to the RTO’s/ISO’s decision in a ‘good cause’ proceeding.”  Indicated PJM TOs Rehearing Request at 24.  This argument conflates appeals of penalties incurred by RTOs/ISOs with how those penalties may be allocated as a matter of RTO/ISO cost recovery under FPA section 205 proposals.  Moreover, as just explained, the Commission has not impermissibly delegated its authority to RTOs/ISOs.  </w:t>
      </w:r>
    </w:p>
  </w:footnote>
  <w:footnote w:id="821">
    <w:p w:rsidR="00760048" w:rsidRPr="0023241B" w:rsidP="00071614" w14:paraId="5DE40084" w14:textId="77777777">
      <w:pPr>
        <w:pStyle w:val="FootnoteText"/>
      </w:pPr>
      <w:r w:rsidRPr="0072600F">
        <w:rPr>
          <w:rStyle w:val="FootnoteReference"/>
        </w:rPr>
        <w:footnoteRef/>
      </w:r>
      <w:r>
        <w:t xml:space="preserve"> Order No. 890, </w:t>
      </w:r>
      <w:r w:rsidRPr="005922B3">
        <w:rPr>
          <w:szCs w:val="26"/>
        </w:rPr>
        <w:t>118 FERC ¶ 61,119</w:t>
      </w:r>
      <w:r>
        <w:t xml:space="preserve"> at P 1340; Order No. 890-A, </w:t>
      </w:r>
      <w:r w:rsidRPr="00E96B49">
        <w:t>121 FERC ¶ 61,297</w:t>
      </w:r>
      <w:r>
        <w:t xml:space="preserve"> at P 741</w:t>
      </w:r>
      <w:r w:rsidR="00D15690">
        <w:t>.</w:t>
      </w:r>
    </w:p>
  </w:footnote>
  <w:footnote w:id="822">
    <w:p w:rsidR="00760048" w:rsidRPr="0062443C" w:rsidP="00071614" w14:paraId="0EF4ADB6" w14:textId="77777777">
      <w:pPr>
        <w:pStyle w:val="FootnoteText"/>
      </w:pPr>
      <w:r w:rsidRPr="0072600F">
        <w:rPr>
          <w:rStyle w:val="FootnoteReference"/>
        </w:rPr>
        <w:footnoteRef/>
      </w:r>
      <w:r>
        <w:t xml:space="preserve"> Order No. 890, </w:t>
      </w:r>
      <w:r w:rsidRPr="005922B3">
        <w:rPr>
          <w:szCs w:val="26"/>
        </w:rPr>
        <w:t>118 FERC ¶ 61,119</w:t>
      </w:r>
      <w:r>
        <w:t xml:space="preserve"> at PP</w:t>
      </w:r>
      <w:r>
        <w:rPr>
          <w:i/>
          <w:iCs/>
        </w:rPr>
        <w:t xml:space="preserve"> </w:t>
      </w:r>
      <w:r w:rsidRPr="0023241B">
        <w:t>1342-43, 1349</w:t>
      </w:r>
      <w:r>
        <w:t xml:space="preserve">; Order No. 890-A, </w:t>
      </w:r>
      <w:r w:rsidRPr="00E96B49">
        <w:t>121 FERC ¶ 61,297</w:t>
      </w:r>
      <w:r>
        <w:t xml:space="preserve"> at PP 743-45.</w:t>
      </w:r>
    </w:p>
  </w:footnote>
  <w:footnote w:id="823">
    <w:p w:rsidR="00760048" w:rsidRPr="0062443C" w:rsidP="00071614" w14:paraId="5BB8C5DB" w14:textId="77777777">
      <w:pPr>
        <w:pStyle w:val="FootnoteText"/>
        <w:rPr>
          <w:b/>
          <w:bCs/>
        </w:rPr>
      </w:pPr>
      <w:r w:rsidRPr="0072600F">
        <w:rPr>
          <w:rStyle w:val="FootnoteReference"/>
        </w:rPr>
        <w:footnoteRef/>
      </w:r>
      <w:r>
        <w:t xml:space="preserve"> Order No. 890, </w:t>
      </w:r>
      <w:r w:rsidRPr="005922B3">
        <w:rPr>
          <w:szCs w:val="26"/>
        </w:rPr>
        <w:t>118 FERC ¶ 61,119</w:t>
      </w:r>
      <w:r>
        <w:t xml:space="preserve"> at P 1345; Order No. 890-A, </w:t>
      </w:r>
      <w:r w:rsidRPr="00E96B49">
        <w:t>121 FERC ¶ 61,297</w:t>
      </w:r>
      <w:r>
        <w:t xml:space="preserve"> at P 742.</w:t>
      </w:r>
    </w:p>
  </w:footnote>
  <w:footnote w:id="824">
    <w:p w:rsidR="00760048" w:rsidP="00071614" w14:paraId="5A8B38E0" w14:textId="77777777">
      <w:pPr>
        <w:pStyle w:val="FootnoteText"/>
      </w:pPr>
      <w:r w:rsidRPr="0072600F">
        <w:rPr>
          <w:rStyle w:val="FootnoteReference"/>
        </w:rPr>
        <w:footnoteRef/>
      </w:r>
      <w:r>
        <w:t xml:space="preserve"> Order No. 890, </w:t>
      </w:r>
      <w:r w:rsidRPr="005922B3">
        <w:rPr>
          <w:szCs w:val="26"/>
        </w:rPr>
        <w:t>118 FERC ¶ 61,119</w:t>
      </w:r>
      <w:r>
        <w:t xml:space="preserve"> at P 1346.</w:t>
      </w:r>
    </w:p>
  </w:footnote>
  <w:footnote w:id="825">
    <w:p w:rsidR="00760048" w:rsidP="00071614" w14:paraId="2A11CCCE" w14:textId="77777777">
      <w:pPr>
        <w:pStyle w:val="FootnoteText"/>
      </w:pPr>
      <w:r w:rsidRPr="0072600F">
        <w:rPr>
          <w:rStyle w:val="FootnoteReference"/>
        </w:rPr>
        <w:footnoteRef/>
      </w:r>
      <w:r>
        <w:t xml:space="preserve"> </w:t>
      </w:r>
      <w:r>
        <w:rPr>
          <w:i/>
          <w:iCs/>
        </w:rPr>
        <w:t>Id.</w:t>
      </w:r>
      <w:r>
        <w:t xml:space="preserve"> P 1351.</w:t>
      </w:r>
    </w:p>
  </w:footnote>
  <w:footnote w:id="826">
    <w:p w:rsidR="00760048" w:rsidP="00071614" w14:paraId="07EAD61A" w14:textId="77777777">
      <w:pPr>
        <w:pStyle w:val="FootnoteText"/>
      </w:pPr>
      <w:r w:rsidRPr="0072600F">
        <w:rPr>
          <w:rStyle w:val="FootnoteReference"/>
        </w:rPr>
        <w:footnoteRef/>
      </w:r>
      <w:r>
        <w:t xml:space="preserve"> </w:t>
      </w:r>
      <w:r>
        <w:rPr>
          <w:i/>
          <w:iCs/>
        </w:rPr>
        <w:t>Id.</w:t>
      </w:r>
      <w:r>
        <w:t xml:space="preserve"> P 1353.</w:t>
      </w:r>
    </w:p>
  </w:footnote>
  <w:footnote w:id="827">
    <w:p w:rsidR="00760048" w:rsidRPr="0062443C" w:rsidP="00071614" w14:paraId="57246010" w14:textId="77777777">
      <w:pPr>
        <w:pStyle w:val="FootnoteText"/>
      </w:pPr>
      <w:r w:rsidRPr="0072600F">
        <w:rPr>
          <w:rStyle w:val="FootnoteReference"/>
        </w:rPr>
        <w:footnoteRef/>
      </w:r>
      <w:r>
        <w:t xml:space="preserve"> </w:t>
      </w:r>
      <w:r>
        <w:rPr>
          <w:i/>
          <w:iCs/>
        </w:rPr>
        <w:t>Id.</w:t>
      </w:r>
      <w:r>
        <w:t xml:space="preserve"> </w:t>
      </w:r>
      <w:r w:rsidR="006142C2">
        <w:t xml:space="preserve">P </w:t>
      </w:r>
      <w:r>
        <w:t xml:space="preserve">1357; </w:t>
      </w:r>
      <w:r>
        <w:rPr>
          <w:i/>
          <w:iCs/>
        </w:rPr>
        <w:t xml:space="preserve">see also </w:t>
      </w:r>
      <w:r>
        <w:t>Order No. 890-A</w:t>
      </w:r>
      <w:r w:rsidR="00D775A6">
        <w:t xml:space="preserve">, </w:t>
      </w:r>
      <w:r w:rsidRPr="00E96B49" w:rsidR="00D775A6">
        <w:t>121 FERC ¶ 61,297</w:t>
      </w:r>
      <w:r>
        <w:t xml:space="preserve"> at PP 486, 754-57 (noting that the Commission could consider case-specific cost recovery proposals from RTOs/ISOs under FPA section 205).</w:t>
      </w:r>
    </w:p>
  </w:footnote>
  <w:footnote w:id="828">
    <w:p w:rsidR="00760048" w:rsidRPr="005A51A3" w:rsidP="00071614" w14:paraId="29861DA1" w14:textId="77777777">
      <w:pPr>
        <w:pStyle w:val="FootnoteText"/>
      </w:pPr>
      <w:r w:rsidRPr="0072600F">
        <w:rPr>
          <w:rStyle w:val="FootnoteReference"/>
        </w:rPr>
        <w:footnoteRef/>
      </w:r>
      <w:r>
        <w:t xml:space="preserve"> NYISO’s argument that it does not conduct the kinds of transmission studies that Order No. 890 addressed and that such studies are “not a major issue for most other RTOs/ISOs,” NYISO Initial Comments at 36; </w:t>
      </w:r>
      <w:r>
        <w:rPr>
          <w:i/>
          <w:iCs/>
        </w:rPr>
        <w:t>see also</w:t>
      </w:r>
      <w:r>
        <w:t xml:space="preserve"> NYISO Rehearing Request at 32 n.87, does not negate these similarities for purposes of determining a just and reasonable </w:t>
      </w:r>
      <w:r>
        <w:rPr>
          <w:i/>
          <w:iCs/>
        </w:rPr>
        <w:t>pro forma</w:t>
      </w:r>
      <w:r>
        <w:t xml:space="preserve"> approach to ensuring interconnection study timeliness under Order No. 2023.  </w:t>
      </w:r>
      <w:r>
        <w:rPr>
          <w:i/>
          <w:iCs/>
        </w:rPr>
        <w:t xml:space="preserve">See </w:t>
      </w:r>
      <w:r w:rsidR="008F5EF0">
        <w:t xml:space="preserve">Order No. 2023, </w:t>
      </w:r>
      <w:r w:rsidRPr="00381658" w:rsidR="004F760E">
        <w:t>184 FERC ¶ 61,054</w:t>
      </w:r>
      <w:r w:rsidR="004F760E">
        <w:t xml:space="preserve"> at </w:t>
      </w:r>
      <w:r>
        <w:t xml:space="preserve">P 1001 (rejecting NYISO’s argument); </w:t>
      </w:r>
      <w:r>
        <w:rPr>
          <w:i/>
          <w:iCs/>
        </w:rPr>
        <w:t>cf.</w:t>
      </w:r>
      <w:r w:rsidR="008F5EF0">
        <w:rPr>
          <w:i/>
          <w:iCs/>
        </w:rPr>
        <w:t xml:space="preserve">id. </w:t>
      </w:r>
      <w:r>
        <w:t xml:space="preserve">PP 965-72 (finding that the imposition of study delay penalties was just and reasonable and would not be punitive as to transmission providers); </w:t>
      </w:r>
      <w:r>
        <w:rPr>
          <w:i/>
          <w:iCs/>
        </w:rPr>
        <w:t>id.</w:t>
      </w:r>
      <w:r>
        <w:t xml:space="preserve"> PP 1004-07, 1013.</w:t>
      </w:r>
    </w:p>
  </w:footnote>
  <w:footnote w:id="829">
    <w:p w:rsidR="00760048" w:rsidP="00071614" w14:paraId="192B7ED6" w14:textId="77777777">
      <w:pPr>
        <w:pStyle w:val="FootnoteText"/>
      </w:pPr>
      <w:r w:rsidRPr="0072600F">
        <w:rPr>
          <w:rStyle w:val="FootnoteReference"/>
        </w:rPr>
        <w:footnoteRef/>
      </w:r>
      <w:r>
        <w:t xml:space="preserve"> Order No. 2023</w:t>
      </w:r>
      <w:r w:rsidR="00EB4550">
        <w:t>,</w:t>
      </w:r>
      <w:r w:rsidRPr="00EB4550" w:rsidR="00EB4550">
        <w:t xml:space="preserve"> </w:t>
      </w:r>
      <w:r w:rsidRPr="00381658" w:rsidR="00EB4550">
        <w:t>184 FERC ¶ 61,054</w:t>
      </w:r>
      <w:r w:rsidRPr="00014495">
        <w:t xml:space="preserve"> at P 1013 (noting that interconnection studies “are more numerous, complex, and susceptible to delays” and “there is a growing number of interconnection customers affected by study delays. We believe that these factors underscore the need for transmission providers to meet study deadlines and the need to provide an incentive, in the form of study delay penalties”)</w:t>
      </w:r>
      <w:r>
        <w:t>.</w:t>
      </w:r>
    </w:p>
  </w:footnote>
  <w:footnote w:id="830">
    <w:p w:rsidR="00760048" w:rsidP="00071614" w14:paraId="34AD86F3" w14:textId="77777777">
      <w:pPr>
        <w:pStyle w:val="FootnoteText"/>
      </w:pPr>
      <w:r w:rsidRPr="0072600F">
        <w:rPr>
          <w:rStyle w:val="FootnoteReference"/>
        </w:rPr>
        <w:footnoteRef/>
      </w:r>
      <w:r>
        <w:t xml:space="preserve"> NYISO Rehearing Request at 32 n.87.</w:t>
      </w:r>
    </w:p>
  </w:footnote>
  <w:footnote w:id="831">
    <w:p w:rsidR="00760048" w:rsidRPr="007B222D" w:rsidP="00071614" w14:paraId="001EDC64" w14:textId="77777777">
      <w:pPr>
        <w:pStyle w:val="FootnoteText"/>
      </w:pPr>
      <w:r w:rsidRPr="0072600F">
        <w:rPr>
          <w:rStyle w:val="FootnoteReference"/>
        </w:rPr>
        <w:footnoteRef/>
      </w:r>
      <w:r>
        <w:t xml:space="preserve"> </w:t>
      </w:r>
      <w:r>
        <w:rPr>
          <w:i/>
          <w:iCs/>
        </w:rPr>
        <w:t>See also supra</w:t>
      </w:r>
      <w:r>
        <w:t xml:space="preserve"> PP </w:t>
      </w:r>
      <w:r w:rsidRPr="00D50A25">
        <w:fldChar w:fldCharType="begin"/>
      </w:r>
      <w:r w:rsidRPr="00D50A25">
        <w:instrText xml:space="preserve"> REF _Ref160109516 \r \h  \* MERGEFORMAT </w:instrText>
      </w:r>
      <w:r w:rsidRPr="00D50A25">
        <w:fldChar w:fldCharType="separate"/>
      </w:r>
      <w:r w:rsidR="00C46123">
        <w:t>281</w:t>
      </w:r>
      <w:r w:rsidRPr="00D50A25">
        <w:fldChar w:fldCharType="end"/>
      </w:r>
      <w:r w:rsidRPr="00D50A25">
        <w:t>-</w:t>
      </w:r>
      <w:r w:rsidRPr="00D50A25">
        <w:fldChar w:fldCharType="begin"/>
      </w:r>
      <w:r w:rsidRPr="00D50A25">
        <w:instrText xml:space="preserve"> REF _Ref160109518 \r \h  \* MERGEFORMAT </w:instrText>
      </w:r>
      <w:r w:rsidRPr="00D50A25">
        <w:fldChar w:fldCharType="separate"/>
      </w:r>
      <w:r w:rsidR="00C46123">
        <w:t>282</w:t>
      </w:r>
      <w:r w:rsidRPr="00D50A25">
        <w:fldChar w:fldCharType="end"/>
      </w:r>
      <w:r>
        <w:t xml:space="preserve"> (explaining how previous reforms had failed to ensure timely interconnection study queue processing or resolve significant interconnection queue backlogs).  This explanation for the</w:t>
      </w:r>
      <w:r w:rsidRPr="009341DE">
        <w:t xml:space="preserve"> differences between Order No. 2023 and Order No. 890</w:t>
      </w:r>
      <w:r>
        <w:t xml:space="preserve"> also</w:t>
      </w:r>
      <w:r w:rsidRPr="009341DE">
        <w:t xml:space="preserve"> addresse</w:t>
      </w:r>
      <w:r>
        <w:t>s</w:t>
      </w:r>
      <w:r w:rsidRPr="009341DE">
        <w:t xml:space="preserve"> the substance of NYISO’s comment in which it also observed such differences.</w:t>
      </w:r>
      <w:r w:rsidRPr="009341DE">
        <w:rPr>
          <w:i/>
          <w:iCs/>
        </w:rPr>
        <w:t xml:space="preserve"> </w:t>
      </w:r>
      <w:r w:rsidR="0045026B">
        <w:rPr>
          <w:i/>
          <w:iCs/>
        </w:rPr>
        <w:t xml:space="preserve"> </w:t>
      </w:r>
      <w:r w:rsidRPr="009341DE">
        <w:rPr>
          <w:i/>
          <w:iCs/>
        </w:rPr>
        <w:t xml:space="preserve">See </w:t>
      </w:r>
      <w:r>
        <w:t>NYISO Rehearing Request at 32 n.87</w:t>
      </w:r>
      <w:r w:rsidRPr="009341DE">
        <w:t xml:space="preserve">; NYISO Initial Comments at 36 (arguing that the penalty structure proposed in the NOPR differed from that in Order No. 890 because transmission study penalties were not imposed automatically, without notification to the Commission).  We further note that </w:t>
      </w:r>
      <w:r>
        <w:t>NYISO’s characterization of Order No. 2023 as strict liability is inaccurate, and that</w:t>
      </w:r>
      <w:r w:rsidRPr="009341DE">
        <w:t xml:space="preserve"> </w:t>
      </w:r>
      <w:r>
        <w:t xml:space="preserve">the </w:t>
      </w:r>
      <w:r w:rsidRPr="009341DE">
        <w:t xml:space="preserve">appeal process </w:t>
      </w:r>
      <w:r>
        <w:t>in particular</w:t>
      </w:r>
      <w:r w:rsidRPr="009341DE">
        <w:t xml:space="preserve"> address</w:t>
      </w:r>
      <w:r>
        <w:t>es</w:t>
      </w:r>
      <w:r w:rsidRPr="009341DE">
        <w:t xml:space="preserve"> these concerns</w:t>
      </w:r>
      <w:r>
        <w:t xml:space="preserve">.  </w:t>
      </w:r>
      <w:r>
        <w:rPr>
          <w:i/>
          <w:iCs/>
        </w:rPr>
        <w:t>See supra</w:t>
      </w:r>
      <w:r>
        <w:t xml:space="preserve"> PP </w:t>
      </w:r>
      <w:r>
        <w:rPr>
          <w:highlight w:val="yellow"/>
        </w:rPr>
        <w:fldChar w:fldCharType="begin"/>
      </w:r>
      <w:r>
        <w:instrText xml:space="preserve"> REF _Ref160108206 \r \h </w:instrText>
      </w:r>
      <w:r w:rsidR="00BE439E">
        <w:rPr>
          <w:highlight w:val="yellow"/>
        </w:rPr>
        <w:fldChar w:fldCharType="separate"/>
      </w:r>
      <w:r>
        <w:rPr>
          <w:highlight w:val="yellow"/>
        </w:rPr>
        <w:fldChar w:fldCharType="end"/>
      </w:r>
      <w:r w:rsidRPr="00D50A25">
        <w:t>-</w:t>
      </w:r>
      <w:r w:rsidRPr="00D50A25">
        <w:fldChar w:fldCharType="begin"/>
      </w:r>
      <w:r w:rsidRPr="00D50A25">
        <w:instrText xml:space="preserve"> REF _Ref160109163 \r \h </w:instrText>
      </w:r>
      <w:r>
        <w:instrText xml:space="preserve"> \* MERGEFORMAT </w:instrText>
      </w:r>
      <w:r w:rsidRPr="00D50A25">
        <w:fldChar w:fldCharType="separate"/>
      </w:r>
      <w:r w:rsidR="00C46123">
        <w:t>360</w:t>
      </w:r>
      <w:r w:rsidRPr="00D50A25">
        <w:fldChar w:fldCharType="end"/>
      </w:r>
      <w:r>
        <w:t>.</w:t>
      </w:r>
    </w:p>
  </w:footnote>
  <w:footnote w:id="832">
    <w:p w:rsidR="00760048" w:rsidP="00071614" w14:paraId="3AF9A013" w14:textId="77777777">
      <w:pPr>
        <w:pStyle w:val="FootnoteText"/>
      </w:pPr>
      <w:r w:rsidRPr="0072600F">
        <w:rPr>
          <w:rStyle w:val="FootnoteReference"/>
        </w:rPr>
        <w:footnoteRef/>
      </w:r>
      <w:r>
        <w:t xml:space="preserve"> Order No. 2023,</w:t>
      </w:r>
      <w:r w:rsidRPr="00A410BC">
        <w:t xml:space="preserve"> </w:t>
      </w:r>
      <w:r w:rsidRPr="00381658">
        <w:t>184 FERC ¶ 61,054</w:t>
      </w:r>
      <w:r>
        <w:t xml:space="preserve"> at P 1013 (“[C]</w:t>
      </w:r>
      <w:r w:rsidRPr="00827A5B">
        <w:t xml:space="preserve">ompared to transmission service requests, interconnection studies are more numerous, complex, and susceptible to delays. </w:t>
      </w:r>
      <w:r w:rsidR="00D8045C">
        <w:t xml:space="preserve"> </w:t>
      </w:r>
      <w:r w:rsidRPr="00827A5B">
        <w:t xml:space="preserve">Further, as noted above, there is a growing number of interconnection customers affected by study delays. </w:t>
      </w:r>
      <w:r w:rsidR="00D8045C">
        <w:t xml:space="preserve"> </w:t>
      </w:r>
      <w:r w:rsidRPr="00827A5B">
        <w:t>We believe that these factors underscore the need for transmission providers to meet study deadlines.</w:t>
      </w:r>
      <w:r>
        <w:t>”).</w:t>
      </w:r>
    </w:p>
  </w:footnote>
  <w:footnote w:id="833">
    <w:p w:rsidR="00760048" w:rsidP="00071614" w14:paraId="157ED824" w14:textId="77777777">
      <w:pPr>
        <w:pStyle w:val="FootnoteText"/>
      </w:pPr>
      <w:r w:rsidRPr="0072600F">
        <w:rPr>
          <w:rStyle w:val="FootnoteReference"/>
        </w:rPr>
        <w:footnoteRef/>
      </w:r>
      <w:r>
        <w:t xml:space="preserve"> NYISO Rehearing Request at 31-32 &amp; n.85.</w:t>
      </w:r>
    </w:p>
  </w:footnote>
  <w:footnote w:id="834">
    <w:p w:rsidR="00760048" w:rsidP="00071614" w14:paraId="3E3699C5" w14:textId="77777777">
      <w:pPr>
        <w:pStyle w:val="FootnoteText"/>
      </w:pPr>
      <w:r w:rsidRPr="0072600F">
        <w:rPr>
          <w:rStyle w:val="FootnoteReference"/>
        </w:rPr>
        <w:footnoteRef/>
      </w:r>
      <w:r>
        <w:t xml:space="preserve"> Order No. 2023, </w:t>
      </w:r>
      <w:r w:rsidRPr="00381658">
        <w:t>184 FERC ¶ 61,054</w:t>
      </w:r>
      <w:r>
        <w:t xml:space="preserve"> at P 1001.</w:t>
      </w:r>
    </w:p>
  </w:footnote>
  <w:footnote w:id="835">
    <w:p w:rsidR="00760048" w:rsidRPr="00C5075F" w:rsidP="00071614" w14:paraId="4FB5F95A" w14:textId="77777777">
      <w:pPr>
        <w:pStyle w:val="FootnoteText"/>
        <w:rPr>
          <w:b/>
          <w:bCs/>
        </w:rPr>
      </w:pPr>
      <w:r w:rsidRPr="0072600F">
        <w:rPr>
          <w:rStyle w:val="FootnoteReference"/>
        </w:rPr>
        <w:footnoteRef/>
      </w:r>
      <w:r>
        <w:t xml:space="preserve"> NYISO Rehearing Request at 31; </w:t>
      </w:r>
      <w:r w:rsidRPr="00C5075F">
        <w:rPr>
          <w:i/>
          <w:iCs/>
        </w:rPr>
        <w:t>see</w:t>
      </w:r>
      <w:r>
        <w:rPr>
          <w:i/>
          <w:iCs/>
        </w:rPr>
        <w:t>, e.g.</w:t>
      </w:r>
      <w:r>
        <w:t>,</w:t>
      </w:r>
      <w:r w:rsidRPr="00C5075F">
        <w:rPr>
          <w:i/>
          <w:iCs/>
        </w:rPr>
        <w:t xml:space="preserve"> </w:t>
      </w:r>
      <w:r>
        <w:rPr>
          <w:i/>
          <w:iCs/>
        </w:rPr>
        <w:t>supra</w:t>
      </w:r>
      <w:r>
        <w:t xml:space="preserve"> </w:t>
      </w:r>
      <w:r w:rsidRPr="00D50A25">
        <w:t>section II.D.1.c.ii.</w:t>
      </w:r>
      <w:r>
        <w:rPr>
          <w:b/>
          <w:bCs/>
        </w:rPr>
        <w:t xml:space="preserve"> </w:t>
      </w:r>
    </w:p>
  </w:footnote>
  <w:footnote w:id="836">
    <w:p w:rsidR="00760048" w:rsidRPr="00A31BD5" w:rsidP="00071614" w14:paraId="132BC2EC" w14:textId="77777777">
      <w:pPr>
        <w:pStyle w:val="FootnoteText"/>
      </w:pPr>
      <w:r w:rsidRPr="0072600F">
        <w:rPr>
          <w:rStyle w:val="FootnoteReference"/>
        </w:rPr>
        <w:footnoteRef/>
      </w:r>
      <w:r>
        <w:t xml:space="preserve"> </w:t>
      </w:r>
      <w:r w:rsidRPr="00494625">
        <w:rPr>
          <w:i/>
          <w:iCs/>
        </w:rPr>
        <w:t xml:space="preserve">See </w:t>
      </w:r>
      <w:r>
        <w:t>Indicated PJM TOs</w:t>
      </w:r>
      <w:r w:rsidRPr="00494625">
        <w:t xml:space="preserve"> Rehearing Request at </w:t>
      </w:r>
      <w:r>
        <w:t>6 (arguing that “</w:t>
      </w:r>
      <w:r w:rsidRPr="00B56EB0">
        <w:t>the PJM CTOA does not authorize PJM to assign penalty amounts to PJM transmission owners</w:t>
      </w:r>
      <w:r>
        <w:t>” and, under these cases “</w:t>
      </w:r>
      <w:r w:rsidRPr="00B56EB0">
        <w:t>the Commission cannot prevent public utilities from deciding how to recover their costs and cannot direct public utilities to make cost recovery filings in any prescribed manner</w:t>
      </w:r>
      <w:r>
        <w:t xml:space="preserve">”); </w:t>
      </w:r>
      <w:r>
        <w:rPr>
          <w:i/>
          <w:iCs/>
        </w:rPr>
        <w:t xml:space="preserve">id. </w:t>
      </w:r>
      <w:r>
        <w:t xml:space="preserve">at </w:t>
      </w:r>
      <w:r w:rsidRPr="00494625">
        <w:t>8-12.</w:t>
      </w:r>
    </w:p>
  </w:footnote>
  <w:footnote w:id="837">
    <w:p w:rsidR="00760048" w:rsidRPr="00841113" w:rsidP="00071614" w14:paraId="10E18751" w14:textId="77777777">
      <w:pPr>
        <w:pStyle w:val="FootnoteText"/>
      </w:pPr>
      <w:r w:rsidRPr="0072600F">
        <w:rPr>
          <w:rStyle w:val="FootnoteReference"/>
        </w:rPr>
        <w:footnoteRef/>
      </w:r>
      <w:r>
        <w:t xml:space="preserve"> W</w:t>
      </w:r>
      <w:r w:rsidRPr="00627D80">
        <w:t xml:space="preserve">e note that this argument overstates the effect of Order No. 2023, which did not “direct” </w:t>
      </w:r>
      <w:r>
        <w:t>any RTOs/ISOs, including PJM,</w:t>
      </w:r>
      <w:r w:rsidRPr="00627D80">
        <w:t xml:space="preserve"> to make cost recovery filings at all, let alone do so according to any particular structure</w:t>
      </w:r>
      <w:r>
        <w:t xml:space="preserve">.  </w:t>
      </w:r>
      <w:r>
        <w:rPr>
          <w:i/>
          <w:iCs/>
        </w:rPr>
        <w:t xml:space="preserve">See </w:t>
      </w:r>
      <w:r>
        <w:t>Order No. 2023</w:t>
      </w:r>
      <w:r w:rsidR="00574144">
        <w:t xml:space="preserve">, </w:t>
      </w:r>
      <w:r w:rsidRPr="00381658" w:rsidR="00574144">
        <w:t>184 FERC ¶ 61,054</w:t>
      </w:r>
      <w:r>
        <w:t xml:space="preserve"> at P 994 (providing that RTOs/ISOs “may” submit FPA section 205 filings and that they may propose a default structure or make individual section 205 filings to recover costs); </w:t>
      </w:r>
      <w:r>
        <w:rPr>
          <w:i/>
          <w:iCs/>
        </w:rPr>
        <w:t>id.</w:t>
      </w:r>
      <w:r>
        <w:t xml:space="preserve"> P 998 (noting potential avenues to fund study delay penalties, such as collecting administrative fees</w:t>
      </w:r>
      <w:r w:rsidRPr="005D3596">
        <w:t>).</w:t>
      </w:r>
    </w:p>
  </w:footnote>
  <w:footnote w:id="838">
    <w:p w:rsidR="00760048" w:rsidP="00071614" w14:paraId="3710EF04" w14:textId="77777777">
      <w:pPr>
        <w:pStyle w:val="FootnoteText"/>
      </w:pPr>
      <w:r w:rsidRPr="0072600F">
        <w:rPr>
          <w:rStyle w:val="FootnoteReference"/>
        </w:rPr>
        <w:footnoteRef/>
      </w:r>
      <w:r>
        <w:t xml:space="preserve"> </w:t>
      </w:r>
      <w:r w:rsidRPr="00BC1590">
        <w:rPr>
          <w:i/>
          <w:iCs/>
        </w:rPr>
        <w:t>Atl. City I</w:t>
      </w:r>
      <w:r>
        <w:t>,</w:t>
      </w:r>
      <w:r w:rsidRPr="00BC1590">
        <w:t xml:space="preserve"> 295 F.3d at 7</w:t>
      </w:r>
      <w:r>
        <w:t xml:space="preserve">; </w:t>
      </w:r>
      <w:r>
        <w:rPr>
          <w:i/>
          <w:iCs/>
        </w:rPr>
        <w:t xml:space="preserve">see also id. </w:t>
      </w:r>
      <w:r>
        <w:t xml:space="preserve">at 6-7 (explaining that the proposed agreement </w:t>
      </w:r>
      <w:r w:rsidRPr="00BC1590">
        <w:t>permitted the “transmission owners to file changes in transmission service rate design and non-rate terms and conditions to the tariff under section 205,” subject to potential rejection of a proposed change by the independent PJM Board by majority vote</w:t>
      </w:r>
      <w:r>
        <w:t>)</w:t>
      </w:r>
      <w:r w:rsidRPr="00BC1590">
        <w:t xml:space="preserve">.  </w:t>
      </w:r>
    </w:p>
  </w:footnote>
  <w:footnote w:id="839">
    <w:p w:rsidR="00760048" w:rsidRPr="00BC1590" w:rsidP="00071614" w14:paraId="1FAE35F6" w14:textId="77777777">
      <w:pPr>
        <w:pStyle w:val="FootnoteText"/>
      </w:pPr>
      <w:r w:rsidRPr="0072600F">
        <w:rPr>
          <w:rStyle w:val="FootnoteReference"/>
        </w:rPr>
        <w:footnoteRef/>
      </w:r>
      <w:r>
        <w:t xml:space="preserve"> </w:t>
      </w:r>
      <w:r w:rsidRPr="00BC1590">
        <w:rPr>
          <w:i/>
          <w:iCs/>
        </w:rPr>
        <w:t>Id.</w:t>
      </w:r>
      <w:r>
        <w:t xml:space="preserve"> at 7.</w:t>
      </w:r>
    </w:p>
  </w:footnote>
  <w:footnote w:id="840">
    <w:p w:rsidR="00760048" w:rsidRPr="003A41AD" w:rsidP="00071614" w14:paraId="7958D91C" w14:textId="77777777">
      <w:pPr>
        <w:pStyle w:val="FootnoteText"/>
      </w:pPr>
      <w:r w:rsidRPr="0072600F">
        <w:rPr>
          <w:rStyle w:val="FootnoteReference"/>
        </w:rPr>
        <w:footnoteRef/>
      </w:r>
      <w:r>
        <w:t xml:space="preserve"> </w:t>
      </w:r>
      <w:r>
        <w:rPr>
          <w:i/>
          <w:iCs/>
        </w:rPr>
        <w:t>Id.</w:t>
      </w:r>
      <w:r>
        <w:t xml:space="preserve"> at 9; </w:t>
      </w:r>
      <w:r>
        <w:rPr>
          <w:i/>
          <w:iCs/>
        </w:rPr>
        <w:t>see also id.</w:t>
      </w:r>
      <w:r>
        <w:t xml:space="preserve"> at 10 (explaining that the Commission was “</w:t>
      </w:r>
      <w:r w:rsidRPr="003A41AD">
        <w:t>purport[</w:t>
      </w:r>
      <w:r w:rsidRPr="003A41AD">
        <w:t xml:space="preserve">ing] to deny the utility petitioners </w:t>
      </w:r>
      <w:r w:rsidRPr="003A41AD">
        <w:rPr>
          <w:i/>
          <w:iCs/>
        </w:rPr>
        <w:t>any</w:t>
      </w:r>
      <w:r w:rsidRPr="003A41AD">
        <w:t xml:space="preserve"> ability to initiate rate design changes with respect to services provided with their own assets,” thereby “eliminat[ing] the very thing that the statute was designed to protect—the ability of the utility owner to set the rates it will charge prospective customers, and change them at will, subject to review by the Commission.</w:t>
      </w:r>
      <w:r>
        <w:t xml:space="preserve">” (quotation marks omitted); </w:t>
      </w:r>
      <w:r w:rsidRPr="003A41AD">
        <w:rPr>
          <w:i/>
          <w:iCs/>
        </w:rPr>
        <w:t>id.</w:t>
      </w:r>
      <w:r w:rsidRPr="003A41AD">
        <w:t xml:space="preserve"> at 11 (holding that the Commission cannot deny “the petitioners their rights provided for by a statute enacted by both houses of Congress and signed into law by the [p]resident”)</w:t>
      </w:r>
      <w:r>
        <w:t xml:space="preserve">; </w:t>
      </w:r>
      <w:r>
        <w:rPr>
          <w:i/>
          <w:iCs/>
        </w:rPr>
        <w:t>Atl. City</w:t>
      </w:r>
      <w:r>
        <w:t xml:space="preserve"> </w:t>
      </w:r>
      <w:r>
        <w:rPr>
          <w:i/>
          <w:iCs/>
        </w:rPr>
        <w:t>II</w:t>
      </w:r>
      <w:r>
        <w:t xml:space="preserve">, </w:t>
      </w:r>
      <w:r w:rsidRPr="003A41AD">
        <w:t>329 F.3d at 859</w:t>
      </w:r>
      <w:r>
        <w:t xml:space="preserve"> (“[W]</w:t>
      </w:r>
      <w:r w:rsidRPr="003A41AD">
        <w:t>e reaffirm and clarify our prior decision that FERC has no jurisdiction to enter limitations requiring utilities to surrender their rights under § 205 of the FPA to make filings to initiate rate changes.</w:t>
      </w:r>
      <w:r>
        <w:t>”).</w:t>
      </w:r>
    </w:p>
  </w:footnote>
  <w:footnote w:id="841">
    <w:p w:rsidR="00760048" w:rsidP="00071614" w14:paraId="608DF098" w14:textId="77777777">
      <w:pPr>
        <w:pStyle w:val="FootnoteText"/>
      </w:pPr>
      <w:r w:rsidRPr="0072600F">
        <w:rPr>
          <w:rStyle w:val="FootnoteReference"/>
        </w:rPr>
        <w:footnoteRef/>
      </w:r>
      <w:r>
        <w:t xml:space="preserve"> 16 U.S.C. § 824e(a).</w:t>
      </w:r>
    </w:p>
  </w:footnote>
  <w:footnote w:id="842">
    <w:p w:rsidR="00760048" w:rsidRPr="006D6AAD" w:rsidP="00071614" w14:paraId="4053E6F0" w14:textId="77777777">
      <w:pPr>
        <w:pStyle w:val="FootnoteText"/>
      </w:pPr>
      <w:r w:rsidRPr="0072600F">
        <w:rPr>
          <w:rStyle w:val="FootnoteReference"/>
        </w:rPr>
        <w:footnoteRef/>
      </w:r>
      <w:r>
        <w:t xml:space="preserve"> </w:t>
      </w:r>
      <w:r>
        <w:rPr>
          <w:i/>
          <w:iCs/>
        </w:rPr>
        <w:t>See, e.g.</w:t>
      </w:r>
      <w:r>
        <w:t>,</w:t>
      </w:r>
      <w:r>
        <w:rPr>
          <w:i/>
          <w:iCs/>
        </w:rPr>
        <w:t xml:space="preserve"> Atl. City I</w:t>
      </w:r>
      <w:r>
        <w:t>, 295 F.3d at 10 (“</w:t>
      </w:r>
      <w:r w:rsidRPr="006D6AAD">
        <w:t xml:space="preserve">The courts have repeatedly held that FERC has no power to force public utilities to file particular rates </w:t>
      </w:r>
      <w:r w:rsidRPr="006D6AAD">
        <w:rPr>
          <w:i/>
          <w:iCs/>
        </w:rPr>
        <w:t>unless it first finds the existing filed rates unlawful</w:t>
      </w:r>
      <w:r w:rsidRPr="006D6AAD">
        <w:t>.</w:t>
      </w:r>
      <w:r>
        <w:t xml:space="preserve"> . . . [T]</w:t>
      </w:r>
      <w:r w:rsidRPr="006D6AAD">
        <w:t xml:space="preserve">he power to initiate rate changes rests with the utility and cannot be appropriated by FERC </w:t>
      </w:r>
      <w:r w:rsidRPr="006D6AAD">
        <w:rPr>
          <w:i/>
          <w:iCs/>
        </w:rPr>
        <w:t>in the absence of a finding that the existing rate was unlawful</w:t>
      </w:r>
      <w:r>
        <w:t xml:space="preserve">.” (emphasis added)). </w:t>
      </w:r>
    </w:p>
  </w:footnote>
  <w:footnote w:id="843">
    <w:p w:rsidR="00760048" w:rsidP="00071614" w14:paraId="6DCF585B" w14:textId="77777777">
      <w:pPr>
        <w:pStyle w:val="FootnoteText"/>
      </w:pPr>
      <w:r w:rsidRPr="0072600F">
        <w:rPr>
          <w:rStyle w:val="FootnoteReference"/>
        </w:rPr>
        <w:footnoteRef/>
      </w:r>
      <w:r>
        <w:t xml:space="preserve"> EEI Rehearing Request at 9 (arguing that this approach acknowledges that one entity’s actions often cannot commence until another entity’s work is completed).</w:t>
      </w:r>
    </w:p>
  </w:footnote>
  <w:footnote w:id="844">
    <w:p w:rsidR="00760048" w:rsidP="00071614" w14:paraId="467D8CBA" w14:textId="77777777">
      <w:pPr>
        <w:pStyle w:val="FootnoteText"/>
      </w:pPr>
      <w:r w:rsidRPr="0072600F">
        <w:rPr>
          <w:rStyle w:val="FootnoteReference"/>
        </w:rPr>
        <w:footnoteRef/>
      </w:r>
      <w:r>
        <w:t xml:space="preserve"> </w:t>
      </w:r>
      <w:r w:rsidRPr="008D634A">
        <w:t>MISO TOs Rehearing Request at 36-37</w:t>
      </w:r>
      <w:r>
        <w:t>.</w:t>
      </w:r>
    </w:p>
  </w:footnote>
  <w:footnote w:id="845">
    <w:p w:rsidR="00760048" w:rsidP="00071614" w14:paraId="598C842D" w14:textId="77777777">
      <w:pPr>
        <w:pStyle w:val="FootnoteText"/>
      </w:pPr>
      <w:r w:rsidRPr="0072600F">
        <w:rPr>
          <w:rStyle w:val="FootnoteReference"/>
        </w:rPr>
        <w:footnoteRef/>
      </w:r>
      <w:r>
        <w:t xml:space="preserve"> </w:t>
      </w:r>
      <w:r w:rsidRPr="008D634A">
        <w:t>NYISO Rehearing Request at 20-21</w:t>
      </w:r>
      <w:r>
        <w:t>.</w:t>
      </w:r>
    </w:p>
  </w:footnote>
  <w:footnote w:id="846">
    <w:p w:rsidR="00760048" w:rsidRPr="00E731CB" w:rsidP="00071614" w14:paraId="7EB78C8F" w14:textId="77777777">
      <w:pPr>
        <w:pStyle w:val="FootnoteText"/>
      </w:pPr>
      <w:r w:rsidRPr="0072600F">
        <w:rPr>
          <w:rStyle w:val="FootnoteReference"/>
        </w:rPr>
        <w:footnoteRef/>
      </w:r>
      <w:r>
        <w:t xml:space="preserve"> </w:t>
      </w:r>
      <w:r>
        <w:rPr>
          <w:i/>
          <w:iCs/>
        </w:rPr>
        <w:t>Id.</w:t>
      </w:r>
      <w:r>
        <w:t xml:space="preserve"> at 35.</w:t>
      </w:r>
    </w:p>
  </w:footnote>
  <w:footnote w:id="847">
    <w:p w:rsidR="00760048" w:rsidRPr="00E731CB" w:rsidP="00071614" w14:paraId="62983E76" w14:textId="77777777">
      <w:pPr>
        <w:pStyle w:val="FootnoteText"/>
      </w:pPr>
      <w:r w:rsidRPr="0072600F">
        <w:rPr>
          <w:rStyle w:val="FootnoteReference"/>
        </w:rPr>
        <w:footnoteRef/>
      </w:r>
      <w:r>
        <w:t xml:space="preserve"> </w:t>
      </w:r>
      <w:r>
        <w:rPr>
          <w:i/>
          <w:iCs/>
        </w:rPr>
        <w:t>Id.</w:t>
      </w:r>
      <w:r>
        <w:t xml:space="preserve"> at 37.</w:t>
      </w:r>
    </w:p>
  </w:footnote>
  <w:footnote w:id="848">
    <w:p w:rsidR="00760048" w:rsidRPr="00E731CB" w:rsidP="00071614" w14:paraId="05A12018" w14:textId="77777777">
      <w:pPr>
        <w:pStyle w:val="FootnoteText"/>
      </w:pPr>
      <w:r w:rsidRPr="0072600F">
        <w:rPr>
          <w:rStyle w:val="FootnoteReference"/>
        </w:rPr>
        <w:footnoteRef/>
      </w:r>
      <w:r>
        <w:t xml:space="preserve"> </w:t>
      </w:r>
      <w:r>
        <w:rPr>
          <w:i/>
          <w:iCs/>
        </w:rPr>
        <w:t>Id.</w:t>
      </w:r>
      <w:r>
        <w:t xml:space="preserve"> (asserting that </w:t>
      </w:r>
      <w:r w:rsidRPr="00E731CB">
        <w:t>the Commission’s example estimating a $63,000 penalty for a six</w:t>
      </w:r>
      <w:r>
        <w:t>-</w:t>
      </w:r>
      <w:r w:rsidRPr="00E731CB">
        <w:t>month delay under the NOPR structure does not show that the penalties</w:t>
      </w:r>
      <w:r>
        <w:t xml:space="preserve"> assessed under Order No. 2023</w:t>
      </w:r>
      <w:r w:rsidRPr="00E731CB">
        <w:t xml:space="preserve"> will be proportionate or non-punitive, particularly as to not-for-profit RTOs/ISOs</w:t>
      </w:r>
      <w:r>
        <w:t>).</w:t>
      </w:r>
    </w:p>
  </w:footnote>
  <w:footnote w:id="849">
    <w:p w:rsidR="00760048" w:rsidP="00071614" w14:paraId="1158E96D" w14:textId="77777777">
      <w:pPr>
        <w:pStyle w:val="FootnoteText"/>
      </w:pPr>
      <w:r w:rsidRPr="0072600F">
        <w:rPr>
          <w:rStyle w:val="FootnoteReference"/>
        </w:rPr>
        <w:footnoteRef/>
      </w:r>
      <w:r>
        <w:t xml:space="preserve"> Indicated PJM TOs Rehearing Request at 40-41.</w:t>
      </w:r>
    </w:p>
  </w:footnote>
  <w:footnote w:id="850">
    <w:p w:rsidR="00760048" w:rsidP="00071614" w14:paraId="1AFFB0A0" w14:textId="77777777">
      <w:pPr>
        <w:pStyle w:val="FootnoteText"/>
      </w:pPr>
      <w:r w:rsidRPr="0072600F">
        <w:rPr>
          <w:rStyle w:val="FootnoteReference"/>
        </w:rPr>
        <w:footnoteRef/>
      </w:r>
      <w:r>
        <w:t xml:space="preserve"> </w:t>
      </w:r>
      <w:r w:rsidRPr="006B4AB2">
        <w:rPr>
          <w:i/>
          <w:iCs/>
        </w:rPr>
        <w:t>Id.</w:t>
      </w:r>
      <w:r>
        <w:t xml:space="preserve"> at 40 (citing</w:t>
      </w:r>
      <w:r w:rsidRPr="00FE1D79">
        <w:rPr>
          <w:i/>
          <w:iCs/>
        </w:rPr>
        <w:t xml:space="preserve"> Ala. Elec. Coop.</w:t>
      </w:r>
      <w:r w:rsidRPr="00FE1D79">
        <w:t>, 684 F.2d at 28</w:t>
      </w:r>
      <w:r>
        <w:t>).</w:t>
      </w:r>
      <w:r w:rsidRPr="00FE1D79">
        <w:t xml:space="preserve"> </w:t>
      </w:r>
    </w:p>
  </w:footnote>
  <w:footnote w:id="851">
    <w:p w:rsidR="00760048" w:rsidP="00071614" w14:paraId="5E279C2D" w14:textId="77777777">
      <w:pPr>
        <w:pStyle w:val="FootnoteText"/>
      </w:pPr>
      <w:r w:rsidRPr="0072600F">
        <w:rPr>
          <w:rStyle w:val="FootnoteReference"/>
        </w:rPr>
        <w:footnoteRef/>
      </w:r>
      <w:r>
        <w:t xml:space="preserve"> Invenergy Rehearing Request at 2-3.</w:t>
      </w:r>
    </w:p>
  </w:footnote>
  <w:footnote w:id="852">
    <w:p w:rsidR="00760048" w:rsidRPr="00DB5DA6" w:rsidP="00071614" w14:paraId="309F5113" w14:textId="77777777">
      <w:pPr>
        <w:pStyle w:val="FootnoteText"/>
      </w:pPr>
      <w:r w:rsidRPr="0072600F">
        <w:rPr>
          <w:rStyle w:val="FootnoteReference"/>
        </w:rPr>
        <w:footnoteRef/>
      </w:r>
      <w:r>
        <w:t xml:space="preserve"> </w:t>
      </w:r>
      <w:r>
        <w:rPr>
          <w:i/>
          <w:iCs/>
        </w:rPr>
        <w:t>Id.</w:t>
      </w:r>
      <w:r>
        <w:t xml:space="preserve"> (asserting that there is a “</w:t>
      </w:r>
      <w:r w:rsidRPr="00E72CA9">
        <w:t>risk that the failure of an Affected System to meet pre-study</w:t>
      </w:r>
      <w:r>
        <w:t xml:space="preserve"> </w:t>
      </w:r>
      <w:r w:rsidRPr="00E72CA9">
        <w:t>deadlines will delay commencement of the Affected System study (and thus the start of the 150-day clock applicable to that study)</w:t>
      </w:r>
      <w:r>
        <w:t>”).</w:t>
      </w:r>
    </w:p>
  </w:footnote>
  <w:footnote w:id="853">
    <w:p w:rsidR="00760048" w14:paraId="6AF620DD" w14:textId="77777777">
      <w:pPr>
        <w:pStyle w:val="FootnoteText"/>
      </w:pPr>
      <w:r w:rsidRPr="0072600F">
        <w:rPr>
          <w:rStyle w:val="FootnoteReference"/>
        </w:rPr>
        <w:footnoteRef/>
      </w:r>
      <w:r>
        <w:t xml:space="preserve"> </w:t>
      </w:r>
      <w:r w:rsidRPr="006B4AB2">
        <w:rPr>
          <w:i/>
          <w:iCs/>
        </w:rPr>
        <w:t xml:space="preserve">See </w:t>
      </w:r>
      <w:r w:rsidRPr="006B4AB2">
        <w:t>Clean Energy Associations Rehearing Request at 76-77</w:t>
      </w:r>
      <w:r>
        <w:t>.</w:t>
      </w:r>
    </w:p>
  </w:footnote>
  <w:footnote w:id="854">
    <w:p w:rsidR="00760048" w:rsidP="00071614" w14:paraId="7F57ABC0" w14:textId="77777777">
      <w:pPr>
        <w:pStyle w:val="FootnoteText"/>
      </w:pPr>
      <w:r w:rsidRPr="0072600F">
        <w:rPr>
          <w:rStyle w:val="FootnoteReference"/>
        </w:rPr>
        <w:footnoteRef/>
      </w:r>
      <w:r>
        <w:t xml:space="preserve"> MISO Rehearing Request at 11-14.</w:t>
      </w:r>
    </w:p>
  </w:footnote>
  <w:footnote w:id="855">
    <w:p w:rsidR="00760048" w:rsidP="00071614" w14:paraId="6164F37D" w14:textId="77777777">
      <w:pPr>
        <w:pStyle w:val="FootnoteText"/>
      </w:pPr>
      <w:r w:rsidRPr="0072600F">
        <w:rPr>
          <w:rStyle w:val="FootnoteReference"/>
        </w:rPr>
        <w:footnoteRef/>
      </w:r>
      <w:r>
        <w:t xml:space="preserve"> </w:t>
      </w:r>
      <w:r w:rsidRPr="006B4AB2">
        <w:rPr>
          <w:i/>
          <w:iCs/>
        </w:rPr>
        <w:t>Id.</w:t>
      </w:r>
      <w:r w:rsidRPr="00DB5DA6">
        <w:t xml:space="preserve"> at 15-16.</w:t>
      </w:r>
    </w:p>
  </w:footnote>
  <w:footnote w:id="856">
    <w:p w:rsidR="00760048" w:rsidP="00071614" w14:paraId="78DDDD4C" w14:textId="77777777">
      <w:pPr>
        <w:pStyle w:val="FootnoteText"/>
      </w:pPr>
      <w:r w:rsidRPr="0072600F">
        <w:rPr>
          <w:rStyle w:val="FootnoteReference"/>
        </w:rPr>
        <w:footnoteRef/>
      </w:r>
      <w:r>
        <w:t xml:space="preserve"> </w:t>
      </w:r>
      <w:r w:rsidRPr="00A753A9">
        <w:t>Order No. 2023</w:t>
      </w:r>
      <w:r>
        <w:t xml:space="preserve">, </w:t>
      </w:r>
      <w:r w:rsidRPr="00381658">
        <w:t>184 FERC ¶ 61,054</w:t>
      </w:r>
      <w:r w:rsidRPr="00A753A9">
        <w:t xml:space="preserve"> at P 963; </w:t>
      </w:r>
      <w:r w:rsidRPr="00A753A9">
        <w:rPr>
          <w:i/>
          <w:iCs/>
        </w:rPr>
        <w:t>see also id</w:t>
      </w:r>
      <w:r>
        <w:t>.</w:t>
      </w:r>
      <w:r w:rsidRPr="00A753A9">
        <w:t xml:space="preserve"> at P 990; </w:t>
      </w:r>
      <w:r w:rsidRPr="00A753A9">
        <w:rPr>
          <w:i/>
          <w:iCs/>
        </w:rPr>
        <w:t>pro forma</w:t>
      </w:r>
      <w:r w:rsidRPr="00A753A9">
        <w:t xml:space="preserve"> LGIP section 3.9.</w:t>
      </w:r>
    </w:p>
  </w:footnote>
  <w:footnote w:id="857">
    <w:p w:rsidR="00760048" w:rsidP="00071614" w14:paraId="727F931C" w14:textId="77777777">
      <w:pPr>
        <w:pStyle w:val="FootnoteText"/>
      </w:pPr>
      <w:r w:rsidRPr="0072600F">
        <w:rPr>
          <w:rStyle w:val="FootnoteReference"/>
        </w:rPr>
        <w:footnoteRef/>
      </w:r>
      <w:r>
        <w:t xml:space="preserve"> Indicated PJM TOs</w:t>
      </w:r>
      <w:r w:rsidRPr="00A753A9">
        <w:t xml:space="preserve"> Rehearing Request at 40-41.</w:t>
      </w:r>
    </w:p>
  </w:footnote>
  <w:footnote w:id="858">
    <w:p w:rsidR="00760048" w14:paraId="233B8598" w14:textId="77777777">
      <w:pPr>
        <w:pStyle w:val="FootnoteText"/>
      </w:pPr>
      <w:r w:rsidRPr="0072600F">
        <w:rPr>
          <w:rStyle w:val="FootnoteReference"/>
        </w:rPr>
        <w:footnoteRef/>
      </w:r>
      <w:r>
        <w:t xml:space="preserve"> For the same reasons discussed in this paragraph, we also reject Clean Energy Associations’ similar argument couched as a request for clarification.</w:t>
      </w:r>
    </w:p>
  </w:footnote>
  <w:footnote w:id="859">
    <w:p w:rsidR="00760048" w:rsidRPr="004E475B" w:rsidP="00071614" w14:paraId="3D80EBC4" w14:textId="77777777">
      <w:pPr>
        <w:pStyle w:val="FootnoteText"/>
      </w:pPr>
      <w:r w:rsidRPr="0072600F">
        <w:rPr>
          <w:rStyle w:val="FootnoteReference"/>
        </w:rPr>
        <w:footnoteRef/>
      </w:r>
      <w:r>
        <w:t xml:space="preserve"> The opportunities for delay that Invenergy cites are associated with tasks that—particularly compared to the conduct of an interconnection study—are relatively straightforward: providing notice of intent to conduct an affected system study and a non-binding cost estimate and schedule for that study.  </w:t>
      </w:r>
      <w:r>
        <w:rPr>
          <w:i/>
          <w:iCs/>
        </w:rPr>
        <w:t>See id.</w:t>
      </w:r>
      <w:r>
        <w:t xml:space="preserve">  It is therefore not apparent that there should be significant delays associated with these tasks as a general matter, and we will not presume that affected systems will tactically delay such tasks to avoid triggering other deadlines.  If such delays arise we may consider further action.</w:t>
      </w:r>
    </w:p>
  </w:footnote>
  <w:footnote w:id="860">
    <w:p w:rsidR="00760048" w:rsidP="00071614" w14:paraId="15E185FD" w14:textId="77777777">
      <w:pPr>
        <w:pStyle w:val="FootnoteText"/>
      </w:pPr>
      <w:r w:rsidRPr="0072600F">
        <w:rPr>
          <w:rStyle w:val="FootnoteReference"/>
        </w:rPr>
        <w:footnoteRef/>
      </w:r>
      <w:r>
        <w:t xml:space="preserve"> </w:t>
      </w:r>
      <w:r w:rsidRPr="004E427D">
        <w:rPr>
          <w:i/>
        </w:rPr>
        <w:t>See, e.g.</w:t>
      </w:r>
      <w:r>
        <w:t xml:space="preserve">, </w:t>
      </w:r>
      <w:r w:rsidRPr="00853F84">
        <w:rPr>
          <w:i/>
          <w:iCs/>
        </w:rPr>
        <w:t>p</w:t>
      </w:r>
      <w:r w:rsidRPr="00AB34F1">
        <w:rPr>
          <w:i/>
          <w:iCs/>
        </w:rPr>
        <w:t xml:space="preserve">ro forma </w:t>
      </w:r>
      <w:r w:rsidRPr="00AB34F1">
        <w:t>LGIP section</w:t>
      </w:r>
      <w:r>
        <w:t>s 3.1, 3.4, 3.6.</w:t>
      </w:r>
    </w:p>
  </w:footnote>
  <w:footnote w:id="861">
    <w:p w:rsidR="00760048" w:rsidP="00071614" w14:paraId="07DDEED7" w14:textId="77777777">
      <w:pPr>
        <w:pStyle w:val="FootnoteText"/>
      </w:pPr>
      <w:r w:rsidRPr="0072600F">
        <w:rPr>
          <w:rStyle w:val="FootnoteReference"/>
        </w:rPr>
        <w:footnoteRef/>
      </w:r>
      <w:r>
        <w:t xml:space="preserve"> Order No. 2023, </w:t>
      </w:r>
      <w:r w:rsidRPr="00381658">
        <w:t>184 FERC ¶ 61,054</w:t>
      </w:r>
      <w:r>
        <w:t xml:space="preserve"> at P 1025.</w:t>
      </w:r>
    </w:p>
  </w:footnote>
  <w:footnote w:id="862">
    <w:p w:rsidR="00760048" w:rsidRPr="00F315EA" w:rsidP="00071614" w14:paraId="68205CDC" w14:textId="77777777">
      <w:pPr>
        <w:pStyle w:val="FootnoteText"/>
        <w:rPr>
          <w:b/>
          <w:bCs/>
        </w:rPr>
      </w:pPr>
      <w:r w:rsidRPr="0072600F">
        <w:rPr>
          <w:rStyle w:val="FootnoteReference"/>
        </w:rPr>
        <w:footnoteRef/>
      </w:r>
      <w:r>
        <w:t xml:space="preserve"> </w:t>
      </w:r>
      <w:r w:rsidRPr="005A73F0">
        <w:t>Even assuming that one or more of these alternative approaches might also address</w:t>
      </w:r>
      <w:r>
        <w:t xml:space="preserve"> </w:t>
      </w:r>
      <w:r w:rsidRPr="005A73F0">
        <w:t>the problem of late interconnection studies</w:t>
      </w:r>
      <w:r>
        <w:t xml:space="preserve"> contributing to interconnection queue backlogs</w:t>
      </w:r>
      <w:r w:rsidRPr="005A73F0">
        <w:t xml:space="preserve">, </w:t>
      </w:r>
      <w:r>
        <w:t>leading</w:t>
      </w:r>
      <w:r w:rsidRPr="005A73F0">
        <w:t xml:space="preserve"> to unjust and unreasonable rates, this does not demonstrate that the deadline and penalty structure in Order No. 2023 is not just and reasonable.  </w:t>
      </w:r>
      <w:r w:rsidRPr="00F315EA">
        <w:rPr>
          <w:i/>
          <w:iCs/>
        </w:rPr>
        <w:t>See</w:t>
      </w:r>
      <w:r>
        <w:rPr>
          <w:b/>
          <w:bCs/>
          <w:i/>
          <w:iCs/>
        </w:rPr>
        <w:t xml:space="preserve"> </w:t>
      </w:r>
      <w:r w:rsidRPr="008136E7">
        <w:rPr>
          <w:i/>
          <w:iCs/>
        </w:rPr>
        <w:t>Petal Gas Storage, LLC v. FERC</w:t>
      </w:r>
      <w:r w:rsidRPr="008136E7">
        <w:t xml:space="preserve">, 496 F.3d 695, 703 (D.C. Cir. 2007) (“[The Commission]is not required to choose the best solution, only a reasonable one.”); </w:t>
      </w:r>
      <w:r w:rsidRPr="008136E7">
        <w:rPr>
          <w:i/>
          <w:iCs/>
        </w:rPr>
        <w:t>ExxonMobil Oil Corp. v. FERC</w:t>
      </w:r>
      <w:r w:rsidRPr="008136E7">
        <w:t>, 487 F.3d 945, 955 (D.C. Cir. 2007) (“We need not decide whether the Commission has adopted the best possible policy as long as the agency has acted within the scope of its discretion and reasonably explained its actions.”)</w:t>
      </w:r>
      <w:r w:rsidRPr="00F315EA">
        <w:t xml:space="preserve">; </w:t>
      </w:r>
      <w:r w:rsidRPr="00EA57BB">
        <w:rPr>
          <w:i/>
          <w:iCs/>
        </w:rPr>
        <w:t>Midwest Indep. Transmission Sys. Operator, Inc.</w:t>
      </w:r>
      <w:r w:rsidRPr="00EA57BB">
        <w:t>, 127 FERC ¶ 61,109,</w:t>
      </w:r>
      <w:r>
        <w:t xml:space="preserve"> at P 20</w:t>
      </w:r>
      <w:r w:rsidRPr="00EA57BB">
        <w:t xml:space="preserve"> (2009)</w:t>
      </w:r>
      <w:r w:rsidRPr="00F315EA">
        <w:t xml:space="preserve"> (“It is well established that there can be more than one just and reasonable rate</w:t>
      </w:r>
      <w:r>
        <w:t> </w:t>
      </w:r>
      <w:r w:rsidRPr="00F315EA">
        <w:t>.</w:t>
      </w:r>
      <w:r>
        <w:t> </w:t>
      </w:r>
      <w:r w:rsidRPr="00F315EA">
        <w:t>.</w:t>
      </w:r>
      <w:r>
        <w:t> </w:t>
      </w:r>
      <w:r w:rsidRPr="00F315EA">
        <w:t>.</w:t>
      </w:r>
      <w:r>
        <w:t> </w:t>
      </w:r>
      <w:r w:rsidRPr="00F315EA">
        <w:t>.”)</w:t>
      </w:r>
      <w:r>
        <w:t>.</w:t>
      </w:r>
    </w:p>
  </w:footnote>
  <w:footnote w:id="863">
    <w:p w:rsidR="00760048" w:rsidRPr="00872308" w:rsidP="00071614" w14:paraId="3C974AF3" w14:textId="77777777">
      <w:pPr>
        <w:pStyle w:val="FootnoteText"/>
      </w:pPr>
      <w:r w:rsidRPr="0072600F">
        <w:rPr>
          <w:rStyle w:val="FootnoteReference"/>
        </w:rPr>
        <w:footnoteRef/>
      </w:r>
      <w:r>
        <w:t xml:space="preserve"> </w:t>
      </w:r>
      <w:r>
        <w:rPr>
          <w:i/>
          <w:iCs/>
        </w:rPr>
        <w:t xml:space="preserve">See </w:t>
      </w:r>
      <w:r w:rsidRPr="00B93733">
        <w:t>Order No. 2023</w:t>
      </w:r>
      <w:r>
        <w:t xml:space="preserve">, </w:t>
      </w:r>
      <w:r w:rsidRPr="00381658">
        <w:t>184 FERC ¶ 61,054</w:t>
      </w:r>
      <w:r w:rsidRPr="00B93733">
        <w:t xml:space="preserve"> at P 1013 (noting that interconnection studies “are more numerous, complex, and susceptible to delays” and “there is a growing number of interconnection customers affected by study delays. </w:t>
      </w:r>
      <w:r w:rsidR="00697472">
        <w:t xml:space="preserve"> </w:t>
      </w:r>
      <w:r w:rsidRPr="00B93733">
        <w:t>We believe that these factors underscore the need for transmission providers to meet study deadlines and the need to provide an incentive, in the form of study delay penalties”)</w:t>
      </w:r>
      <w:r>
        <w:t xml:space="preserve">; </w:t>
      </w:r>
      <w:r>
        <w:rPr>
          <w:i/>
          <w:iCs/>
        </w:rPr>
        <w:t>id.</w:t>
      </w:r>
      <w:r>
        <w:t xml:space="preserve"> P 1025.</w:t>
      </w:r>
    </w:p>
  </w:footnote>
  <w:footnote w:id="864">
    <w:p w:rsidR="00760048" w:rsidP="00071614" w14:paraId="13231CC1" w14:textId="77777777">
      <w:pPr>
        <w:pStyle w:val="FootnoteText"/>
      </w:pPr>
      <w:r w:rsidRPr="0072600F">
        <w:rPr>
          <w:rStyle w:val="FootnoteReference"/>
        </w:rPr>
        <w:footnoteRef/>
      </w:r>
      <w:r>
        <w:t xml:space="preserve"> </w:t>
      </w:r>
      <w:r w:rsidRPr="00754E80">
        <w:t>MISO TOs Rehearing Request</w:t>
      </w:r>
      <w:r>
        <w:t xml:space="preserve"> at 36.</w:t>
      </w:r>
    </w:p>
  </w:footnote>
  <w:footnote w:id="865">
    <w:p w:rsidR="00760048" w:rsidP="00071614" w14:paraId="4512CEBC" w14:textId="77777777">
      <w:pPr>
        <w:pStyle w:val="FootnoteText"/>
      </w:pPr>
      <w:r w:rsidRPr="0072600F">
        <w:rPr>
          <w:rStyle w:val="FootnoteReference"/>
        </w:rPr>
        <w:footnoteRef/>
      </w:r>
      <w:r>
        <w:t xml:space="preserve"> NYISO Rehearing Request at 21.</w:t>
      </w:r>
    </w:p>
  </w:footnote>
  <w:footnote w:id="866">
    <w:p w:rsidR="00760048" w:rsidP="00071614" w14:paraId="7D91EC18" w14:textId="77777777">
      <w:pPr>
        <w:pStyle w:val="FootnoteText"/>
      </w:pPr>
      <w:r w:rsidRPr="0072600F">
        <w:rPr>
          <w:rStyle w:val="FootnoteReference"/>
        </w:rPr>
        <w:footnoteRef/>
      </w:r>
      <w:r>
        <w:t xml:space="preserve"> EEI Rehearing Request at 9.</w:t>
      </w:r>
    </w:p>
  </w:footnote>
  <w:footnote w:id="867">
    <w:p w:rsidR="00760048" w:rsidRPr="002F7EC0" w:rsidP="00071614" w14:paraId="621B40D7" w14:textId="77777777">
      <w:pPr>
        <w:pStyle w:val="FootnoteText"/>
      </w:pPr>
      <w:r w:rsidRPr="0072600F">
        <w:rPr>
          <w:rStyle w:val="FootnoteReference"/>
        </w:rPr>
        <w:footnoteRef/>
      </w:r>
      <w:r>
        <w:t xml:space="preserve"> </w:t>
      </w:r>
      <w:r>
        <w:rPr>
          <w:i/>
          <w:iCs/>
        </w:rPr>
        <w:t xml:space="preserve">See </w:t>
      </w:r>
      <w:r>
        <w:t>Order No. 2023,</w:t>
      </w:r>
      <w:r w:rsidRPr="003D0ABB">
        <w:t xml:space="preserve"> </w:t>
      </w:r>
      <w:r w:rsidRPr="00381658">
        <w:t>184 FERC ¶ 61,054</w:t>
      </w:r>
      <w:r>
        <w:t xml:space="preserve"> at P 1025; </w:t>
      </w:r>
      <w:r>
        <w:rPr>
          <w:i/>
          <w:iCs/>
        </w:rPr>
        <w:t>supra</w:t>
      </w:r>
      <w:r>
        <w:t xml:space="preserve"> PP </w:t>
      </w:r>
      <w:r w:rsidRPr="00D50A25">
        <w:fldChar w:fldCharType="begin"/>
      </w:r>
      <w:r w:rsidRPr="00D50A25">
        <w:instrText xml:space="preserve"> REF _Ref160109516 \r \h </w:instrText>
      </w:r>
      <w:r>
        <w:instrText xml:space="preserve"> \* MERGEFORMAT </w:instrText>
      </w:r>
      <w:r w:rsidRPr="00D50A25">
        <w:fldChar w:fldCharType="separate"/>
      </w:r>
      <w:r w:rsidR="00C46123">
        <w:t>281</w:t>
      </w:r>
      <w:r w:rsidRPr="00D50A25">
        <w:fldChar w:fldCharType="end"/>
      </w:r>
      <w:r w:rsidRPr="00D50A25">
        <w:t>-</w:t>
      </w:r>
      <w:r w:rsidRPr="00D50A25">
        <w:fldChar w:fldCharType="begin"/>
      </w:r>
      <w:r w:rsidRPr="00D50A25">
        <w:instrText xml:space="preserve"> REF _Ref160109518 \r \h </w:instrText>
      </w:r>
      <w:r>
        <w:instrText xml:space="preserve"> \* MERGEFORMAT </w:instrText>
      </w:r>
      <w:r w:rsidRPr="00D50A25">
        <w:fldChar w:fldCharType="separate"/>
      </w:r>
      <w:r w:rsidR="00C46123">
        <w:t>282</w:t>
      </w:r>
      <w:r w:rsidRPr="00D50A25">
        <w:fldChar w:fldCharType="end"/>
      </w:r>
      <w:r>
        <w:t xml:space="preserve"> (explaining</w:t>
      </w:r>
      <w:r w:rsidRPr="002F7EC0">
        <w:t xml:space="preserve"> that the Commission’s previous efforts to address interconnection queue backlogs </w:t>
      </w:r>
      <w:r>
        <w:t xml:space="preserve">through Order No. 845’s reporting requirements </w:t>
      </w:r>
      <w:r w:rsidRPr="002F7EC0">
        <w:t>have not been sufficient to remedy this problem</w:t>
      </w:r>
      <w:r>
        <w:t>, which has worsened since those efforts were undertaken).  The Commission has already addressed NYISO’s suggestion that “</w:t>
      </w:r>
      <w:r w:rsidRPr="00383784">
        <w:t>the Commission could allo</w:t>
      </w:r>
      <w:r>
        <w:t xml:space="preserve">w </w:t>
      </w:r>
      <w:r w:rsidRPr="00383784">
        <w:t>individual RTO/ISO regions to propose alternative rules as independent entity variations in their</w:t>
      </w:r>
      <w:r>
        <w:t xml:space="preserve"> </w:t>
      </w:r>
      <w:r w:rsidRPr="00383784">
        <w:t>Order No. 2023 compliance filings</w:t>
      </w:r>
      <w:r>
        <w:t xml:space="preserve">.”  NYISO Rehearing Request at 20-21; </w:t>
      </w:r>
      <w:r>
        <w:rPr>
          <w:i/>
          <w:iCs/>
        </w:rPr>
        <w:t xml:space="preserve">see </w:t>
      </w:r>
      <w:r>
        <w:t>Order No. 2023</w:t>
      </w:r>
      <w:r w:rsidR="00EB3D0E">
        <w:t xml:space="preserve">, </w:t>
      </w:r>
      <w:r w:rsidRPr="00381658" w:rsidR="00EB3D0E">
        <w:t>184 FERC ¶ 61,054</w:t>
      </w:r>
      <w:r>
        <w:t xml:space="preserve"> at P 1764.  We do not, and cannot, prejudge whether such requested variations will be acceptable.</w:t>
      </w:r>
    </w:p>
  </w:footnote>
  <w:footnote w:id="868">
    <w:p w:rsidR="00760048" w:rsidP="00071614" w14:paraId="4A935624" w14:textId="77777777">
      <w:pPr>
        <w:pStyle w:val="FootnoteText"/>
      </w:pPr>
      <w:r w:rsidRPr="0072600F">
        <w:rPr>
          <w:rStyle w:val="FootnoteReference"/>
        </w:rPr>
        <w:footnoteRef/>
      </w:r>
      <w:r>
        <w:t xml:space="preserve"> </w:t>
      </w:r>
      <w:r>
        <w:rPr>
          <w:i/>
          <w:iCs/>
        </w:rPr>
        <w:t xml:space="preserve">See </w:t>
      </w:r>
      <w:r w:rsidRPr="000E251A">
        <w:t>MISO Rehearing Request at 15-16</w:t>
      </w:r>
      <w:r>
        <w:t>.</w:t>
      </w:r>
    </w:p>
  </w:footnote>
  <w:footnote w:id="869">
    <w:p w:rsidR="00760048" w:rsidRPr="00A115E1" w:rsidP="00071614" w14:paraId="115C7B59" w14:textId="77777777">
      <w:pPr>
        <w:pStyle w:val="FootnoteText"/>
      </w:pPr>
      <w:r w:rsidRPr="0072600F">
        <w:rPr>
          <w:rStyle w:val="FootnoteReference"/>
        </w:rPr>
        <w:footnoteRef/>
      </w:r>
      <w:r>
        <w:t xml:space="preserve"> </w:t>
      </w:r>
      <w:r>
        <w:rPr>
          <w:i/>
          <w:iCs/>
        </w:rPr>
        <w:t>Id.</w:t>
      </w:r>
      <w:r>
        <w:t xml:space="preserve"> at 16.</w:t>
      </w:r>
    </w:p>
  </w:footnote>
  <w:footnote w:id="870">
    <w:p w:rsidR="00760048" w:rsidRPr="00E626EF" w:rsidP="00071614" w14:paraId="23F4B7C3" w14:textId="77777777">
      <w:pPr>
        <w:pStyle w:val="FootnoteText"/>
      </w:pPr>
      <w:r w:rsidRPr="0072600F">
        <w:rPr>
          <w:rStyle w:val="FootnoteReference"/>
        </w:rPr>
        <w:footnoteRef/>
      </w:r>
      <w:r>
        <w:t xml:space="preserve"> Neither of the cases MISO cites supports the notion that, where the Commission regulates future activity, retroactivity and filed rate concerns may arise simply because pre-existing facts might influence the ease of compliance with the Commission’s forward-looking regulation.  </w:t>
      </w:r>
      <w:r>
        <w:rPr>
          <w:i/>
          <w:iCs/>
        </w:rPr>
        <w:t>See</w:t>
      </w:r>
      <w:r>
        <w:t xml:space="preserve"> </w:t>
      </w:r>
      <w:r w:rsidRPr="000351B8">
        <w:rPr>
          <w:i/>
          <w:iCs/>
        </w:rPr>
        <w:t>Ark</w:t>
      </w:r>
      <w:r w:rsidR="00537345">
        <w:rPr>
          <w:i/>
          <w:iCs/>
        </w:rPr>
        <w:t>.</w:t>
      </w:r>
      <w:r w:rsidRPr="000351B8">
        <w:rPr>
          <w:i/>
          <w:iCs/>
        </w:rPr>
        <w:t xml:space="preserve"> La</w:t>
      </w:r>
      <w:r w:rsidR="00537345">
        <w:rPr>
          <w:i/>
          <w:iCs/>
        </w:rPr>
        <w:t>.</w:t>
      </w:r>
      <w:r w:rsidRPr="000351B8">
        <w:rPr>
          <w:i/>
          <w:iCs/>
        </w:rPr>
        <w:t xml:space="preserve"> Gas Co. v. Hall</w:t>
      </w:r>
      <w:r w:rsidRPr="000351B8">
        <w:t>, 453 U.S. 571, 573 (1981)</w:t>
      </w:r>
      <w:r>
        <w:t xml:space="preserve"> (considering whether the filed rate doctrine “</w:t>
      </w:r>
      <w:r w:rsidRPr="000351B8">
        <w:t>forbids a state court to calculate damages in a breach-of-contract action based on an assumption that had a higher rate been filed, the Commission would have approved it</w:t>
      </w:r>
      <w:r>
        <w:t xml:space="preserve">”); </w:t>
      </w:r>
      <w:r w:rsidRPr="007F18C7">
        <w:rPr>
          <w:i/>
          <w:iCs/>
        </w:rPr>
        <w:t>Old Dominion Elec. Coop. v. FERC</w:t>
      </w:r>
      <w:r w:rsidRPr="007F18C7">
        <w:t>, 892 F.3d 1223, 1226 (D.C. Cir. 2018)</w:t>
      </w:r>
      <w:r>
        <w:t xml:space="preserve"> (affirming Commission decision that it could “</w:t>
      </w:r>
      <w:r w:rsidRPr="00B744A3">
        <w:t xml:space="preserve">waive provisions of the governing tariff retroactively so that </w:t>
      </w:r>
      <w:r>
        <w:t>[Old Dominion]</w:t>
      </w:r>
      <w:r w:rsidRPr="00B744A3">
        <w:t xml:space="preserve"> could recover its costs</w:t>
      </w:r>
      <w:r>
        <w:t>”).</w:t>
      </w:r>
    </w:p>
  </w:footnote>
  <w:footnote w:id="871">
    <w:p w:rsidR="00760048" w:rsidP="00071614" w14:paraId="7E3A70AE" w14:textId="77777777">
      <w:pPr>
        <w:pStyle w:val="FootnoteText"/>
      </w:pPr>
      <w:r w:rsidRPr="0072600F">
        <w:rPr>
          <w:rStyle w:val="FootnoteReference"/>
        </w:rPr>
        <w:footnoteRef/>
      </w:r>
      <w:r>
        <w:t xml:space="preserve"> AEP Rehearing Request at 21.</w:t>
      </w:r>
    </w:p>
  </w:footnote>
  <w:footnote w:id="872">
    <w:p w:rsidR="00760048" w:rsidP="00071614" w14:paraId="2301AFEF" w14:textId="77777777">
      <w:pPr>
        <w:pStyle w:val="FootnoteText"/>
      </w:pPr>
      <w:r w:rsidRPr="0072600F">
        <w:rPr>
          <w:rStyle w:val="FootnoteReference"/>
        </w:rPr>
        <w:footnoteRef/>
      </w:r>
      <w:r>
        <w:t xml:space="preserve"> Joint RTOs Rehearing Request at 10.</w:t>
      </w:r>
    </w:p>
  </w:footnote>
  <w:footnote w:id="873">
    <w:p w:rsidR="00760048" w:rsidP="00071614" w14:paraId="12C72CE2" w14:textId="77777777">
      <w:pPr>
        <w:pStyle w:val="FootnoteText"/>
      </w:pPr>
      <w:r w:rsidRPr="0072600F">
        <w:rPr>
          <w:rStyle w:val="FootnoteReference"/>
        </w:rPr>
        <w:footnoteRef/>
      </w:r>
      <w:r>
        <w:t xml:space="preserve"> </w:t>
      </w:r>
      <w:r w:rsidRPr="006B4AB2">
        <w:rPr>
          <w:i/>
          <w:iCs/>
        </w:rPr>
        <w:t>Id.</w:t>
      </w:r>
      <w:r>
        <w:t xml:space="preserve"> at 10-11 (noting that in its three-phase study process, MISO is required to complete a preliminary, revised, and final system impact study in 65, 75, and 50 calendar days, respectively).</w:t>
      </w:r>
    </w:p>
  </w:footnote>
  <w:footnote w:id="874">
    <w:p w:rsidR="00760048" w:rsidP="00071614" w14:paraId="7E119165" w14:textId="77777777">
      <w:pPr>
        <w:pStyle w:val="FootnoteText"/>
      </w:pPr>
      <w:r w:rsidRPr="0072600F">
        <w:rPr>
          <w:rStyle w:val="FootnoteReference"/>
        </w:rPr>
        <w:footnoteRef/>
      </w:r>
      <w:r>
        <w:t xml:space="preserve"> </w:t>
      </w:r>
      <w:r w:rsidRPr="006B4AB2">
        <w:rPr>
          <w:i/>
          <w:iCs/>
        </w:rPr>
        <w:t>Id.</w:t>
      </w:r>
      <w:r>
        <w:t xml:space="preserve"> at 12.</w:t>
      </w:r>
    </w:p>
  </w:footnote>
  <w:footnote w:id="875">
    <w:p w:rsidR="00760048" w:rsidRPr="001C4A2A" w:rsidP="00071614" w14:paraId="0303D1D9" w14:textId="77777777">
      <w:pPr>
        <w:pStyle w:val="FootnoteText"/>
      </w:pPr>
      <w:r w:rsidRPr="0072600F">
        <w:rPr>
          <w:rStyle w:val="FootnoteReference"/>
        </w:rPr>
        <w:footnoteRef/>
      </w:r>
      <w:r>
        <w:t xml:space="preserve"> </w:t>
      </w:r>
      <w:r w:rsidRPr="006B4AB2">
        <w:rPr>
          <w:i/>
          <w:iCs/>
        </w:rPr>
        <w:t>Id.</w:t>
      </w:r>
      <w:r>
        <w:t>; PJM Rehearing Request at 28.</w:t>
      </w:r>
    </w:p>
  </w:footnote>
  <w:footnote w:id="876">
    <w:p w:rsidR="00760048" w:rsidP="00071614" w14:paraId="44961293" w14:textId="77777777">
      <w:pPr>
        <w:pStyle w:val="FootnoteText"/>
      </w:pPr>
      <w:r w:rsidRPr="0072600F">
        <w:rPr>
          <w:rStyle w:val="FootnoteReference"/>
        </w:rPr>
        <w:footnoteRef/>
      </w:r>
      <w:r>
        <w:t xml:space="preserve"> Joint RTOs Rehearing Request at 13-14.</w:t>
      </w:r>
    </w:p>
  </w:footnote>
  <w:footnote w:id="877">
    <w:p w:rsidR="00760048" w:rsidP="00071614" w14:paraId="4C5379B4" w14:textId="77777777">
      <w:pPr>
        <w:pStyle w:val="FootnoteText"/>
      </w:pPr>
      <w:r w:rsidRPr="0072600F">
        <w:rPr>
          <w:rStyle w:val="FootnoteReference"/>
        </w:rPr>
        <w:footnoteRef/>
      </w:r>
      <w:r>
        <w:t xml:space="preserve"> NYTOs Rehearing Request at 29 (arguing that “[t]</w:t>
      </w:r>
      <w:r w:rsidRPr="00F64CCD">
        <w:t>ransmission providers’ investors should not bear such third-party risks and costs, especially when they have no ownership stake in the non-profit RTO/ISO</w:t>
      </w:r>
      <w:r>
        <w:t xml:space="preserve">,” and that “forcing such a </w:t>
      </w:r>
      <w:r w:rsidRPr="00F64CCD">
        <w:t>burden breaches basic cost causation principles, is arbitrary and capricious, and is an uncompensated taking</w:t>
      </w:r>
      <w:r>
        <w:t xml:space="preserve">”).  </w:t>
      </w:r>
    </w:p>
  </w:footnote>
  <w:footnote w:id="878">
    <w:p w:rsidR="00760048" w:rsidP="00071614" w14:paraId="3970D93D" w14:textId="77777777">
      <w:pPr>
        <w:pStyle w:val="FootnoteText"/>
      </w:pPr>
      <w:r w:rsidRPr="0072600F">
        <w:rPr>
          <w:rStyle w:val="FootnoteReference"/>
        </w:rPr>
        <w:footnoteRef/>
      </w:r>
      <w:r>
        <w:t xml:space="preserve"> </w:t>
      </w:r>
      <w:bookmarkStart w:id="77" w:name="_Hlk158651731"/>
      <w:r>
        <w:t>NYISO Rehearing Request at 26.</w:t>
      </w:r>
      <w:bookmarkEnd w:id="77"/>
    </w:p>
  </w:footnote>
  <w:footnote w:id="879">
    <w:p w:rsidR="00760048" w:rsidP="00071614" w14:paraId="394AD3C0" w14:textId="77777777">
      <w:pPr>
        <w:pStyle w:val="FootnoteText"/>
      </w:pPr>
      <w:r w:rsidRPr="0072600F">
        <w:rPr>
          <w:rStyle w:val="FootnoteReference"/>
        </w:rPr>
        <w:footnoteRef/>
      </w:r>
      <w:r>
        <w:t xml:space="preserve"> </w:t>
      </w:r>
      <w:r w:rsidRPr="006B4AB2">
        <w:rPr>
          <w:i/>
          <w:iCs/>
        </w:rPr>
        <w:t>Id.</w:t>
      </w:r>
      <w:r>
        <w:t xml:space="preserve"> at 40 (for example, if it were shown that interconnection customers substantially caused a study delay with transmission owners and/or an RTO/ISO playing comparatively smaller roles or other potentially likely scenarios).</w:t>
      </w:r>
    </w:p>
  </w:footnote>
  <w:footnote w:id="880">
    <w:p w:rsidR="00760048" w:rsidP="00071614" w14:paraId="06AA3762" w14:textId="77777777">
      <w:pPr>
        <w:pStyle w:val="FootnoteText"/>
      </w:pPr>
      <w:r w:rsidRPr="0072600F">
        <w:rPr>
          <w:rStyle w:val="FootnoteReference"/>
        </w:rPr>
        <w:footnoteRef/>
      </w:r>
      <w:r>
        <w:t xml:space="preserve"> </w:t>
      </w:r>
      <w:r w:rsidRPr="006B4AB2">
        <w:rPr>
          <w:i/>
          <w:iCs/>
        </w:rPr>
        <w:t>Id.</w:t>
      </w:r>
      <w:r>
        <w:t xml:space="preserve"> at 41 (arguing that it would be better for all parties and the Commission to avoid complex contested appeal proceedings). </w:t>
      </w:r>
    </w:p>
  </w:footnote>
  <w:footnote w:id="881">
    <w:p w:rsidR="00760048" w:rsidP="00071614" w14:paraId="4B1B5AC8" w14:textId="77777777">
      <w:pPr>
        <w:pStyle w:val="FootnoteText"/>
      </w:pPr>
      <w:r w:rsidRPr="0072600F">
        <w:rPr>
          <w:rStyle w:val="FootnoteReference"/>
        </w:rPr>
        <w:footnoteRef/>
      </w:r>
      <w:r>
        <w:t xml:space="preserve"> </w:t>
      </w:r>
      <w:r w:rsidRPr="006B4AB2">
        <w:rPr>
          <w:i/>
          <w:iCs/>
        </w:rPr>
        <w:t>Id.</w:t>
      </w:r>
      <w:r>
        <w:t xml:space="preserve"> (for example, if a study delay impacts numerous interconnection customers, that will not mean that a waiver request would be denied because it is “not limited in scope”).</w:t>
      </w:r>
    </w:p>
  </w:footnote>
  <w:footnote w:id="882">
    <w:p w:rsidR="00760048" w:rsidP="00071614" w14:paraId="73767CA0" w14:textId="77777777">
      <w:pPr>
        <w:pStyle w:val="FootnoteText"/>
      </w:pPr>
      <w:r w:rsidRPr="0072600F">
        <w:rPr>
          <w:rStyle w:val="FootnoteReference"/>
        </w:rPr>
        <w:footnoteRef/>
      </w:r>
      <w:r>
        <w:t xml:space="preserve"> </w:t>
      </w:r>
      <w:r w:rsidRPr="006B4AB2">
        <w:rPr>
          <w:i/>
          <w:iCs/>
        </w:rPr>
        <w:t>Id.</w:t>
      </w:r>
      <w:r>
        <w:t xml:space="preserve"> at 41-42.</w:t>
      </w:r>
    </w:p>
  </w:footnote>
  <w:footnote w:id="883">
    <w:p w:rsidR="00760048" w:rsidP="00071614" w14:paraId="2397FB64" w14:textId="77777777">
      <w:pPr>
        <w:pStyle w:val="FootnoteText"/>
      </w:pPr>
      <w:r w:rsidRPr="0072600F">
        <w:rPr>
          <w:rStyle w:val="FootnoteReference"/>
        </w:rPr>
        <w:footnoteRef/>
      </w:r>
      <w:r>
        <w:t xml:space="preserve"> </w:t>
      </w:r>
      <w:r w:rsidRPr="006B4AB2">
        <w:rPr>
          <w:i/>
          <w:iCs/>
        </w:rPr>
        <w:t xml:space="preserve">Id. </w:t>
      </w:r>
      <w:r>
        <w:t>at 42 (explaining that, because it must obtain super majority stakeholder approval to submit tariff revisions under FPA section 205, it and other similarly situated RTOs/ISOs would be prevented from filing “default structure” recovery mechanisms if a minority of their stakeholders opposed them).</w:t>
      </w:r>
    </w:p>
  </w:footnote>
  <w:footnote w:id="884">
    <w:p w:rsidR="00760048" w:rsidP="00071614" w14:paraId="1893E926" w14:textId="77777777">
      <w:pPr>
        <w:pStyle w:val="FootnoteText"/>
      </w:pPr>
      <w:r w:rsidRPr="0072600F">
        <w:rPr>
          <w:rStyle w:val="FootnoteReference"/>
        </w:rPr>
        <w:footnoteRef/>
      </w:r>
      <w:r>
        <w:t xml:space="preserve"> </w:t>
      </w:r>
      <w:r w:rsidRPr="006B4AB2">
        <w:rPr>
          <w:i/>
          <w:iCs/>
        </w:rPr>
        <w:t>Id.</w:t>
      </w:r>
      <w:r>
        <w:t xml:space="preserve"> at 43.</w:t>
      </w:r>
    </w:p>
  </w:footnote>
  <w:footnote w:id="885">
    <w:p w:rsidR="00760048" w14:paraId="7D6404A8" w14:textId="77777777">
      <w:pPr>
        <w:pStyle w:val="FootnoteText"/>
      </w:pPr>
      <w:r w:rsidRPr="0072600F">
        <w:rPr>
          <w:rStyle w:val="FootnoteReference"/>
        </w:rPr>
        <w:footnoteRef/>
      </w:r>
      <w:r>
        <w:t xml:space="preserve"> Order No. 2023, </w:t>
      </w:r>
      <w:r w:rsidRPr="00142095">
        <w:t xml:space="preserve">184 FERC ¶ 61,054 </w:t>
      </w:r>
      <w:r>
        <w:t xml:space="preserve">at P 1765. </w:t>
      </w:r>
    </w:p>
  </w:footnote>
  <w:footnote w:id="886">
    <w:p w:rsidR="00760048" w:rsidP="00071614" w14:paraId="0113A788" w14:textId="77777777">
      <w:pPr>
        <w:pStyle w:val="FootnoteText"/>
      </w:pPr>
      <w:r w:rsidRPr="0072600F">
        <w:rPr>
          <w:rStyle w:val="FootnoteReference"/>
        </w:rPr>
        <w:footnoteRef/>
      </w:r>
      <w:r>
        <w:t xml:space="preserve"> </w:t>
      </w:r>
      <w:r w:rsidRPr="006B4AB2">
        <w:rPr>
          <w:i/>
          <w:iCs/>
        </w:rPr>
        <w:t>Id.</w:t>
      </w:r>
      <w:r>
        <w:t xml:space="preserve"> PP 1764-1765 (citing </w:t>
      </w:r>
      <w:r w:rsidRPr="0095558B">
        <w:t>Order No. 2003, 104 FERC ¶ 61,103 at P 825; Order No. 2006, 111</w:t>
      </w:r>
      <w:r>
        <w:t xml:space="preserve"> </w:t>
      </w:r>
      <w:r w:rsidRPr="0095558B">
        <w:t>FERC ¶ 61,220 at PP 546-547; Order No. 845, 163 FERC ¶ 61,043 at P 43 (explaining</w:t>
      </w:r>
      <w:r>
        <w:t xml:space="preserve"> </w:t>
      </w:r>
      <w:r w:rsidRPr="0095558B">
        <w:t>that a transmission provider that is not an RTO/ISO that seeks a variation from the</w:t>
      </w:r>
      <w:r>
        <w:t xml:space="preserve"> </w:t>
      </w:r>
      <w:r w:rsidRPr="0095558B">
        <w:t>requirements of the final rule must present its justification for the variation as consistent</w:t>
      </w:r>
      <w:r>
        <w:t xml:space="preserve"> </w:t>
      </w:r>
      <w:r w:rsidRPr="003D3B14">
        <w:t xml:space="preserve">with or superior to the </w:t>
      </w:r>
      <w:r w:rsidRPr="003D3B14">
        <w:rPr>
          <w:i/>
          <w:iCs/>
        </w:rPr>
        <w:t xml:space="preserve">pro forma </w:t>
      </w:r>
      <w:r w:rsidRPr="003D3B14">
        <w:t xml:space="preserve">LGIA or </w:t>
      </w:r>
      <w:r w:rsidRPr="003D3B14">
        <w:rPr>
          <w:i/>
          <w:iCs/>
        </w:rPr>
        <w:t xml:space="preserve">pro forma </w:t>
      </w:r>
      <w:r w:rsidRPr="003D3B14">
        <w:t>LGIP)</w:t>
      </w:r>
      <w:r>
        <w:t xml:space="preserve">; </w:t>
      </w:r>
      <w:r w:rsidRPr="00B069C0">
        <w:t>Order No. 2003, 104 FERC ¶ 61,103 at P 826 (“[w]</w:t>
      </w:r>
      <w:r w:rsidRPr="00B069C0">
        <w:t>ith respect to an RTO or</w:t>
      </w:r>
      <w:r>
        <w:t xml:space="preserve"> </w:t>
      </w:r>
      <w:r w:rsidRPr="00B069C0">
        <w:t>ISO . . . we will allow it to seek ‘independent entity variations’ from the Final Rule . . .</w:t>
      </w:r>
      <w:r>
        <w:t>)).</w:t>
      </w:r>
    </w:p>
  </w:footnote>
  <w:footnote w:id="887">
    <w:p w:rsidR="00760048" w14:paraId="6A0EC1AE" w14:textId="77777777">
      <w:pPr>
        <w:pStyle w:val="FootnoteText"/>
      </w:pPr>
      <w:r w:rsidRPr="0072600F">
        <w:rPr>
          <w:rStyle w:val="FootnoteReference"/>
        </w:rPr>
        <w:footnoteRef/>
      </w:r>
      <w:r>
        <w:t xml:space="preserve"> Order No. 2023, </w:t>
      </w:r>
      <w:r w:rsidRPr="00142095">
        <w:t xml:space="preserve">184 FERC ¶ 61,054 </w:t>
      </w:r>
      <w:r>
        <w:t>at P 973.</w:t>
      </w:r>
    </w:p>
  </w:footnote>
  <w:footnote w:id="888">
    <w:p w:rsidR="00760048" w14:paraId="53290FAB" w14:textId="77777777">
      <w:pPr>
        <w:pStyle w:val="FootnoteText"/>
      </w:pPr>
      <w:r w:rsidRPr="0072600F">
        <w:rPr>
          <w:rStyle w:val="FootnoteReference"/>
        </w:rPr>
        <w:footnoteRef/>
      </w:r>
      <w:r>
        <w:t xml:space="preserve"> </w:t>
      </w:r>
      <w:r w:rsidRPr="006B4AB2">
        <w:rPr>
          <w:i/>
          <w:iCs/>
        </w:rPr>
        <w:t>Id.</w:t>
      </w:r>
      <w:r>
        <w:t xml:space="preserve"> P 998. </w:t>
      </w:r>
    </w:p>
  </w:footnote>
  <w:footnote w:id="889">
    <w:p w:rsidR="00760048" w14:paraId="694B0828" w14:textId="77777777">
      <w:pPr>
        <w:pStyle w:val="FootnoteText"/>
      </w:pPr>
      <w:r w:rsidRPr="0072600F">
        <w:rPr>
          <w:rStyle w:val="FootnoteReference"/>
        </w:rPr>
        <w:footnoteRef/>
      </w:r>
      <w:r>
        <w:t xml:space="preserve"> </w:t>
      </w:r>
      <w:r w:rsidRPr="006B4AB2">
        <w:rPr>
          <w:i/>
          <w:iCs/>
        </w:rPr>
        <w:t>Id.</w:t>
      </w:r>
      <w:r>
        <w:t xml:space="preserve"> P 993.</w:t>
      </w:r>
    </w:p>
  </w:footnote>
  <w:footnote w:id="890">
    <w:p w:rsidR="00760048" w14:paraId="7E84DC17" w14:textId="77777777">
      <w:pPr>
        <w:pStyle w:val="FootnoteText"/>
      </w:pPr>
      <w:r w:rsidRPr="0072600F">
        <w:rPr>
          <w:rStyle w:val="FootnoteReference"/>
        </w:rPr>
        <w:footnoteRef/>
      </w:r>
      <w:r>
        <w:t xml:space="preserve"> </w:t>
      </w:r>
      <w:r w:rsidRPr="00684284">
        <w:rPr>
          <w:i/>
          <w:iCs/>
        </w:rPr>
        <w:t>See</w:t>
      </w:r>
      <w:r>
        <w:t xml:space="preserve"> </w:t>
      </w:r>
      <w:r>
        <w:rPr>
          <w:i/>
          <w:iCs/>
        </w:rPr>
        <w:t>i</w:t>
      </w:r>
      <w:r w:rsidRPr="006B4AB2">
        <w:rPr>
          <w:i/>
          <w:iCs/>
        </w:rPr>
        <w:t>d.</w:t>
      </w:r>
      <w:r>
        <w:t xml:space="preserve"> P 1019.</w:t>
      </w:r>
    </w:p>
  </w:footnote>
  <w:footnote w:id="891">
    <w:p w:rsidR="00760048" w:rsidP="00071614" w14:paraId="49FC5E55" w14:textId="77777777">
      <w:pPr>
        <w:pStyle w:val="FootnoteText"/>
      </w:pPr>
      <w:r w:rsidRPr="0072600F">
        <w:rPr>
          <w:rStyle w:val="FootnoteReference"/>
        </w:rPr>
        <w:footnoteRef/>
      </w:r>
      <w:r>
        <w:t xml:space="preserve"> </w:t>
      </w:r>
      <w:r w:rsidRPr="006B4AB2">
        <w:rPr>
          <w:i/>
          <w:iCs/>
        </w:rPr>
        <w:t>Id.</w:t>
      </w:r>
    </w:p>
  </w:footnote>
  <w:footnote w:id="892">
    <w:p w:rsidR="00760048" w14:paraId="71BBC602" w14:textId="77777777">
      <w:pPr>
        <w:pStyle w:val="FootnoteText"/>
      </w:pPr>
      <w:r w:rsidRPr="0072600F">
        <w:rPr>
          <w:rStyle w:val="FootnoteReference"/>
        </w:rPr>
        <w:footnoteRef/>
      </w:r>
      <w:r>
        <w:t xml:space="preserve"> </w:t>
      </w:r>
      <w:r>
        <w:rPr>
          <w:i/>
          <w:iCs/>
        </w:rPr>
        <w:t>Id.</w:t>
      </w:r>
      <w:r>
        <w:t xml:space="preserve"> PP 987, 989.</w:t>
      </w:r>
    </w:p>
  </w:footnote>
  <w:footnote w:id="893">
    <w:p w:rsidR="00760048" w:rsidP="00071614" w14:paraId="4BA8207B" w14:textId="77777777">
      <w:pPr>
        <w:pStyle w:val="FootnoteText"/>
      </w:pPr>
      <w:r w:rsidRPr="0072600F">
        <w:rPr>
          <w:rStyle w:val="FootnoteReference"/>
        </w:rPr>
        <w:footnoteRef/>
      </w:r>
      <w:r>
        <w:t xml:space="preserve"> </w:t>
      </w:r>
      <w:r w:rsidRPr="006B4AB2">
        <w:rPr>
          <w:i/>
          <w:iCs/>
        </w:rPr>
        <w:t>Id.</w:t>
      </w:r>
      <w:r>
        <w:rPr>
          <w:i/>
        </w:rPr>
        <w:t xml:space="preserve"> </w:t>
      </w:r>
      <w:r>
        <w:t>P 994.</w:t>
      </w:r>
    </w:p>
  </w:footnote>
  <w:footnote w:id="894">
    <w:p w:rsidR="00760048" w14:paraId="0BF2DBF0" w14:textId="77777777">
      <w:pPr>
        <w:pStyle w:val="FootnoteText"/>
      </w:pPr>
      <w:r w:rsidRPr="0072600F">
        <w:rPr>
          <w:rStyle w:val="FootnoteReference"/>
        </w:rPr>
        <w:footnoteRef/>
      </w:r>
      <w:r>
        <w:t xml:space="preserve"> </w:t>
      </w:r>
      <w:r w:rsidRPr="006B4AB2">
        <w:rPr>
          <w:i/>
          <w:iCs/>
        </w:rPr>
        <w:t>Id.</w:t>
      </w:r>
      <w:r>
        <w:rPr>
          <w:i/>
        </w:rPr>
        <w:t xml:space="preserve"> </w:t>
      </w:r>
      <w:r>
        <w:t>P 996.</w:t>
      </w:r>
    </w:p>
  </w:footnote>
  <w:footnote w:id="895">
    <w:p w:rsidR="00760048" w:rsidP="00071614" w14:paraId="7EEC4413" w14:textId="77777777">
      <w:pPr>
        <w:pStyle w:val="FootnoteText"/>
      </w:pPr>
      <w:r w:rsidRPr="0072600F">
        <w:rPr>
          <w:rStyle w:val="FootnoteReference"/>
        </w:rPr>
        <w:footnoteRef/>
      </w:r>
      <w:r>
        <w:t xml:space="preserve"> </w:t>
      </w:r>
      <w:r w:rsidRPr="006B4AB2" w:rsidR="003B2F05">
        <w:rPr>
          <w:i/>
          <w:iCs/>
        </w:rPr>
        <w:t>Id.</w:t>
      </w:r>
      <w:r w:rsidR="003B2F05">
        <w:rPr>
          <w:i/>
          <w:iCs/>
        </w:rPr>
        <w:t xml:space="preserve"> </w:t>
      </w:r>
      <w:r>
        <w:t>P 1110.</w:t>
      </w:r>
    </w:p>
  </w:footnote>
  <w:footnote w:id="896">
    <w:p w:rsidR="00760048" w:rsidP="00071614" w14:paraId="48FC8E74" w14:textId="77777777">
      <w:pPr>
        <w:pStyle w:val="FootnoteText"/>
      </w:pPr>
      <w:r w:rsidRPr="0072600F">
        <w:rPr>
          <w:rStyle w:val="FootnoteReference"/>
        </w:rPr>
        <w:footnoteRef/>
      </w:r>
      <w:r>
        <w:t xml:space="preserve"> </w:t>
      </w:r>
      <w:r w:rsidRPr="00800F6C">
        <w:rPr>
          <w:i/>
        </w:rPr>
        <w:t xml:space="preserve">Id. </w:t>
      </w:r>
      <w:r>
        <w:t xml:space="preserve">P 1112; </w:t>
      </w:r>
      <w:r w:rsidRPr="000D2D46">
        <w:rPr>
          <w:i/>
          <w:iCs/>
        </w:rPr>
        <w:t xml:space="preserve">see pro forma </w:t>
      </w:r>
      <w:r w:rsidRPr="000D2D46">
        <w:t xml:space="preserve">LGIP </w:t>
      </w:r>
      <w:r>
        <w:t>section</w:t>
      </w:r>
      <w:r w:rsidRPr="000D2D46">
        <w:t xml:space="preserve"> 1</w:t>
      </w:r>
      <w:r>
        <w:t>.</w:t>
      </w:r>
    </w:p>
  </w:footnote>
  <w:footnote w:id="897">
    <w:p w:rsidR="00760048" w:rsidP="00071614" w14:paraId="1BF1D43B" w14:textId="77777777">
      <w:pPr>
        <w:pStyle w:val="FootnoteText"/>
      </w:pPr>
      <w:r w:rsidRPr="0072600F">
        <w:rPr>
          <w:rStyle w:val="FootnoteReference"/>
        </w:rPr>
        <w:footnoteRef/>
      </w:r>
      <w:r>
        <w:t xml:space="preserve"> Order No. 2023 </w:t>
      </w:r>
      <w:r w:rsidRPr="0079433F">
        <w:t>184 FERC ¶ 61,054</w:t>
      </w:r>
      <w:r>
        <w:t xml:space="preserve"> at P 1119; </w:t>
      </w:r>
      <w:r w:rsidRPr="000D2D46">
        <w:rPr>
          <w:i/>
          <w:iCs/>
        </w:rPr>
        <w:t xml:space="preserve">see pro forma </w:t>
      </w:r>
      <w:r w:rsidRPr="000D2D46">
        <w:t xml:space="preserve">LGIP </w:t>
      </w:r>
      <w:r>
        <w:t>section</w:t>
      </w:r>
      <w:r w:rsidRPr="000D2D46">
        <w:t xml:space="preserve"> 3.6.1</w:t>
      </w:r>
      <w:r>
        <w:t>.</w:t>
      </w:r>
    </w:p>
  </w:footnote>
  <w:footnote w:id="898">
    <w:p w:rsidR="00760048" w:rsidP="00071614" w14:paraId="276797FA" w14:textId="77777777">
      <w:pPr>
        <w:pStyle w:val="FootnoteText"/>
      </w:pPr>
      <w:r w:rsidRPr="0072600F">
        <w:rPr>
          <w:rStyle w:val="FootnoteReference"/>
        </w:rPr>
        <w:footnoteRef/>
      </w:r>
      <w:r>
        <w:t xml:space="preserve"> Order No. 2023</w:t>
      </w:r>
      <w:r w:rsidRPr="00847C88">
        <w:t>,</w:t>
      </w:r>
      <w:r>
        <w:t xml:space="preserve"> </w:t>
      </w:r>
      <w:r w:rsidRPr="0079433F">
        <w:t>184 FERC ¶ 61,054</w:t>
      </w:r>
      <w:r>
        <w:t xml:space="preserve"> at P 1113; </w:t>
      </w:r>
      <w:r>
        <w:rPr>
          <w:i/>
          <w:iCs/>
        </w:rPr>
        <w:t xml:space="preserve">see pro forma </w:t>
      </w:r>
      <w:r>
        <w:t>LGIP section 9.1.</w:t>
      </w:r>
    </w:p>
  </w:footnote>
  <w:footnote w:id="899">
    <w:p w:rsidR="00760048" w:rsidP="00071614" w14:paraId="4C3E22AB" w14:textId="77777777">
      <w:pPr>
        <w:pStyle w:val="FootnoteText"/>
      </w:pPr>
      <w:r w:rsidRPr="0072600F">
        <w:rPr>
          <w:rStyle w:val="FootnoteReference"/>
        </w:rPr>
        <w:footnoteRef/>
      </w:r>
      <w:r>
        <w:t xml:space="preserve"> Order No. 2023, </w:t>
      </w:r>
      <w:r w:rsidRPr="0079433F">
        <w:t>184 FERC ¶ 61,054</w:t>
      </w:r>
      <w:r>
        <w:t xml:space="preserve"> at P 1120; </w:t>
      </w:r>
      <w:r w:rsidRPr="000D2D46">
        <w:rPr>
          <w:i/>
          <w:iCs/>
        </w:rPr>
        <w:t xml:space="preserve">see pro forma </w:t>
      </w:r>
      <w:r w:rsidRPr="000D2D46">
        <w:t xml:space="preserve">LGIP </w:t>
      </w:r>
      <w:r>
        <w:t>section</w:t>
      </w:r>
      <w:r w:rsidRPr="000D2D46">
        <w:t xml:space="preserve"> 9.2</w:t>
      </w:r>
      <w:r>
        <w:t>.</w:t>
      </w:r>
    </w:p>
  </w:footnote>
  <w:footnote w:id="900">
    <w:p w:rsidR="00760048" w:rsidP="00071614" w14:paraId="06C4D397" w14:textId="77777777">
      <w:pPr>
        <w:pStyle w:val="FootnoteText"/>
      </w:pPr>
      <w:r w:rsidRPr="0072600F">
        <w:rPr>
          <w:rStyle w:val="FootnoteReference"/>
        </w:rPr>
        <w:footnoteRef/>
      </w:r>
      <w:r>
        <w:t xml:space="preserve"> Order No. 2023, </w:t>
      </w:r>
      <w:r w:rsidRPr="0079433F">
        <w:t>184 FERC ¶ 61,054</w:t>
      </w:r>
      <w:r>
        <w:t xml:space="preserve"> at P 1138; </w:t>
      </w:r>
      <w:r w:rsidRPr="000D2D46">
        <w:rPr>
          <w:i/>
          <w:iCs/>
        </w:rPr>
        <w:t xml:space="preserve">see pro forma </w:t>
      </w:r>
      <w:r w:rsidRPr="000D2D46">
        <w:t xml:space="preserve">LGIP </w:t>
      </w:r>
      <w:r>
        <w:t>section</w:t>
      </w:r>
      <w:r w:rsidRPr="000D2D46">
        <w:t xml:space="preserve"> 9.3</w:t>
      </w:r>
      <w:r>
        <w:t>.</w:t>
      </w:r>
    </w:p>
  </w:footnote>
  <w:footnote w:id="901">
    <w:p w:rsidR="00760048" w:rsidP="00071614" w14:paraId="47F5F6AF" w14:textId="77777777">
      <w:pPr>
        <w:pStyle w:val="FootnoteText"/>
      </w:pPr>
      <w:r w:rsidRPr="0072600F">
        <w:rPr>
          <w:rStyle w:val="FootnoteReference"/>
        </w:rPr>
        <w:footnoteRef/>
      </w:r>
      <w:r>
        <w:t xml:space="preserve"> Order No. 2023, </w:t>
      </w:r>
      <w:r w:rsidRPr="0079433F">
        <w:t>184 FERC ¶ 61,054</w:t>
      </w:r>
      <w:r>
        <w:t xml:space="preserve"> at P 1154; </w:t>
      </w:r>
      <w:r w:rsidRPr="000D2D46">
        <w:rPr>
          <w:i/>
          <w:iCs/>
        </w:rPr>
        <w:t xml:space="preserve">see pro forma </w:t>
      </w:r>
      <w:r w:rsidRPr="000D2D46">
        <w:t xml:space="preserve">LGIP </w:t>
      </w:r>
      <w:r>
        <w:t>section</w:t>
      </w:r>
      <w:r w:rsidRPr="000D2D46">
        <w:t xml:space="preserve"> 9.</w:t>
      </w:r>
      <w:r>
        <w:t>4.</w:t>
      </w:r>
    </w:p>
  </w:footnote>
  <w:footnote w:id="902">
    <w:p w:rsidR="00760048" w:rsidP="00071614" w14:paraId="42058592" w14:textId="77777777">
      <w:pPr>
        <w:pStyle w:val="FootnoteText"/>
      </w:pPr>
      <w:r w:rsidRPr="0072600F">
        <w:rPr>
          <w:rStyle w:val="FootnoteReference"/>
        </w:rPr>
        <w:footnoteRef/>
      </w:r>
      <w:r>
        <w:t xml:space="preserve"> Order No. 2023</w:t>
      </w:r>
      <w:r w:rsidRPr="00847C88">
        <w:t>,</w:t>
      </w:r>
      <w:r>
        <w:t xml:space="preserve"> </w:t>
      </w:r>
      <w:r w:rsidRPr="0079433F">
        <w:t>184 FERC ¶ 61,054</w:t>
      </w:r>
      <w:r>
        <w:t xml:space="preserve"> at P 1157.</w:t>
      </w:r>
    </w:p>
  </w:footnote>
  <w:footnote w:id="903">
    <w:p w:rsidR="00760048" w:rsidP="00071614" w14:paraId="68E1FE64" w14:textId="77777777">
      <w:pPr>
        <w:pStyle w:val="FootnoteText"/>
      </w:pPr>
      <w:r w:rsidRPr="0072600F">
        <w:rPr>
          <w:rStyle w:val="FootnoteReference"/>
        </w:rPr>
        <w:footnoteRef/>
      </w:r>
      <w:r>
        <w:t xml:space="preserve"> </w:t>
      </w:r>
      <w:r w:rsidRPr="00B805B5">
        <w:rPr>
          <w:i/>
          <w:iCs/>
        </w:rPr>
        <w:t>Id.</w:t>
      </w:r>
      <w:r>
        <w:t xml:space="preserve"> P 1159.</w:t>
      </w:r>
    </w:p>
  </w:footnote>
  <w:footnote w:id="904">
    <w:p w:rsidR="00760048" w:rsidP="00071614" w14:paraId="40E91FB0" w14:textId="77777777">
      <w:pPr>
        <w:pStyle w:val="FootnoteText"/>
      </w:pPr>
      <w:r w:rsidRPr="0072600F">
        <w:rPr>
          <w:rStyle w:val="FootnoteReference"/>
        </w:rPr>
        <w:footnoteRef/>
      </w:r>
      <w:r>
        <w:t xml:space="preserve"> </w:t>
      </w:r>
      <w:r w:rsidRPr="00FE3FCC">
        <w:rPr>
          <w:i/>
          <w:iCs/>
        </w:rPr>
        <w:t>Id.</w:t>
      </w:r>
      <w:r>
        <w:t xml:space="preserve"> P 1158; </w:t>
      </w:r>
      <w:r w:rsidRPr="003B6B74">
        <w:rPr>
          <w:i/>
          <w:iCs/>
        </w:rPr>
        <w:t xml:space="preserve">see pro forma </w:t>
      </w:r>
      <w:r w:rsidRPr="003B6B74">
        <w:t xml:space="preserve">LGIP </w:t>
      </w:r>
      <w:r>
        <w:t>section</w:t>
      </w:r>
      <w:r w:rsidRPr="003B6B74">
        <w:t xml:space="preserve"> 9.5</w:t>
      </w:r>
      <w:r>
        <w:t>.</w:t>
      </w:r>
    </w:p>
  </w:footnote>
  <w:footnote w:id="905">
    <w:p w:rsidR="00760048" w:rsidP="00071614" w14:paraId="4A718937" w14:textId="77777777">
      <w:pPr>
        <w:pStyle w:val="FootnoteText"/>
      </w:pPr>
      <w:r w:rsidRPr="0072600F">
        <w:rPr>
          <w:rStyle w:val="FootnoteReference"/>
        </w:rPr>
        <w:footnoteRef/>
      </w:r>
      <w:r>
        <w:t xml:space="preserve"> Order No. 2023, </w:t>
      </w:r>
      <w:r w:rsidRPr="0079433F">
        <w:t>184 FERC ¶ 61,054</w:t>
      </w:r>
      <w:r>
        <w:t xml:space="preserve"> at P 1160; </w:t>
      </w:r>
      <w:r w:rsidRPr="003B6B74">
        <w:rPr>
          <w:i/>
          <w:iCs/>
        </w:rPr>
        <w:t xml:space="preserve">see pro forma </w:t>
      </w:r>
      <w:r w:rsidRPr="003B6B74">
        <w:t xml:space="preserve">LGIP </w:t>
      </w:r>
      <w:r>
        <w:t>section</w:t>
      </w:r>
      <w:r w:rsidRPr="003B6B74">
        <w:t xml:space="preserve"> 9.6</w:t>
      </w:r>
      <w:r>
        <w:t>.</w:t>
      </w:r>
    </w:p>
  </w:footnote>
  <w:footnote w:id="906">
    <w:p w:rsidR="00760048" w:rsidP="00071614" w14:paraId="00A9DA80" w14:textId="77777777">
      <w:pPr>
        <w:pStyle w:val="FootnoteText"/>
      </w:pPr>
      <w:r w:rsidRPr="0072600F">
        <w:rPr>
          <w:rStyle w:val="FootnoteReference"/>
        </w:rPr>
        <w:footnoteRef/>
      </w:r>
      <w:r>
        <w:t xml:space="preserve"> Order No. 2023, </w:t>
      </w:r>
      <w:r w:rsidRPr="0079433F">
        <w:t>184 FERC ¶ 61,054</w:t>
      </w:r>
      <w:r>
        <w:t xml:space="preserve"> at P 1133; </w:t>
      </w:r>
      <w:r w:rsidRPr="009B40ED">
        <w:rPr>
          <w:i/>
          <w:iCs/>
        </w:rPr>
        <w:t xml:space="preserve">see pro forma </w:t>
      </w:r>
      <w:r w:rsidRPr="009B40ED">
        <w:t xml:space="preserve">LGIP </w:t>
      </w:r>
      <w:r>
        <w:t>section</w:t>
      </w:r>
      <w:r w:rsidRPr="009B40ED">
        <w:t xml:space="preserve"> 9.7</w:t>
      </w:r>
      <w:r>
        <w:t>.</w:t>
      </w:r>
    </w:p>
  </w:footnote>
  <w:footnote w:id="907">
    <w:p w:rsidR="00760048" w:rsidP="00071614" w14:paraId="0F3019F9" w14:textId="77777777">
      <w:pPr>
        <w:pStyle w:val="FootnoteText"/>
      </w:pPr>
      <w:r w:rsidRPr="0072600F">
        <w:rPr>
          <w:rStyle w:val="FootnoteReference"/>
        </w:rPr>
        <w:footnoteRef/>
      </w:r>
      <w:r>
        <w:t xml:space="preserve"> Order No. 2023, </w:t>
      </w:r>
      <w:r w:rsidRPr="0079433F">
        <w:t>184 FERC ¶ 61,054</w:t>
      </w:r>
      <w:r>
        <w:t xml:space="preserve"> at P 1135.</w:t>
      </w:r>
    </w:p>
  </w:footnote>
  <w:footnote w:id="908">
    <w:p w:rsidR="00760048" w:rsidP="00071614" w14:paraId="43612526" w14:textId="77777777">
      <w:pPr>
        <w:pStyle w:val="FootnoteText"/>
      </w:pPr>
      <w:r w:rsidRPr="0072600F">
        <w:rPr>
          <w:rStyle w:val="FootnoteReference"/>
        </w:rPr>
        <w:footnoteRef/>
      </w:r>
      <w:r>
        <w:t xml:space="preserve"> </w:t>
      </w:r>
      <w:r w:rsidRPr="00CD40D5">
        <w:rPr>
          <w:i/>
          <w:iCs/>
        </w:rPr>
        <w:t>Id.</w:t>
      </w:r>
      <w:r w:rsidRPr="00CD40D5">
        <w:rPr>
          <w:i/>
        </w:rPr>
        <w:t xml:space="preserve"> </w:t>
      </w:r>
      <w:r>
        <w:t>P 1276.</w:t>
      </w:r>
    </w:p>
  </w:footnote>
  <w:footnote w:id="909">
    <w:p w:rsidR="00760048" w:rsidP="00071614" w14:paraId="00DAF0EC" w14:textId="77777777">
      <w:pPr>
        <w:pStyle w:val="FootnoteText"/>
      </w:pPr>
      <w:r w:rsidRPr="0072600F">
        <w:rPr>
          <w:rStyle w:val="FootnoteReference"/>
        </w:rPr>
        <w:footnoteRef/>
      </w:r>
      <w:r>
        <w:t xml:space="preserve"> </w:t>
      </w:r>
      <w:r w:rsidRPr="00CD40D5">
        <w:rPr>
          <w:i/>
          <w:iCs/>
        </w:rPr>
        <w:t>Id.</w:t>
      </w:r>
      <w:r w:rsidRPr="00CD40D5">
        <w:rPr>
          <w:i/>
        </w:rPr>
        <w:t xml:space="preserve"> </w:t>
      </w:r>
      <w:r>
        <w:t xml:space="preserve">P 1123; </w:t>
      </w:r>
      <w:r w:rsidRPr="00CD40D5">
        <w:rPr>
          <w:i/>
          <w:iCs/>
        </w:rPr>
        <w:t xml:space="preserve">see pro forma </w:t>
      </w:r>
      <w:r w:rsidRPr="00CD40D5">
        <w:t xml:space="preserve">LGIP </w:t>
      </w:r>
      <w:r>
        <w:t>section</w:t>
      </w:r>
      <w:r w:rsidRPr="00CD40D5">
        <w:t xml:space="preserve"> 11.2.1</w:t>
      </w:r>
      <w:r>
        <w:t>.</w:t>
      </w:r>
    </w:p>
  </w:footnote>
  <w:footnote w:id="910">
    <w:p w:rsidR="00760048" w:rsidRPr="00BC313F" w:rsidP="00071614" w14:paraId="6A593BE3" w14:textId="77777777">
      <w:pPr>
        <w:pStyle w:val="FootnoteText"/>
      </w:pPr>
      <w:r w:rsidRPr="0072600F">
        <w:rPr>
          <w:rStyle w:val="FootnoteReference"/>
        </w:rPr>
        <w:footnoteRef/>
      </w:r>
      <w:r>
        <w:t xml:space="preserve"> Any interconnection customer that is not awaiting the results of an affected system study must proceed under the timelines set forth in </w:t>
      </w:r>
      <w:r>
        <w:rPr>
          <w:i/>
          <w:iCs/>
        </w:rPr>
        <w:t xml:space="preserve">pro forma </w:t>
      </w:r>
      <w:r>
        <w:t>LGIP section 11.1.</w:t>
      </w:r>
    </w:p>
  </w:footnote>
  <w:footnote w:id="911">
    <w:p w:rsidR="00760048" w:rsidP="00071614" w14:paraId="7C5B6F78" w14:textId="77777777">
      <w:pPr>
        <w:pStyle w:val="FootnoteText"/>
      </w:pPr>
      <w:r w:rsidRPr="0072600F">
        <w:rPr>
          <w:rStyle w:val="FootnoteReference"/>
        </w:rPr>
        <w:footnoteRef/>
      </w:r>
      <w:r>
        <w:t xml:space="preserve"> Order No. 2023, </w:t>
      </w:r>
      <w:r w:rsidRPr="00901C19">
        <w:t>184 FERC ¶ 61,054</w:t>
      </w:r>
      <w:r>
        <w:t xml:space="preserve"> at P 1124.</w:t>
      </w:r>
    </w:p>
  </w:footnote>
  <w:footnote w:id="912">
    <w:p w:rsidR="00760048" w:rsidP="00071614" w14:paraId="5AD04B7F" w14:textId="77777777">
      <w:pPr>
        <w:pStyle w:val="FootnoteText"/>
      </w:pPr>
      <w:r w:rsidRPr="0072600F">
        <w:rPr>
          <w:rStyle w:val="FootnoteReference"/>
        </w:rPr>
        <w:footnoteRef/>
      </w:r>
      <w:r>
        <w:t xml:space="preserve"> </w:t>
      </w:r>
      <w:r w:rsidRPr="007712C8">
        <w:rPr>
          <w:i/>
          <w:iCs/>
        </w:rPr>
        <w:t>Id.</w:t>
      </w:r>
      <w:r>
        <w:rPr>
          <w:i/>
        </w:rPr>
        <w:t xml:space="preserve"> </w:t>
      </w:r>
      <w:r>
        <w:t xml:space="preserve">P 1169; </w:t>
      </w:r>
      <w:r w:rsidRPr="007712C8">
        <w:rPr>
          <w:i/>
          <w:iCs/>
        </w:rPr>
        <w:t xml:space="preserve">see pro forma </w:t>
      </w:r>
      <w:r w:rsidRPr="007712C8">
        <w:t xml:space="preserve">LGIP </w:t>
      </w:r>
      <w:r>
        <w:t>section</w:t>
      </w:r>
      <w:r w:rsidRPr="007712C8">
        <w:t xml:space="preserve"> 9.8</w:t>
      </w:r>
      <w:r>
        <w:t>.</w:t>
      </w:r>
    </w:p>
  </w:footnote>
  <w:footnote w:id="913">
    <w:p w:rsidR="00760048" w:rsidP="00071614" w14:paraId="03ED3F8D" w14:textId="77777777">
      <w:pPr>
        <w:pStyle w:val="FootnoteText"/>
      </w:pPr>
      <w:r w:rsidRPr="0072600F">
        <w:rPr>
          <w:rStyle w:val="FootnoteReference"/>
        </w:rPr>
        <w:footnoteRef/>
      </w:r>
      <w:r>
        <w:t xml:space="preserve"> Order No. 2023, </w:t>
      </w:r>
      <w:r w:rsidRPr="007712C8">
        <w:t>184 FERC ¶ 61,054</w:t>
      </w:r>
      <w:r>
        <w:t xml:space="preserve"> at P 1149;</w:t>
      </w:r>
      <w:r w:rsidRPr="007712C8">
        <w:rPr>
          <w:i/>
          <w:iCs/>
        </w:rPr>
        <w:t xml:space="preserve"> see pro forma </w:t>
      </w:r>
      <w:r w:rsidRPr="007712C8">
        <w:t xml:space="preserve">LGIP </w:t>
      </w:r>
      <w:r>
        <w:t>section</w:t>
      </w:r>
      <w:r w:rsidRPr="007712C8">
        <w:t xml:space="preserve"> 9.</w:t>
      </w:r>
      <w:r>
        <w:t>9.</w:t>
      </w:r>
    </w:p>
  </w:footnote>
  <w:footnote w:id="914">
    <w:p w:rsidR="00760048" w:rsidP="00071614" w14:paraId="3FABB3BA" w14:textId="77777777">
      <w:pPr>
        <w:pStyle w:val="FootnoteText"/>
      </w:pPr>
      <w:r w:rsidRPr="0072600F">
        <w:rPr>
          <w:rStyle w:val="FootnoteReference"/>
        </w:rPr>
        <w:footnoteRef/>
      </w:r>
      <w:r>
        <w:t xml:space="preserve"> Order No. 2023,</w:t>
      </w:r>
      <w:r w:rsidRPr="007712C8">
        <w:rPr>
          <w:szCs w:val="22"/>
        </w:rPr>
        <w:t xml:space="preserve"> </w:t>
      </w:r>
      <w:r w:rsidRPr="007712C8">
        <w:t>184 FERC ¶ 61,054</w:t>
      </w:r>
      <w:r>
        <w:t xml:space="preserve"> at P 1165; </w:t>
      </w:r>
      <w:r w:rsidRPr="007712C8">
        <w:rPr>
          <w:i/>
          <w:iCs/>
        </w:rPr>
        <w:t xml:space="preserve">see pro forma </w:t>
      </w:r>
      <w:r w:rsidRPr="007712C8">
        <w:t xml:space="preserve">LGIP </w:t>
      </w:r>
      <w:r>
        <w:t>section</w:t>
      </w:r>
      <w:r w:rsidRPr="007712C8">
        <w:t xml:space="preserve"> 9.</w:t>
      </w:r>
      <w:r>
        <w:t>10.</w:t>
      </w:r>
    </w:p>
  </w:footnote>
  <w:footnote w:id="915">
    <w:p w:rsidR="00760048" w:rsidP="00071614" w14:paraId="391AC68E" w14:textId="77777777">
      <w:pPr>
        <w:pStyle w:val="FootnoteText"/>
      </w:pPr>
      <w:r w:rsidRPr="0072600F">
        <w:rPr>
          <w:rStyle w:val="FootnoteReference"/>
        </w:rPr>
        <w:footnoteRef/>
      </w:r>
      <w:r>
        <w:t xml:space="preserve"> Order No. 2023, </w:t>
      </w:r>
      <w:r w:rsidRPr="007712C8">
        <w:t>184 FERC ¶ 61,054</w:t>
      </w:r>
      <w:r>
        <w:t xml:space="preserve"> at P 1170; </w:t>
      </w:r>
      <w:r w:rsidRPr="00DD041D">
        <w:rPr>
          <w:i/>
          <w:iCs/>
        </w:rPr>
        <w:t xml:space="preserve">see pro forma </w:t>
      </w:r>
      <w:r w:rsidRPr="00DD041D">
        <w:t xml:space="preserve">LGIP </w:t>
      </w:r>
      <w:r>
        <w:t>section</w:t>
      </w:r>
      <w:r w:rsidRPr="00DD041D">
        <w:t xml:space="preserve"> 9.11</w:t>
      </w:r>
      <w:r>
        <w:t>.</w:t>
      </w:r>
    </w:p>
  </w:footnote>
  <w:footnote w:id="916">
    <w:p w:rsidR="00760048" w:rsidP="00071614" w14:paraId="53400336" w14:textId="77777777">
      <w:pPr>
        <w:pStyle w:val="FootnoteText"/>
      </w:pPr>
      <w:r w:rsidRPr="0072600F">
        <w:rPr>
          <w:rStyle w:val="FootnoteReference"/>
        </w:rPr>
        <w:footnoteRef/>
      </w:r>
      <w:r>
        <w:t xml:space="preserve"> Order No. 2023, </w:t>
      </w:r>
      <w:r w:rsidRPr="007712C8">
        <w:t>184 FERC ¶ 61,054</w:t>
      </w:r>
      <w:r>
        <w:t xml:space="preserve"> at P 1171.</w:t>
      </w:r>
    </w:p>
  </w:footnote>
  <w:footnote w:id="917">
    <w:p w:rsidR="00760048" w:rsidP="00071614" w14:paraId="59C80F59" w14:textId="77777777">
      <w:pPr>
        <w:pStyle w:val="FootnoteText"/>
      </w:pPr>
      <w:r w:rsidRPr="0072600F">
        <w:rPr>
          <w:rStyle w:val="FootnoteReference"/>
        </w:rPr>
        <w:footnoteRef/>
      </w:r>
      <w:r>
        <w:t xml:space="preserve"> Clean Energy Associations Rehearing Request at 78-79; Invenergy </w:t>
      </w:r>
      <w:r w:rsidRPr="00DF7FBE">
        <w:t xml:space="preserve">Rehearing Request at </w:t>
      </w:r>
      <w:r>
        <w:t>18-19.</w:t>
      </w:r>
    </w:p>
  </w:footnote>
  <w:footnote w:id="918">
    <w:p w:rsidR="00760048" w:rsidP="00071614" w14:paraId="6B01B647" w14:textId="77777777">
      <w:pPr>
        <w:pStyle w:val="FootnoteText"/>
      </w:pPr>
      <w:r w:rsidRPr="0072600F">
        <w:rPr>
          <w:rStyle w:val="FootnoteReference"/>
        </w:rPr>
        <w:footnoteRef/>
      </w:r>
      <w:r>
        <w:t xml:space="preserve"> </w:t>
      </w:r>
      <w:r w:rsidRPr="005E1FE3">
        <w:t>Clean Energy Associations</w:t>
      </w:r>
      <w:r>
        <w:t xml:space="preserve"> Rehearing Request at 79; Invenergy </w:t>
      </w:r>
      <w:r w:rsidRPr="00DF7FBE">
        <w:t>Rehearing Request at 4</w:t>
      </w:r>
      <w:r>
        <w:t xml:space="preserve"> (both citing </w:t>
      </w:r>
      <w:r w:rsidRPr="002E0808">
        <w:t>Order No. 2023</w:t>
      </w:r>
      <w:r>
        <w:t xml:space="preserve">, </w:t>
      </w:r>
      <w:r w:rsidRPr="007712C8">
        <w:t>184 FERC ¶ 61,054</w:t>
      </w:r>
      <w:r w:rsidRPr="002E0808">
        <w:t xml:space="preserve"> at PP 1124</w:t>
      </w:r>
      <w:r>
        <w:t>-</w:t>
      </w:r>
      <w:r w:rsidRPr="002E0808">
        <w:t>1125</w:t>
      </w:r>
      <w:r>
        <w:t>).</w:t>
      </w:r>
    </w:p>
  </w:footnote>
  <w:footnote w:id="919">
    <w:p w:rsidR="00760048" w:rsidP="00071614" w14:paraId="3BBA9FAE" w14:textId="77777777">
      <w:pPr>
        <w:pStyle w:val="FootnoteText"/>
      </w:pPr>
      <w:r w:rsidRPr="0072600F">
        <w:rPr>
          <w:rStyle w:val="FootnoteReference"/>
        </w:rPr>
        <w:footnoteRef/>
      </w:r>
      <w:r>
        <w:t xml:space="preserve"> Clean Energy Associations Rehearing Request at 80; Invenergy </w:t>
      </w:r>
      <w:r w:rsidRPr="00DF7FBE">
        <w:t xml:space="preserve">Rehearing Request at </w:t>
      </w:r>
      <w:r>
        <w:t>5.</w:t>
      </w:r>
    </w:p>
  </w:footnote>
  <w:footnote w:id="920">
    <w:p w:rsidR="00760048" w:rsidP="00071614" w14:paraId="018CA09E" w14:textId="77777777">
      <w:pPr>
        <w:pStyle w:val="FootnoteText"/>
      </w:pPr>
      <w:r w:rsidRPr="0072600F">
        <w:rPr>
          <w:rStyle w:val="FootnoteReference"/>
        </w:rPr>
        <w:footnoteRef/>
      </w:r>
      <w:r>
        <w:t xml:space="preserve"> Clean Energy Associations Rehearing Request at 80-81; Invenergy </w:t>
      </w:r>
      <w:r w:rsidRPr="00DF7FBE">
        <w:t xml:space="preserve">Rehearing Request at </w:t>
      </w:r>
      <w:r>
        <w:t>5-6.</w:t>
      </w:r>
    </w:p>
  </w:footnote>
  <w:footnote w:id="921">
    <w:p w:rsidR="00760048" w:rsidP="00071614" w14:paraId="0AFA8F0A" w14:textId="77777777">
      <w:pPr>
        <w:pStyle w:val="FootnoteText"/>
      </w:pPr>
      <w:r w:rsidRPr="0072600F">
        <w:rPr>
          <w:rStyle w:val="FootnoteReference"/>
        </w:rPr>
        <w:footnoteRef/>
      </w:r>
      <w:r>
        <w:t xml:space="preserve"> Duke Southeast Utilities </w:t>
      </w:r>
      <w:r w:rsidR="006F1401">
        <w:t xml:space="preserve">Rehearing </w:t>
      </w:r>
      <w:r>
        <w:t>Request at 2-4.</w:t>
      </w:r>
    </w:p>
  </w:footnote>
  <w:footnote w:id="922">
    <w:p w:rsidR="00760048" w:rsidP="00071614" w14:paraId="494E2A9B" w14:textId="77777777">
      <w:pPr>
        <w:pStyle w:val="FootnoteText"/>
      </w:pPr>
      <w:r w:rsidRPr="0072600F">
        <w:rPr>
          <w:rStyle w:val="FootnoteReference"/>
        </w:rPr>
        <w:footnoteRef/>
      </w:r>
      <w:r>
        <w:t xml:space="preserve"> Clean Energy Associations Rehearing Request at 34; Invenergy </w:t>
      </w:r>
      <w:r w:rsidRPr="00DF7FBE">
        <w:t>Rehearing Request at</w:t>
      </w:r>
      <w:r>
        <w:t xml:space="preserve"> 7.</w:t>
      </w:r>
    </w:p>
  </w:footnote>
  <w:footnote w:id="923">
    <w:p w:rsidR="00760048" w:rsidP="00071614" w14:paraId="56C55596" w14:textId="77777777">
      <w:pPr>
        <w:pStyle w:val="FootnoteText"/>
      </w:pPr>
      <w:r w:rsidRPr="0072600F">
        <w:rPr>
          <w:rStyle w:val="FootnoteReference"/>
        </w:rPr>
        <w:footnoteRef/>
      </w:r>
      <w:r>
        <w:t xml:space="preserve"> Clean Energy Associations Rehearing Request at 34-35.</w:t>
      </w:r>
    </w:p>
  </w:footnote>
  <w:footnote w:id="924">
    <w:p w:rsidR="00760048" w:rsidP="00071614" w14:paraId="6B713268" w14:textId="77777777">
      <w:pPr>
        <w:pStyle w:val="FootnoteText"/>
      </w:pPr>
      <w:r w:rsidRPr="0072600F">
        <w:rPr>
          <w:rStyle w:val="FootnoteReference"/>
        </w:rPr>
        <w:footnoteRef/>
      </w:r>
      <w:r>
        <w:t xml:space="preserve"> Invenergy Rehearing Request at 7.</w:t>
      </w:r>
    </w:p>
  </w:footnote>
  <w:footnote w:id="925">
    <w:p w:rsidR="00760048" w:rsidP="00071614" w14:paraId="70A7B498" w14:textId="77777777">
      <w:pPr>
        <w:pStyle w:val="FootnoteText"/>
      </w:pPr>
      <w:r w:rsidRPr="0072600F">
        <w:rPr>
          <w:rStyle w:val="FootnoteReference"/>
        </w:rPr>
        <w:footnoteRef/>
      </w:r>
      <w:r>
        <w:t xml:space="preserve"> </w:t>
      </w:r>
      <w:r w:rsidRPr="007712C8" w:rsidR="0080395A">
        <w:rPr>
          <w:i/>
          <w:iCs/>
        </w:rPr>
        <w:t>Id.</w:t>
      </w:r>
      <w:r w:rsidR="0080395A">
        <w:t xml:space="preserve"> at 6; </w:t>
      </w:r>
      <w:r>
        <w:t>Clean Energy Associations Rehearing Request at 31.</w:t>
      </w:r>
    </w:p>
  </w:footnote>
  <w:footnote w:id="926">
    <w:p w:rsidR="00760048" w:rsidP="00071614" w14:paraId="6CC80BF3" w14:textId="77777777">
      <w:pPr>
        <w:pStyle w:val="FootnoteText"/>
      </w:pPr>
      <w:r w:rsidRPr="0072600F">
        <w:rPr>
          <w:rStyle w:val="FootnoteReference"/>
        </w:rPr>
        <w:footnoteRef/>
      </w:r>
      <w:r>
        <w:t xml:space="preserve"> Clean Energy Associations Rehearing Request at 33; Invenergy Rehearing Request at 7-8 (both citing Order No. 2023, </w:t>
      </w:r>
      <w:r w:rsidRPr="00901C19">
        <w:t>184 FERC ¶ 61,054</w:t>
      </w:r>
      <w:r>
        <w:t xml:space="preserve"> at P 1151).</w:t>
      </w:r>
    </w:p>
  </w:footnote>
  <w:footnote w:id="927">
    <w:p w:rsidR="00760048" w:rsidP="00071614" w14:paraId="517F564C" w14:textId="77777777">
      <w:pPr>
        <w:pStyle w:val="FootnoteText"/>
      </w:pPr>
      <w:r w:rsidRPr="0072600F">
        <w:rPr>
          <w:rStyle w:val="FootnoteReference"/>
        </w:rPr>
        <w:footnoteRef/>
      </w:r>
      <w:r>
        <w:t xml:space="preserve"> Clean Energy Associations Rehearing Request at 33.</w:t>
      </w:r>
    </w:p>
  </w:footnote>
  <w:footnote w:id="928">
    <w:p w:rsidR="00760048" w:rsidP="00071614" w14:paraId="1D1E868A" w14:textId="77777777">
      <w:pPr>
        <w:pStyle w:val="FootnoteText"/>
      </w:pPr>
      <w:r w:rsidRPr="0072600F">
        <w:rPr>
          <w:rStyle w:val="FootnoteReference"/>
        </w:rPr>
        <w:footnoteRef/>
      </w:r>
      <w:r>
        <w:t xml:space="preserve"> Invenergy Rehearing Request at 7-8.</w:t>
      </w:r>
    </w:p>
  </w:footnote>
  <w:footnote w:id="929">
    <w:p w:rsidR="00760048" w:rsidP="00071614" w14:paraId="371C294F" w14:textId="77777777">
      <w:pPr>
        <w:pStyle w:val="FootnoteText"/>
      </w:pPr>
      <w:r w:rsidRPr="0072600F">
        <w:rPr>
          <w:rStyle w:val="FootnoteReference"/>
        </w:rPr>
        <w:footnoteRef/>
      </w:r>
      <w:r>
        <w:t xml:space="preserve"> Clean Energy Associations Rehearing Request at 36.</w:t>
      </w:r>
    </w:p>
  </w:footnote>
  <w:footnote w:id="930">
    <w:p w:rsidR="00760048" w:rsidP="00071614" w14:paraId="4E6998FC" w14:textId="77777777">
      <w:pPr>
        <w:pStyle w:val="FootnoteText"/>
      </w:pPr>
      <w:r w:rsidRPr="0072600F">
        <w:rPr>
          <w:rStyle w:val="FootnoteReference"/>
        </w:rPr>
        <w:footnoteRef/>
      </w:r>
      <w:r>
        <w:t xml:space="preserve"> Invenergy Rehearing Request at 9.</w:t>
      </w:r>
    </w:p>
  </w:footnote>
  <w:footnote w:id="931">
    <w:p w:rsidR="00760048" w:rsidP="001E6AA2" w14:paraId="441EDADB" w14:textId="77777777">
      <w:pPr>
        <w:pStyle w:val="FootnoteText"/>
        <w:ind w:right="-450"/>
      </w:pPr>
      <w:r w:rsidRPr="0072600F">
        <w:rPr>
          <w:rStyle w:val="FootnoteReference"/>
        </w:rPr>
        <w:footnoteRef/>
      </w:r>
      <w:r>
        <w:t xml:space="preserve"> </w:t>
      </w:r>
      <w:r w:rsidRPr="00F90A88">
        <w:rPr>
          <w:i/>
          <w:iCs/>
        </w:rPr>
        <w:t>Id.</w:t>
      </w:r>
      <w:r>
        <w:rPr>
          <w:i/>
        </w:rPr>
        <w:t xml:space="preserve"> </w:t>
      </w:r>
      <w:r>
        <w:t xml:space="preserve">at 9-10 (citing </w:t>
      </w:r>
      <w:r w:rsidRPr="00840F39">
        <w:t>MISO</w:t>
      </w:r>
      <w:r>
        <w:t>, Open Access Transmission, Energy and Operating Markets</w:t>
      </w:r>
      <w:r w:rsidRPr="00840F39">
        <w:t xml:space="preserve"> Tariff, </w:t>
      </w:r>
      <w:r w:rsidR="002E7DDD">
        <w:t>a</w:t>
      </w:r>
      <w:r w:rsidRPr="00840F39">
        <w:t>ttach. X</w:t>
      </w:r>
      <w:r w:rsidR="002E7DDD">
        <w:t xml:space="preserve"> (Generator Interconnection Procedures (GIP)) (161.0.0)</w:t>
      </w:r>
      <w:r w:rsidRPr="00840F39">
        <w:t xml:space="preserve">, </w:t>
      </w:r>
      <w:r w:rsidR="002E7DDD">
        <w:t>§</w:t>
      </w:r>
      <w:r w:rsidRPr="00840F39">
        <w:t xml:space="preserve"> 7.6.2.4</w:t>
      </w:r>
      <w:r>
        <w:t>).</w:t>
      </w:r>
    </w:p>
  </w:footnote>
  <w:footnote w:id="932">
    <w:p w:rsidR="00760048" w:rsidP="00071614" w14:paraId="6EBEDF32" w14:textId="77777777">
      <w:pPr>
        <w:pStyle w:val="FootnoteText"/>
      </w:pPr>
      <w:r w:rsidRPr="0072600F">
        <w:rPr>
          <w:rStyle w:val="FootnoteReference"/>
        </w:rPr>
        <w:footnoteRef/>
      </w:r>
      <w:r>
        <w:t xml:space="preserve"> SPP Rehearing Request at 12-14.</w:t>
      </w:r>
    </w:p>
  </w:footnote>
  <w:footnote w:id="933">
    <w:p w:rsidR="00760048" w:rsidP="00071614" w14:paraId="2B8560A0" w14:textId="77777777">
      <w:pPr>
        <w:pStyle w:val="FootnoteText"/>
      </w:pPr>
      <w:r w:rsidRPr="0072600F">
        <w:rPr>
          <w:rStyle w:val="FootnoteReference"/>
        </w:rPr>
        <w:footnoteRef/>
      </w:r>
      <w:r>
        <w:t xml:space="preserve"> </w:t>
      </w:r>
      <w:r w:rsidRPr="00F90A88">
        <w:rPr>
          <w:i/>
          <w:iCs/>
        </w:rPr>
        <w:t xml:space="preserve">Id. </w:t>
      </w:r>
      <w:r>
        <w:t>at 14.</w:t>
      </w:r>
    </w:p>
  </w:footnote>
  <w:footnote w:id="934">
    <w:p w:rsidR="004777E1" w14:paraId="36D89D7D" w14:textId="77777777">
      <w:pPr>
        <w:pStyle w:val="FootnoteText"/>
      </w:pPr>
      <w:r>
        <w:rPr>
          <w:rStyle w:val="FootnoteReference"/>
        </w:rPr>
        <w:footnoteRef/>
      </w:r>
      <w:r>
        <w:t xml:space="preserve"> </w:t>
      </w:r>
      <w:r w:rsidR="001A2A7F">
        <w:t>PJM Rehearing Request at 24.</w:t>
      </w:r>
    </w:p>
  </w:footnote>
  <w:footnote w:id="935">
    <w:p w:rsidR="00760048" w:rsidP="00071614" w14:paraId="2F1E8334" w14:textId="77777777">
      <w:pPr>
        <w:pStyle w:val="FootnoteText"/>
      </w:pPr>
      <w:r w:rsidRPr="0072600F">
        <w:rPr>
          <w:rStyle w:val="FootnoteReference"/>
        </w:rPr>
        <w:footnoteRef/>
      </w:r>
      <w:r>
        <w:t xml:space="preserve"> </w:t>
      </w:r>
      <w:r w:rsidR="004777E1">
        <w:t xml:space="preserve">SPP Rehearing Request </w:t>
      </w:r>
      <w:r>
        <w:t xml:space="preserve">at 16-17 (citing </w:t>
      </w:r>
      <w:r w:rsidRPr="002626B2">
        <w:rPr>
          <w:i/>
          <w:iCs/>
        </w:rPr>
        <w:t xml:space="preserve">Tenaska Clear Creek Wind, LLC v. </w:t>
      </w:r>
      <w:r w:rsidR="001E6AA2">
        <w:rPr>
          <w:i/>
          <w:iCs/>
        </w:rPr>
        <w:t xml:space="preserve">  </w:t>
      </w:r>
      <w:r w:rsidRPr="002626B2">
        <w:rPr>
          <w:i/>
          <w:iCs/>
        </w:rPr>
        <w:t>Sw. Power Pool, Inc.</w:t>
      </w:r>
      <w:r w:rsidRPr="004C5EE2">
        <w:t>, 180 FERC ¶ 61,160 at P 62</w:t>
      </w:r>
      <w:r>
        <w:t xml:space="preserve">; </w:t>
      </w:r>
      <w:r w:rsidRPr="00745303">
        <w:rPr>
          <w:i/>
          <w:iCs/>
        </w:rPr>
        <w:t>EDF Renewable Energy Inc. v. Midcontinent Indep. Sys. Operator, Inc.</w:t>
      </w:r>
      <w:r w:rsidRPr="00D01AA1">
        <w:t>, 168 FERC ¶ 61,173, at P 86 (2019)</w:t>
      </w:r>
      <w:r>
        <w:t>).</w:t>
      </w:r>
    </w:p>
  </w:footnote>
  <w:footnote w:id="936">
    <w:p w:rsidR="00760048" w:rsidRPr="00CA788C" w14:paraId="409C1D9C" w14:textId="77777777">
      <w:pPr>
        <w:pStyle w:val="FootnoteText"/>
      </w:pPr>
      <w:r w:rsidRPr="0072600F">
        <w:rPr>
          <w:rStyle w:val="FootnoteReference"/>
        </w:rPr>
        <w:footnoteRef/>
      </w:r>
      <w:r>
        <w:t xml:space="preserve"> </w:t>
      </w:r>
      <w:r>
        <w:rPr>
          <w:i/>
          <w:iCs/>
        </w:rPr>
        <w:t xml:space="preserve">See pro forma </w:t>
      </w:r>
      <w:r>
        <w:t>LGIA arts. 11.5, 12.1.</w:t>
      </w:r>
    </w:p>
  </w:footnote>
  <w:footnote w:id="937">
    <w:p w:rsidR="00760048" w14:paraId="4028BA98" w14:textId="77777777">
      <w:pPr>
        <w:pStyle w:val="FootnoteText"/>
      </w:pPr>
      <w:r w:rsidRPr="0072600F">
        <w:rPr>
          <w:rStyle w:val="FootnoteReference"/>
        </w:rPr>
        <w:footnoteRef/>
      </w:r>
      <w:r>
        <w:t xml:space="preserve"> </w:t>
      </w:r>
      <w:r>
        <w:rPr>
          <w:i/>
          <w:iCs/>
        </w:rPr>
        <w:t xml:space="preserve">See pro forma </w:t>
      </w:r>
      <w:r>
        <w:t xml:space="preserve">LGIP </w:t>
      </w:r>
      <w:r w:rsidR="003A5926">
        <w:t>section</w:t>
      </w:r>
      <w:r>
        <w:t xml:space="preserve"> 11.3.</w:t>
      </w:r>
    </w:p>
  </w:footnote>
  <w:footnote w:id="938">
    <w:p w:rsidR="00760048" w:rsidRPr="00355D28" w14:paraId="758B39A6" w14:textId="77777777">
      <w:pPr>
        <w:pStyle w:val="FootnoteText"/>
      </w:pPr>
      <w:r w:rsidRPr="0072600F">
        <w:rPr>
          <w:rStyle w:val="FootnoteReference"/>
        </w:rPr>
        <w:footnoteRef/>
      </w:r>
      <w:r>
        <w:t xml:space="preserve"> </w:t>
      </w:r>
      <w:r>
        <w:rPr>
          <w:i/>
          <w:iCs/>
        </w:rPr>
        <w:t xml:space="preserve">See </w:t>
      </w:r>
      <w:r>
        <w:rPr>
          <w:i/>
          <w:iCs/>
        </w:rPr>
        <w:t xml:space="preserve">infra </w:t>
      </w:r>
      <w:r>
        <w:t>P</w:t>
      </w:r>
      <w:r w:rsidR="0087047C">
        <w:t xml:space="preserve"> </w:t>
      </w:r>
      <w:r w:rsidR="0087047C">
        <w:fldChar w:fldCharType="begin"/>
      </w:r>
      <w:r w:rsidR="0087047C">
        <w:instrText xml:space="preserve"> REF _Ref161764245 \r \h </w:instrText>
      </w:r>
      <w:r w:rsidR="0087047C">
        <w:fldChar w:fldCharType="separate"/>
      </w:r>
      <w:r w:rsidR="0087047C">
        <w:t>502</w:t>
      </w:r>
      <w:r w:rsidR="0087047C">
        <w:fldChar w:fldCharType="end"/>
      </w:r>
      <w:r>
        <w:t>.</w:t>
      </w:r>
    </w:p>
  </w:footnote>
  <w:footnote w:id="939">
    <w:p w:rsidR="00760048" w14:paraId="792F8CBD" w14:textId="77777777">
      <w:pPr>
        <w:pStyle w:val="FootnoteText"/>
      </w:pPr>
      <w:r w:rsidRPr="0072600F">
        <w:rPr>
          <w:rStyle w:val="FootnoteReference"/>
        </w:rPr>
        <w:footnoteRef/>
      </w:r>
      <w:r>
        <w:t xml:space="preserve"> Order No. 2023, </w:t>
      </w:r>
      <w:r w:rsidRPr="000622AC">
        <w:t>184 FERC ¶ 61,054</w:t>
      </w:r>
      <w:r>
        <w:t xml:space="preserve"> at P 49.</w:t>
      </w:r>
    </w:p>
  </w:footnote>
  <w:footnote w:id="940">
    <w:p w:rsidR="00760048" w:rsidRPr="00F8360C" w14:paraId="30371D2E" w14:textId="77777777">
      <w:pPr>
        <w:pStyle w:val="FootnoteText"/>
        <w:rPr>
          <w:i/>
        </w:rPr>
      </w:pPr>
      <w:r w:rsidRPr="0072600F">
        <w:rPr>
          <w:rStyle w:val="FootnoteReference"/>
        </w:rPr>
        <w:footnoteRef/>
      </w:r>
      <w:r>
        <w:t xml:space="preserve"> </w:t>
      </w:r>
      <w:r>
        <w:rPr>
          <w:i/>
          <w:iCs/>
        </w:rPr>
        <w:t xml:space="preserve">Id. </w:t>
      </w:r>
      <w:r>
        <w:t>P 1151.</w:t>
      </w:r>
      <w:r>
        <w:rPr>
          <w:i/>
          <w:iCs/>
        </w:rPr>
        <w:t xml:space="preserve"> </w:t>
      </w:r>
    </w:p>
  </w:footnote>
  <w:footnote w:id="941">
    <w:p w:rsidR="00760048" w:rsidP="001E6AA2" w14:paraId="4D67448D" w14:textId="77777777">
      <w:pPr>
        <w:pStyle w:val="FootnoteText"/>
        <w:ind w:right="-180"/>
      </w:pPr>
      <w:r w:rsidRPr="0072600F">
        <w:rPr>
          <w:rStyle w:val="FootnoteReference"/>
        </w:rPr>
        <w:footnoteRef/>
      </w:r>
      <w:r>
        <w:t xml:space="preserve"> </w:t>
      </w:r>
      <w:r>
        <w:rPr>
          <w:i/>
          <w:iCs/>
        </w:rPr>
        <w:t>Id.</w:t>
      </w:r>
      <w:r>
        <w:t xml:space="preserve"> P 1288 (citing </w:t>
      </w:r>
      <w:r w:rsidRPr="00466EFE">
        <w:t>Order No. 2003, 104 FERC ¶ 61,103</w:t>
      </w:r>
      <w:r>
        <w:t xml:space="preserve"> </w:t>
      </w:r>
      <w:r w:rsidRPr="00466EFE">
        <w:t>at P</w:t>
      </w:r>
      <w:r>
        <w:t>P</w:t>
      </w:r>
      <w:r w:rsidRPr="00466EFE">
        <w:t xml:space="preserve"> 118</w:t>
      </w:r>
      <w:r>
        <w:t>-120</w:t>
      </w:r>
      <w:r w:rsidRPr="00466EFE">
        <w:t xml:space="preserve">; Order </w:t>
      </w:r>
      <w:r w:rsidR="001E6AA2">
        <w:t xml:space="preserve"> </w:t>
      </w:r>
      <w:r w:rsidRPr="00466EFE">
        <w:t>No. 2003-A, 106 FERC ¶ 61,220</w:t>
      </w:r>
      <w:r>
        <w:t xml:space="preserve"> </w:t>
      </w:r>
      <w:r w:rsidRPr="00466EFE">
        <w:t>at P 113</w:t>
      </w:r>
      <w:r>
        <w:t xml:space="preserve">); </w:t>
      </w:r>
      <w:r>
        <w:rPr>
          <w:i/>
          <w:szCs w:val="26"/>
        </w:rPr>
        <w:t xml:space="preserve">see also </w:t>
      </w:r>
      <w:r w:rsidRPr="006C19A9">
        <w:rPr>
          <w:i/>
        </w:rPr>
        <w:t>Tenn. Power Co.</w:t>
      </w:r>
      <w:r w:rsidRPr="006C19A9">
        <w:t>, 90 FERC ¶ 61,238</w:t>
      </w:r>
      <w:r>
        <w:t xml:space="preserve">, </w:t>
      </w:r>
      <w:r w:rsidRPr="00450566">
        <w:t xml:space="preserve">at </w:t>
      </w:r>
      <w:r w:rsidRPr="00D84F6D">
        <w:t>61,761</w:t>
      </w:r>
      <w:r w:rsidRPr="006C19A9">
        <w:t xml:space="preserve"> (2000)</w:t>
      </w:r>
      <w:r>
        <w:t xml:space="preserve"> (</w:t>
      </w:r>
      <w:r w:rsidRPr="00F2535A">
        <w:t>finding that interconnection is an element of transmission service but that the interconnection component of transmission service may be requested separately from the delivery component (i.e., interconnection is distinct from transmission service)</w:t>
      </w:r>
      <w:r>
        <w:t xml:space="preserve">); </w:t>
      </w:r>
      <w:r>
        <w:rPr>
          <w:i/>
          <w:iCs/>
        </w:rPr>
        <w:t>see also</w:t>
      </w:r>
      <w:r>
        <w:t xml:space="preserve"> </w:t>
      </w:r>
      <w:r w:rsidRPr="00D0616E">
        <w:t>Fervo Energy Initial Comments at 6</w:t>
      </w:r>
      <w:r>
        <w:t>,</w:t>
      </w:r>
      <w:r w:rsidRPr="00D0616E">
        <w:t xml:space="preserve"> </w:t>
      </w:r>
      <w:r>
        <w:t xml:space="preserve">Shell Initial Comments at 32, </w:t>
      </w:r>
      <w:r w:rsidRPr="00D0616E">
        <w:t>Utah Municipal Power Initial Comments at 6</w:t>
      </w:r>
      <w:r>
        <w:t xml:space="preserve"> (all stating that the use of ERIS in affected system studies will reduce the assignment of </w:t>
      </w:r>
      <w:r w:rsidRPr="00DE0AA9">
        <w:t>unnecessary</w:t>
      </w:r>
      <w:r>
        <w:rPr>
          <w:i/>
          <w:iCs/>
        </w:rPr>
        <w:t xml:space="preserve"> </w:t>
      </w:r>
      <w:r>
        <w:t>network upgrades).</w:t>
      </w:r>
    </w:p>
  </w:footnote>
  <w:footnote w:id="942">
    <w:p w:rsidR="00170DB6" w:rsidP="00170DB6" w14:paraId="0DBDC312" w14:textId="77777777">
      <w:pPr>
        <w:pStyle w:val="FootnoteText"/>
      </w:pPr>
      <w:r>
        <w:rPr>
          <w:rStyle w:val="FootnoteReference"/>
        </w:rPr>
        <w:footnoteRef/>
      </w:r>
      <w:r>
        <w:t xml:space="preserve"> </w:t>
      </w:r>
      <w:r w:rsidRPr="002C161C">
        <w:rPr>
          <w:i/>
          <w:iCs/>
        </w:rPr>
        <w:t>Id</w:t>
      </w:r>
      <w:r>
        <w:t>. P 1278.</w:t>
      </w:r>
    </w:p>
  </w:footnote>
  <w:footnote w:id="943">
    <w:p w:rsidR="00170DB6" w:rsidP="00170DB6" w14:paraId="43F147F4" w14:textId="6C0E34D0">
      <w:pPr>
        <w:pStyle w:val="FootnoteText"/>
        <w:rPr>
          <w:highlight w:val="yellow"/>
        </w:rPr>
      </w:pPr>
      <w:r>
        <w:rPr>
          <w:rStyle w:val="FootnoteReference"/>
        </w:rPr>
        <w:footnoteRef/>
      </w:r>
      <w:r>
        <w:t xml:space="preserve"> </w:t>
      </w:r>
      <w:r w:rsidRPr="00E3422C">
        <w:rPr>
          <w:i/>
          <w:iCs/>
        </w:rPr>
        <w:t>Id</w:t>
      </w:r>
      <w:r>
        <w:t>. P 1277.</w:t>
      </w:r>
      <w:r w:rsidR="00AE2441">
        <w:t xml:space="preserve">  </w:t>
      </w:r>
      <w:r w:rsidR="00AE2441">
        <w:rPr>
          <w:i/>
          <w:iCs/>
        </w:rPr>
        <w:t xml:space="preserve">See also infra </w:t>
      </w:r>
      <w:r w:rsidR="00AE2441">
        <w:t>n</w:t>
      </w:r>
      <w:r w:rsidRPr="1832CC7C" w:rsidR="1832CC7C">
        <w:t>.</w:t>
      </w:r>
      <w:r w:rsidR="00281992">
        <w:t>1193</w:t>
      </w:r>
      <w:r w:rsidR="00E44F1C">
        <w:fldChar w:fldCharType="begin"/>
      </w:r>
      <w:r w:rsidR="00E44F1C">
        <w:instrText xml:space="preserve"> NOTEREF _Ref161819499 \h </w:instrText>
      </w:r>
      <w:r w:rsidR="00BE439E">
        <w:fldChar w:fldCharType="separate"/>
      </w:r>
      <w:r w:rsidR="00E44F1C">
        <w:fldChar w:fldCharType="end"/>
      </w:r>
      <w:r w:rsidRPr="1832CC7C" w:rsidR="1832CC7C">
        <w:t>.</w:t>
      </w:r>
    </w:p>
  </w:footnote>
  <w:footnote w:id="944">
    <w:p w:rsidR="00170DB6" w:rsidP="00170DB6" w14:paraId="1A62413F" w14:textId="77777777">
      <w:pPr>
        <w:pStyle w:val="FootnoteText"/>
      </w:pPr>
      <w:r>
        <w:rPr>
          <w:rStyle w:val="FootnoteReference"/>
        </w:rPr>
        <w:footnoteRef/>
      </w:r>
      <w:r>
        <w:t xml:space="preserve"> </w:t>
      </w:r>
      <w:r w:rsidR="00162C3D">
        <w:t xml:space="preserve">Order No. 2023, </w:t>
      </w:r>
      <w:r w:rsidRPr="000622AC" w:rsidR="00162C3D">
        <w:t>184 FERC ¶ 61,054</w:t>
      </w:r>
      <w:r w:rsidR="00162C3D">
        <w:t xml:space="preserve"> at </w:t>
      </w:r>
      <w:r>
        <w:t>P 1278.</w:t>
      </w:r>
    </w:p>
  </w:footnote>
  <w:footnote w:id="945">
    <w:p w:rsidR="00170DB6" w:rsidRPr="00A41B80" w:rsidP="00170DB6" w14:paraId="466DCD0D" w14:textId="77777777">
      <w:pPr>
        <w:pStyle w:val="FootnoteText"/>
      </w:pPr>
      <w:r>
        <w:rPr>
          <w:rStyle w:val="FootnoteReference"/>
        </w:rPr>
        <w:footnoteRef/>
      </w:r>
      <w:r>
        <w:t xml:space="preserve"> </w:t>
      </w:r>
      <w:r w:rsidR="00AE2441">
        <w:rPr>
          <w:i/>
          <w:iCs/>
        </w:rPr>
        <w:t>Id.</w:t>
      </w:r>
      <w:r w:rsidR="00804EA3">
        <w:t xml:space="preserve"> at </w:t>
      </w:r>
      <w:r>
        <w:t>PP 1278-1280 (identifying as benefits that affected system interconnection customers (1) will not be required to construct significant network upgrades on the affected system while not receiving deliverability on that system due to curtailment or congestion on the affected system; (2) will not face significant upfront costs to construct affected system network upgrades, which could lead to late-stage withdrawals given that interconnection customers will not receive affected system study results until late in the interconnection process; and (3) will be studied in a consistent and transparent manner across transmission provider regions, thus avoiding potentially dramatically different affected system network upgrades costs due to varying modeling standards without any factual or service differences to justify discriminatory treatment).</w:t>
      </w:r>
    </w:p>
  </w:footnote>
  <w:footnote w:id="946">
    <w:p w:rsidR="00760048" w:rsidRPr="00E14B44" w:rsidP="00071614" w14:paraId="7D604A47" w14:textId="77777777">
      <w:pPr>
        <w:pStyle w:val="FootnoteText"/>
      </w:pPr>
      <w:r w:rsidRPr="0072600F">
        <w:rPr>
          <w:rStyle w:val="FootnoteReference"/>
        </w:rPr>
        <w:footnoteRef/>
      </w:r>
      <w:r>
        <w:t xml:space="preserve"> </w:t>
      </w:r>
      <w:r w:rsidR="000F5D7C">
        <w:rPr>
          <w:i/>
          <w:iCs/>
        </w:rPr>
        <w:t>Id.</w:t>
      </w:r>
      <w:r>
        <w:t xml:space="preserve"> PP 1285, 1290.</w:t>
      </w:r>
      <w:r w:rsidRPr="004510CD" w:rsidR="004510CD">
        <w:rPr>
          <w:rFonts w:asciiTheme="minorHAnsi" w:eastAsiaTheme="minorHAnsi" w:hAnsiTheme="minorHAnsi" w:cstheme="minorBidi"/>
          <w:sz w:val="22"/>
          <w:szCs w:val="22"/>
        </w:rPr>
        <w:t xml:space="preserve"> </w:t>
      </w:r>
      <w:r w:rsidR="004510CD">
        <w:rPr>
          <w:rFonts w:asciiTheme="minorHAnsi" w:eastAsiaTheme="minorHAnsi" w:hAnsiTheme="minorHAnsi" w:cstheme="minorBidi"/>
          <w:sz w:val="22"/>
          <w:szCs w:val="22"/>
        </w:rPr>
        <w:t xml:space="preserve">  </w:t>
      </w:r>
      <w:r w:rsidR="004510CD">
        <w:t xml:space="preserve">As Order No. 2023 explained </w:t>
      </w:r>
      <w:r w:rsidRPr="004510CD" w:rsidR="004510CD">
        <w:t xml:space="preserve">transmission providers may explain specific circumstances on compliance and justify why any deviations are either “consistent with or superior to” the </w:t>
      </w:r>
      <w:r w:rsidRPr="004510CD" w:rsidR="004510CD">
        <w:rPr>
          <w:i/>
          <w:iCs/>
        </w:rPr>
        <w:t xml:space="preserve">pro forma </w:t>
      </w:r>
      <w:r w:rsidRPr="004510CD" w:rsidR="004510CD">
        <w:t xml:space="preserve">LGIP or merit an independent entity variation in the context of RTOs/ISOs.  </w:t>
      </w:r>
      <w:r w:rsidR="0044504B">
        <w:rPr>
          <w:i/>
          <w:iCs/>
        </w:rPr>
        <w:t xml:space="preserve">Id. </w:t>
      </w:r>
      <w:r w:rsidRPr="006A72F0" w:rsidR="0044504B">
        <w:t>P 1764</w:t>
      </w:r>
      <w:r w:rsidR="0044504B">
        <w:rPr>
          <w:i/>
          <w:iCs/>
        </w:rPr>
        <w:t>.</w:t>
      </w:r>
    </w:p>
  </w:footnote>
  <w:footnote w:id="947">
    <w:p w:rsidR="00760048" w14:paraId="720E8ED6" w14:textId="77777777">
      <w:pPr>
        <w:pStyle w:val="FootnoteText"/>
      </w:pPr>
      <w:r w:rsidRPr="0072600F">
        <w:rPr>
          <w:rStyle w:val="FootnoteReference"/>
        </w:rPr>
        <w:footnoteRef/>
      </w:r>
      <w:r>
        <w:t xml:space="preserve"> </w:t>
      </w:r>
      <w:r>
        <w:rPr>
          <w:i/>
          <w:iCs/>
        </w:rPr>
        <w:t>Id.</w:t>
      </w:r>
      <w:r w:rsidRPr="00D154F9">
        <w:t xml:space="preserve"> </w:t>
      </w:r>
    </w:p>
  </w:footnote>
  <w:footnote w:id="948">
    <w:p w:rsidR="00760048" w14:paraId="338A8A20" w14:textId="77777777">
      <w:pPr>
        <w:pStyle w:val="FootnoteText"/>
      </w:pPr>
      <w:r w:rsidRPr="0072600F">
        <w:rPr>
          <w:rStyle w:val="FootnoteReference"/>
        </w:rPr>
        <w:footnoteRef/>
      </w:r>
      <w:r>
        <w:t xml:space="preserve"> </w:t>
      </w:r>
      <w:r w:rsidRPr="00466EFE">
        <w:t>Order No. 2003, 104 FERC ¶ 61,103</w:t>
      </w:r>
      <w:r>
        <w:t xml:space="preserve"> </w:t>
      </w:r>
      <w:r w:rsidRPr="00466EFE">
        <w:t>at P</w:t>
      </w:r>
      <w:r>
        <w:t xml:space="preserve"> 694 (finding that “it is appropriate for the Interconnection Customer to pay initially the full cost of . . . Network Upgrades that would not be needed but for the interconnection”). </w:t>
      </w:r>
    </w:p>
  </w:footnote>
  <w:footnote w:id="949">
    <w:p w:rsidR="00760048" w14:paraId="64E1B421" w14:textId="77777777">
      <w:pPr>
        <w:pStyle w:val="FootnoteText"/>
      </w:pPr>
      <w:r w:rsidRPr="0072600F">
        <w:rPr>
          <w:rStyle w:val="FootnoteReference"/>
        </w:rPr>
        <w:footnoteRef/>
      </w:r>
      <w:r>
        <w:t xml:space="preserve"> We note that MISO’s </w:t>
      </w:r>
      <w:r w:rsidR="00397573">
        <w:t>j</w:t>
      </w:r>
      <w:r w:rsidR="00DA2A30">
        <w:t xml:space="preserve">oint </w:t>
      </w:r>
      <w:r w:rsidR="00397573">
        <w:t>o</w:t>
      </w:r>
      <w:r w:rsidR="00DA2A30">
        <w:t xml:space="preserve">perating </w:t>
      </w:r>
      <w:r w:rsidR="00397573">
        <w:t>a</w:t>
      </w:r>
      <w:r w:rsidR="00DA2A30">
        <w:t>greement</w:t>
      </w:r>
      <w:r>
        <w:t xml:space="preserve"> with SPP states that MISO will use ERIS to study the impact of SPP’s interconnection customers on MISO’s system.  </w:t>
      </w:r>
      <w:r w:rsidRPr="00293251" w:rsidR="009C6E65">
        <w:rPr>
          <w:i/>
          <w:iCs/>
        </w:rPr>
        <w:t>See</w:t>
      </w:r>
      <w:r w:rsidR="009C6E65">
        <w:t xml:space="preserve"> </w:t>
      </w:r>
      <w:r w:rsidRPr="00527739" w:rsidR="00527739">
        <w:t>Southwest Power Pool Inc., Rate and Schedules and Seams Agreement Tariff, MISO-SPP Joint Operating Agreement, § 9.4 (Analysis of Interconnection Requests) § 9.4.d.iii (7.0.0)</w:t>
      </w:r>
      <w:r>
        <w:t xml:space="preserve">; </w:t>
      </w:r>
      <w:r>
        <w:rPr>
          <w:i/>
          <w:iCs/>
        </w:rPr>
        <w:t>Xcel Energy Servs</w:t>
      </w:r>
      <w:r w:rsidR="00537345">
        <w:rPr>
          <w:i/>
          <w:iCs/>
        </w:rPr>
        <w:t>.</w:t>
      </w:r>
      <w:r>
        <w:rPr>
          <w:i/>
          <w:iCs/>
        </w:rPr>
        <w:t>, Inc. v. FERC</w:t>
      </w:r>
      <w:r>
        <w:t>, 77 F.4th 1057, 1064 (D.C. Cir. 2023) (finding that the plain text of SPP’s Attachment Z2, Section II.B, was ambiguous with respect to what methodology could be used to calculate charges under the “but for” standard in the tariff).</w:t>
      </w:r>
    </w:p>
  </w:footnote>
  <w:footnote w:id="950">
    <w:p w:rsidR="00760048" w:rsidRPr="00075CC0" w14:paraId="41C85345" w14:textId="77777777">
      <w:pPr>
        <w:pStyle w:val="FootnoteText"/>
      </w:pPr>
      <w:r w:rsidRPr="0072600F">
        <w:rPr>
          <w:rStyle w:val="FootnoteReference"/>
        </w:rPr>
        <w:footnoteRef/>
      </w:r>
      <w:r>
        <w:t xml:space="preserve"> Order No. 2023, </w:t>
      </w:r>
      <w:r w:rsidRPr="000622AC">
        <w:t>184 FERC ¶ 61,054</w:t>
      </w:r>
      <w:r>
        <w:t xml:space="preserve"> at P 1285.</w:t>
      </w:r>
    </w:p>
  </w:footnote>
  <w:footnote w:id="951">
    <w:p w:rsidR="00760048" w:rsidRPr="00692180" w:rsidP="00071614" w14:paraId="3D2F4C84" w14:textId="77777777">
      <w:pPr>
        <w:pStyle w:val="FootnoteText"/>
      </w:pPr>
      <w:r w:rsidRPr="0072600F">
        <w:rPr>
          <w:rStyle w:val="FootnoteReference"/>
        </w:rPr>
        <w:footnoteRef/>
      </w:r>
      <w:r>
        <w:t xml:space="preserve"> </w:t>
      </w:r>
      <w:r w:rsidRPr="004753CF" w:rsidR="00911EE0">
        <w:rPr>
          <w:i/>
          <w:iCs/>
        </w:rPr>
        <w:t>Id.</w:t>
      </w:r>
      <w:r w:rsidR="00911EE0">
        <w:t xml:space="preserve"> </w:t>
      </w:r>
      <w:r>
        <w:t>P 1285</w:t>
      </w:r>
      <w:r>
        <w:rPr>
          <w:i/>
          <w:iCs/>
        </w:rPr>
        <w:t xml:space="preserve"> </w:t>
      </w:r>
      <w:r>
        <w:t>(</w:t>
      </w:r>
      <w:r w:rsidRPr="00745303">
        <w:t>citing</w:t>
      </w:r>
      <w:r>
        <w:rPr>
          <w:i/>
          <w:iCs/>
        </w:rPr>
        <w:t xml:space="preserve"> </w:t>
      </w:r>
      <w:r>
        <w:t>MISO Initial Comments at 98).</w:t>
      </w:r>
    </w:p>
  </w:footnote>
  <w:footnote w:id="952">
    <w:p w:rsidR="00760048" w:rsidP="00071614" w14:paraId="5A97449C" w14:textId="77777777">
      <w:pPr>
        <w:pStyle w:val="FootnoteText"/>
      </w:pPr>
      <w:r w:rsidRPr="0072600F">
        <w:rPr>
          <w:rStyle w:val="FootnoteReference"/>
        </w:rPr>
        <w:footnoteRef/>
      </w:r>
      <w:r>
        <w:t xml:space="preserve"> </w:t>
      </w:r>
      <w:r>
        <w:rPr>
          <w:i/>
          <w:iCs/>
        </w:rPr>
        <w:t>See</w:t>
      </w:r>
      <w:r>
        <w:t xml:space="preserve"> </w:t>
      </w:r>
      <w:r w:rsidRPr="009A518A">
        <w:rPr>
          <w:i/>
          <w:iCs/>
        </w:rPr>
        <w:t>Tenaska Clear Creek Wind, LLC v. Sw. Power Pool, Inc.</w:t>
      </w:r>
      <w:r w:rsidRPr="009A518A">
        <w:t xml:space="preserve">, 180 FERC </w:t>
      </w:r>
      <w:r w:rsidRPr="004C5EE2">
        <w:t>¶ 61,160</w:t>
      </w:r>
      <w:r w:rsidRPr="009A518A">
        <w:t xml:space="preserve">; </w:t>
      </w:r>
      <w:r w:rsidRPr="009A518A">
        <w:rPr>
          <w:i/>
          <w:iCs/>
        </w:rPr>
        <w:t>EDF Renewable Energy Inc. v. Midcontinent Indep. Sys. Operator, Inc.</w:t>
      </w:r>
      <w:r w:rsidRPr="009A518A">
        <w:t>, 168 FERC ¶ 61,173</w:t>
      </w:r>
      <w:r>
        <w:t>.</w:t>
      </w:r>
    </w:p>
  </w:footnote>
  <w:footnote w:id="953">
    <w:p w:rsidR="00760048" w14:paraId="782FFAA5" w14:textId="77777777">
      <w:pPr>
        <w:pStyle w:val="FootnoteText"/>
      </w:pPr>
      <w:r w:rsidRPr="0072600F">
        <w:rPr>
          <w:rStyle w:val="FootnoteReference"/>
        </w:rPr>
        <w:footnoteRef/>
      </w:r>
      <w:r>
        <w:t xml:space="preserve"> Order No. 2023, </w:t>
      </w:r>
      <w:r w:rsidRPr="000622AC">
        <w:t>184 FERC ¶ 61,054</w:t>
      </w:r>
      <w:r>
        <w:t xml:space="preserve"> at P 1288.</w:t>
      </w:r>
    </w:p>
  </w:footnote>
  <w:footnote w:id="954">
    <w:p w:rsidR="00760048" w14:paraId="63AF944F" w14:textId="77777777">
      <w:pPr>
        <w:pStyle w:val="FootnoteText"/>
      </w:pPr>
      <w:r w:rsidRPr="0072600F">
        <w:rPr>
          <w:rStyle w:val="FootnoteReference"/>
        </w:rPr>
        <w:footnoteRef/>
      </w:r>
      <w:r>
        <w:t xml:space="preserve"> T</w:t>
      </w:r>
      <w:r w:rsidRPr="008D7EF8">
        <w:t xml:space="preserve">he </w:t>
      </w:r>
      <w:r w:rsidRPr="008D7EF8">
        <w:rPr>
          <w:i/>
          <w:iCs/>
        </w:rPr>
        <w:t xml:space="preserve">pro forma </w:t>
      </w:r>
      <w:r w:rsidRPr="008D7EF8">
        <w:t>LGIP defines NRIS service as “an Interconnection</w:t>
      </w:r>
      <w:r>
        <w:t xml:space="preserve"> </w:t>
      </w:r>
      <w:r w:rsidRPr="008D7EF8">
        <w:t>Service that allows the Interconnection Customer to integrate its Large Generating Facility</w:t>
      </w:r>
      <w:r>
        <w:t xml:space="preserve"> </w:t>
      </w:r>
      <w:r w:rsidRPr="008D7EF8">
        <w:t>with the Transmission Provider’s Transmission System (1) in a manner comparable to that</w:t>
      </w:r>
      <w:r>
        <w:t xml:space="preserve"> </w:t>
      </w:r>
      <w:r w:rsidRPr="008D7EF8">
        <w:t>in which the Transmission Provider integrates its generating facilities to serve native load</w:t>
      </w:r>
      <w:r>
        <w:t xml:space="preserve"> </w:t>
      </w:r>
      <w:r w:rsidRPr="008D7EF8">
        <w:t>customers; or (2) in an RTO or ISO with market-based congestion management, in the</w:t>
      </w:r>
      <w:r>
        <w:t xml:space="preserve"> </w:t>
      </w:r>
      <w:r w:rsidRPr="008D7EF8">
        <w:t xml:space="preserve">same manner as Network Resources. </w:t>
      </w:r>
      <w:r>
        <w:t xml:space="preserve"> </w:t>
      </w:r>
      <w:r w:rsidRPr="008D7EF8">
        <w:t>Network Resource Interconnection Service in and of</w:t>
      </w:r>
      <w:r>
        <w:t xml:space="preserve"> </w:t>
      </w:r>
      <w:r w:rsidRPr="008D7EF8">
        <w:t xml:space="preserve">itself does not convey transmission service.” </w:t>
      </w:r>
      <w:r>
        <w:t xml:space="preserve"> </w:t>
      </w:r>
      <w:r w:rsidRPr="008D7EF8">
        <w:rPr>
          <w:i/>
          <w:iCs/>
        </w:rPr>
        <w:t xml:space="preserve">Pro forma </w:t>
      </w:r>
      <w:r w:rsidRPr="008D7EF8">
        <w:t>LGIP section 1.</w:t>
      </w:r>
    </w:p>
  </w:footnote>
  <w:footnote w:id="955">
    <w:p w:rsidR="00760048" w14:paraId="61D98B04" w14:textId="77777777">
      <w:pPr>
        <w:pStyle w:val="FootnoteText"/>
      </w:pPr>
      <w:r w:rsidRPr="0072600F">
        <w:rPr>
          <w:rStyle w:val="FootnoteReference"/>
        </w:rPr>
        <w:footnoteRef/>
      </w:r>
      <w:r>
        <w:t xml:space="preserve"> Order No. 2023, </w:t>
      </w:r>
      <w:r w:rsidRPr="000622AC">
        <w:t>184 FERC ¶ 61,054</w:t>
      </w:r>
      <w:r>
        <w:t xml:space="preserve"> at P 1278.</w:t>
      </w:r>
    </w:p>
  </w:footnote>
  <w:footnote w:id="956">
    <w:p w:rsidR="00760048" w:rsidP="00071614" w14:paraId="71B6FD01" w14:textId="77777777">
      <w:pPr>
        <w:pStyle w:val="FootnoteText"/>
      </w:pPr>
      <w:r w:rsidRPr="0072600F">
        <w:rPr>
          <w:rStyle w:val="FootnoteReference"/>
        </w:rPr>
        <w:footnoteRef/>
      </w:r>
      <w:r>
        <w:t xml:space="preserve"> </w:t>
      </w:r>
      <w:r>
        <w:rPr>
          <w:i/>
          <w:iCs/>
        </w:rPr>
        <w:t>Id.</w:t>
      </w:r>
      <w:r>
        <w:t xml:space="preserve"> P 1288; </w:t>
      </w:r>
      <w:r w:rsidRPr="0083515F">
        <w:rPr>
          <w:i/>
          <w:iCs/>
        </w:rPr>
        <w:t>F.C.C. v. Fox Television Stations, Inc.</w:t>
      </w:r>
      <w:r w:rsidRPr="0083515F">
        <w:t xml:space="preserve">, 556 U.S. 502, </w:t>
      </w:r>
      <w:r>
        <w:t>536</w:t>
      </w:r>
      <w:r w:rsidRPr="0083515F">
        <w:t xml:space="preserve"> (2009) (</w:t>
      </w:r>
      <w:r>
        <w:t>“</w:t>
      </w:r>
      <w:r w:rsidRPr="00644D03">
        <w:t>The question in each case is whether the agency's reasons for the change, when viewed in light of the data available to it, and when informed by the experience and expertise of the agency, suffice to demonstrate that the new policy rests upon principles that are rational, neutral, and in accord with the agency's proper understanding of its authority.</w:t>
      </w:r>
      <w:r>
        <w:t>”</w:t>
      </w:r>
      <w:r w:rsidRPr="0083515F">
        <w:t>)</w:t>
      </w:r>
      <w:r>
        <w:t>.</w:t>
      </w:r>
    </w:p>
  </w:footnote>
  <w:footnote w:id="957">
    <w:p w:rsidR="00760048" w:rsidP="00071614" w14:paraId="1415066D" w14:textId="77777777">
      <w:pPr>
        <w:pStyle w:val="FootnoteText"/>
      </w:pPr>
      <w:r w:rsidRPr="0072600F">
        <w:rPr>
          <w:rStyle w:val="FootnoteReference"/>
        </w:rPr>
        <w:footnoteRef/>
      </w:r>
      <w:r>
        <w:t xml:space="preserve"> </w:t>
      </w:r>
      <w:r w:rsidRPr="009A518A">
        <w:rPr>
          <w:i/>
          <w:iCs/>
        </w:rPr>
        <w:t>EDF Renewable Energy Inc. v. Midcontinent Indep. Sys. Operator, Inc.</w:t>
      </w:r>
      <w:r w:rsidRPr="009A518A">
        <w:t>, 168 FERC ¶ 61,173 at P 86</w:t>
      </w:r>
      <w:r>
        <w:t>.</w:t>
      </w:r>
    </w:p>
  </w:footnote>
  <w:footnote w:id="958">
    <w:p w:rsidR="00760048" w14:paraId="05A44F34" w14:textId="77777777">
      <w:pPr>
        <w:pStyle w:val="FootnoteText"/>
      </w:pPr>
      <w:r w:rsidRPr="0072600F">
        <w:rPr>
          <w:rStyle w:val="FootnoteReference"/>
        </w:rPr>
        <w:footnoteRef/>
      </w:r>
      <w:r>
        <w:t xml:space="preserve"> </w:t>
      </w:r>
      <w:r w:rsidR="00FB1A9F">
        <w:t xml:space="preserve">Order No. 2023, </w:t>
      </w:r>
      <w:r w:rsidRPr="000622AC" w:rsidR="00FB1A9F">
        <w:t>184 FERC ¶ 61,054</w:t>
      </w:r>
      <w:r w:rsidR="00FB1A9F">
        <w:t xml:space="preserve"> at </w:t>
      </w:r>
      <w:r>
        <w:t xml:space="preserve">PP 1171, 1232; </w:t>
      </w:r>
      <w:r w:rsidRPr="00DD041D">
        <w:rPr>
          <w:i/>
          <w:iCs/>
        </w:rPr>
        <w:t xml:space="preserve">see pro forma </w:t>
      </w:r>
      <w:r w:rsidRPr="00DD041D">
        <w:t>LGIP, app</w:t>
      </w:r>
      <w:r>
        <w:t>s</w:t>
      </w:r>
      <w:r w:rsidRPr="00DD041D">
        <w:t>. 9</w:t>
      </w:r>
      <w:r>
        <w:t>, 10.</w:t>
      </w:r>
    </w:p>
  </w:footnote>
  <w:footnote w:id="959">
    <w:p w:rsidR="00760048" w:rsidP="00071614" w14:paraId="0B7F3BEF" w14:textId="77777777">
      <w:pPr>
        <w:pStyle w:val="FootnoteText"/>
      </w:pPr>
      <w:r w:rsidRPr="0072600F">
        <w:rPr>
          <w:rStyle w:val="FootnoteReference"/>
        </w:rPr>
        <w:footnoteRef/>
      </w:r>
      <w:r>
        <w:t xml:space="preserve"> Order No. 2023, </w:t>
      </w:r>
      <w:r w:rsidRPr="007712C8">
        <w:t>184 FERC ¶ 61,054</w:t>
      </w:r>
      <w:r>
        <w:t xml:space="preserve"> at P 1233; </w:t>
      </w:r>
      <w:r w:rsidRPr="00DD041D">
        <w:rPr>
          <w:i/>
          <w:iCs/>
        </w:rPr>
        <w:t xml:space="preserve">see pro forma </w:t>
      </w:r>
      <w:r w:rsidRPr="00DD041D">
        <w:t>LGIP, app</w:t>
      </w:r>
      <w:r>
        <w:t>s</w:t>
      </w:r>
      <w:r w:rsidRPr="00DD041D">
        <w:t xml:space="preserve">. </w:t>
      </w:r>
      <w:r>
        <w:t>10, 11.</w:t>
      </w:r>
    </w:p>
  </w:footnote>
  <w:footnote w:id="960">
    <w:p w:rsidR="00760048" w:rsidP="00071614" w14:paraId="2B2B0296" w14:textId="77777777">
      <w:pPr>
        <w:pStyle w:val="FootnoteText"/>
      </w:pPr>
      <w:r w:rsidRPr="0072600F">
        <w:rPr>
          <w:rStyle w:val="FootnoteReference"/>
        </w:rPr>
        <w:footnoteRef/>
      </w:r>
      <w:r>
        <w:t xml:space="preserve"> </w:t>
      </w:r>
      <w:r w:rsidRPr="00814553">
        <w:t xml:space="preserve">Duke Southeast </w:t>
      </w:r>
      <w:r>
        <w:t>Utilities Rehearing Request at 4.</w:t>
      </w:r>
    </w:p>
  </w:footnote>
  <w:footnote w:id="961">
    <w:p w:rsidR="00760048" w:rsidP="00071614" w14:paraId="2C0F0843" w14:textId="77777777">
      <w:pPr>
        <w:pStyle w:val="FootnoteText"/>
      </w:pPr>
      <w:r w:rsidRPr="0072600F">
        <w:rPr>
          <w:rStyle w:val="FootnoteReference"/>
        </w:rPr>
        <w:footnoteRef/>
      </w:r>
      <w:r>
        <w:t xml:space="preserve"> </w:t>
      </w:r>
      <w:r w:rsidRPr="00F90A88">
        <w:rPr>
          <w:i/>
          <w:iCs/>
        </w:rPr>
        <w:t>Id.</w:t>
      </w:r>
      <w:r w:rsidRPr="00814553">
        <w:t xml:space="preserve"> </w:t>
      </w:r>
      <w:r>
        <w:t xml:space="preserve">(citing Order No. 2023, </w:t>
      </w:r>
      <w:r w:rsidRPr="00901C19">
        <w:t>184 FERC ¶ 61,054</w:t>
      </w:r>
      <w:r>
        <w:t xml:space="preserve"> at PP 1211, 1244).</w:t>
      </w:r>
    </w:p>
  </w:footnote>
  <w:footnote w:id="962">
    <w:p w:rsidR="00760048" w:rsidP="00071614" w14:paraId="57BCCF06" w14:textId="77777777">
      <w:pPr>
        <w:pStyle w:val="FootnoteText"/>
      </w:pPr>
      <w:r w:rsidRPr="0072600F">
        <w:rPr>
          <w:rStyle w:val="FootnoteReference"/>
        </w:rPr>
        <w:footnoteRef/>
      </w:r>
      <w:r>
        <w:t xml:space="preserve"> </w:t>
      </w:r>
      <w:r w:rsidRPr="00F90A88">
        <w:rPr>
          <w:i/>
          <w:iCs/>
        </w:rPr>
        <w:t>Id.</w:t>
      </w:r>
      <w:r w:rsidRPr="00814553">
        <w:t xml:space="preserve"> </w:t>
      </w:r>
      <w:r>
        <w:t>at 5</w:t>
      </w:r>
      <w:r w:rsidRPr="00814553">
        <w:t xml:space="preserve"> </w:t>
      </w:r>
      <w:r>
        <w:t xml:space="preserve">(citing </w:t>
      </w:r>
      <w:r w:rsidRPr="00814553">
        <w:rPr>
          <w:i/>
          <w:iCs/>
        </w:rPr>
        <w:t xml:space="preserve">Duke Energy Progress, LLC v. FERC, </w:t>
      </w:r>
      <w:r w:rsidRPr="00814553">
        <w:t xml:space="preserve">Petitions for Review, Case No. 21-1272, (D.C. Cir., Dec. 27, 2021), Case No. 22-1072 (D.C. Cir., May 4, 2022), Case No. 22-1284 (D.C. Cir., Nov. 3, 2022), Case No. 22-1327 (D.C. Cir., Dec. 20, 2022); </w:t>
      </w:r>
      <w:r w:rsidRPr="00814553">
        <w:rPr>
          <w:i/>
          <w:iCs/>
        </w:rPr>
        <w:t xml:space="preserve">Duke Energy Progress, LLC v. FERC, </w:t>
      </w:r>
      <w:r w:rsidRPr="00814553">
        <w:t>Petition for Review, Case No. 23-1114 (D.C. Cir. Apr. 14, 202</w:t>
      </w:r>
      <w:r>
        <w:t>3)).</w:t>
      </w:r>
      <w:r w:rsidRPr="00814553">
        <w:t xml:space="preserve">  </w:t>
      </w:r>
    </w:p>
  </w:footnote>
  <w:footnote w:id="963">
    <w:p w:rsidR="00760048" w:rsidP="00071614" w14:paraId="015F0D79" w14:textId="77777777">
      <w:pPr>
        <w:pStyle w:val="FootnoteText"/>
      </w:pPr>
      <w:r w:rsidRPr="0072600F">
        <w:rPr>
          <w:rStyle w:val="FootnoteReference"/>
        </w:rPr>
        <w:footnoteRef/>
      </w:r>
      <w:r>
        <w:t xml:space="preserve"> </w:t>
      </w:r>
      <w:r w:rsidRPr="00F90A88">
        <w:rPr>
          <w:i/>
          <w:iCs/>
        </w:rPr>
        <w:t>Id.</w:t>
      </w:r>
      <w:r>
        <w:t xml:space="preserve"> (citing </w:t>
      </w:r>
      <w:r w:rsidRPr="00814553">
        <w:rPr>
          <w:i/>
          <w:iCs/>
        </w:rPr>
        <w:t>S</w:t>
      </w:r>
      <w:r w:rsidR="00537345">
        <w:rPr>
          <w:i/>
          <w:iCs/>
        </w:rPr>
        <w:t>.</w:t>
      </w:r>
      <w:r w:rsidRPr="00814553">
        <w:rPr>
          <w:i/>
          <w:iCs/>
        </w:rPr>
        <w:t xml:space="preserve"> Co. Servs., Inc.</w:t>
      </w:r>
      <w:r w:rsidRPr="00814553">
        <w:t xml:space="preserve">, Docket No. ER21-1701-000 (June 10, 2021) (delegated letter order); </w:t>
      </w:r>
      <w:r w:rsidRPr="00814553">
        <w:rPr>
          <w:i/>
          <w:iCs/>
        </w:rPr>
        <w:t>S</w:t>
      </w:r>
      <w:r w:rsidR="00537345">
        <w:rPr>
          <w:i/>
          <w:iCs/>
        </w:rPr>
        <w:t>.</w:t>
      </w:r>
      <w:r w:rsidRPr="00814553">
        <w:rPr>
          <w:i/>
          <w:iCs/>
        </w:rPr>
        <w:t xml:space="preserve"> Co. Servs., Inc.</w:t>
      </w:r>
      <w:r w:rsidRPr="00814553">
        <w:t xml:space="preserve">, Docket No. ER20-2825-000 (Oct. 9, 2020) (delegated letter order); </w:t>
      </w:r>
      <w:r w:rsidRPr="00814553">
        <w:rPr>
          <w:i/>
          <w:iCs/>
        </w:rPr>
        <w:t>Duke Energy Fla., LLC</w:t>
      </w:r>
      <w:r w:rsidRPr="00814553">
        <w:t xml:space="preserve">, Docket No. ER20-2419-000 (Sept. 2, 2020) (delegated letter order) (accepting two agreements); </w:t>
      </w:r>
      <w:r w:rsidRPr="00814553">
        <w:rPr>
          <w:i/>
          <w:iCs/>
        </w:rPr>
        <w:t>Fla. Power &amp; Light Co.</w:t>
      </w:r>
      <w:r w:rsidRPr="00814553">
        <w:t xml:space="preserve">, Docket No. ER19-2445-000 (Aug. 30, 2019) (delegated letter order); </w:t>
      </w:r>
      <w:r w:rsidRPr="00814553">
        <w:rPr>
          <w:i/>
          <w:iCs/>
        </w:rPr>
        <w:t>MidAmerican Energy Co.</w:t>
      </w:r>
      <w:r w:rsidRPr="00814553">
        <w:t>, Docket No. ER09-1654-000 (Oct. 22, 2009) (delegated letter orde</w:t>
      </w:r>
      <w:r>
        <w:t>r)).</w:t>
      </w:r>
      <w:r w:rsidRPr="00814553">
        <w:t xml:space="preserve">  </w:t>
      </w:r>
    </w:p>
  </w:footnote>
  <w:footnote w:id="964">
    <w:p w:rsidR="00760048" w:rsidP="00071614" w14:paraId="36948AD6" w14:textId="77777777">
      <w:pPr>
        <w:pStyle w:val="FootnoteText"/>
      </w:pPr>
      <w:r w:rsidRPr="0072600F">
        <w:rPr>
          <w:rStyle w:val="FootnoteReference"/>
        </w:rPr>
        <w:footnoteRef/>
      </w:r>
      <w:r>
        <w:t xml:space="preserve"> </w:t>
      </w:r>
      <w:r w:rsidRPr="00F90A88">
        <w:rPr>
          <w:i/>
          <w:iCs/>
        </w:rPr>
        <w:t>Id.</w:t>
      </w:r>
    </w:p>
  </w:footnote>
  <w:footnote w:id="965">
    <w:p w:rsidR="00760048" w:rsidP="00071614" w14:paraId="7B9F1034" w14:textId="77777777">
      <w:pPr>
        <w:pStyle w:val="FootnoteText"/>
      </w:pPr>
      <w:r w:rsidRPr="0072600F">
        <w:rPr>
          <w:rStyle w:val="FootnoteReference"/>
        </w:rPr>
        <w:footnoteRef/>
      </w:r>
      <w:r>
        <w:t xml:space="preserve"> </w:t>
      </w:r>
      <w:r w:rsidRPr="00F90A88">
        <w:rPr>
          <w:i/>
          <w:iCs/>
        </w:rPr>
        <w:t>Id.</w:t>
      </w:r>
      <w:r>
        <w:rPr>
          <w:i/>
          <w:iCs/>
        </w:rPr>
        <w:t xml:space="preserve"> </w:t>
      </w:r>
      <w:r>
        <w:t xml:space="preserve">at 5-6 (citing </w:t>
      </w:r>
      <w:r>
        <w:rPr>
          <w:i/>
          <w:iCs/>
        </w:rPr>
        <w:t>Midcontinent Indep. Trans. Sys. Operator, Inc.</w:t>
      </w:r>
      <w:r>
        <w:t xml:space="preserve">, </w:t>
      </w:r>
      <w:r w:rsidRPr="00C4449C">
        <w:t>120 FERC ¶ 61,066</w:t>
      </w:r>
      <w:r w:rsidR="00537345">
        <w:t>,</w:t>
      </w:r>
      <w:r w:rsidRPr="00C4449C">
        <w:t xml:space="preserve"> at PP 16, 23–25 (2007) (</w:t>
      </w:r>
      <w:r w:rsidRPr="00C4449C">
        <w:rPr>
          <w:i/>
          <w:iCs/>
        </w:rPr>
        <w:t>Midwest ISO</w:t>
      </w:r>
      <w:r w:rsidRPr="00BC1D82">
        <w:t>)</w:t>
      </w:r>
      <w:r>
        <w:t>)</w:t>
      </w:r>
      <w:r>
        <w:rPr>
          <w:i/>
          <w:iCs/>
        </w:rPr>
        <w:t>.</w:t>
      </w:r>
      <w:r w:rsidRPr="00C4449C">
        <w:rPr>
          <w:i/>
          <w:iCs/>
        </w:rPr>
        <w:t xml:space="preserve"> </w:t>
      </w:r>
      <w:r w:rsidRPr="00C4449C">
        <w:t xml:space="preserve"> </w:t>
      </w:r>
    </w:p>
  </w:footnote>
  <w:footnote w:id="966">
    <w:p w:rsidR="00760048" w:rsidP="00071614" w14:paraId="203D85BE" w14:textId="77777777">
      <w:pPr>
        <w:pStyle w:val="FootnoteText"/>
      </w:pPr>
      <w:r w:rsidRPr="0072600F">
        <w:rPr>
          <w:rStyle w:val="FootnoteReference"/>
        </w:rPr>
        <w:footnoteRef/>
      </w:r>
      <w:r>
        <w:t xml:space="preserve"> </w:t>
      </w:r>
      <w:r w:rsidRPr="00F90A88">
        <w:rPr>
          <w:i/>
          <w:iCs/>
        </w:rPr>
        <w:t>Id.</w:t>
      </w:r>
      <w:r>
        <w:rPr>
          <w:i/>
          <w:iCs/>
        </w:rPr>
        <w:t xml:space="preserve"> </w:t>
      </w:r>
      <w:r>
        <w:t xml:space="preserve">at 6 (citing </w:t>
      </w:r>
      <w:r w:rsidRPr="00C4449C">
        <w:rPr>
          <w:i/>
          <w:iCs/>
        </w:rPr>
        <w:t>Midwest ISO</w:t>
      </w:r>
      <w:r>
        <w:t xml:space="preserve">, </w:t>
      </w:r>
      <w:r w:rsidRPr="00C4449C">
        <w:t>120 FERC ¶ 61,066 at P 25 (capitalization altered) (citation omitt</w:t>
      </w:r>
      <w:r>
        <w:t>ed)).</w:t>
      </w:r>
    </w:p>
  </w:footnote>
  <w:footnote w:id="967">
    <w:p w:rsidR="00760048" w:rsidP="00071614" w14:paraId="73407E65" w14:textId="77777777">
      <w:pPr>
        <w:pStyle w:val="FootnoteText"/>
      </w:pPr>
      <w:r w:rsidRPr="0072600F">
        <w:rPr>
          <w:rStyle w:val="FootnoteReference"/>
        </w:rPr>
        <w:footnoteRef/>
      </w:r>
      <w:r>
        <w:t xml:space="preserve"> </w:t>
      </w:r>
      <w:r w:rsidRPr="00F90A88">
        <w:rPr>
          <w:i/>
          <w:iCs/>
        </w:rPr>
        <w:t>Id.</w:t>
      </w:r>
      <w:r>
        <w:rPr>
          <w:i/>
          <w:iCs/>
        </w:rPr>
        <w:t xml:space="preserve"> </w:t>
      </w:r>
      <w:r>
        <w:t>at 8.</w:t>
      </w:r>
    </w:p>
  </w:footnote>
  <w:footnote w:id="968">
    <w:p w:rsidR="00760048" w:rsidP="00071614" w14:paraId="0C3DE7A0" w14:textId="77777777">
      <w:pPr>
        <w:pStyle w:val="FootnoteText"/>
      </w:pPr>
      <w:r w:rsidRPr="0072600F">
        <w:rPr>
          <w:rStyle w:val="FootnoteReference"/>
        </w:rPr>
        <w:footnoteRef/>
      </w:r>
      <w:r>
        <w:t xml:space="preserve"> </w:t>
      </w:r>
      <w:r w:rsidRPr="00F90A88">
        <w:rPr>
          <w:i/>
          <w:iCs/>
        </w:rPr>
        <w:t>Id.</w:t>
      </w:r>
      <w:r w:rsidRPr="00814553">
        <w:t xml:space="preserve"> </w:t>
      </w:r>
      <w:r>
        <w:t xml:space="preserve">(citing </w:t>
      </w:r>
      <w:r w:rsidRPr="00F45680">
        <w:rPr>
          <w:i/>
          <w:iCs/>
        </w:rPr>
        <w:t>Duke Energy Progress, LLC</w:t>
      </w:r>
      <w:r w:rsidRPr="00F45680">
        <w:t>, 177 FERC ¶ 61,001</w:t>
      </w:r>
      <w:r w:rsidR="00734BD9">
        <w:t>,</w:t>
      </w:r>
      <w:r w:rsidRPr="00F45680">
        <w:t xml:space="preserve"> at P 7 &amp; n.16 (2021) (listing numerous examples cited by DEP with full allocation), </w:t>
      </w:r>
      <w:r w:rsidRPr="00F45680">
        <w:rPr>
          <w:i/>
          <w:iCs/>
        </w:rPr>
        <w:t xml:space="preserve">appeal pending, </w:t>
      </w:r>
      <w:r w:rsidRPr="00F45680">
        <w:t xml:space="preserve">Petition for Review, Case No. 21-1272, </w:t>
      </w:r>
      <w:r w:rsidRPr="00F45680">
        <w:rPr>
          <w:i/>
          <w:iCs/>
        </w:rPr>
        <w:t>order on reh’g</w:t>
      </w:r>
      <w:r w:rsidRPr="00F45680">
        <w:t xml:space="preserve">, 179 FERC ¶ 61,007 (2022), </w:t>
      </w:r>
      <w:r w:rsidRPr="00F45680">
        <w:rPr>
          <w:i/>
          <w:iCs/>
        </w:rPr>
        <w:t xml:space="preserve">appeal pending, </w:t>
      </w:r>
      <w:r w:rsidRPr="00F45680">
        <w:t>Petition for Review, Case No. 22-107</w:t>
      </w:r>
      <w:r>
        <w:t>).</w:t>
      </w:r>
      <w:r w:rsidRPr="00F45680">
        <w:t xml:space="preserve">  </w:t>
      </w:r>
    </w:p>
  </w:footnote>
  <w:footnote w:id="969">
    <w:p w:rsidR="00760048" w:rsidP="00071614" w14:paraId="3DEB8D36" w14:textId="77777777">
      <w:pPr>
        <w:pStyle w:val="FootnoteText"/>
      </w:pPr>
      <w:r w:rsidRPr="0072600F">
        <w:rPr>
          <w:rStyle w:val="FootnoteReference"/>
        </w:rPr>
        <w:footnoteRef/>
      </w:r>
      <w:r>
        <w:t xml:space="preserve"> </w:t>
      </w:r>
      <w:r w:rsidRPr="00F90A88">
        <w:rPr>
          <w:i/>
          <w:iCs/>
        </w:rPr>
        <w:t>Id.</w:t>
      </w:r>
      <w:r w:rsidRPr="00814553">
        <w:t xml:space="preserve"> </w:t>
      </w:r>
      <w:r>
        <w:t xml:space="preserve">(citing </w:t>
      </w:r>
      <w:r w:rsidRPr="00F45680">
        <w:t>5 U.S.C. §</w:t>
      </w:r>
      <w:r w:rsidRPr="00B332EA" w:rsidR="00B332EA">
        <w:t>§</w:t>
      </w:r>
      <w:r>
        <w:t xml:space="preserve"> </w:t>
      </w:r>
      <w:r w:rsidRPr="00F45680">
        <w:t xml:space="preserve">551 </w:t>
      </w:r>
      <w:r w:rsidRPr="00F45680">
        <w:rPr>
          <w:i/>
          <w:iCs/>
        </w:rPr>
        <w:t>et se</w:t>
      </w:r>
      <w:r>
        <w:rPr>
          <w:i/>
          <w:iCs/>
        </w:rPr>
        <w:t>q).</w:t>
      </w:r>
      <w:r w:rsidRPr="00F45680">
        <w:rPr>
          <w:i/>
          <w:iCs/>
        </w:rPr>
        <w:t xml:space="preserve"> </w:t>
      </w:r>
      <w:r w:rsidRPr="00F45680">
        <w:t xml:space="preserve"> </w:t>
      </w:r>
    </w:p>
  </w:footnote>
  <w:footnote w:id="970">
    <w:p w:rsidR="00760048" w:rsidRPr="006960F4" w14:paraId="10953147" w14:textId="77777777">
      <w:pPr>
        <w:pStyle w:val="FootnoteText"/>
      </w:pPr>
      <w:r w:rsidRPr="0072600F">
        <w:rPr>
          <w:rStyle w:val="FootnoteReference"/>
        </w:rPr>
        <w:footnoteRef/>
      </w:r>
      <w:r>
        <w:t xml:space="preserve"> </w:t>
      </w:r>
      <w:r w:rsidRPr="00F90A88">
        <w:rPr>
          <w:i/>
          <w:iCs/>
        </w:rPr>
        <w:t>Id.</w:t>
      </w:r>
      <w:r>
        <w:t xml:space="preserve"> at 4.</w:t>
      </w:r>
    </w:p>
  </w:footnote>
  <w:footnote w:id="971">
    <w:p w:rsidR="00760048" w:rsidP="00071614" w14:paraId="46903068" w14:textId="77777777">
      <w:pPr>
        <w:pStyle w:val="FootnoteText"/>
      </w:pPr>
      <w:r w:rsidRPr="0072600F">
        <w:rPr>
          <w:rStyle w:val="FootnoteReference"/>
        </w:rPr>
        <w:footnoteRef/>
      </w:r>
      <w:r>
        <w:t xml:space="preserve"> </w:t>
      </w:r>
      <w:r w:rsidRPr="00F90A88">
        <w:rPr>
          <w:i/>
          <w:iCs/>
        </w:rPr>
        <w:t>Id.</w:t>
      </w:r>
      <w:r>
        <w:rPr>
          <w:i/>
          <w:iCs/>
        </w:rPr>
        <w:t xml:space="preserve"> </w:t>
      </w:r>
      <w:r>
        <w:t xml:space="preserve">at 4, 10 (citing </w:t>
      </w:r>
      <w:r w:rsidRPr="00C27893">
        <w:t xml:space="preserve">Joint Comments of the North Carolina Utilities Commission and the North Carolina Utilities Commission Public Staff, at </w:t>
      </w:r>
      <w:r>
        <w:t>23</w:t>
      </w:r>
      <w:r w:rsidRPr="00C27893">
        <w:t>, Docket No. RM22-14-000 (filed Oct. 13, 2022)</w:t>
      </w:r>
      <w:r>
        <w:t>.</w:t>
      </w:r>
      <w:r w:rsidRPr="00C27893">
        <w:t xml:space="preserve"> </w:t>
      </w:r>
      <w:r>
        <w:t xml:space="preserve"> </w:t>
      </w:r>
      <w:r w:rsidRPr="00C27893">
        <w:t xml:space="preserve">The </w:t>
      </w:r>
      <w:r w:rsidRPr="00D95EF2">
        <w:t xml:space="preserve">North Carolina Commission and Staff </w:t>
      </w:r>
      <w:r w:rsidRPr="00C27893">
        <w:t xml:space="preserve">further provided that the total of the affected system costs for DEP of recent projects in the DENC territory that have already been studied is currently estimated at $126 million and there are several additional PJM queues for which affected system studies have yet to be completed and are projected to interconnect a total of 7,312 MW. </w:t>
      </w:r>
      <w:r>
        <w:t xml:space="preserve"> </w:t>
      </w:r>
      <w:r w:rsidRPr="00C27893">
        <w:rPr>
          <w:i/>
          <w:iCs/>
        </w:rPr>
        <w:t xml:space="preserve">Id. </w:t>
      </w:r>
      <w:r w:rsidRPr="00C27893">
        <w:t>at 21-22</w:t>
      </w:r>
      <w:r>
        <w:t>.</w:t>
      </w:r>
    </w:p>
  </w:footnote>
  <w:footnote w:id="972">
    <w:p w:rsidR="00760048" w:rsidP="00071614" w14:paraId="249DE7CA" w14:textId="77777777">
      <w:pPr>
        <w:pStyle w:val="FootnoteText"/>
      </w:pPr>
      <w:r w:rsidRPr="0072600F">
        <w:rPr>
          <w:rStyle w:val="FootnoteReference"/>
        </w:rPr>
        <w:footnoteRef/>
      </w:r>
      <w:r>
        <w:t xml:space="preserve"> </w:t>
      </w:r>
      <w:r w:rsidRPr="00F90A88">
        <w:rPr>
          <w:i/>
          <w:iCs/>
        </w:rPr>
        <w:t>Id.</w:t>
      </w:r>
      <w:r>
        <w:rPr>
          <w:i/>
          <w:iCs/>
        </w:rPr>
        <w:t xml:space="preserve"> </w:t>
      </w:r>
      <w:r>
        <w:t>at 6.</w:t>
      </w:r>
    </w:p>
  </w:footnote>
  <w:footnote w:id="973">
    <w:p w:rsidR="00760048" w:rsidP="00071614" w14:paraId="58D1FA56" w14:textId="77777777">
      <w:pPr>
        <w:pStyle w:val="FootnoteText"/>
      </w:pPr>
      <w:r w:rsidRPr="0072600F">
        <w:rPr>
          <w:rStyle w:val="FootnoteReference"/>
        </w:rPr>
        <w:footnoteRef/>
      </w:r>
      <w:r>
        <w:t xml:space="preserve"> </w:t>
      </w:r>
      <w:r w:rsidRPr="00F90A88">
        <w:rPr>
          <w:i/>
          <w:iCs/>
        </w:rPr>
        <w:t>Id.</w:t>
      </w:r>
      <w:r>
        <w:rPr>
          <w:i/>
          <w:iCs/>
        </w:rPr>
        <w:t xml:space="preserve"> </w:t>
      </w:r>
      <w:r>
        <w:t>at 7.</w:t>
      </w:r>
    </w:p>
  </w:footnote>
  <w:footnote w:id="974">
    <w:p w:rsidR="00760048" w:rsidP="00071614" w14:paraId="0A7D99CD" w14:textId="77777777">
      <w:pPr>
        <w:pStyle w:val="FootnoteText"/>
      </w:pPr>
      <w:r w:rsidRPr="0072600F">
        <w:rPr>
          <w:rStyle w:val="FootnoteReference"/>
        </w:rPr>
        <w:footnoteRef/>
      </w:r>
      <w:r>
        <w:t xml:space="preserve"> </w:t>
      </w:r>
      <w:r w:rsidRPr="00F90A88">
        <w:rPr>
          <w:i/>
          <w:iCs/>
        </w:rPr>
        <w:t>Id.</w:t>
      </w:r>
      <w:r>
        <w:rPr>
          <w:i/>
          <w:iCs/>
        </w:rPr>
        <w:t xml:space="preserve"> </w:t>
      </w:r>
      <w:r>
        <w:t>at 9.</w:t>
      </w:r>
    </w:p>
  </w:footnote>
  <w:footnote w:id="975">
    <w:p w:rsidR="00760048" w:rsidP="00071614" w14:paraId="0F81F7CF" w14:textId="77777777">
      <w:pPr>
        <w:pStyle w:val="FootnoteText"/>
      </w:pPr>
      <w:r w:rsidRPr="0072600F">
        <w:rPr>
          <w:rStyle w:val="FootnoteReference"/>
        </w:rPr>
        <w:footnoteRef/>
      </w:r>
      <w:r>
        <w:t xml:space="preserve"> </w:t>
      </w:r>
      <w:r w:rsidRPr="00F90A88">
        <w:rPr>
          <w:i/>
          <w:iCs/>
        </w:rPr>
        <w:t>Id.</w:t>
      </w:r>
      <w:r>
        <w:rPr>
          <w:i/>
          <w:iCs/>
        </w:rPr>
        <w:t xml:space="preserve"> </w:t>
      </w:r>
      <w:r>
        <w:t>at 10.</w:t>
      </w:r>
    </w:p>
  </w:footnote>
  <w:footnote w:id="976">
    <w:p w:rsidR="00760048" w:rsidP="00071614" w14:paraId="080C8BBB" w14:textId="77777777">
      <w:pPr>
        <w:pStyle w:val="FootnoteText"/>
      </w:pPr>
      <w:r w:rsidRPr="0072600F">
        <w:rPr>
          <w:rStyle w:val="FootnoteReference"/>
        </w:rPr>
        <w:footnoteRef/>
      </w:r>
      <w:r>
        <w:t xml:space="preserve"> </w:t>
      </w:r>
      <w:r w:rsidRPr="00F90A88">
        <w:rPr>
          <w:i/>
          <w:iCs/>
        </w:rPr>
        <w:t>Id.</w:t>
      </w:r>
      <w:r>
        <w:rPr>
          <w:i/>
          <w:iCs/>
        </w:rPr>
        <w:t xml:space="preserve"> </w:t>
      </w:r>
      <w:r>
        <w:t xml:space="preserve">at 10-11 (citing </w:t>
      </w:r>
      <w:r w:rsidRPr="00451FE7">
        <w:rPr>
          <w:i/>
          <w:iCs/>
        </w:rPr>
        <w:t>Gen. Chem. Corp. v. U</w:t>
      </w:r>
      <w:r w:rsidR="00734BD9">
        <w:rPr>
          <w:i/>
          <w:iCs/>
        </w:rPr>
        <w:t>.</w:t>
      </w:r>
      <w:r w:rsidRPr="00451FE7">
        <w:rPr>
          <w:i/>
          <w:iCs/>
        </w:rPr>
        <w:t>S</w:t>
      </w:r>
      <w:r w:rsidR="00734BD9">
        <w:rPr>
          <w:i/>
          <w:iCs/>
        </w:rPr>
        <w:t>.</w:t>
      </w:r>
      <w:r w:rsidRPr="00451FE7">
        <w:t>, 817 F.2d 844, 857 (D.C. Cir. 1987) (finding an administrative agency order arbitrary and capricious because the agency’s analysis was “internally inconsistent and inadequately explain</w:t>
      </w:r>
      <w:r>
        <w:t>ed.”))</w:t>
      </w:r>
      <w:r w:rsidRPr="00451FE7">
        <w:t xml:space="preserve">  </w:t>
      </w:r>
    </w:p>
  </w:footnote>
  <w:footnote w:id="977">
    <w:p w:rsidR="00760048" w:rsidP="00071614" w14:paraId="64593C01" w14:textId="77777777">
      <w:pPr>
        <w:pStyle w:val="FootnoteText"/>
      </w:pPr>
      <w:r w:rsidRPr="0072600F">
        <w:rPr>
          <w:rStyle w:val="FootnoteReference"/>
        </w:rPr>
        <w:footnoteRef/>
      </w:r>
      <w:r>
        <w:t xml:space="preserve"> </w:t>
      </w:r>
      <w:r w:rsidRPr="00F90A88">
        <w:rPr>
          <w:i/>
          <w:iCs/>
        </w:rPr>
        <w:t>Id.</w:t>
      </w:r>
      <w:r>
        <w:rPr>
          <w:i/>
          <w:iCs/>
        </w:rPr>
        <w:t xml:space="preserve"> </w:t>
      </w:r>
      <w:r>
        <w:t>at 11.</w:t>
      </w:r>
    </w:p>
  </w:footnote>
  <w:footnote w:id="978">
    <w:p w:rsidR="00760048" w:rsidP="00071614" w14:paraId="4E5FDF9C" w14:textId="77777777">
      <w:pPr>
        <w:pStyle w:val="FootnoteText"/>
      </w:pPr>
      <w:r w:rsidRPr="0072600F">
        <w:rPr>
          <w:rStyle w:val="FootnoteReference"/>
        </w:rPr>
        <w:footnoteRef/>
      </w:r>
      <w:r>
        <w:t xml:space="preserve"> </w:t>
      </w:r>
      <w:r w:rsidRPr="00F90A88">
        <w:rPr>
          <w:i/>
          <w:iCs/>
        </w:rPr>
        <w:t>Id.</w:t>
      </w:r>
      <w:r>
        <w:rPr>
          <w:i/>
          <w:iCs/>
        </w:rPr>
        <w:t xml:space="preserve"> </w:t>
      </w:r>
      <w:r>
        <w:t xml:space="preserve">at 11-12 (citing </w:t>
      </w:r>
      <w:r w:rsidRPr="001E460B">
        <w:t>Order No. 845-A, 166 FERC ¶ 61,137 at P 78 (citation omitt</w:t>
      </w:r>
      <w:r>
        <w:t xml:space="preserve">ed); </w:t>
      </w:r>
      <w:r w:rsidRPr="00705C66">
        <w:rPr>
          <w:i/>
          <w:iCs/>
        </w:rPr>
        <w:t>I</w:t>
      </w:r>
      <w:r>
        <w:rPr>
          <w:i/>
          <w:iCs/>
        </w:rPr>
        <w:t xml:space="preserve">ll. </w:t>
      </w:r>
      <w:r w:rsidRPr="00705C66">
        <w:rPr>
          <w:i/>
          <w:iCs/>
        </w:rPr>
        <w:t>C</w:t>
      </w:r>
      <w:r>
        <w:rPr>
          <w:i/>
          <w:iCs/>
        </w:rPr>
        <w:t xml:space="preserve">ommerce </w:t>
      </w:r>
      <w:r w:rsidRPr="00705C66">
        <w:rPr>
          <w:i/>
          <w:iCs/>
        </w:rPr>
        <w:t>C</w:t>
      </w:r>
      <w:r>
        <w:rPr>
          <w:i/>
          <w:iCs/>
        </w:rPr>
        <w:t>omm’n</w:t>
      </w:r>
      <w:r w:rsidRPr="00705C66">
        <w:t xml:space="preserve">, 576 F.3d </w:t>
      </w:r>
      <w:r>
        <w:t>470,</w:t>
      </w:r>
      <w:r w:rsidRPr="00705C66">
        <w:t xml:space="preserve"> at 476</w:t>
      </w:r>
      <w:r>
        <w:t xml:space="preserve"> (7th Cir. 2009)).</w:t>
      </w:r>
      <w:r w:rsidRPr="00705C66">
        <w:t xml:space="preserve">  </w:t>
      </w:r>
    </w:p>
  </w:footnote>
  <w:footnote w:id="979">
    <w:p w:rsidR="00760048" w:rsidP="00071614" w14:paraId="4F123711" w14:textId="77777777">
      <w:pPr>
        <w:pStyle w:val="FootnoteText"/>
      </w:pPr>
      <w:r w:rsidRPr="0072600F">
        <w:rPr>
          <w:rStyle w:val="FootnoteReference"/>
        </w:rPr>
        <w:footnoteRef/>
      </w:r>
      <w:r>
        <w:t xml:space="preserve"> </w:t>
      </w:r>
      <w:r w:rsidRPr="00F90A88">
        <w:rPr>
          <w:i/>
          <w:iCs/>
        </w:rPr>
        <w:t>Id.</w:t>
      </w:r>
      <w:r>
        <w:t xml:space="preserve"> (citing </w:t>
      </w:r>
      <w:r w:rsidRPr="00705C66">
        <w:rPr>
          <w:i/>
          <w:iCs/>
        </w:rPr>
        <w:t>I</w:t>
      </w:r>
      <w:r>
        <w:rPr>
          <w:i/>
          <w:iCs/>
        </w:rPr>
        <w:t xml:space="preserve">ll. </w:t>
      </w:r>
      <w:r w:rsidRPr="00705C66">
        <w:rPr>
          <w:i/>
          <w:iCs/>
        </w:rPr>
        <w:t>C</w:t>
      </w:r>
      <w:r>
        <w:rPr>
          <w:i/>
          <w:iCs/>
        </w:rPr>
        <w:t xml:space="preserve">ommerce </w:t>
      </w:r>
      <w:r w:rsidRPr="00705C66">
        <w:rPr>
          <w:i/>
          <w:iCs/>
        </w:rPr>
        <w:t>C</w:t>
      </w:r>
      <w:r>
        <w:rPr>
          <w:i/>
          <w:iCs/>
        </w:rPr>
        <w:t>omm’n</w:t>
      </w:r>
      <w:r w:rsidRPr="00705C66">
        <w:t xml:space="preserve">, 756 F.3d </w:t>
      </w:r>
      <w:r>
        <w:t>556,</w:t>
      </w:r>
      <w:r w:rsidRPr="00705C66">
        <w:t xml:space="preserve"> at 56</w:t>
      </w:r>
      <w:r>
        <w:t>2 (7th Cir. 2014)).</w:t>
      </w:r>
      <w:r w:rsidRPr="00705C66">
        <w:t xml:space="preserve"> </w:t>
      </w:r>
    </w:p>
  </w:footnote>
  <w:footnote w:id="980">
    <w:p w:rsidR="00760048" w:rsidP="00071614" w14:paraId="08D76763" w14:textId="77777777">
      <w:pPr>
        <w:pStyle w:val="FootnoteText"/>
      </w:pPr>
      <w:r w:rsidRPr="0072600F">
        <w:rPr>
          <w:rStyle w:val="FootnoteReference"/>
        </w:rPr>
        <w:footnoteRef/>
      </w:r>
      <w:r>
        <w:t xml:space="preserve"> </w:t>
      </w:r>
      <w:r w:rsidRPr="00F90A88">
        <w:rPr>
          <w:i/>
          <w:iCs/>
        </w:rPr>
        <w:t>Id.</w:t>
      </w:r>
      <w:r>
        <w:rPr>
          <w:i/>
          <w:iCs/>
        </w:rPr>
        <w:t xml:space="preserve"> </w:t>
      </w:r>
      <w:r>
        <w:t>at 12</w:t>
      </w:r>
      <w:r w:rsidR="00B70CA6">
        <w:t>-13</w:t>
      </w:r>
      <w:r>
        <w:t xml:space="preserve"> (citing </w:t>
      </w:r>
      <w:r w:rsidRPr="001E460B">
        <w:t>Order No. 2023, 184 FERC ¶ 61,054 at PP 1243-44</w:t>
      </w:r>
      <w:r>
        <w:t>).</w:t>
      </w:r>
      <w:r w:rsidRPr="001E460B">
        <w:t xml:space="preserve">  </w:t>
      </w:r>
    </w:p>
  </w:footnote>
  <w:footnote w:id="981">
    <w:p w:rsidR="00760048" w:rsidRPr="00B70CA6" w:rsidP="00071614" w14:paraId="4AA5FD22" w14:textId="77777777">
      <w:pPr>
        <w:pStyle w:val="FootnoteText"/>
      </w:pPr>
      <w:r w:rsidRPr="0072600F">
        <w:rPr>
          <w:rStyle w:val="FootnoteReference"/>
        </w:rPr>
        <w:footnoteRef/>
      </w:r>
      <w:r>
        <w:t xml:space="preserve"> </w:t>
      </w:r>
      <w:r w:rsidRPr="00F90A88">
        <w:rPr>
          <w:i/>
          <w:iCs/>
        </w:rPr>
        <w:t>Id.</w:t>
      </w:r>
      <w:r>
        <w:rPr>
          <w:i/>
          <w:iCs/>
        </w:rPr>
        <w:t xml:space="preserve"> </w:t>
      </w:r>
      <w:r w:rsidR="00B70CA6">
        <w:t>at 13.</w:t>
      </w:r>
    </w:p>
  </w:footnote>
  <w:footnote w:id="982">
    <w:p w:rsidR="00760048" w:rsidP="00071614" w14:paraId="5CECD5B8" w14:textId="77777777">
      <w:pPr>
        <w:pStyle w:val="FootnoteText"/>
      </w:pPr>
      <w:r w:rsidRPr="0072600F">
        <w:rPr>
          <w:rStyle w:val="FootnoteReference"/>
        </w:rPr>
        <w:footnoteRef/>
      </w:r>
      <w:r>
        <w:t xml:space="preserve"> Order No. 2003, </w:t>
      </w:r>
      <w:r w:rsidRPr="0016075C">
        <w:t>106 FERC ¶ 61,220</w:t>
      </w:r>
      <w:r>
        <w:t xml:space="preserve"> at P 738; Order No. 2003-A, </w:t>
      </w:r>
      <w:r w:rsidRPr="0016075C">
        <w:t>106 FERC ¶ 61,220</w:t>
      </w:r>
      <w:r>
        <w:t xml:space="preserve"> at P 636.</w:t>
      </w:r>
    </w:p>
  </w:footnote>
  <w:footnote w:id="983">
    <w:p w:rsidR="00760048" w:rsidP="00071614" w14:paraId="04CFE1EB" w14:textId="77777777">
      <w:pPr>
        <w:pStyle w:val="FootnoteText"/>
      </w:pPr>
      <w:r w:rsidRPr="0072600F">
        <w:rPr>
          <w:rStyle w:val="FootnoteReference"/>
        </w:rPr>
        <w:footnoteRef/>
      </w:r>
      <w:r>
        <w:t xml:space="preserve"> Order No. 2003, </w:t>
      </w:r>
      <w:r w:rsidRPr="0016075C">
        <w:t>106 FERC ¶ 61,220</w:t>
      </w:r>
      <w:r>
        <w:t xml:space="preserve"> at PP 676, 693.</w:t>
      </w:r>
    </w:p>
  </w:footnote>
  <w:footnote w:id="984">
    <w:p w:rsidR="00760048" w:rsidP="00071614" w14:paraId="361AA154" w14:textId="77777777">
      <w:pPr>
        <w:pStyle w:val="FootnoteText"/>
      </w:pPr>
      <w:r w:rsidRPr="0072600F">
        <w:rPr>
          <w:rStyle w:val="FootnoteReference"/>
        </w:rPr>
        <w:footnoteRef/>
      </w:r>
      <w:r>
        <w:t xml:space="preserve"> </w:t>
      </w:r>
      <w:r>
        <w:rPr>
          <w:i/>
          <w:iCs/>
        </w:rPr>
        <w:t>Id.</w:t>
      </w:r>
      <w:r w:rsidRPr="000F79D4">
        <w:t xml:space="preserve"> P 69</w:t>
      </w:r>
      <w:r>
        <w:t>6.</w:t>
      </w:r>
    </w:p>
  </w:footnote>
  <w:footnote w:id="985">
    <w:p w:rsidR="00760048" w:rsidP="00071614" w14:paraId="36ABECC2" w14:textId="77777777">
      <w:pPr>
        <w:pStyle w:val="FootnoteText"/>
      </w:pPr>
      <w:r w:rsidRPr="0072600F">
        <w:rPr>
          <w:rStyle w:val="FootnoteReference"/>
        </w:rPr>
        <w:footnoteRef/>
      </w:r>
      <w:r>
        <w:t xml:space="preserve"> </w:t>
      </w:r>
      <w:r>
        <w:rPr>
          <w:i/>
          <w:iCs/>
        </w:rPr>
        <w:t>Id.</w:t>
      </w:r>
      <w:r w:rsidRPr="000F79D4">
        <w:t xml:space="preserve"> PP 694-696</w:t>
      </w:r>
      <w:r>
        <w:t xml:space="preserve">. </w:t>
      </w:r>
    </w:p>
  </w:footnote>
  <w:footnote w:id="986">
    <w:p w:rsidR="00760048" w:rsidRPr="00867054" w14:paraId="7CA68EC3" w14:textId="77777777">
      <w:pPr>
        <w:pStyle w:val="FootnoteText"/>
      </w:pPr>
      <w:r w:rsidRPr="0072600F">
        <w:rPr>
          <w:rStyle w:val="FootnoteReference"/>
        </w:rPr>
        <w:footnoteRef/>
      </w:r>
      <w:r>
        <w:t xml:space="preserve"> </w:t>
      </w:r>
      <w:r>
        <w:rPr>
          <w:i/>
          <w:iCs/>
        </w:rPr>
        <w:t>See id.</w:t>
      </w:r>
      <w:r>
        <w:t xml:space="preserve"> P 696.</w:t>
      </w:r>
    </w:p>
  </w:footnote>
  <w:footnote w:id="987">
    <w:p w:rsidR="00760048" w:rsidP="00071614" w14:paraId="1CBFC933" w14:textId="77777777">
      <w:pPr>
        <w:pStyle w:val="FootnoteText"/>
      </w:pPr>
      <w:r w:rsidRPr="0072600F">
        <w:rPr>
          <w:rStyle w:val="FootnoteReference"/>
        </w:rPr>
        <w:footnoteRef/>
      </w:r>
      <w:r>
        <w:t xml:space="preserve"> </w:t>
      </w:r>
      <w:r w:rsidRPr="008C17AF">
        <w:t>Order No. 2003-A, 106 FERC ¶ 61,220</w:t>
      </w:r>
      <w:r>
        <w:t xml:space="preserve"> at P 581 (stating that the Commission’s “</w:t>
      </w:r>
      <w:r w:rsidRPr="004B6B07">
        <w:t>experience indicates that the incremental rate associated with network</w:t>
      </w:r>
      <w:r>
        <w:t xml:space="preserve"> </w:t>
      </w:r>
      <w:r w:rsidRPr="004B6B07">
        <w:t>upgrades required to interconnect a new generator (dividing the costs of any necessary</w:t>
      </w:r>
      <w:r>
        <w:t xml:space="preserve"> </w:t>
      </w:r>
      <w:r w:rsidRPr="004B6B07">
        <w:t>network upgrades by the projected transmission usage by the new generator) will</w:t>
      </w:r>
      <w:r>
        <w:t xml:space="preserve"> </w:t>
      </w:r>
      <w:r w:rsidRPr="004B6B07">
        <w:t>generally be less that the embedded average cost rate (including the costs of the new</w:t>
      </w:r>
      <w:r>
        <w:t xml:space="preserve"> </w:t>
      </w:r>
      <w:r w:rsidRPr="004B6B07">
        <w:t>facilities in the numerator and the additional usage of the system in the denominator).</w:t>
      </w:r>
      <w:r>
        <w:t>”).</w:t>
      </w:r>
    </w:p>
  </w:footnote>
  <w:footnote w:id="988">
    <w:p w:rsidR="00760048" w:rsidRPr="009C212F" w14:paraId="049674D6" w14:textId="77777777">
      <w:pPr>
        <w:pStyle w:val="FootnoteText"/>
      </w:pPr>
      <w:r w:rsidRPr="0072600F">
        <w:rPr>
          <w:rStyle w:val="FootnoteReference"/>
        </w:rPr>
        <w:footnoteRef/>
      </w:r>
      <w:r>
        <w:t xml:space="preserve"> Order No. 2003, </w:t>
      </w:r>
      <w:r w:rsidRPr="0016075C">
        <w:t>106 FERC ¶ 61,220</w:t>
      </w:r>
      <w:r>
        <w:t xml:space="preserve"> at PP 21, 65, </w:t>
      </w:r>
      <w:r w:rsidRPr="00021B2A">
        <w:t xml:space="preserve">Order No. 2003-A, 106 FERC ¶ 61,220 at P 585; </w:t>
      </w:r>
      <w:r w:rsidRPr="00021B2A">
        <w:rPr>
          <w:i/>
          <w:iCs/>
        </w:rPr>
        <w:t>see also Pub Serv. Co. Colo</w:t>
      </w:r>
      <w:r w:rsidRPr="00021B2A">
        <w:t>., 59 FERC ¶ 61,311 (1992), </w:t>
      </w:r>
      <w:r w:rsidRPr="00021B2A">
        <w:rPr>
          <w:i/>
          <w:iCs/>
        </w:rPr>
        <w:t>reh’g denied</w:t>
      </w:r>
      <w:r w:rsidRPr="00021B2A">
        <w:t xml:space="preserve">, 62 FERC ¶ 61,013 (1993); </w:t>
      </w:r>
      <w:r w:rsidRPr="00021B2A">
        <w:rPr>
          <w:i/>
          <w:iCs/>
        </w:rPr>
        <w:t>W. Mass. Elec. Co.</w:t>
      </w:r>
      <w:r w:rsidRPr="00021B2A">
        <w:t>, 77 FERC ¶ 61,268, at 62,119 (1996)</w:t>
      </w:r>
      <w:r>
        <w:t>.</w:t>
      </w:r>
    </w:p>
  </w:footnote>
  <w:footnote w:id="989">
    <w:p w:rsidR="00760048" w14:paraId="1B0CD7E9" w14:textId="77777777">
      <w:pPr>
        <w:pStyle w:val="FootnoteText"/>
      </w:pPr>
      <w:r w:rsidRPr="0072600F">
        <w:rPr>
          <w:rStyle w:val="FootnoteReference"/>
        </w:rPr>
        <w:footnoteRef/>
      </w:r>
      <w:r>
        <w:t xml:space="preserve"> </w:t>
      </w:r>
      <w:r w:rsidRPr="00C8255A">
        <w:rPr>
          <w:i/>
        </w:rPr>
        <w:t>See Duke Energy Progress, LLC</w:t>
      </w:r>
      <w:r>
        <w:t xml:space="preserve">, 181 FERC </w:t>
      </w:r>
      <w:r w:rsidRPr="0016075C">
        <w:t>¶</w:t>
      </w:r>
      <w:r>
        <w:t xml:space="preserve"> 61,197, at P 39 (2022); </w:t>
      </w:r>
      <w:r w:rsidRPr="007B466A">
        <w:rPr>
          <w:i/>
          <w:iCs/>
        </w:rPr>
        <w:t>Duke Energy Progress, LLC</w:t>
      </w:r>
      <w:r w:rsidRPr="007B466A">
        <w:t>,</w:t>
      </w:r>
      <w:r>
        <w:t xml:space="preserve"> </w:t>
      </w:r>
      <w:r w:rsidRPr="007530B3">
        <w:t>177 FERC ¶ 61,00</w:t>
      </w:r>
      <w:r>
        <w:t>1</w:t>
      </w:r>
      <w:r w:rsidRPr="007530B3">
        <w:t xml:space="preserve"> at P 37</w:t>
      </w:r>
      <w:r>
        <w:t xml:space="preserve">. </w:t>
      </w:r>
    </w:p>
  </w:footnote>
  <w:footnote w:id="990">
    <w:p w:rsidR="00760048" w14:paraId="56C3D8E4" w14:textId="77777777">
      <w:pPr>
        <w:pStyle w:val="FootnoteText"/>
      </w:pPr>
      <w:r w:rsidRPr="0072600F">
        <w:rPr>
          <w:rStyle w:val="FootnoteReference"/>
        </w:rPr>
        <w:footnoteRef/>
      </w:r>
      <w:r>
        <w:t xml:space="preserve"> </w:t>
      </w:r>
      <w:r>
        <w:rPr>
          <w:i/>
          <w:iCs/>
        </w:rPr>
        <w:t>Duke Energy Fla., LLC</w:t>
      </w:r>
      <w:r>
        <w:t>, Docket No. ER20-2419-000 (Sept. 20, 2020) (delegated letter order).</w:t>
      </w:r>
    </w:p>
  </w:footnote>
  <w:footnote w:id="991">
    <w:p w:rsidR="00760048" w:rsidRPr="005809F4" w14:paraId="3264751A" w14:textId="77777777">
      <w:pPr>
        <w:pStyle w:val="FootnoteText"/>
      </w:pPr>
      <w:r w:rsidRPr="0072600F">
        <w:rPr>
          <w:rStyle w:val="FootnoteReference"/>
        </w:rPr>
        <w:footnoteRef/>
      </w:r>
      <w:r>
        <w:t xml:space="preserve"> </w:t>
      </w:r>
      <w:r w:rsidR="0047476F">
        <w:t xml:space="preserve">Order No. 2003, 106 FERC </w:t>
      </w:r>
      <w:r w:rsidRPr="0016075C" w:rsidR="0047476F">
        <w:t>¶</w:t>
      </w:r>
      <w:r w:rsidR="0047476F">
        <w:t xml:space="preserve"> 61,220 at </w:t>
      </w:r>
      <w:r>
        <w:t xml:space="preserve">P 738; </w:t>
      </w:r>
      <w:r>
        <w:rPr>
          <w:i/>
          <w:iCs/>
        </w:rPr>
        <w:t>see also Duke Energy Progress, LLC</w:t>
      </w:r>
      <w:r>
        <w:t xml:space="preserve">, 177 FERC </w:t>
      </w:r>
      <w:r w:rsidRPr="0016075C">
        <w:t>¶</w:t>
      </w:r>
      <w:r>
        <w:t xml:space="preserve"> 61,001, </w:t>
      </w:r>
      <w:r>
        <w:rPr>
          <w:i/>
          <w:iCs/>
        </w:rPr>
        <w:t>on reh’g</w:t>
      </w:r>
      <w:r>
        <w:t xml:space="preserve">, 179 FERC </w:t>
      </w:r>
      <w:r w:rsidRPr="0016075C">
        <w:t>¶</w:t>
      </w:r>
      <w:r>
        <w:t xml:space="preserve"> 61,007, at P 33  (“Order No. 2003 explicitly requires jurisdictional affected system operators to reimburse interconnection customers for network upgrade costs.”).</w:t>
      </w:r>
    </w:p>
  </w:footnote>
  <w:footnote w:id="992">
    <w:p w:rsidR="00760048" w:rsidRPr="00A0287B" w14:paraId="52ED2ADB" w14:textId="77777777">
      <w:pPr>
        <w:pStyle w:val="FootnoteText"/>
      </w:pPr>
      <w:r w:rsidRPr="0072600F">
        <w:rPr>
          <w:rStyle w:val="FootnoteReference"/>
        </w:rPr>
        <w:footnoteRef/>
      </w:r>
      <w:r>
        <w:t xml:space="preserve"> </w:t>
      </w:r>
      <w:r>
        <w:rPr>
          <w:i/>
          <w:iCs/>
        </w:rPr>
        <w:t>Midwest Indep. Transmission Sys. Operator, Inc.</w:t>
      </w:r>
      <w:r>
        <w:t xml:space="preserve">, 120 FERC </w:t>
      </w:r>
      <w:r w:rsidRPr="0016075C">
        <w:t>¶</w:t>
      </w:r>
      <w:r>
        <w:t xml:space="preserve"> 61,066, at PP 24-25. </w:t>
      </w:r>
    </w:p>
  </w:footnote>
  <w:footnote w:id="993">
    <w:p w:rsidR="00760048" w14:paraId="6F91E72D" w14:textId="77777777">
      <w:pPr>
        <w:pStyle w:val="FootnoteText"/>
      </w:pPr>
      <w:r w:rsidRPr="0072600F">
        <w:rPr>
          <w:rStyle w:val="FootnoteReference"/>
        </w:rPr>
        <w:footnoteRef/>
      </w:r>
      <w:r>
        <w:t xml:space="preserve"> In MISO, the definition of affected system encompasses an electric transmission or distribution system other than the transmission </w:t>
      </w:r>
      <w:r w:rsidRPr="00624863">
        <w:rPr>
          <w:i/>
        </w:rPr>
        <w:t>owner’s</w:t>
      </w:r>
      <w:r>
        <w:t xml:space="preserve"> transmission system that is affected by an interconnection request.  MISO, FERC Electric Tariff, attach. X</w:t>
      </w:r>
      <w:r w:rsidR="00527739">
        <w:t xml:space="preserve"> </w:t>
      </w:r>
      <w:r w:rsidRPr="00527739" w:rsidR="00527739">
        <w:t>(Generator Interconnection Procedures (GIP))</w:t>
      </w:r>
      <w:r>
        <w:t xml:space="preserve">, </w:t>
      </w:r>
      <w:r w:rsidR="00527739">
        <w:t xml:space="preserve">(161.0.0) </w:t>
      </w:r>
      <w:r>
        <w:t>§ 1.</w:t>
      </w:r>
    </w:p>
  </w:footnote>
  <w:footnote w:id="994">
    <w:p w:rsidR="00760048" w14:paraId="4B5E9E76" w14:textId="77777777">
      <w:pPr>
        <w:pStyle w:val="FootnoteText"/>
      </w:pPr>
      <w:r w:rsidRPr="0072600F">
        <w:rPr>
          <w:rStyle w:val="FootnoteReference"/>
        </w:rPr>
        <w:footnoteRef/>
      </w:r>
      <w:r>
        <w:t xml:space="preserve"> Order No. 2003, 106 FERC </w:t>
      </w:r>
      <w:r w:rsidRPr="0016075C">
        <w:t>¶</w:t>
      </w:r>
      <w:r>
        <w:t xml:space="preserve"> 61,220 at P 696.</w:t>
      </w:r>
    </w:p>
  </w:footnote>
  <w:footnote w:id="995">
    <w:p w:rsidR="00760048" w14:paraId="07F1EB1D" w14:textId="77777777">
      <w:pPr>
        <w:pStyle w:val="FootnoteText"/>
      </w:pPr>
      <w:r w:rsidRPr="0072600F">
        <w:rPr>
          <w:rStyle w:val="FootnoteReference"/>
        </w:rPr>
        <w:footnoteRef/>
      </w:r>
      <w:r>
        <w:t xml:space="preserve"> Order No. 2003-A, </w:t>
      </w:r>
      <w:r w:rsidRPr="0016075C">
        <w:t>106 FERC ¶ 61,220</w:t>
      </w:r>
      <w:r>
        <w:t xml:space="preserve"> at PP 636-637.</w:t>
      </w:r>
    </w:p>
  </w:footnote>
  <w:footnote w:id="996">
    <w:p w:rsidR="00760048" w:rsidRPr="00C02D91" w14:paraId="66D56DA2" w14:textId="77777777">
      <w:pPr>
        <w:pStyle w:val="FootnoteText"/>
      </w:pPr>
      <w:r w:rsidRPr="0072600F">
        <w:rPr>
          <w:rStyle w:val="FootnoteReference"/>
        </w:rPr>
        <w:footnoteRef/>
      </w:r>
      <w:r>
        <w:t xml:space="preserve"> </w:t>
      </w:r>
      <w:r>
        <w:rPr>
          <w:i/>
          <w:iCs/>
        </w:rPr>
        <w:t>See Pub. Serv. Elec. &amp; Gas Co. v. FERC</w:t>
      </w:r>
      <w:r>
        <w:t xml:space="preserve">, 989 F.3d 10, 20 (D.C. Cir. 2021) (finding that the Commission need only respond to significant comments raised on rehearing and is free to ignore insignificant ones (citing </w:t>
      </w:r>
      <w:r w:rsidRPr="003313A8" w:rsidR="001109C2">
        <w:rPr>
          <w:i/>
        </w:rPr>
        <w:t>NARUC v. FERC</w:t>
      </w:r>
      <w:r>
        <w:t>, 475 F.3d  at 1285).</w:t>
      </w:r>
    </w:p>
  </w:footnote>
  <w:footnote w:id="997">
    <w:p w:rsidR="00760048" w:rsidRPr="00A07D1D" w:rsidP="00071614" w14:paraId="24DBBF3D" w14:textId="77777777">
      <w:pPr>
        <w:pStyle w:val="FootnoteText"/>
        <w:rPr>
          <w:i/>
          <w:iCs/>
        </w:rPr>
      </w:pPr>
      <w:r w:rsidRPr="0072600F">
        <w:rPr>
          <w:rStyle w:val="FootnoteReference"/>
        </w:rPr>
        <w:footnoteRef/>
      </w:r>
      <w:r>
        <w:t xml:space="preserve"> </w:t>
      </w:r>
      <w:r w:rsidRPr="001815C2">
        <w:rPr>
          <w:i/>
          <w:iCs/>
        </w:rPr>
        <w:t xml:space="preserve">See </w:t>
      </w:r>
      <w:r w:rsidRPr="001815C2">
        <w:t>Order No. 2003, 104 FERC</w:t>
      </w:r>
      <w:r w:rsidR="00E13D12">
        <w:t xml:space="preserve"> </w:t>
      </w:r>
      <w:r w:rsidRPr="001815C2">
        <w:rPr>
          <w:rFonts w:hint="eastAsia"/>
        </w:rPr>
        <w:t>¶</w:t>
      </w:r>
      <w:r w:rsidR="00E13D12">
        <w:t xml:space="preserve"> </w:t>
      </w:r>
      <w:r w:rsidRPr="001815C2">
        <w:t xml:space="preserve">61,103 at PP 738-739; </w:t>
      </w:r>
      <w:r w:rsidRPr="001815C2">
        <w:rPr>
          <w:i/>
          <w:iCs/>
        </w:rPr>
        <w:t>see also pro forma</w:t>
      </w:r>
      <w:r>
        <w:rPr>
          <w:i/>
          <w:iCs/>
        </w:rPr>
        <w:t xml:space="preserve"> </w:t>
      </w:r>
      <w:r w:rsidRPr="001815C2">
        <w:t>LGIA art. 11.4</w:t>
      </w:r>
      <w:r>
        <w:t>.</w:t>
      </w:r>
    </w:p>
  </w:footnote>
  <w:footnote w:id="998">
    <w:p w:rsidR="00760048" w:rsidP="00071614" w14:paraId="1D444368" w14:textId="77777777">
      <w:pPr>
        <w:pStyle w:val="FootnoteText"/>
      </w:pPr>
      <w:r w:rsidRPr="0072600F">
        <w:rPr>
          <w:rStyle w:val="FootnoteReference"/>
        </w:rPr>
        <w:footnoteRef/>
      </w:r>
      <w:r>
        <w:t xml:space="preserve"> MISO Rehearing Request at 17. </w:t>
      </w:r>
    </w:p>
  </w:footnote>
  <w:footnote w:id="999">
    <w:p w:rsidR="00760048" w:rsidP="00071614" w14:paraId="5EDAA1C1" w14:textId="77777777">
      <w:pPr>
        <w:pStyle w:val="FootnoteText"/>
      </w:pPr>
      <w:r w:rsidRPr="0072600F">
        <w:rPr>
          <w:rStyle w:val="FootnoteReference"/>
        </w:rPr>
        <w:footnoteRef/>
      </w:r>
      <w:r>
        <w:t xml:space="preserve"> </w:t>
      </w:r>
      <w:r w:rsidRPr="005033F6">
        <w:rPr>
          <w:i/>
        </w:rPr>
        <w:t>Id.</w:t>
      </w:r>
      <w:r>
        <w:t xml:space="preserve"> at 18 (citing Order No. 2023, </w:t>
      </w:r>
      <w:r w:rsidRPr="001552D0">
        <w:t>184 FERC ¶ 61,054</w:t>
      </w:r>
      <w:r>
        <w:t xml:space="preserve"> at P 1172).</w:t>
      </w:r>
    </w:p>
  </w:footnote>
  <w:footnote w:id="1000">
    <w:p w:rsidR="00760048" w:rsidP="00071614" w14:paraId="047C5311" w14:textId="77777777">
      <w:pPr>
        <w:pStyle w:val="FootnoteText"/>
      </w:pPr>
      <w:r w:rsidRPr="0072600F">
        <w:rPr>
          <w:rStyle w:val="FootnoteReference"/>
        </w:rPr>
        <w:footnoteRef/>
      </w:r>
      <w:r>
        <w:t xml:space="preserve"> </w:t>
      </w:r>
      <w:r w:rsidRPr="00F90A88">
        <w:rPr>
          <w:i/>
          <w:iCs/>
        </w:rPr>
        <w:t>Id.</w:t>
      </w:r>
      <w:r>
        <w:rPr>
          <w:i/>
        </w:rPr>
        <w:t xml:space="preserve"> </w:t>
      </w:r>
      <w:r>
        <w:t>at 19-20.</w:t>
      </w:r>
    </w:p>
  </w:footnote>
  <w:footnote w:id="1001">
    <w:p w:rsidR="00760048" w:rsidP="00071614" w14:paraId="308B6082" w14:textId="77777777">
      <w:pPr>
        <w:pStyle w:val="FootnoteText"/>
      </w:pPr>
      <w:r w:rsidRPr="0072600F">
        <w:rPr>
          <w:rStyle w:val="FootnoteReference"/>
        </w:rPr>
        <w:footnoteRef/>
      </w:r>
      <w:r>
        <w:t xml:space="preserve"> </w:t>
      </w:r>
      <w:r w:rsidRPr="00F90A88">
        <w:rPr>
          <w:i/>
          <w:iCs/>
        </w:rPr>
        <w:t>Id.</w:t>
      </w:r>
      <w:r>
        <w:rPr>
          <w:i/>
          <w:iCs/>
        </w:rPr>
        <w:t xml:space="preserve"> </w:t>
      </w:r>
      <w:r>
        <w:t xml:space="preserve">at 21 (citing </w:t>
      </w:r>
      <w:r w:rsidRPr="0091301F">
        <w:t>Order No. 2023</w:t>
      </w:r>
      <w:r>
        <w:t xml:space="preserve">, </w:t>
      </w:r>
      <w:r w:rsidRPr="00901C19">
        <w:t>184 FERC ¶ 61,054</w:t>
      </w:r>
      <w:r w:rsidRPr="0091301F">
        <w:t xml:space="preserve"> at P 1172</w:t>
      </w:r>
      <w:r>
        <w:t>).</w:t>
      </w:r>
    </w:p>
  </w:footnote>
  <w:footnote w:id="1002">
    <w:p w:rsidR="00760048" w:rsidP="00071614" w14:paraId="6E0230F1" w14:textId="77777777">
      <w:pPr>
        <w:pStyle w:val="FootnoteText"/>
      </w:pPr>
      <w:r w:rsidRPr="0072600F">
        <w:rPr>
          <w:rStyle w:val="FootnoteReference"/>
        </w:rPr>
        <w:footnoteRef/>
      </w:r>
      <w:r>
        <w:t xml:space="preserve"> </w:t>
      </w:r>
      <w:r>
        <w:t xml:space="preserve">Shell </w:t>
      </w:r>
      <w:r>
        <w:t xml:space="preserve">Rehearing Request at 13-14. </w:t>
      </w:r>
    </w:p>
  </w:footnote>
  <w:footnote w:id="1003">
    <w:p w:rsidR="00760048" w:rsidP="00071614" w14:paraId="651C85F5" w14:textId="77777777">
      <w:pPr>
        <w:pStyle w:val="FootnoteText"/>
      </w:pPr>
      <w:r w:rsidRPr="0072600F">
        <w:rPr>
          <w:rStyle w:val="FootnoteReference"/>
        </w:rPr>
        <w:footnoteRef/>
      </w:r>
      <w:r>
        <w:t xml:space="preserve"> Southeastern Utilities Clarification and Rehearing Request at 4 (citing Order 2023, </w:t>
      </w:r>
      <w:r w:rsidRPr="00901C19">
        <w:t>184 FERC ¶ 61,054</w:t>
      </w:r>
      <w:r>
        <w:t xml:space="preserve"> at P 1288). </w:t>
      </w:r>
    </w:p>
  </w:footnote>
  <w:footnote w:id="1004">
    <w:p w:rsidR="00760048" w:rsidP="00071614" w14:paraId="124C0450" w14:textId="77777777">
      <w:pPr>
        <w:pStyle w:val="FootnoteText"/>
      </w:pPr>
      <w:r w:rsidRPr="0072600F">
        <w:rPr>
          <w:rStyle w:val="FootnoteReference"/>
        </w:rPr>
        <w:footnoteRef/>
      </w:r>
      <w:r>
        <w:t xml:space="preserve"> </w:t>
      </w:r>
      <w:r w:rsidRPr="00F90A88">
        <w:rPr>
          <w:i/>
          <w:iCs/>
        </w:rPr>
        <w:t>Id</w:t>
      </w:r>
      <w:r>
        <w:rPr>
          <w:i/>
          <w:iCs/>
        </w:rPr>
        <w:t>.</w:t>
      </w:r>
      <w:r>
        <w:t xml:space="preserve"> (citing </w:t>
      </w:r>
      <w:r w:rsidRPr="007C50C9">
        <w:t>MISO</w:t>
      </w:r>
      <w:r>
        <w:t xml:space="preserve">, </w:t>
      </w:r>
      <w:r w:rsidRPr="00585FED">
        <w:t xml:space="preserve">BPM-020-r29 (Transmission Planning Business Practices Manual), </w:t>
      </w:r>
      <w:r>
        <w:t>s</w:t>
      </w:r>
      <w:r w:rsidRPr="00585FED">
        <w:t>ection 5.2.3 (May 2023)</w:t>
      </w:r>
      <w:r>
        <w:t>).</w:t>
      </w:r>
    </w:p>
  </w:footnote>
  <w:footnote w:id="1005">
    <w:p w:rsidR="00760048" w:rsidP="00071614" w14:paraId="094E31A8" w14:textId="77777777">
      <w:pPr>
        <w:pStyle w:val="FootnoteText"/>
      </w:pPr>
      <w:r w:rsidRPr="0072600F">
        <w:rPr>
          <w:rStyle w:val="FootnoteReference"/>
        </w:rPr>
        <w:footnoteRef/>
      </w:r>
      <w:r>
        <w:t xml:space="preserve"> </w:t>
      </w:r>
      <w:r w:rsidRPr="00F90A88">
        <w:rPr>
          <w:i/>
          <w:iCs/>
        </w:rPr>
        <w:t>Id</w:t>
      </w:r>
      <w:r>
        <w:rPr>
          <w:i/>
          <w:iCs/>
        </w:rPr>
        <w:t>.</w:t>
      </w:r>
      <w:r>
        <w:rPr>
          <w:i/>
        </w:rPr>
        <w:t xml:space="preserve"> </w:t>
      </w:r>
      <w:r>
        <w:t>at 5-6.</w:t>
      </w:r>
    </w:p>
  </w:footnote>
  <w:footnote w:id="1006">
    <w:p w:rsidR="00760048" w:rsidP="00071614" w14:paraId="17D39D2D" w14:textId="77777777">
      <w:pPr>
        <w:pStyle w:val="FootnoteText"/>
      </w:pPr>
      <w:r w:rsidRPr="0072600F">
        <w:rPr>
          <w:rStyle w:val="FootnoteReference"/>
        </w:rPr>
        <w:footnoteRef/>
      </w:r>
      <w:r>
        <w:t xml:space="preserve"> Order No. 2023, </w:t>
      </w:r>
      <w:r w:rsidRPr="00901C19">
        <w:t>184 FERC ¶ 61,054</w:t>
      </w:r>
      <w:r>
        <w:t xml:space="preserve"> at PP 1172, 1194.</w:t>
      </w:r>
    </w:p>
  </w:footnote>
  <w:footnote w:id="1007">
    <w:p w:rsidR="00760048" w:rsidP="00071614" w14:paraId="2C418218" w14:textId="77777777">
      <w:pPr>
        <w:pStyle w:val="FootnoteText"/>
      </w:pPr>
      <w:r w:rsidRPr="0072600F">
        <w:rPr>
          <w:rStyle w:val="FootnoteReference"/>
        </w:rPr>
        <w:footnoteRef/>
      </w:r>
      <w:r>
        <w:t xml:space="preserve"> </w:t>
      </w:r>
      <w:r>
        <w:rPr>
          <w:i/>
          <w:iCs/>
        </w:rPr>
        <w:t>Id.</w:t>
      </w:r>
      <w:r>
        <w:t xml:space="preserve"> P 1290.</w:t>
      </w:r>
    </w:p>
  </w:footnote>
  <w:footnote w:id="1008">
    <w:p w:rsidR="00760048" w:rsidRPr="005B3464" w14:paraId="682895C7" w14:textId="77777777">
      <w:pPr>
        <w:pStyle w:val="FootnoteText"/>
      </w:pPr>
      <w:r w:rsidRPr="0072600F">
        <w:rPr>
          <w:rStyle w:val="FootnoteReference"/>
        </w:rPr>
        <w:footnoteRef/>
      </w:r>
      <w:r>
        <w:t xml:space="preserve"> </w:t>
      </w:r>
      <w:r w:rsidR="00AD5F82">
        <w:rPr>
          <w:i/>
          <w:iCs/>
        </w:rPr>
        <w:t>Id.</w:t>
      </w:r>
      <w:r>
        <w:rPr>
          <w:i/>
        </w:rPr>
        <w:t xml:space="preserve"> </w:t>
      </w:r>
      <w:r>
        <w:t xml:space="preserve">P 1288 (citing </w:t>
      </w:r>
      <w:r w:rsidRPr="00466EFE">
        <w:t>Order No. 2003, 104 FERC ¶ 61,103</w:t>
      </w:r>
      <w:r>
        <w:t xml:space="preserve"> </w:t>
      </w:r>
      <w:r w:rsidRPr="00466EFE">
        <w:t>at P 118; Order No. 2003-A, 106 FERC ¶ 61,220</w:t>
      </w:r>
      <w:r>
        <w:t xml:space="preserve"> </w:t>
      </w:r>
      <w:r w:rsidRPr="00466EFE">
        <w:t>at P 113</w:t>
      </w:r>
      <w:r>
        <w:t>)</w:t>
      </w:r>
      <w:r w:rsidR="00007F17">
        <w:t>.</w:t>
      </w:r>
    </w:p>
  </w:footnote>
  <w:footnote w:id="1009">
    <w:p w:rsidR="00760048" w:rsidP="00071614" w14:paraId="7806E2EF" w14:textId="77777777">
      <w:pPr>
        <w:pStyle w:val="FootnoteText"/>
      </w:pPr>
      <w:r w:rsidRPr="0072600F">
        <w:rPr>
          <w:rStyle w:val="FootnoteReference"/>
        </w:rPr>
        <w:footnoteRef/>
      </w:r>
      <w:r>
        <w:t xml:space="preserve"> </w:t>
      </w:r>
      <w:r>
        <w:rPr>
          <w:i/>
          <w:iCs/>
        </w:rPr>
        <w:t>Id.</w:t>
      </w:r>
      <w:r>
        <w:t xml:space="preserve"> P 1346.</w:t>
      </w:r>
    </w:p>
  </w:footnote>
  <w:footnote w:id="1010">
    <w:p w:rsidR="00760048" w:rsidP="00071614" w14:paraId="3B3CDD64" w14:textId="77777777">
      <w:pPr>
        <w:pStyle w:val="FootnoteText"/>
      </w:pPr>
      <w:r w:rsidRPr="0072600F">
        <w:rPr>
          <w:rStyle w:val="FootnoteReference"/>
        </w:rPr>
        <w:footnoteRef/>
      </w:r>
      <w:r>
        <w:t xml:space="preserve"> </w:t>
      </w:r>
      <w:r>
        <w:rPr>
          <w:i/>
          <w:iCs/>
        </w:rPr>
        <w:t>Id.</w:t>
      </w:r>
      <w:r>
        <w:t xml:space="preserve"> PP 1351-1352.</w:t>
      </w:r>
    </w:p>
  </w:footnote>
  <w:footnote w:id="1011">
    <w:p w:rsidR="00760048" w:rsidP="00071614" w14:paraId="290614D4" w14:textId="77777777">
      <w:pPr>
        <w:pStyle w:val="FootnoteText"/>
      </w:pPr>
      <w:r w:rsidRPr="0072600F">
        <w:rPr>
          <w:rStyle w:val="FootnoteReference"/>
        </w:rPr>
        <w:footnoteRef/>
      </w:r>
      <w:r>
        <w:t xml:space="preserve"> </w:t>
      </w:r>
      <w:r>
        <w:rPr>
          <w:i/>
          <w:iCs/>
        </w:rPr>
        <w:t>Id.</w:t>
      </w:r>
      <w:r>
        <w:t xml:space="preserve"> P 1355.</w:t>
      </w:r>
    </w:p>
  </w:footnote>
  <w:footnote w:id="1012">
    <w:p w:rsidR="00760048" w:rsidP="00071614" w14:paraId="6959D823" w14:textId="77777777">
      <w:pPr>
        <w:pStyle w:val="FootnoteText"/>
      </w:pPr>
      <w:r w:rsidRPr="0072600F">
        <w:rPr>
          <w:rStyle w:val="FootnoteReference"/>
        </w:rPr>
        <w:footnoteRef/>
      </w:r>
      <w:r>
        <w:t xml:space="preserve"> </w:t>
      </w:r>
      <w:r>
        <w:rPr>
          <w:i/>
          <w:iCs/>
        </w:rPr>
        <w:t>Id.</w:t>
      </w:r>
      <w:r>
        <w:t xml:space="preserve"> P 1349.</w:t>
      </w:r>
    </w:p>
  </w:footnote>
  <w:footnote w:id="1013">
    <w:p w:rsidR="00760048" w:rsidP="00071614" w14:paraId="36C5AFBA" w14:textId="77777777">
      <w:pPr>
        <w:pStyle w:val="FootnoteText"/>
      </w:pPr>
      <w:r w:rsidRPr="0072600F">
        <w:rPr>
          <w:rStyle w:val="FootnoteReference"/>
        </w:rPr>
        <w:footnoteRef/>
      </w:r>
      <w:r>
        <w:t xml:space="preserve"> </w:t>
      </w:r>
      <w:r>
        <w:rPr>
          <w:i/>
          <w:iCs/>
        </w:rPr>
        <w:t>Id.</w:t>
      </w:r>
      <w:r>
        <w:t xml:space="preserve"> P 1350.</w:t>
      </w:r>
    </w:p>
  </w:footnote>
  <w:footnote w:id="1014">
    <w:p w:rsidR="00760048" w:rsidP="00071614" w14:paraId="58F33375" w14:textId="77777777">
      <w:pPr>
        <w:pStyle w:val="FootnoteText"/>
      </w:pPr>
      <w:r w:rsidRPr="0072600F">
        <w:rPr>
          <w:rStyle w:val="FootnoteReference"/>
        </w:rPr>
        <w:footnoteRef/>
      </w:r>
      <w:r>
        <w:t xml:space="preserve"> MISO Rehearing Request at 23-25.</w:t>
      </w:r>
    </w:p>
  </w:footnote>
  <w:footnote w:id="1015">
    <w:p w:rsidR="00760048" w:rsidP="00071614" w14:paraId="0509F4E3" w14:textId="77777777">
      <w:pPr>
        <w:pStyle w:val="FootnoteText"/>
      </w:pPr>
      <w:r w:rsidRPr="0072600F">
        <w:rPr>
          <w:rStyle w:val="FootnoteReference"/>
        </w:rPr>
        <w:footnoteRef/>
      </w:r>
      <w:r>
        <w:t xml:space="preserve"> NYTOs Rehearing Request at 39.</w:t>
      </w:r>
    </w:p>
  </w:footnote>
  <w:footnote w:id="1016">
    <w:p w:rsidR="00760048" w:rsidP="00071614" w14:paraId="6A0452B9" w14:textId="77777777">
      <w:pPr>
        <w:pStyle w:val="FootnoteText"/>
      </w:pPr>
      <w:r w:rsidRPr="0072600F">
        <w:rPr>
          <w:rStyle w:val="FootnoteReference"/>
        </w:rPr>
        <w:footnoteRef/>
      </w:r>
      <w:r>
        <w:t xml:space="preserve"> </w:t>
      </w:r>
      <w:r>
        <w:rPr>
          <w:i/>
          <w:iCs/>
        </w:rPr>
        <w:t>Id.</w:t>
      </w:r>
      <w:r>
        <w:t xml:space="preserve"> (citing Order No. 2023, </w:t>
      </w:r>
      <w:r w:rsidRPr="00901C19">
        <w:t>184 FERC ¶ 61,054</w:t>
      </w:r>
      <w:r>
        <w:t xml:space="preserve"> at P 193).</w:t>
      </w:r>
    </w:p>
  </w:footnote>
  <w:footnote w:id="1017">
    <w:p w:rsidR="00760048" w:rsidP="00071614" w14:paraId="42E66E21" w14:textId="77777777">
      <w:pPr>
        <w:pStyle w:val="FootnoteText"/>
      </w:pPr>
      <w:r w:rsidRPr="0072600F">
        <w:rPr>
          <w:rStyle w:val="FootnoteReference"/>
        </w:rPr>
        <w:footnoteRef/>
      </w:r>
      <w:r>
        <w:t xml:space="preserve"> </w:t>
      </w:r>
      <w:r>
        <w:rPr>
          <w:i/>
          <w:iCs/>
        </w:rPr>
        <w:t>Id.</w:t>
      </w:r>
      <w:r>
        <w:t xml:space="preserve"> (citing Order No. 2023, </w:t>
      </w:r>
      <w:r w:rsidRPr="00901C19">
        <w:t>184 FERC ¶ 61,054</w:t>
      </w:r>
      <w:r>
        <w:t xml:space="preserve"> at P 1349).</w:t>
      </w:r>
    </w:p>
  </w:footnote>
  <w:footnote w:id="1018">
    <w:p w:rsidR="00760048" w:rsidP="00071614" w14:paraId="1D1BC98C" w14:textId="77777777">
      <w:pPr>
        <w:pStyle w:val="FootnoteText"/>
      </w:pPr>
      <w:r w:rsidRPr="0072600F">
        <w:rPr>
          <w:rStyle w:val="FootnoteReference"/>
        </w:rPr>
        <w:footnoteRef/>
      </w:r>
      <w:r>
        <w:t xml:space="preserve"> Order No. 2023, </w:t>
      </w:r>
      <w:r w:rsidRPr="00901C19">
        <w:t>184 FERC ¶ 61,054</w:t>
      </w:r>
      <w:r>
        <w:t xml:space="preserve"> at P 1355.</w:t>
      </w:r>
    </w:p>
  </w:footnote>
  <w:footnote w:id="1019">
    <w:p w:rsidR="00760048" w14:paraId="4E0FC65E" w14:textId="77777777">
      <w:pPr>
        <w:pStyle w:val="FootnoteText"/>
      </w:pPr>
      <w:r w:rsidRPr="0072600F">
        <w:rPr>
          <w:rStyle w:val="FootnoteReference"/>
        </w:rPr>
        <w:footnoteRef/>
      </w:r>
      <w:r>
        <w:t xml:space="preserve"> </w:t>
      </w:r>
      <w:r w:rsidRPr="00745303">
        <w:rPr>
          <w:i/>
          <w:iCs/>
        </w:rPr>
        <w:t>See</w:t>
      </w:r>
      <w:r>
        <w:t xml:space="preserve"> </w:t>
      </w:r>
      <w:r w:rsidRPr="00BC1D82">
        <w:rPr>
          <w:i/>
          <w:iCs/>
        </w:rPr>
        <w:t>supra</w:t>
      </w:r>
      <w:r w:rsidRPr="00BC1D82">
        <w:t xml:space="preserve"> </w:t>
      </w:r>
      <w:r>
        <w:t>s</w:t>
      </w:r>
      <w:r w:rsidRPr="00BC1D82">
        <w:t>ection II.C.2.c.</w:t>
      </w:r>
    </w:p>
  </w:footnote>
  <w:footnote w:id="1020">
    <w:p w:rsidR="00760048" w:rsidP="00071614" w14:paraId="4E39DB11" w14:textId="77777777">
      <w:pPr>
        <w:pStyle w:val="FootnoteText"/>
      </w:pPr>
      <w:r w:rsidRPr="0072600F">
        <w:rPr>
          <w:rStyle w:val="FootnoteReference"/>
        </w:rPr>
        <w:footnoteRef/>
      </w:r>
      <w:r>
        <w:t xml:space="preserve"> Order No. 2023, </w:t>
      </w:r>
      <w:r w:rsidRPr="00901C19">
        <w:t>184 FERC ¶ 61,054</w:t>
      </w:r>
      <w:r>
        <w:t xml:space="preserve"> at P 1406.</w:t>
      </w:r>
    </w:p>
  </w:footnote>
  <w:footnote w:id="1021">
    <w:p w:rsidR="00760048" w:rsidP="00071614" w14:paraId="1C95E9A1" w14:textId="77777777">
      <w:pPr>
        <w:pStyle w:val="FootnoteText"/>
      </w:pPr>
      <w:r w:rsidRPr="0072600F">
        <w:rPr>
          <w:rStyle w:val="FootnoteReference"/>
        </w:rPr>
        <w:footnoteRef/>
      </w:r>
      <w:r>
        <w:t xml:space="preserve"> </w:t>
      </w:r>
      <w:r>
        <w:rPr>
          <w:i/>
          <w:iCs/>
        </w:rPr>
        <w:t>Id.</w:t>
      </w:r>
      <w:r>
        <w:t xml:space="preserve"> P 1407.</w:t>
      </w:r>
    </w:p>
  </w:footnote>
  <w:footnote w:id="1022">
    <w:p w:rsidR="00760048" w:rsidP="00071614" w14:paraId="3E307FC8" w14:textId="77777777">
      <w:pPr>
        <w:pStyle w:val="FootnoteText"/>
      </w:pPr>
      <w:r w:rsidRPr="0072600F">
        <w:rPr>
          <w:rStyle w:val="FootnoteReference"/>
        </w:rPr>
        <w:footnoteRef/>
      </w:r>
      <w:r>
        <w:t xml:space="preserve"> </w:t>
      </w:r>
      <w:r>
        <w:rPr>
          <w:i/>
          <w:iCs/>
        </w:rPr>
        <w:t>Id.</w:t>
      </w:r>
      <w:r>
        <w:t xml:space="preserve"> PP 1409-1410.</w:t>
      </w:r>
    </w:p>
  </w:footnote>
  <w:footnote w:id="1023">
    <w:p w:rsidR="00760048" w:rsidP="00071614" w14:paraId="65A301A2" w14:textId="77777777">
      <w:pPr>
        <w:pStyle w:val="FootnoteText"/>
      </w:pPr>
      <w:r w:rsidRPr="0072600F">
        <w:rPr>
          <w:rStyle w:val="FootnoteReference"/>
        </w:rPr>
        <w:footnoteRef/>
      </w:r>
      <w:r>
        <w:t xml:space="preserve"> </w:t>
      </w:r>
      <w:r>
        <w:rPr>
          <w:i/>
          <w:iCs/>
        </w:rPr>
        <w:t>Id.</w:t>
      </w:r>
      <w:r>
        <w:t xml:space="preserve"> P 1411.</w:t>
      </w:r>
    </w:p>
  </w:footnote>
  <w:footnote w:id="1024">
    <w:p w:rsidR="00760048" w:rsidP="00071614" w14:paraId="398285DC" w14:textId="77777777">
      <w:pPr>
        <w:pStyle w:val="FootnoteText"/>
      </w:pPr>
      <w:r w:rsidRPr="0072600F">
        <w:rPr>
          <w:rStyle w:val="FootnoteReference"/>
        </w:rPr>
        <w:footnoteRef/>
      </w:r>
      <w:r>
        <w:t xml:space="preserve"> </w:t>
      </w:r>
      <w:r>
        <w:rPr>
          <w:i/>
          <w:iCs/>
        </w:rPr>
        <w:t>Id.</w:t>
      </w:r>
      <w:r>
        <w:t xml:space="preserve"> P 1417.</w:t>
      </w:r>
    </w:p>
  </w:footnote>
  <w:footnote w:id="1025">
    <w:p w:rsidR="00760048" w:rsidP="00071614" w14:paraId="5F5612E0" w14:textId="77777777">
      <w:pPr>
        <w:pStyle w:val="FootnoteText"/>
      </w:pPr>
      <w:r w:rsidRPr="0072600F">
        <w:rPr>
          <w:rStyle w:val="FootnoteReference"/>
        </w:rPr>
        <w:footnoteRef/>
      </w:r>
      <w:r>
        <w:t xml:space="preserve"> PJM Rehearing Request at 41-42.</w:t>
      </w:r>
    </w:p>
  </w:footnote>
  <w:footnote w:id="1026">
    <w:p w:rsidR="00760048" w:rsidP="00071614" w14:paraId="041EFFEF" w14:textId="77777777">
      <w:pPr>
        <w:pStyle w:val="FootnoteText"/>
      </w:pPr>
      <w:r w:rsidRPr="0072600F">
        <w:rPr>
          <w:rStyle w:val="FootnoteReference"/>
        </w:rPr>
        <w:footnoteRef/>
      </w:r>
      <w:r>
        <w:t xml:space="preserve"> </w:t>
      </w:r>
      <w:r>
        <w:t xml:space="preserve">Shell </w:t>
      </w:r>
      <w:r>
        <w:t>Rehearing Request at 7.</w:t>
      </w:r>
    </w:p>
  </w:footnote>
  <w:footnote w:id="1027">
    <w:p w:rsidR="00760048" w:rsidP="00071614" w14:paraId="344D1E29" w14:textId="77777777">
      <w:pPr>
        <w:pStyle w:val="FootnoteText"/>
      </w:pPr>
      <w:r w:rsidRPr="0072600F">
        <w:rPr>
          <w:rStyle w:val="FootnoteReference"/>
        </w:rPr>
        <w:footnoteRef/>
      </w:r>
      <w:r>
        <w:t xml:space="preserve"> Clean Energy Associations Rehearing Request at 75-76.</w:t>
      </w:r>
    </w:p>
  </w:footnote>
  <w:footnote w:id="1028">
    <w:p w:rsidR="00760048" w:rsidP="00071614" w14:paraId="0D8AD66D" w14:textId="77777777">
      <w:pPr>
        <w:pStyle w:val="FootnoteText"/>
      </w:pPr>
      <w:r w:rsidRPr="0072600F">
        <w:rPr>
          <w:rStyle w:val="FootnoteReference"/>
        </w:rPr>
        <w:footnoteRef/>
      </w:r>
      <w:r>
        <w:t xml:space="preserve"> Order No. 2023, </w:t>
      </w:r>
      <w:r w:rsidRPr="00901C19">
        <w:t>184 FERC ¶ 61,054</w:t>
      </w:r>
      <w:r>
        <w:t xml:space="preserve"> at P 1406.</w:t>
      </w:r>
    </w:p>
  </w:footnote>
  <w:footnote w:id="1029">
    <w:p w:rsidR="00760048" w:rsidP="00071614" w14:paraId="2250CAAC" w14:textId="77777777">
      <w:pPr>
        <w:pStyle w:val="FootnoteText"/>
      </w:pPr>
      <w:r w:rsidRPr="0072600F">
        <w:rPr>
          <w:rStyle w:val="FootnoteReference"/>
        </w:rPr>
        <w:footnoteRef/>
      </w:r>
      <w:r>
        <w:t xml:space="preserve"> </w:t>
      </w:r>
      <w:r>
        <w:rPr>
          <w:i/>
          <w:iCs/>
        </w:rPr>
        <w:t>Id.</w:t>
      </w:r>
      <w:r>
        <w:rPr>
          <w:i/>
        </w:rPr>
        <w:t xml:space="preserve"> </w:t>
      </w:r>
      <w:r>
        <w:t>P 1407.</w:t>
      </w:r>
    </w:p>
  </w:footnote>
  <w:footnote w:id="1030">
    <w:p w:rsidR="00760048" w:rsidP="00071614" w14:paraId="107BEF5F" w14:textId="77777777">
      <w:pPr>
        <w:pStyle w:val="FootnoteText"/>
      </w:pPr>
      <w:r w:rsidRPr="0072600F">
        <w:rPr>
          <w:rStyle w:val="FootnoteReference"/>
        </w:rPr>
        <w:footnoteRef/>
      </w:r>
      <w:r>
        <w:t xml:space="preserve"> </w:t>
      </w:r>
      <w:r>
        <w:rPr>
          <w:i/>
          <w:iCs/>
        </w:rPr>
        <w:t>Id.</w:t>
      </w:r>
      <w:r>
        <w:rPr>
          <w:i/>
        </w:rPr>
        <w:t xml:space="preserve"> </w:t>
      </w:r>
      <w:r>
        <w:t>P 1417.</w:t>
      </w:r>
    </w:p>
  </w:footnote>
  <w:footnote w:id="1031">
    <w:p w:rsidR="00760048" w:rsidP="00071614" w14:paraId="7D9ABC8A" w14:textId="77777777">
      <w:pPr>
        <w:pStyle w:val="FootnoteText"/>
      </w:pPr>
      <w:r w:rsidRPr="0072600F">
        <w:rPr>
          <w:rStyle w:val="FootnoteReference"/>
        </w:rPr>
        <w:footnoteRef/>
      </w:r>
      <w:r>
        <w:t xml:space="preserve"> </w:t>
      </w:r>
      <w:r>
        <w:rPr>
          <w:i/>
          <w:iCs/>
        </w:rPr>
        <w:t>Id.</w:t>
      </w:r>
      <w:r>
        <w:rPr>
          <w:i/>
        </w:rPr>
        <w:t xml:space="preserve"> </w:t>
      </w:r>
      <w:r>
        <w:t>P 1406.</w:t>
      </w:r>
    </w:p>
  </w:footnote>
  <w:footnote w:id="1032">
    <w:p w:rsidR="00760048" w14:paraId="344000B4" w14:textId="77777777">
      <w:pPr>
        <w:pStyle w:val="FootnoteText"/>
      </w:pPr>
      <w:r w:rsidRPr="0072600F">
        <w:rPr>
          <w:rStyle w:val="FootnoteReference"/>
        </w:rPr>
        <w:footnoteRef/>
      </w:r>
      <w:r>
        <w:t xml:space="preserve"> Order No. 845, </w:t>
      </w:r>
      <w:r w:rsidRPr="0095558B">
        <w:t>163 FERC ¶ 61,043</w:t>
      </w:r>
      <w:r>
        <w:t xml:space="preserve"> at PP 510-536.</w:t>
      </w:r>
    </w:p>
  </w:footnote>
  <w:footnote w:id="1033">
    <w:p w:rsidR="00760048" w:rsidP="00071614" w14:paraId="1667DBED" w14:textId="77777777">
      <w:pPr>
        <w:pStyle w:val="FootnoteText"/>
      </w:pPr>
      <w:r w:rsidRPr="0072600F">
        <w:rPr>
          <w:rStyle w:val="FootnoteReference"/>
        </w:rPr>
        <w:footnoteRef/>
      </w:r>
      <w:r>
        <w:t xml:space="preserve"> Order No. 2023, </w:t>
      </w:r>
      <w:r w:rsidRPr="00901C19">
        <w:t>184 FERC ¶ 61,054</w:t>
      </w:r>
      <w:r>
        <w:t xml:space="preserve"> at P 1436.</w:t>
      </w:r>
    </w:p>
  </w:footnote>
  <w:footnote w:id="1034">
    <w:p w:rsidR="00760048" w:rsidP="00071614" w14:paraId="296CC11B" w14:textId="77777777">
      <w:pPr>
        <w:pStyle w:val="FootnoteText"/>
      </w:pPr>
      <w:r w:rsidRPr="0072600F">
        <w:rPr>
          <w:rStyle w:val="FootnoteReference"/>
        </w:rPr>
        <w:footnoteRef/>
      </w:r>
      <w:r>
        <w:t xml:space="preserve"> </w:t>
      </w:r>
      <w:r>
        <w:rPr>
          <w:i/>
          <w:iCs/>
        </w:rPr>
        <w:t>Id.</w:t>
      </w:r>
      <w:r>
        <w:rPr>
          <w:i/>
        </w:rPr>
        <w:t xml:space="preserve"> </w:t>
      </w:r>
      <w:r>
        <w:t>P 1437.</w:t>
      </w:r>
    </w:p>
  </w:footnote>
  <w:footnote w:id="1035">
    <w:p w:rsidR="00760048" w:rsidP="00071614" w14:paraId="4C38F084" w14:textId="77777777">
      <w:pPr>
        <w:pStyle w:val="FootnoteText"/>
      </w:pPr>
      <w:r w:rsidRPr="0072600F">
        <w:rPr>
          <w:rStyle w:val="FootnoteReference"/>
        </w:rPr>
        <w:footnoteRef/>
      </w:r>
      <w:r>
        <w:t xml:space="preserve"> </w:t>
      </w:r>
      <w:r>
        <w:rPr>
          <w:i/>
          <w:iCs/>
        </w:rPr>
        <w:t>Id.</w:t>
      </w:r>
      <w:r>
        <w:rPr>
          <w:i/>
        </w:rPr>
        <w:t xml:space="preserve"> </w:t>
      </w:r>
      <w:r>
        <w:t>P 1447.</w:t>
      </w:r>
    </w:p>
  </w:footnote>
  <w:footnote w:id="1036">
    <w:p w:rsidR="00760048" w:rsidP="00071614" w14:paraId="3F6FCB46" w14:textId="77777777">
      <w:pPr>
        <w:pStyle w:val="FootnoteText"/>
      </w:pPr>
      <w:r w:rsidRPr="0072600F">
        <w:rPr>
          <w:rStyle w:val="FootnoteReference"/>
        </w:rPr>
        <w:footnoteRef/>
      </w:r>
      <w:r>
        <w:t xml:space="preserve"> </w:t>
      </w:r>
      <w:r>
        <w:rPr>
          <w:i/>
          <w:iCs/>
        </w:rPr>
        <w:t>Id.</w:t>
      </w:r>
      <w:r>
        <w:rPr>
          <w:i/>
        </w:rPr>
        <w:t xml:space="preserve"> </w:t>
      </w:r>
      <w:r>
        <w:t>P 1445.</w:t>
      </w:r>
    </w:p>
  </w:footnote>
  <w:footnote w:id="1037">
    <w:p w:rsidR="00760048" w:rsidP="00071614" w14:paraId="3ED615AB" w14:textId="77777777">
      <w:pPr>
        <w:pStyle w:val="FootnoteText"/>
      </w:pPr>
      <w:r w:rsidRPr="0072600F">
        <w:rPr>
          <w:rStyle w:val="FootnoteReference"/>
        </w:rPr>
        <w:footnoteRef/>
      </w:r>
      <w:r>
        <w:t xml:space="preserve"> PJM Rehearing Request at 35-36 (citing</w:t>
      </w:r>
      <w:r w:rsidRPr="003B5B94">
        <w:t xml:space="preserve"> Order No. 2023</w:t>
      </w:r>
      <w:r>
        <w:t xml:space="preserve">, </w:t>
      </w:r>
      <w:r w:rsidRPr="00901C19">
        <w:t>184 FERC ¶ 61,054</w:t>
      </w:r>
      <w:r w:rsidRPr="003B5B94">
        <w:t xml:space="preserve"> at P 1438</w:t>
      </w:r>
      <w:r>
        <w:t>).</w:t>
      </w:r>
    </w:p>
  </w:footnote>
  <w:footnote w:id="1038">
    <w:p w:rsidR="00760048" w:rsidP="00071614" w14:paraId="360A27C6" w14:textId="77777777">
      <w:pPr>
        <w:pStyle w:val="FootnoteText"/>
      </w:pPr>
      <w:r w:rsidRPr="0072600F">
        <w:rPr>
          <w:rStyle w:val="FootnoteReference"/>
        </w:rPr>
        <w:footnoteRef/>
      </w:r>
      <w:r>
        <w:t xml:space="preserve"> </w:t>
      </w:r>
      <w:r>
        <w:rPr>
          <w:i/>
          <w:iCs/>
        </w:rPr>
        <w:t>Id.</w:t>
      </w:r>
      <w:r>
        <w:rPr>
          <w:i/>
        </w:rPr>
        <w:t xml:space="preserve"> </w:t>
      </w:r>
      <w:r>
        <w:t>at 37-38.</w:t>
      </w:r>
    </w:p>
  </w:footnote>
  <w:footnote w:id="1039">
    <w:p w:rsidR="00760048" w:rsidP="00071614" w14:paraId="3EA4AAED" w14:textId="77777777">
      <w:pPr>
        <w:pStyle w:val="FootnoteText"/>
      </w:pPr>
      <w:r w:rsidRPr="0072600F">
        <w:rPr>
          <w:rStyle w:val="FootnoteReference"/>
        </w:rPr>
        <w:footnoteRef/>
      </w:r>
      <w:r>
        <w:t xml:space="preserve"> SPP Rehearing Request at 21.</w:t>
      </w:r>
    </w:p>
  </w:footnote>
  <w:footnote w:id="1040">
    <w:p w:rsidR="00760048" w14:paraId="4E3E1153" w14:textId="77777777">
      <w:pPr>
        <w:pStyle w:val="FootnoteText"/>
      </w:pPr>
      <w:r w:rsidRPr="0072600F">
        <w:rPr>
          <w:rStyle w:val="FootnoteReference"/>
        </w:rPr>
        <w:footnoteRef/>
      </w:r>
      <w:r>
        <w:t xml:space="preserve"> </w:t>
      </w:r>
      <w:r w:rsidRPr="00317452">
        <w:rPr>
          <w:i/>
          <w:iCs/>
        </w:rPr>
        <w:t>Pro forma</w:t>
      </w:r>
      <w:r w:rsidRPr="00317452">
        <w:t xml:space="preserve"> LGIP </w:t>
      </w:r>
      <w:r>
        <w:t>s</w:t>
      </w:r>
      <w:r w:rsidRPr="00317452">
        <w:t>ection 1.</w:t>
      </w:r>
    </w:p>
  </w:footnote>
  <w:footnote w:id="1041">
    <w:p w:rsidR="00760048" w:rsidP="00071614" w14:paraId="3E2B8514" w14:textId="77777777">
      <w:pPr>
        <w:pStyle w:val="FootnoteText"/>
      </w:pPr>
      <w:r w:rsidRPr="0072600F">
        <w:rPr>
          <w:rStyle w:val="FootnoteReference"/>
        </w:rPr>
        <w:footnoteRef/>
      </w:r>
      <w:r>
        <w:t xml:space="preserve"> </w:t>
      </w:r>
      <w:r w:rsidRPr="003B5B94" w:rsidR="000325AF">
        <w:t>Order No. 2023</w:t>
      </w:r>
      <w:r w:rsidR="000325AF">
        <w:t xml:space="preserve">, </w:t>
      </w:r>
      <w:r w:rsidRPr="00901C19" w:rsidR="000325AF">
        <w:t>184 FERC ¶ 61,054</w:t>
      </w:r>
      <w:r w:rsidRPr="003B5B94" w:rsidR="000325AF">
        <w:t xml:space="preserve"> at </w:t>
      </w:r>
      <w:r>
        <w:t>P 1447.</w:t>
      </w:r>
    </w:p>
  </w:footnote>
  <w:footnote w:id="1042">
    <w:p w:rsidR="00760048" w:rsidP="00071614" w14:paraId="269D27A2" w14:textId="77777777">
      <w:pPr>
        <w:pStyle w:val="FootnoteText"/>
      </w:pPr>
      <w:r w:rsidRPr="0072600F">
        <w:rPr>
          <w:rStyle w:val="FootnoteReference"/>
        </w:rPr>
        <w:footnoteRef/>
      </w:r>
      <w:r>
        <w:t xml:space="preserve"> </w:t>
      </w:r>
      <w:r w:rsidRPr="00936B78">
        <w:rPr>
          <w:i/>
          <w:iCs/>
        </w:rPr>
        <w:t>Id.</w:t>
      </w:r>
      <w:r>
        <w:rPr>
          <w:i/>
        </w:rPr>
        <w:t xml:space="preserve"> </w:t>
      </w:r>
      <w:r>
        <w:t>P 1445.</w:t>
      </w:r>
    </w:p>
  </w:footnote>
  <w:footnote w:id="1043">
    <w:p w:rsidR="00760048" w:rsidP="00071614" w14:paraId="760643BF" w14:textId="77777777">
      <w:pPr>
        <w:pStyle w:val="FootnoteText"/>
      </w:pPr>
      <w:r w:rsidRPr="0072600F">
        <w:rPr>
          <w:rStyle w:val="FootnoteReference"/>
        </w:rPr>
        <w:footnoteRef/>
      </w:r>
      <w:r>
        <w:t xml:space="preserve"> </w:t>
      </w:r>
      <w:r w:rsidRPr="00152A35">
        <w:t>An electric storage resource is a generating facility capable of receiving electric energy from the grid and storing it for later injection of electricity.</w:t>
      </w:r>
      <w:r>
        <w:t xml:space="preserve">  </w:t>
      </w:r>
      <w:r>
        <w:rPr>
          <w:i/>
          <w:iCs/>
        </w:rPr>
        <w:t>See</w:t>
      </w:r>
      <w:r>
        <w:t xml:space="preserve"> </w:t>
      </w:r>
      <w:r w:rsidRPr="00C91A5B">
        <w:rPr>
          <w:i/>
        </w:rPr>
        <w:t>i</w:t>
      </w:r>
      <w:r w:rsidRPr="00247A3F">
        <w:rPr>
          <w:i/>
          <w:iCs/>
        </w:rPr>
        <w:t>d.</w:t>
      </w:r>
      <w:r>
        <w:t xml:space="preserve"> P 1509 n.2854.</w:t>
      </w:r>
    </w:p>
  </w:footnote>
  <w:footnote w:id="1044">
    <w:p w:rsidR="00760048" w:rsidP="00071614" w14:paraId="6961E4AE" w14:textId="77777777">
      <w:pPr>
        <w:pStyle w:val="FootnoteText"/>
      </w:pPr>
      <w:r w:rsidRPr="0072600F">
        <w:rPr>
          <w:rStyle w:val="FootnoteReference"/>
        </w:rPr>
        <w:footnoteRef/>
      </w:r>
      <w:r>
        <w:t xml:space="preserve"> C</w:t>
      </w:r>
      <w:r w:rsidRPr="00152A35">
        <w:t>o-located generating facilities are more than one generating facility that are located on the same site and that are connected at the same point of interconnection that are operated and dispatched as separate generating facilities</w:t>
      </w:r>
      <w:r>
        <w:t xml:space="preserve">.  </w:t>
      </w:r>
      <w:r>
        <w:rPr>
          <w:i/>
          <w:iCs/>
        </w:rPr>
        <w:t>See</w:t>
      </w:r>
      <w:r>
        <w:t xml:space="preserve"> </w:t>
      </w:r>
      <w:r w:rsidRPr="00936B78">
        <w:rPr>
          <w:i/>
          <w:iCs/>
        </w:rPr>
        <w:t>i</w:t>
      </w:r>
      <w:r w:rsidRPr="00247A3F">
        <w:rPr>
          <w:i/>
          <w:iCs/>
        </w:rPr>
        <w:t>d.</w:t>
      </w:r>
      <w:r>
        <w:t xml:space="preserve"> P 1346 n. 2552.</w:t>
      </w:r>
    </w:p>
  </w:footnote>
  <w:footnote w:id="1045">
    <w:p w:rsidR="00760048" w:rsidP="00071614" w14:paraId="6B8ECF6F" w14:textId="77777777">
      <w:pPr>
        <w:pStyle w:val="FootnoteText"/>
      </w:pPr>
      <w:r w:rsidRPr="0072600F">
        <w:rPr>
          <w:rStyle w:val="FootnoteReference"/>
        </w:rPr>
        <w:footnoteRef/>
      </w:r>
      <w:r>
        <w:t xml:space="preserve"> A</w:t>
      </w:r>
      <w:r w:rsidRPr="00A06F9C">
        <w:t xml:space="preserve"> hybrid generating facility is a generating facility composed of more than one device of different technology types for the production and/or storage for later injection of electricity that are located on the same site and are operated and dispatched as a single integrated generating </w:t>
      </w:r>
      <w:r>
        <w:t xml:space="preserve">facility.  </w:t>
      </w:r>
      <w:r>
        <w:rPr>
          <w:i/>
          <w:iCs/>
        </w:rPr>
        <w:t>See</w:t>
      </w:r>
      <w:r>
        <w:t xml:space="preserve"> </w:t>
      </w:r>
      <w:r w:rsidRPr="00936B78">
        <w:rPr>
          <w:i/>
          <w:iCs/>
        </w:rPr>
        <w:t>i</w:t>
      </w:r>
      <w:r w:rsidRPr="00247A3F">
        <w:rPr>
          <w:i/>
          <w:iCs/>
        </w:rPr>
        <w:t>d.</w:t>
      </w:r>
      <w:r>
        <w:rPr>
          <w:i/>
        </w:rPr>
        <w:t xml:space="preserve"> </w:t>
      </w:r>
      <w:r>
        <w:t>P 604 n.1204.</w:t>
      </w:r>
    </w:p>
  </w:footnote>
  <w:footnote w:id="1046">
    <w:p w:rsidR="00760048" w:rsidP="00071614" w14:paraId="60B8C890" w14:textId="77777777">
      <w:pPr>
        <w:pStyle w:val="FootnoteText"/>
      </w:pPr>
      <w:r w:rsidRPr="0072600F">
        <w:rPr>
          <w:rStyle w:val="FootnoteReference"/>
        </w:rPr>
        <w:footnoteRef/>
      </w:r>
      <w:r>
        <w:t xml:space="preserve"> </w:t>
      </w:r>
      <w:r w:rsidRPr="002C3A1A">
        <w:t xml:space="preserve">Applicable reliability standards means “the requirements and guidelines of the Electric Reliability Organization and the Balancing Authority Area of the Transmission System to which the Generating Facility is directly interconnected.” </w:t>
      </w:r>
      <w:r>
        <w:t xml:space="preserve"> </w:t>
      </w:r>
      <w:r w:rsidRPr="002C3A1A">
        <w:rPr>
          <w:i/>
          <w:iCs/>
        </w:rPr>
        <w:t xml:space="preserve">See pro forma </w:t>
      </w:r>
      <w:r w:rsidRPr="002C3A1A">
        <w:t>LGIP</w:t>
      </w:r>
      <w:r>
        <w:t xml:space="preserve"> </w:t>
      </w:r>
      <w:r w:rsidRPr="002C3A1A">
        <w:t>section 1 (Definitions).</w:t>
      </w:r>
    </w:p>
  </w:footnote>
  <w:footnote w:id="1047">
    <w:p w:rsidR="00760048" w:rsidP="00071614" w14:paraId="2BF3243D" w14:textId="77777777">
      <w:pPr>
        <w:pStyle w:val="FootnoteText"/>
      </w:pPr>
      <w:r w:rsidRPr="0072600F">
        <w:rPr>
          <w:rStyle w:val="FootnoteReference"/>
        </w:rPr>
        <w:footnoteRef/>
      </w:r>
      <w:r>
        <w:t xml:space="preserve"> Order No. 2023, </w:t>
      </w:r>
      <w:r w:rsidRPr="00901C19">
        <w:t>184 FERC ¶ 61,054</w:t>
      </w:r>
      <w:r>
        <w:t xml:space="preserve"> at P 1509.</w:t>
      </w:r>
    </w:p>
  </w:footnote>
  <w:footnote w:id="1048">
    <w:p w:rsidR="00760048" w:rsidP="00071614" w14:paraId="29C20F87" w14:textId="77777777">
      <w:pPr>
        <w:pStyle w:val="FootnoteText"/>
      </w:pPr>
      <w:r w:rsidRPr="0072600F">
        <w:rPr>
          <w:rStyle w:val="FootnoteReference"/>
        </w:rPr>
        <w:footnoteRef/>
      </w:r>
      <w:r>
        <w:t xml:space="preserve"> </w:t>
      </w:r>
      <w:r w:rsidRPr="00AB336C">
        <w:rPr>
          <w:i/>
        </w:rPr>
        <w:t xml:space="preserve">Id. </w:t>
      </w:r>
      <w:r>
        <w:t>n.2858.</w:t>
      </w:r>
    </w:p>
  </w:footnote>
  <w:footnote w:id="1049">
    <w:p w:rsidR="00760048" w14:paraId="14DA7FF1" w14:textId="77777777">
      <w:pPr>
        <w:pStyle w:val="FootnoteText"/>
      </w:pPr>
      <w:r w:rsidRPr="0072600F">
        <w:rPr>
          <w:rStyle w:val="FootnoteReference"/>
        </w:rPr>
        <w:footnoteRef/>
      </w:r>
      <w:r>
        <w:t xml:space="preserve"> </w:t>
      </w:r>
      <w:r w:rsidRPr="00936B78">
        <w:rPr>
          <w:i/>
          <w:iCs/>
        </w:rPr>
        <w:t xml:space="preserve">Id. </w:t>
      </w:r>
      <w:r>
        <w:t>P 1521.</w:t>
      </w:r>
    </w:p>
  </w:footnote>
  <w:footnote w:id="1050">
    <w:p w:rsidR="00760048" w:rsidP="00071614" w14:paraId="1D6B087C" w14:textId="77777777">
      <w:pPr>
        <w:pStyle w:val="FootnoteText"/>
      </w:pPr>
      <w:r w:rsidRPr="0072600F">
        <w:rPr>
          <w:rStyle w:val="FootnoteReference"/>
        </w:rPr>
        <w:footnoteRef/>
      </w:r>
      <w:r>
        <w:t xml:space="preserve"> </w:t>
      </w:r>
      <w:r w:rsidRPr="00936B78">
        <w:rPr>
          <w:i/>
          <w:iCs/>
        </w:rPr>
        <w:t xml:space="preserve">Id. </w:t>
      </w:r>
      <w:r>
        <w:t>P 1510.</w:t>
      </w:r>
    </w:p>
  </w:footnote>
  <w:footnote w:id="1051">
    <w:p w:rsidR="00760048" w:rsidP="00071614" w14:paraId="2E313EE9" w14:textId="77777777">
      <w:pPr>
        <w:pStyle w:val="FootnoteText"/>
      </w:pPr>
      <w:r w:rsidRPr="0072600F">
        <w:rPr>
          <w:rStyle w:val="FootnoteReference"/>
        </w:rPr>
        <w:footnoteRef/>
      </w:r>
      <w:r>
        <w:t xml:space="preserve"> </w:t>
      </w:r>
      <w:r w:rsidRPr="00936B78">
        <w:rPr>
          <w:i/>
          <w:iCs/>
        </w:rPr>
        <w:t xml:space="preserve">Id. </w:t>
      </w:r>
      <w:r>
        <w:t>P</w:t>
      </w:r>
      <w:r>
        <w:t xml:space="preserve"> 1522.</w:t>
      </w:r>
    </w:p>
  </w:footnote>
  <w:footnote w:id="1052">
    <w:p w:rsidR="00760048" w14:paraId="32473D86" w14:textId="77777777">
      <w:pPr>
        <w:pStyle w:val="FootnoteText"/>
      </w:pPr>
      <w:r w:rsidRPr="0072600F">
        <w:rPr>
          <w:rStyle w:val="FootnoteReference"/>
        </w:rPr>
        <w:footnoteRef/>
      </w:r>
      <w:r>
        <w:t xml:space="preserve"> </w:t>
      </w:r>
      <w:r w:rsidRPr="00936B78">
        <w:rPr>
          <w:i/>
          <w:iCs/>
        </w:rPr>
        <w:t>Id.</w:t>
      </w:r>
      <w:r w:rsidRPr="00936B78">
        <w:rPr>
          <w:i/>
        </w:rPr>
        <w:t xml:space="preserve"> </w:t>
      </w:r>
      <w:r>
        <w:t xml:space="preserve">n.2865 (citing to </w:t>
      </w:r>
      <w:r w:rsidRPr="00161FDF">
        <w:t xml:space="preserve">Bonneville Initial Comments at 23; MISO Comments at 117; </w:t>
      </w:r>
      <w:r w:rsidRPr="00161FDF">
        <w:rPr>
          <w:i/>
          <w:iCs/>
        </w:rPr>
        <w:t>PacifiCorp</w:t>
      </w:r>
      <w:r w:rsidRPr="00161FDF">
        <w:t>, 182 FERC ¶ 61,131 (2023) (accepting, subject to condition, revisions to PacifiCorp’s LGIP and LGIA to allow PacifiCorp to study electric storage resources in its interconnection study process using operating assumptions that more accurately reflect their expected operation)</w:t>
      </w:r>
      <w:r>
        <w:t>).</w:t>
      </w:r>
    </w:p>
  </w:footnote>
  <w:footnote w:id="1053">
    <w:p w:rsidR="00760048" w:rsidP="00071614" w14:paraId="720FFF17" w14:textId="77777777">
      <w:pPr>
        <w:pStyle w:val="FootnoteText"/>
      </w:pPr>
      <w:r w:rsidRPr="0072600F">
        <w:rPr>
          <w:rStyle w:val="FootnoteReference"/>
        </w:rPr>
        <w:footnoteRef/>
      </w:r>
      <w:r>
        <w:t xml:space="preserve"> </w:t>
      </w:r>
      <w:r w:rsidRPr="00936B78">
        <w:rPr>
          <w:i/>
          <w:iCs/>
        </w:rPr>
        <w:t>Id.</w:t>
      </w:r>
      <w:r w:rsidRPr="00936B78">
        <w:rPr>
          <w:i/>
        </w:rPr>
        <w:t xml:space="preserve"> </w:t>
      </w:r>
      <w:r>
        <w:t>P 1523.</w:t>
      </w:r>
    </w:p>
  </w:footnote>
  <w:footnote w:id="1054">
    <w:p w:rsidR="00760048" w:rsidP="00071614" w14:paraId="6ABA0525" w14:textId="77777777">
      <w:pPr>
        <w:pStyle w:val="FootnoteText"/>
      </w:pPr>
      <w:r w:rsidRPr="0072600F">
        <w:rPr>
          <w:rStyle w:val="FootnoteReference"/>
        </w:rPr>
        <w:footnoteRef/>
      </w:r>
      <w:r>
        <w:t xml:space="preserve"> </w:t>
      </w:r>
      <w:r w:rsidRPr="00936B78">
        <w:rPr>
          <w:i/>
          <w:iCs/>
        </w:rPr>
        <w:t>Id.</w:t>
      </w:r>
      <w:r>
        <w:t xml:space="preserve"> P 1525.</w:t>
      </w:r>
    </w:p>
  </w:footnote>
  <w:footnote w:id="1055">
    <w:p w:rsidR="00760048" w:rsidP="00071614" w14:paraId="7D645CF1" w14:textId="77777777">
      <w:pPr>
        <w:pStyle w:val="FootnoteText"/>
      </w:pPr>
      <w:r w:rsidRPr="0072600F">
        <w:rPr>
          <w:rStyle w:val="FootnoteReference"/>
        </w:rPr>
        <w:footnoteRef/>
      </w:r>
      <w:r>
        <w:t xml:space="preserve"> </w:t>
      </w:r>
      <w:r>
        <w:rPr>
          <w:i/>
        </w:rPr>
        <w:t>I</w:t>
      </w:r>
      <w:r w:rsidRPr="00247A3F">
        <w:rPr>
          <w:i/>
          <w:iCs/>
        </w:rPr>
        <w:t>d</w:t>
      </w:r>
      <w:r>
        <w:rPr>
          <w:i/>
          <w:iCs/>
        </w:rPr>
        <w:t>.</w:t>
      </w:r>
      <w:r w:rsidR="00A97014">
        <w:rPr>
          <w:i/>
          <w:iCs/>
        </w:rPr>
        <w:t xml:space="preserve"> </w:t>
      </w:r>
      <w:r>
        <w:t>P 1529.</w:t>
      </w:r>
    </w:p>
  </w:footnote>
  <w:footnote w:id="1056">
    <w:p w:rsidR="00760048" w:rsidP="00071614" w14:paraId="0E4E7719" w14:textId="77777777">
      <w:pPr>
        <w:pStyle w:val="FootnoteText"/>
      </w:pPr>
      <w:r w:rsidRPr="0072600F">
        <w:rPr>
          <w:rStyle w:val="FootnoteReference"/>
        </w:rPr>
        <w:footnoteRef/>
      </w:r>
      <w:r>
        <w:t xml:space="preserve"> </w:t>
      </w:r>
      <w:r w:rsidRPr="00936B78">
        <w:rPr>
          <w:i/>
          <w:iCs/>
        </w:rPr>
        <w:t>Id.</w:t>
      </w:r>
      <w:r w:rsidRPr="00936B78">
        <w:rPr>
          <w:i/>
        </w:rPr>
        <w:t xml:space="preserve"> </w:t>
      </w:r>
      <w:r>
        <w:t>P 1526.</w:t>
      </w:r>
    </w:p>
  </w:footnote>
  <w:footnote w:id="1057">
    <w:p w:rsidR="00760048" w:rsidP="00071614" w14:paraId="733BC322" w14:textId="77777777">
      <w:pPr>
        <w:pStyle w:val="FootnoteText"/>
      </w:pPr>
      <w:r w:rsidRPr="0072600F">
        <w:rPr>
          <w:rStyle w:val="FootnoteReference"/>
        </w:rPr>
        <w:footnoteRef/>
      </w:r>
      <w:r>
        <w:t xml:space="preserve"> Joint RTOs Rehearing Request at 3, 6; PJM Rehearing Request at 12, 38.</w:t>
      </w:r>
    </w:p>
  </w:footnote>
  <w:footnote w:id="1058">
    <w:p w:rsidR="00760048" w:rsidP="00071614" w14:paraId="56B9F360" w14:textId="77777777">
      <w:pPr>
        <w:pStyle w:val="FootnoteText"/>
      </w:pPr>
      <w:r w:rsidRPr="0072600F">
        <w:rPr>
          <w:rStyle w:val="FootnoteReference"/>
        </w:rPr>
        <w:footnoteRef/>
      </w:r>
      <w:r>
        <w:t xml:space="preserve"> Joint RTOs Rehearing Request at 6.</w:t>
      </w:r>
    </w:p>
  </w:footnote>
  <w:footnote w:id="1059">
    <w:p w:rsidR="00760048" w:rsidP="00071614" w14:paraId="36BA85D0" w14:textId="77777777">
      <w:pPr>
        <w:pStyle w:val="FootnoteText"/>
      </w:pPr>
      <w:r w:rsidRPr="0072600F">
        <w:rPr>
          <w:rStyle w:val="FootnoteReference"/>
        </w:rPr>
        <w:footnoteRef/>
      </w:r>
      <w:r>
        <w:t xml:space="preserve"> </w:t>
      </w:r>
      <w:r w:rsidRPr="00936B78">
        <w:rPr>
          <w:i/>
          <w:iCs/>
        </w:rPr>
        <w:t>Id.</w:t>
      </w:r>
      <w:r>
        <w:rPr>
          <w:i/>
        </w:rPr>
        <w:t xml:space="preserve"> </w:t>
      </w:r>
      <w:r>
        <w:t>at 4.</w:t>
      </w:r>
    </w:p>
  </w:footnote>
  <w:footnote w:id="1060">
    <w:p w:rsidR="00760048" w:rsidP="00071614" w14:paraId="2CAC5188" w14:textId="77777777">
      <w:pPr>
        <w:pStyle w:val="FootnoteText"/>
      </w:pPr>
      <w:r w:rsidRPr="0072600F">
        <w:rPr>
          <w:rStyle w:val="FootnoteReference"/>
        </w:rPr>
        <w:footnoteRef/>
      </w:r>
      <w:r>
        <w:t xml:space="preserve"> </w:t>
      </w:r>
      <w:r w:rsidRPr="00936B78">
        <w:rPr>
          <w:i/>
          <w:iCs/>
        </w:rPr>
        <w:t>Id.</w:t>
      </w:r>
      <w:r>
        <w:rPr>
          <w:i/>
        </w:rPr>
        <w:t xml:space="preserve"> </w:t>
      </w:r>
      <w:r>
        <w:t>at 7-8; PJM Rehearing Request at 40.</w:t>
      </w:r>
    </w:p>
  </w:footnote>
  <w:footnote w:id="1061">
    <w:p w:rsidR="00760048" w:rsidP="00071614" w14:paraId="69C0A77E" w14:textId="77777777">
      <w:pPr>
        <w:pStyle w:val="FootnoteText"/>
      </w:pPr>
      <w:r w:rsidRPr="0072600F">
        <w:rPr>
          <w:rStyle w:val="FootnoteReference"/>
        </w:rPr>
        <w:footnoteRef/>
      </w:r>
      <w:r>
        <w:t xml:space="preserve"> Joint RTOs Rehearing Request at 5-6; PJM Rehearing Request at 40-41.</w:t>
      </w:r>
    </w:p>
  </w:footnote>
  <w:footnote w:id="1062">
    <w:p w:rsidR="00760048" w:rsidP="00071614" w14:paraId="1EE68BDB" w14:textId="77777777">
      <w:pPr>
        <w:pStyle w:val="FootnoteText"/>
      </w:pPr>
      <w:r w:rsidRPr="0072600F">
        <w:rPr>
          <w:rStyle w:val="FootnoteReference"/>
        </w:rPr>
        <w:footnoteRef/>
      </w:r>
      <w:r>
        <w:t xml:space="preserve"> Joint RTOs Rehearing Request at 6-7; PJM Rehearing Request at 39.</w:t>
      </w:r>
    </w:p>
  </w:footnote>
  <w:footnote w:id="1063">
    <w:p w:rsidR="00760048" w:rsidP="00071614" w14:paraId="0D90066F" w14:textId="77777777">
      <w:pPr>
        <w:pStyle w:val="FootnoteText"/>
      </w:pPr>
      <w:r w:rsidRPr="0072600F">
        <w:rPr>
          <w:rStyle w:val="FootnoteReference"/>
        </w:rPr>
        <w:footnoteRef/>
      </w:r>
      <w:r>
        <w:t xml:space="preserve"> PJM Rehearing Request at 38-39.</w:t>
      </w:r>
    </w:p>
  </w:footnote>
  <w:footnote w:id="1064">
    <w:p w:rsidR="00760048" w:rsidP="00071614" w14:paraId="69539ACD" w14:textId="77777777">
      <w:pPr>
        <w:pStyle w:val="FootnoteText"/>
      </w:pPr>
      <w:r w:rsidRPr="0072600F">
        <w:rPr>
          <w:rStyle w:val="FootnoteReference"/>
        </w:rPr>
        <w:footnoteRef/>
      </w:r>
      <w:r>
        <w:t xml:space="preserve"> NYISO Rehearing Request at 3, 54-55.</w:t>
      </w:r>
    </w:p>
  </w:footnote>
  <w:footnote w:id="1065">
    <w:p w:rsidR="00760048" w14:paraId="47669971" w14:textId="77777777">
      <w:pPr>
        <w:pStyle w:val="FootnoteText"/>
      </w:pPr>
      <w:r w:rsidRPr="0072600F">
        <w:rPr>
          <w:rStyle w:val="FootnoteReference"/>
        </w:rPr>
        <w:footnoteRef/>
      </w:r>
      <w:r>
        <w:t xml:space="preserve"> </w:t>
      </w:r>
      <w:r w:rsidRPr="00936B78">
        <w:rPr>
          <w:i/>
          <w:iCs/>
        </w:rPr>
        <w:t>Id.</w:t>
      </w:r>
      <w:r>
        <w:rPr>
          <w:i/>
        </w:rPr>
        <w:t xml:space="preserve"> </w:t>
      </w:r>
      <w:r>
        <w:t xml:space="preserve">at 54 (citing </w:t>
      </w:r>
      <w:r w:rsidRPr="005D5168" w:rsidR="005D5168">
        <w:t>NYISO, Market Administration and Control Area Services Tariff, § 5.12 (MST Requirements Applicable to Installed Capacity Supply) (41.0.0) § 5.12.14</w:t>
      </w:r>
      <w:r>
        <w:t>).</w:t>
      </w:r>
    </w:p>
  </w:footnote>
  <w:footnote w:id="1066">
    <w:p w:rsidR="00760048" w:rsidP="00071614" w14:paraId="46195E44" w14:textId="77777777">
      <w:pPr>
        <w:pStyle w:val="FootnoteText"/>
      </w:pPr>
      <w:r w:rsidRPr="0072600F">
        <w:rPr>
          <w:rStyle w:val="FootnoteReference"/>
        </w:rPr>
        <w:footnoteRef/>
      </w:r>
      <w:r>
        <w:t xml:space="preserve"> </w:t>
      </w:r>
      <w:r w:rsidRPr="00936B78">
        <w:rPr>
          <w:i/>
          <w:iCs/>
        </w:rPr>
        <w:t>Id.</w:t>
      </w:r>
      <w:r>
        <w:rPr>
          <w:i/>
        </w:rPr>
        <w:t xml:space="preserve"> </w:t>
      </w:r>
      <w:r>
        <w:t>at 55-56.</w:t>
      </w:r>
    </w:p>
  </w:footnote>
  <w:footnote w:id="1067">
    <w:p w:rsidR="00760048" w:rsidP="00071614" w14:paraId="564224DA" w14:textId="77777777">
      <w:pPr>
        <w:pStyle w:val="FootnoteText"/>
      </w:pPr>
      <w:r w:rsidRPr="0072600F">
        <w:rPr>
          <w:rStyle w:val="FootnoteReference"/>
        </w:rPr>
        <w:footnoteRef/>
      </w:r>
      <w:r>
        <w:t xml:space="preserve"> </w:t>
      </w:r>
      <w:r w:rsidRPr="00B45AA7">
        <w:t>Public Interest Organizations</w:t>
      </w:r>
      <w:r w:rsidRPr="00B45AA7">
        <w:t xml:space="preserve"> </w:t>
      </w:r>
      <w:r>
        <w:t>Rehearing Request at 17-18.</w:t>
      </w:r>
    </w:p>
  </w:footnote>
  <w:footnote w:id="1068">
    <w:p w:rsidR="00760048" w:rsidP="00071614" w14:paraId="428CAA58" w14:textId="77777777">
      <w:pPr>
        <w:pStyle w:val="FootnoteText"/>
      </w:pPr>
      <w:r w:rsidRPr="0072600F">
        <w:rPr>
          <w:rStyle w:val="FootnoteReference"/>
        </w:rPr>
        <w:footnoteRef/>
      </w:r>
      <w:r>
        <w:t xml:space="preserve"> </w:t>
      </w:r>
      <w:r w:rsidRPr="00936B78">
        <w:rPr>
          <w:i/>
          <w:iCs/>
        </w:rPr>
        <w:t>Id.</w:t>
      </w:r>
      <w:r>
        <w:rPr>
          <w:i/>
        </w:rPr>
        <w:t xml:space="preserve"> </w:t>
      </w:r>
      <w:r>
        <w:t>at 19-20.</w:t>
      </w:r>
    </w:p>
  </w:footnote>
  <w:footnote w:id="1069">
    <w:p w:rsidR="00760048" w:rsidP="00071614" w14:paraId="296FC212" w14:textId="77777777">
      <w:pPr>
        <w:pStyle w:val="FootnoteText"/>
      </w:pPr>
      <w:r w:rsidRPr="0072600F">
        <w:rPr>
          <w:rStyle w:val="FootnoteReference"/>
        </w:rPr>
        <w:footnoteRef/>
      </w:r>
      <w:r>
        <w:t xml:space="preserve"> Clean Energy Associations Rehearing Request at 70-73.</w:t>
      </w:r>
    </w:p>
  </w:footnote>
  <w:footnote w:id="1070">
    <w:p w:rsidR="00760048" w:rsidP="00071614" w14:paraId="3F74E6AF" w14:textId="77777777">
      <w:pPr>
        <w:pStyle w:val="FootnoteText"/>
      </w:pPr>
      <w:r w:rsidRPr="0072600F">
        <w:rPr>
          <w:rStyle w:val="FootnoteReference"/>
        </w:rPr>
        <w:footnoteRef/>
      </w:r>
      <w:r>
        <w:t xml:space="preserve"> </w:t>
      </w:r>
      <w:r w:rsidRPr="00936B78">
        <w:rPr>
          <w:i/>
          <w:iCs/>
        </w:rPr>
        <w:t>Id.</w:t>
      </w:r>
      <w:r>
        <w:rPr>
          <w:i/>
        </w:rPr>
        <w:t xml:space="preserve"> </w:t>
      </w:r>
      <w:r>
        <w:t>at 69-70.</w:t>
      </w:r>
    </w:p>
  </w:footnote>
  <w:footnote w:id="1071">
    <w:p w:rsidR="00760048" w:rsidP="00071614" w14:paraId="02C29F9E" w14:textId="77777777">
      <w:pPr>
        <w:pStyle w:val="FootnoteText"/>
      </w:pPr>
      <w:r w:rsidRPr="0072600F">
        <w:rPr>
          <w:rStyle w:val="FootnoteReference"/>
        </w:rPr>
        <w:footnoteRef/>
      </w:r>
      <w:r>
        <w:t xml:space="preserve"> </w:t>
      </w:r>
      <w:r w:rsidRPr="00936B78">
        <w:rPr>
          <w:i/>
          <w:iCs/>
        </w:rPr>
        <w:t>Id.</w:t>
      </w:r>
      <w:r>
        <w:rPr>
          <w:i/>
        </w:rPr>
        <w:t xml:space="preserve"> </w:t>
      </w:r>
      <w:r>
        <w:t>at 72-73.</w:t>
      </w:r>
    </w:p>
  </w:footnote>
  <w:footnote w:id="1072">
    <w:p w:rsidR="00760048" w14:paraId="7F723448" w14:textId="77777777">
      <w:pPr>
        <w:pStyle w:val="FootnoteText"/>
      </w:pPr>
      <w:r w:rsidRPr="0072600F">
        <w:rPr>
          <w:rStyle w:val="FootnoteReference"/>
        </w:rPr>
        <w:footnoteRef/>
      </w:r>
      <w:r>
        <w:t xml:space="preserve"> Order No. 2023, </w:t>
      </w:r>
      <w:r w:rsidRPr="00720462">
        <w:t>184 FERC ¶ 61,054</w:t>
      </w:r>
      <w:r>
        <w:t xml:space="preserve"> at P 1448.</w:t>
      </w:r>
    </w:p>
  </w:footnote>
  <w:footnote w:id="1073">
    <w:p w:rsidR="00760048" w14:paraId="5B4C9DBA" w14:textId="77777777">
      <w:pPr>
        <w:pStyle w:val="FootnoteText"/>
      </w:pPr>
      <w:r w:rsidRPr="0072600F">
        <w:rPr>
          <w:rStyle w:val="FootnoteReference"/>
        </w:rPr>
        <w:footnoteRef/>
      </w:r>
      <w:r>
        <w:t xml:space="preserve"> </w:t>
      </w:r>
      <w:r w:rsidRPr="00174955">
        <w:rPr>
          <w:i/>
        </w:rPr>
        <w:t>See, e.g.</w:t>
      </w:r>
      <w:r>
        <w:t xml:space="preserve">, </w:t>
      </w:r>
      <w:r w:rsidRPr="00F25C0C">
        <w:t xml:space="preserve">AEE Initial Comments at 42; Alliant Energy Initial Comments at 8; Clean Energy Associations Initial Comments at 52-53; Hydropower Commenters Initial Comments at 21-22; </w:t>
      </w:r>
      <w:r w:rsidRPr="00F25C0C">
        <w:t xml:space="preserve">Longroad Reply Comments at 10-12; NARUC Initial Comments at 36-37; NESCOE Reply Comments at 18; Pine Gate Initial Comments at 51, 54; Public Interest Organizations Initial Comments at 47; rPlus Initial Comments at 6; SEIA Initial Comments at 40; SEIA Reply Comments at 27.  </w:t>
      </w:r>
    </w:p>
  </w:footnote>
  <w:footnote w:id="1074">
    <w:p w:rsidR="00760048" w:rsidP="00071614" w14:paraId="254BC4CF" w14:textId="77777777">
      <w:pPr>
        <w:pStyle w:val="FootnoteText"/>
      </w:pPr>
      <w:r w:rsidRPr="0072600F">
        <w:rPr>
          <w:rStyle w:val="FootnoteReference"/>
        </w:rPr>
        <w:footnoteRef/>
      </w:r>
      <w:r>
        <w:t xml:space="preserve"> Order No. 2023, </w:t>
      </w:r>
      <w:r w:rsidRPr="00720462">
        <w:t>184 FERC ¶ 61,054</w:t>
      </w:r>
      <w:r>
        <w:t xml:space="preserve"> at P 1523.</w:t>
      </w:r>
    </w:p>
  </w:footnote>
  <w:footnote w:id="1075">
    <w:p w:rsidR="00760048" w14:paraId="66CA03AD" w14:textId="77777777">
      <w:pPr>
        <w:pStyle w:val="FootnoteText"/>
      </w:pPr>
      <w:r w:rsidRPr="0072600F">
        <w:rPr>
          <w:rStyle w:val="FootnoteReference"/>
        </w:rPr>
        <w:footnoteRef/>
      </w:r>
      <w:r>
        <w:t xml:space="preserve"> </w:t>
      </w:r>
      <w:r w:rsidRPr="008C002B">
        <w:rPr>
          <w:i/>
          <w:iCs/>
        </w:rPr>
        <w:t>Id.</w:t>
      </w:r>
      <w:r>
        <w:t xml:space="preserve"> P 1509.</w:t>
      </w:r>
    </w:p>
  </w:footnote>
  <w:footnote w:id="1076">
    <w:p w:rsidR="00760048" w:rsidP="00071614" w14:paraId="6EFBF2D0" w14:textId="77777777">
      <w:pPr>
        <w:pStyle w:val="FootnoteText"/>
      </w:pPr>
      <w:r w:rsidRPr="0072600F">
        <w:rPr>
          <w:rStyle w:val="FootnoteReference"/>
        </w:rPr>
        <w:footnoteRef/>
      </w:r>
      <w:r>
        <w:t xml:space="preserve"> </w:t>
      </w:r>
      <w:r w:rsidRPr="00764707" w:rsidR="00CD7496">
        <w:rPr>
          <w:i/>
        </w:rPr>
        <w:t>See</w:t>
      </w:r>
      <w:r>
        <w:t xml:space="preserve"> </w:t>
      </w:r>
      <w:r w:rsidRPr="00A754FC">
        <w:t xml:space="preserve">Bonneville Initial Comments at 23; MISO Comments at 117; </w:t>
      </w:r>
      <w:r w:rsidRPr="00A754FC">
        <w:rPr>
          <w:i/>
          <w:iCs/>
        </w:rPr>
        <w:t>see also PacifiCorp</w:t>
      </w:r>
      <w:r w:rsidRPr="00A754FC">
        <w:t xml:space="preserve">, 182 FERC ¶ 61,131 (accepting, subject to condition, revisions to PacifiCorp’s LGIP and LGIA to allow PacifiCorp to study electric storage resources in its interconnection study process using operating assumptions that more accurately reflect their expected operation).  </w:t>
      </w:r>
    </w:p>
  </w:footnote>
  <w:footnote w:id="1077">
    <w:p w:rsidR="00760048" w14:paraId="529F1623" w14:textId="77777777">
      <w:pPr>
        <w:pStyle w:val="FootnoteText"/>
      </w:pPr>
      <w:r w:rsidRPr="0072600F">
        <w:rPr>
          <w:rStyle w:val="FootnoteReference"/>
        </w:rPr>
        <w:footnoteRef/>
      </w:r>
      <w:r>
        <w:t xml:space="preserve"> </w:t>
      </w:r>
      <w:r w:rsidRPr="00FB45E6">
        <w:rPr>
          <w:i/>
        </w:rPr>
        <w:t>See, e.g.</w:t>
      </w:r>
      <w:r>
        <w:t xml:space="preserve">, </w:t>
      </w:r>
      <w:r w:rsidRPr="009D6863">
        <w:t xml:space="preserve">Clean Energy Alliance Initial Comments at 14-15; NARUC Initial Comments at 37; </w:t>
      </w:r>
      <w:r w:rsidRPr="00A23CA3">
        <w:t>NESCOE Reply Comments at 18</w:t>
      </w:r>
      <w:r>
        <w:t xml:space="preserve">; </w:t>
      </w:r>
      <w:r w:rsidRPr="009D6863">
        <w:t xml:space="preserve">PacifiCorp Initial Comments at 41; Pattern Energy Initial Comments at 12; Pine Gate Initial Comments at 51; SEIA Initial Comments at 40; Union of Concerned Scientists Reply Comments at 10-11.  </w:t>
      </w:r>
    </w:p>
  </w:footnote>
  <w:footnote w:id="1078">
    <w:p w:rsidR="00760048" w:rsidP="00071614" w14:paraId="3C21313B" w14:textId="77777777">
      <w:pPr>
        <w:pStyle w:val="FootnoteText"/>
      </w:pPr>
      <w:r w:rsidRPr="0072600F">
        <w:rPr>
          <w:rStyle w:val="FootnoteReference"/>
        </w:rPr>
        <w:footnoteRef/>
      </w:r>
      <w:r>
        <w:t xml:space="preserve"> Order No. 2023, </w:t>
      </w:r>
      <w:r w:rsidRPr="00720462">
        <w:t>184 FERC ¶ 61,054</w:t>
      </w:r>
      <w:r>
        <w:t xml:space="preserve"> at P 1521.</w:t>
      </w:r>
    </w:p>
  </w:footnote>
  <w:footnote w:id="1079">
    <w:p w:rsidR="00760048" w14:paraId="606A6937" w14:textId="77777777">
      <w:pPr>
        <w:pStyle w:val="FootnoteText"/>
      </w:pPr>
      <w:r w:rsidRPr="0072600F">
        <w:rPr>
          <w:rStyle w:val="FootnoteReference"/>
        </w:rPr>
        <w:footnoteRef/>
      </w:r>
      <w:r>
        <w:t xml:space="preserve"> </w:t>
      </w:r>
      <w:r w:rsidRPr="00A07D1D">
        <w:rPr>
          <w:i/>
          <w:iCs/>
        </w:rPr>
        <w:t>Id.</w:t>
      </w:r>
      <w:r>
        <w:t xml:space="preserve"> P 1521.</w:t>
      </w:r>
    </w:p>
  </w:footnote>
  <w:footnote w:id="1080">
    <w:p w:rsidR="00760048" w14:paraId="6D535971" w14:textId="77777777">
      <w:pPr>
        <w:pStyle w:val="FootnoteText"/>
      </w:pPr>
      <w:r w:rsidRPr="0072600F">
        <w:rPr>
          <w:rStyle w:val="FootnoteReference"/>
        </w:rPr>
        <w:footnoteRef/>
      </w:r>
      <w:r>
        <w:t xml:space="preserve"> </w:t>
      </w:r>
      <w:r w:rsidRPr="00BC1D82">
        <w:rPr>
          <w:i/>
          <w:iCs/>
        </w:rPr>
        <w:t>Id.</w:t>
      </w:r>
      <w:r w:rsidRPr="00BC1D82">
        <w:rPr>
          <w:i/>
        </w:rPr>
        <w:t xml:space="preserve"> </w:t>
      </w:r>
      <w:r>
        <w:t>P 1529.</w:t>
      </w:r>
    </w:p>
  </w:footnote>
  <w:footnote w:id="1081">
    <w:p w:rsidR="00760048" w:rsidP="00071614" w14:paraId="319B248F" w14:textId="77777777">
      <w:pPr>
        <w:pStyle w:val="FootnoteText"/>
      </w:pPr>
      <w:r w:rsidRPr="0072600F">
        <w:rPr>
          <w:rStyle w:val="FootnoteReference"/>
        </w:rPr>
        <w:footnoteRef/>
      </w:r>
      <w:r>
        <w:t xml:space="preserve"> </w:t>
      </w:r>
      <w:r w:rsidRPr="00936B78">
        <w:rPr>
          <w:i/>
          <w:iCs/>
        </w:rPr>
        <w:t>Id</w:t>
      </w:r>
      <w:r>
        <w:rPr>
          <w:i/>
          <w:iCs/>
        </w:rPr>
        <w:t>.</w:t>
      </w:r>
      <w:r>
        <w:rPr>
          <w:i/>
        </w:rPr>
        <w:t xml:space="preserve"> </w:t>
      </w:r>
      <w:r>
        <w:t>P 1526.</w:t>
      </w:r>
    </w:p>
  </w:footnote>
  <w:footnote w:id="1082">
    <w:p w:rsidR="00760048" w:rsidP="00071614" w14:paraId="27D659FE" w14:textId="77777777">
      <w:pPr>
        <w:pStyle w:val="FootnoteText"/>
      </w:pPr>
      <w:r w:rsidRPr="0072600F">
        <w:rPr>
          <w:rStyle w:val="FootnoteReference"/>
        </w:rPr>
        <w:footnoteRef/>
      </w:r>
      <w:r>
        <w:t xml:space="preserve"> </w:t>
      </w:r>
      <w:r w:rsidRPr="00936B78">
        <w:rPr>
          <w:i/>
          <w:iCs/>
        </w:rPr>
        <w:t>Id</w:t>
      </w:r>
      <w:r>
        <w:rPr>
          <w:i/>
          <w:iCs/>
        </w:rPr>
        <w:t xml:space="preserve">. </w:t>
      </w:r>
      <w:r>
        <w:t>PP 1509 – 1533.</w:t>
      </w:r>
    </w:p>
  </w:footnote>
  <w:footnote w:id="1083">
    <w:p w:rsidR="00760048" w14:paraId="65472928" w14:textId="77777777">
      <w:pPr>
        <w:pStyle w:val="FootnoteText"/>
      </w:pPr>
      <w:r w:rsidRPr="0072600F">
        <w:rPr>
          <w:rStyle w:val="FootnoteReference"/>
        </w:rPr>
        <w:footnoteRef/>
      </w:r>
      <w:r>
        <w:t xml:space="preserve"> </w:t>
      </w:r>
      <w:r w:rsidRPr="00936B78">
        <w:rPr>
          <w:i/>
          <w:iCs/>
        </w:rPr>
        <w:t>Id</w:t>
      </w:r>
      <w:r>
        <w:rPr>
          <w:i/>
          <w:iCs/>
        </w:rPr>
        <w:t>.</w:t>
      </w:r>
      <w:r>
        <w:rPr>
          <w:i/>
        </w:rPr>
        <w:t xml:space="preserve"> </w:t>
      </w:r>
      <w:r>
        <w:t>P 1509 n.2858.</w:t>
      </w:r>
    </w:p>
  </w:footnote>
  <w:footnote w:id="1084">
    <w:p w:rsidR="00760048" w14:paraId="7602D319" w14:textId="77777777">
      <w:pPr>
        <w:pStyle w:val="FootnoteText"/>
      </w:pPr>
      <w:r w:rsidRPr="0072600F">
        <w:rPr>
          <w:rStyle w:val="FootnoteReference"/>
        </w:rPr>
        <w:footnoteRef/>
      </w:r>
      <w:r>
        <w:t xml:space="preserve"> </w:t>
      </w:r>
      <w:r w:rsidRPr="00936B78">
        <w:rPr>
          <w:i/>
          <w:iCs/>
        </w:rPr>
        <w:t>Id</w:t>
      </w:r>
      <w:r>
        <w:rPr>
          <w:i/>
          <w:iCs/>
        </w:rPr>
        <w:t>.</w:t>
      </w:r>
      <w:r>
        <w:rPr>
          <w:i/>
        </w:rPr>
        <w:t xml:space="preserve"> </w:t>
      </w:r>
      <w:r>
        <w:t>P 1523.</w:t>
      </w:r>
    </w:p>
  </w:footnote>
  <w:footnote w:id="1085">
    <w:p w:rsidR="00760048" w:rsidP="00071614" w14:paraId="656951AD" w14:textId="77777777">
      <w:pPr>
        <w:pStyle w:val="FootnoteText"/>
      </w:pPr>
      <w:r w:rsidRPr="0072600F">
        <w:rPr>
          <w:rStyle w:val="FootnoteReference"/>
        </w:rPr>
        <w:footnoteRef/>
      </w:r>
      <w:r>
        <w:t xml:space="preserve"> </w:t>
      </w:r>
      <w:r w:rsidRPr="00936B78">
        <w:rPr>
          <w:i/>
          <w:iCs/>
        </w:rPr>
        <w:t>Id</w:t>
      </w:r>
      <w:r>
        <w:rPr>
          <w:i/>
          <w:iCs/>
        </w:rPr>
        <w:t>.</w:t>
      </w:r>
      <w:r>
        <w:rPr>
          <w:i/>
        </w:rPr>
        <w:t xml:space="preserve"> </w:t>
      </w:r>
      <w:r w:rsidRPr="00CD3BA7">
        <w:t>P 1578.</w:t>
      </w:r>
    </w:p>
  </w:footnote>
  <w:footnote w:id="1086">
    <w:p w:rsidR="00760048" w:rsidP="00071614" w14:paraId="146F53C2" w14:textId="77777777">
      <w:pPr>
        <w:pStyle w:val="FootnoteText"/>
      </w:pPr>
      <w:r w:rsidRPr="0072600F">
        <w:rPr>
          <w:rStyle w:val="FootnoteReference"/>
        </w:rPr>
        <w:footnoteRef/>
      </w:r>
      <w:r>
        <w:t xml:space="preserve"> </w:t>
      </w:r>
      <w:r w:rsidRPr="00936B78">
        <w:rPr>
          <w:i/>
          <w:iCs/>
        </w:rPr>
        <w:t>Id</w:t>
      </w:r>
      <w:r>
        <w:rPr>
          <w:i/>
          <w:iCs/>
        </w:rPr>
        <w:t xml:space="preserve">. </w:t>
      </w:r>
      <w:r>
        <w:t>P 1579.</w:t>
      </w:r>
    </w:p>
  </w:footnote>
  <w:footnote w:id="1087">
    <w:p w:rsidR="00760048" w:rsidP="00071614" w14:paraId="0DED0143" w14:textId="77777777">
      <w:pPr>
        <w:pStyle w:val="FootnoteText"/>
      </w:pPr>
      <w:r w:rsidRPr="0072600F">
        <w:rPr>
          <w:rStyle w:val="FootnoteReference"/>
        </w:rPr>
        <w:footnoteRef/>
      </w:r>
      <w:r>
        <w:t xml:space="preserve"> </w:t>
      </w:r>
      <w:r w:rsidRPr="00936B78">
        <w:rPr>
          <w:i/>
          <w:iCs/>
        </w:rPr>
        <w:t>Id</w:t>
      </w:r>
      <w:r>
        <w:rPr>
          <w:i/>
          <w:iCs/>
        </w:rPr>
        <w:t xml:space="preserve">. </w:t>
      </w:r>
      <w:r>
        <w:t>P 1580.</w:t>
      </w:r>
    </w:p>
  </w:footnote>
  <w:footnote w:id="1088">
    <w:p w:rsidR="00760048" w:rsidP="00071614" w14:paraId="58561B44" w14:textId="77777777">
      <w:pPr>
        <w:pStyle w:val="FootnoteText"/>
      </w:pPr>
      <w:r w:rsidRPr="0072600F">
        <w:rPr>
          <w:rStyle w:val="FootnoteReference"/>
        </w:rPr>
        <w:footnoteRef/>
      </w:r>
      <w:r>
        <w:t xml:space="preserve"> </w:t>
      </w:r>
      <w:r w:rsidRPr="00936B78">
        <w:rPr>
          <w:i/>
          <w:iCs/>
        </w:rPr>
        <w:t>Id</w:t>
      </w:r>
      <w:r>
        <w:rPr>
          <w:i/>
          <w:iCs/>
        </w:rPr>
        <w:t xml:space="preserve">. </w:t>
      </w:r>
      <w:r>
        <w:t>P 1581.</w:t>
      </w:r>
    </w:p>
  </w:footnote>
  <w:footnote w:id="1089">
    <w:p w:rsidR="00760048" w:rsidRPr="00044066" w:rsidP="00071614" w14:paraId="7A60D4D2" w14:textId="77777777">
      <w:pPr>
        <w:pStyle w:val="FootnoteText"/>
        <w:rPr>
          <w:szCs w:val="26"/>
        </w:rPr>
      </w:pPr>
      <w:r w:rsidRPr="0072600F">
        <w:rPr>
          <w:rStyle w:val="FootnoteReference"/>
        </w:rPr>
        <w:footnoteRef/>
      </w:r>
      <w:r w:rsidRPr="00044066">
        <w:rPr>
          <w:szCs w:val="26"/>
        </w:rPr>
        <w:t xml:space="preserve"> </w:t>
      </w:r>
      <w:r w:rsidRPr="00936B78">
        <w:rPr>
          <w:i/>
          <w:iCs/>
        </w:rPr>
        <w:t>Id</w:t>
      </w:r>
      <w:r>
        <w:rPr>
          <w:i/>
          <w:iCs/>
        </w:rPr>
        <w:t xml:space="preserve">. </w:t>
      </w:r>
      <w:r>
        <w:rPr>
          <w:szCs w:val="26"/>
        </w:rPr>
        <w:t xml:space="preserve">P 1583 (noting arguments that </w:t>
      </w:r>
      <w:r w:rsidRPr="007463EC">
        <w:rPr>
          <w:szCs w:val="26"/>
        </w:rPr>
        <w:t>selecting alternative transmission technologies</w:t>
      </w:r>
      <w:r w:rsidR="00765160">
        <w:rPr>
          <w:szCs w:val="26"/>
        </w:rPr>
        <w:t>:</w:t>
      </w:r>
      <w:r w:rsidRPr="007463EC">
        <w:rPr>
          <w:szCs w:val="26"/>
        </w:rPr>
        <w:t xml:space="preserve"> may reduce interconnection costs by providing lower cost transmission solutions to interconnecting new generating facilities</w:t>
      </w:r>
      <w:r>
        <w:rPr>
          <w:szCs w:val="26"/>
        </w:rPr>
        <w:t xml:space="preserve">; may </w:t>
      </w:r>
      <w:r w:rsidRPr="007463EC">
        <w:rPr>
          <w:szCs w:val="26"/>
        </w:rPr>
        <w:t>allow faster interconnection by providing solutions that can be implemented more quickly</w:t>
      </w:r>
      <w:r>
        <w:rPr>
          <w:szCs w:val="26"/>
        </w:rPr>
        <w:t xml:space="preserve">; may </w:t>
      </w:r>
      <w:r w:rsidRPr="007463EC">
        <w:rPr>
          <w:szCs w:val="26"/>
        </w:rPr>
        <w:t>allow better use of the existing transmission system, enhance reliability, reduce withdrawals, restudies, and overall interconnection delays</w:t>
      </w:r>
      <w:r>
        <w:rPr>
          <w:szCs w:val="26"/>
        </w:rPr>
        <w:t xml:space="preserve">; would </w:t>
      </w:r>
      <w:r w:rsidRPr="009F5022">
        <w:rPr>
          <w:szCs w:val="26"/>
        </w:rPr>
        <w:t>decreas</w:t>
      </w:r>
      <w:r>
        <w:rPr>
          <w:szCs w:val="26"/>
        </w:rPr>
        <w:t>e</w:t>
      </w:r>
      <w:r w:rsidRPr="009F5022">
        <w:rPr>
          <w:szCs w:val="26"/>
        </w:rPr>
        <w:t xml:space="preserve"> network upgrade</w:t>
      </w:r>
      <w:r>
        <w:rPr>
          <w:szCs w:val="26"/>
        </w:rPr>
        <w:t xml:space="preserve"> cost</w:t>
      </w:r>
      <w:r w:rsidRPr="009F5022">
        <w:rPr>
          <w:szCs w:val="26"/>
        </w:rPr>
        <w:t xml:space="preserve">s </w:t>
      </w:r>
      <w:r>
        <w:rPr>
          <w:szCs w:val="26"/>
        </w:rPr>
        <w:t xml:space="preserve">that </w:t>
      </w:r>
      <w:r w:rsidRPr="009F5022">
        <w:rPr>
          <w:szCs w:val="26"/>
        </w:rPr>
        <w:t>will reduce the number of withdrawals from interconnection queues, ultimately creat</w:t>
      </w:r>
      <w:r>
        <w:rPr>
          <w:szCs w:val="26"/>
        </w:rPr>
        <w:t>ing</w:t>
      </w:r>
      <w:r w:rsidRPr="009F5022">
        <w:rPr>
          <w:szCs w:val="26"/>
        </w:rPr>
        <w:t xml:space="preserve"> a more efficient interconnection process by reducing the number of restudies triggered by withdrawals</w:t>
      </w:r>
      <w:r>
        <w:rPr>
          <w:szCs w:val="26"/>
        </w:rPr>
        <w:t xml:space="preserve">; and would offer </w:t>
      </w:r>
      <w:r w:rsidRPr="007D4EAC">
        <w:rPr>
          <w:szCs w:val="26"/>
        </w:rPr>
        <w:t>additional value because they are scalable and modular to address evolving needs and can be redeployed as those needs continue to change</w:t>
      </w:r>
      <w:r>
        <w:rPr>
          <w:szCs w:val="26"/>
        </w:rPr>
        <w:t>)</w:t>
      </w:r>
      <w:r w:rsidRPr="00044066">
        <w:rPr>
          <w:szCs w:val="26"/>
        </w:rPr>
        <w:t>.</w:t>
      </w:r>
    </w:p>
  </w:footnote>
  <w:footnote w:id="1090">
    <w:p w:rsidR="00760048" w:rsidRPr="00044066" w:rsidP="00071614" w14:paraId="6FD16350" w14:textId="77777777">
      <w:pPr>
        <w:pStyle w:val="FootnoteText"/>
        <w:rPr>
          <w:szCs w:val="26"/>
        </w:rPr>
      </w:pPr>
      <w:r w:rsidRPr="0072600F">
        <w:rPr>
          <w:rStyle w:val="FootnoteReference"/>
        </w:rPr>
        <w:footnoteRef/>
      </w:r>
      <w:r w:rsidRPr="00044066">
        <w:rPr>
          <w:szCs w:val="26"/>
        </w:rPr>
        <w:t xml:space="preserve"> </w:t>
      </w:r>
      <w:r w:rsidRPr="00936B78">
        <w:rPr>
          <w:i/>
          <w:iCs/>
        </w:rPr>
        <w:t>Id</w:t>
      </w:r>
      <w:r>
        <w:rPr>
          <w:i/>
          <w:iCs/>
        </w:rPr>
        <w:t>.</w:t>
      </w:r>
      <w:r>
        <w:rPr>
          <w:szCs w:val="26"/>
        </w:rPr>
        <w:t xml:space="preserve"> (citing </w:t>
      </w:r>
      <w:r w:rsidRPr="00044066">
        <w:rPr>
          <w:szCs w:val="26"/>
        </w:rPr>
        <w:t xml:space="preserve">NOPR, 179 FERC ¶ 61,194 at P 296; </w:t>
      </w:r>
      <w:r w:rsidRPr="00044066">
        <w:rPr>
          <w:i/>
          <w:szCs w:val="26"/>
        </w:rPr>
        <w:t xml:space="preserve">see </w:t>
      </w:r>
      <w:r w:rsidRPr="00044066">
        <w:rPr>
          <w:szCs w:val="26"/>
        </w:rPr>
        <w:t xml:space="preserve">Clean Energy Associations Reply Comments at 9-10; Environmental Defense Fund Initial Comments at 7; </w:t>
      </w:r>
      <w:r w:rsidRPr="00044066">
        <w:rPr>
          <w:szCs w:val="26"/>
        </w:rPr>
        <w:t>Fervo Reply Comments at 9; NARUC Initial Comments at 38</w:t>
      </w:r>
      <w:r>
        <w:rPr>
          <w:szCs w:val="26"/>
        </w:rPr>
        <w:t>)</w:t>
      </w:r>
      <w:r w:rsidRPr="00044066">
        <w:rPr>
          <w:szCs w:val="26"/>
        </w:rPr>
        <w:t>.</w:t>
      </w:r>
    </w:p>
  </w:footnote>
  <w:footnote w:id="1091">
    <w:p w:rsidR="00760048" w:rsidRPr="00044066" w:rsidP="00071614" w14:paraId="4EDBEAF9" w14:textId="77777777">
      <w:pPr>
        <w:pStyle w:val="FootnoteText"/>
        <w:rPr>
          <w:szCs w:val="26"/>
        </w:rPr>
      </w:pPr>
      <w:r w:rsidRPr="0072600F">
        <w:rPr>
          <w:rStyle w:val="FootnoteReference"/>
        </w:rPr>
        <w:footnoteRef/>
      </w:r>
      <w:r w:rsidRPr="00044066">
        <w:rPr>
          <w:szCs w:val="26"/>
        </w:rPr>
        <w:t xml:space="preserve"> </w:t>
      </w:r>
      <w:r w:rsidRPr="00936B78">
        <w:rPr>
          <w:i/>
          <w:iCs/>
        </w:rPr>
        <w:t>Id</w:t>
      </w:r>
      <w:r>
        <w:rPr>
          <w:i/>
          <w:iCs/>
        </w:rPr>
        <w:t xml:space="preserve">. </w:t>
      </w:r>
      <w:r>
        <w:rPr>
          <w:szCs w:val="26"/>
        </w:rPr>
        <w:t xml:space="preserve">P 1586 (citing </w:t>
      </w:r>
      <w:r w:rsidRPr="00044066">
        <w:rPr>
          <w:szCs w:val="26"/>
        </w:rPr>
        <w:t>AEE Initial Comments at 44; ENGIE Initial Comments at 13; ACORE Reply Comments at 3-4</w:t>
      </w:r>
      <w:r>
        <w:rPr>
          <w:szCs w:val="26"/>
        </w:rPr>
        <w:t>)</w:t>
      </w:r>
      <w:r w:rsidRPr="00044066">
        <w:rPr>
          <w:szCs w:val="26"/>
        </w:rPr>
        <w:t>.</w:t>
      </w:r>
    </w:p>
  </w:footnote>
  <w:footnote w:id="1092">
    <w:p w:rsidR="00760048" w:rsidP="00071614" w14:paraId="65D2367C" w14:textId="77777777">
      <w:pPr>
        <w:pStyle w:val="FootnoteText"/>
      </w:pPr>
      <w:r w:rsidRPr="0072600F">
        <w:rPr>
          <w:rStyle w:val="FootnoteReference"/>
        </w:rPr>
        <w:footnoteRef/>
      </w:r>
      <w:r>
        <w:t xml:space="preserve"> </w:t>
      </w:r>
      <w:r w:rsidRPr="00936B78">
        <w:rPr>
          <w:i/>
          <w:iCs/>
        </w:rPr>
        <w:t>Id</w:t>
      </w:r>
      <w:r>
        <w:rPr>
          <w:i/>
          <w:iCs/>
        </w:rPr>
        <w:t xml:space="preserve">. </w:t>
      </w:r>
      <w:r>
        <w:t>P 1590.</w:t>
      </w:r>
    </w:p>
  </w:footnote>
  <w:footnote w:id="1093">
    <w:p w:rsidR="00760048" w:rsidRPr="00044066" w:rsidP="00071614" w14:paraId="4C811FB1" w14:textId="77777777">
      <w:pPr>
        <w:pStyle w:val="FootnoteText"/>
        <w:rPr>
          <w:szCs w:val="26"/>
        </w:rPr>
      </w:pPr>
      <w:r w:rsidRPr="0072600F">
        <w:rPr>
          <w:rStyle w:val="FootnoteReference"/>
        </w:rPr>
        <w:footnoteRef/>
      </w:r>
      <w:r w:rsidRPr="00044066">
        <w:rPr>
          <w:szCs w:val="26"/>
        </w:rPr>
        <w:t xml:space="preserve"> </w:t>
      </w:r>
      <w:r w:rsidRPr="00936B78">
        <w:rPr>
          <w:i/>
          <w:iCs/>
        </w:rPr>
        <w:t>Id</w:t>
      </w:r>
      <w:r>
        <w:rPr>
          <w:i/>
          <w:iCs/>
        </w:rPr>
        <w:t xml:space="preserve">. </w:t>
      </w:r>
      <w:r>
        <w:rPr>
          <w:szCs w:val="26"/>
        </w:rPr>
        <w:t xml:space="preserve">P 1586 (citing </w:t>
      </w:r>
      <w:r w:rsidRPr="00044066">
        <w:rPr>
          <w:szCs w:val="26"/>
        </w:rPr>
        <w:t>AEE Initial Comments at 44; ENGIE Initial Comments at 13; ACORE Reply Comments at 3-4</w:t>
      </w:r>
      <w:r>
        <w:rPr>
          <w:szCs w:val="26"/>
        </w:rPr>
        <w:t>)</w:t>
      </w:r>
      <w:r w:rsidRPr="00044066">
        <w:rPr>
          <w:szCs w:val="26"/>
        </w:rPr>
        <w:t>.</w:t>
      </w:r>
    </w:p>
  </w:footnote>
  <w:footnote w:id="1094">
    <w:p w:rsidR="00760048" w:rsidRPr="000B768B" w:rsidP="00071614" w14:paraId="10A9B1AE" w14:textId="77777777">
      <w:pPr>
        <w:pStyle w:val="FootnoteText"/>
        <w:rPr>
          <w:szCs w:val="26"/>
        </w:rPr>
      </w:pPr>
      <w:r w:rsidRPr="0072600F">
        <w:rPr>
          <w:rStyle w:val="FootnoteReference"/>
        </w:rPr>
        <w:footnoteRef/>
      </w:r>
      <w:r w:rsidRPr="000B768B">
        <w:rPr>
          <w:szCs w:val="26"/>
        </w:rPr>
        <w:t xml:space="preserve"> </w:t>
      </w:r>
      <w:r w:rsidRPr="00936B78">
        <w:rPr>
          <w:i/>
          <w:iCs/>
        </w:rPr>
        <w:t>Id</w:t>
      </w:r>
      <w:r>
        <w:rPr>
          <w:i/>
          <w:iCs/>
        </w:rPr>
        <w:t xml:space="preserve">. </w:t>
      </w:r>
      <w:r>
        <w:rPr>
          <w:szCs w:val="26"/>
        </w:rPr>
        <w:t xml:space="preserve">PP 1582, 1584 (citing </w:t>
      </w:r>
      <w:r w:rsidRPr="000B768B">
        <w:rPr>
          <w:szCs w:val="26"/>
        </w:rPr>
        <w:t>PJM Initial Comments at 68 (“PJM therefore cautions the Commission not to conflate the operational benefits of alternative transmission technologies . . . with the need to address significant capacity enhancement needs (short and long-term) or long-range transmission needs under rapid growth or changing resource mix scenarios.”); MISO Initial Comments at 1</w:t>
      </w:r>
      <w:r>
        <w:rPr>
          <w:szCs w:val="26"/>
        </w:rPr>
        <w:t>20</w:t>
      </w:r>
      <w:r w:rsidRPr="000B768B">
        <w:rPr>
          <w:szCs w:val="26"/>
        </w:rPr>
        <w:t xml:space="preserve"> (“However, the Commission fails to recognize that these technologies may be evaluated in the generator interconnection process already but may nonetheless not be adopted as they are not the appropriate solution to a Transmission Issue related to an interconnection.”</w:t>
      </w:r>
      <w:r>
        <w:rPr>
          <w:szCs w:val="26"/>
        </w:rPr>
        <w:t>))</w:t>
      </w:r>
      <w:r w:rsidRPr="000B768B">
        <w:rPr>
          <w:szCs w:val="26"/>
        </w:rPr>
        <w:t>.</w:t>
      </w:r>
    </w:p>
  </w:footnote>
  <w:footnote w:id="1095">
    <w:p w:rsidR="00760048" w:rsidP="00071614" w14:paraId="591214A9" w14:textId="77777777">
      <w:pPr>
        <w:pStyle w:val="FootnoteText"/>
      </w:pPr>
      <w:r w:rsidRPr="0072600F">
        <w:rPr>
          <w:rStyle w:val="FootnoteReference"/>
        </w:rPr>
        <w:footnoteRef/>
      </w:r>
      <w:r>
        <w:t xml:space="preserve"> </w:t>
      </w:r>
      <w:r w:rsidRPr="00936B78">
        <w:rPr>
          <w:i/>
          <w:iCs/>
        </w:rPr>
        <w:t>Id</w:t>
      </w:r>
      <w:r>
        <w:rPr>
          <w:i/>
          <w:iCs/>
        </w:rPr>
        <w:t>.</w:t>
      </w:r>
      <w:r>
        <w:t xml:space="preserve"> </w:t>
      </w:r>
      <w:r w:rsidR="00692B5C">
        <w:rPr>
          <w:szCs w:val="26"/>
        </w:rPr>
        <w:t>P 1582</w:t>
      </w:r>
      <w:r>
        <w:t xml:space="preserve"> (citing </w:t>
      </w:r>
      <w:r w:rsidRPr="000F3796">
        <w:rPr>
          <w:szCs w:val="26"/>
        </w:rPr>
        <w:t>MISO Initial Comments at 121-22 (“Further, although these technologies may be evaluated, the technologies identified by the Commission still may not provide the appropriate solution from a planning perspective.  Many of the technologies identified are appropriately considered as operational tools or short-term solutions but are not necessarily appropriate for planning to support a particular generator interconnection.”)</w:t>
      </w:r>
      <w:r>
        <w:rPr>
          <w:szCs w:val="26"/>
        </w:rPr>
        <w:t xml:space="preserve"> (citation omitted))</w:t>
      </w:r>
      <w:r w:rsidRPr="000F3796">
        <w:rPr>
          <w:szCs w:val="26"/>
        </w:rPr>
        <w:t>.</w:t>
      </w:r>
    </w:p>
  </w:footnote>
  <w:footnote w:id="1096">
    <w:p w:rsidR="00760048" w:rsidP="00071614" w14:paraId="25AF76EE" w14:textId="77777777">
      <w:pPr>
        <w:pStyle w:val="FootnoteText"/>
        <w:ind w:right="-90"/>
      </w:pPr>
      <w:r w:rsidRPr="0072600F">
        <w:rPr>
          <w:rStyle w:val="FootnoteReference"/>
        </w:rPr>
        <w:footnoteRef/>
      </w:r>
      <w:r>
        <w:t xml:space="preserve"> </w:t>
      </w:r>
      <w:r>
        <w:rPr>
          <w:i/>
          <w:iCs/>
          <w:szCs w:val="26"/>
        </w:rPr>
        <w:t>Id.</w:t>
      </w:r>
      <w:r>
        <w:rPr>
          <w:szCs w:val="26"/>
        </w:rPr>
        <w:t xml:space="preserve"> PP 1582, 1584</w:t>
      </w:r>
      <w:r w:rsidRPr="000B768B">
        <w:rPr>
          <w:szCs w:val="26"/>
        </w:rPr>
        <w:t>.</w:t>
      </w:r>
    </w:p>
  </w:footnote>
  <w:footnote w:id="1097">
    <w:p w:rsidR="00760048" w:rsidRPr="000B768B" w:rsidP="00071614" w14:paraId="577252A4" w14:textId="77777777">
      <w:pPr>
        <w:pStyle w:val="FootnoteText"/>
        <w:rPr>
          <w:szCs w:val="26"/>
        </w:rPr>
      </w:pPr>
      <w:r w:rsidRPr="0072600F">
        <w:rPr>
          <w:rStyle w:val="FootnoteReference"/>
        </w:rPr>
        <w:footnoteRef/>
      </w:r>
      <w:r w:rsidRPr="000B768B">
        <w:rPr>
          <w:szCs w:val="26"/>
        </w:rPr>
        <w:t xml:space="preserve"> </w:t>
      </w:r>
      <w:r>
        <w:rPr>
          <w:i/>
          <w:iCs/>
          <w:szCs w:val="26"/>
        </w:rPr>
        <w:t>Id.</w:t>
      </w:r>
      <w:r>
        <w:rPr>
          <w:szCs w:val="26"/>
        </w:rPr>
        <w:t xml:space="preserve"> PP 1584, 1587, 1589.</w:t>
      </w:r>
    </w:p>
  </w:footnote>
  <w:footnote w:id="1098">
    <w:p w:rsidR="00760048" w:rsidP="00071614" w14:paraId="57D930AC" w14:textId="77777777">
      <w:pPr>
        <w:pStyle w:val="FootnoteText"/>
      </w:pPr>
      <w:r w:rsidRPr="0072600F">
        <w:rPr>
          <w:rStyle w:val="FootnoteReference"/>
        </w:rPr>
        <w:footnoteRef/>
      </w:r>
      <w:r>
        <w:t xml:space="preserve"> </w:t>
      </w:r>
      <w:r w:rsidRPr="00936B78">
        <w:rPr>
          <w:i/>
          <w:iCs/>
        </w:rPr>
        <w:t>Id</w:t>
      </w:r>
      <w:r>
        <w:rPr>
          <w:i/>
          <w:iCs/>
        </w:rPr>
        <w:t xml:space="preserve">. </w:t>
      </w:r>
      <w:r w:rsidRPr="00673C43">
        <w:t>P 1589</w:t>
      </w:r>
      <w:r>
        <w:t xml:space="preserve"> (adding that “</w:t>
      </w:r>
      <w:r w:rsidRPr="000639FC">
        <w:t>the transmission provider— consistent with good utility practice, applicable reliability standards, and other applicable regulatory requirements — retains the sole discretion to determine whether a particular technology in the enumerated list of alternative transmission technologies is appropriate and reliable as a network upgrade, or not, for a given cluster</w:t>
      </w:r>
      <w:r w:rsidR="00AD4BBD">
        <w:t>.”</w:t>
      </w:r>
      <w:r>
        <w:t>)</w:t>
      </w:r>
      <w:r w:rsidRPr="000639FC">
        <w:t>.</w:t>
      </w:r>
    </w:p>
  </w:footnote>
  <w:footnote w:id="1099">
    <w:p w:rsidR="00883E87" w14:paraId="422D212F" w14:textId="77777777">
      <w:pPr>
        <w:pStyle w:val="FootnoteText"/>
      </w:pPr>
      <w:r>
        <w:rPr>
          <w:rStyle w:val="FootnoteReference"/>
        </w:rPr>
        <w:footnoteRef/>
      </w:r>
      <w:r>
        <w:t xml:space="preserve"> </w:t>
      </w:r>
      <w:r w:rsidRPr="00936B78">
        <w:rPr>
          <w:i/>
          <w:iCs/>
        </w:rPr>
        <w:t>Id</w:t>
      </w:r>
      <w:r>
        <w:rPr>
          <w:i/>
          <w:iCs/>
        </w:rPr>
        <w:t>.</w:t>
      </w:r>
      <w:r>
        <w:t xml:space="preserve"> </w:t>
      </w:r>
      <w:r>
        <w:rPr>
          <w:szCs w:val="26"/>
        </w:rPr>
        <w:t>P 1582</w:t>
      </w:r>
      <w:r>
        <w:t xml:space="preserve"> (citing </w:t>
      </w:r>
      <w:r w:rsidRPr="00392386">
        <w:t>Order No. 2003</w:t>
      </w:r>
      <w:r>
        <w:rPr>
          <w:szCs w:val="26"/>
        </w:rPr>
        <w:t xml:space="preserve">, </w:t>
      </w:r>
      <w:r w:rsidRPr="00044066">
        <w:rPr>
          <w:szCs w:val="26"/>
        </w:rPr>
        <w:t>104 FERC ¶ 61,103</w:t>
      </w:r>
      <w:r w:rsidRPr="00392386">
        <w:t xml:space="preserve"> at P 767 (“Both Energy Resource Interconnection Service and Network Resource Interconnection Service provide for the construction of Network Upgrades that would allow the Interconnection Customer to flow the output of its Generating Facility onto the Transmission Provider's Transmission System in a safe and reliable manner”); Order No. 2003</w:t>
      </w:r>
      <w:r>
        <w:t>-</w:t>
      </w:r>
      <w:r w:rsidRPr="00392386">
        <w:t>A</w:t>
      </w:r>
      <w:r>
        <w:t xml:space="preserve">, </w:t>
      </w:r>
      <w:r w:rsidRPr="00062EBE">
        <w:t xml:space="preserve">106 FERC </w:t>
      </w:r>
      <w:r w:rsidRPr="00062EBE">
        <w:rPr>
          <w:szCs w:val="26"/>
        </w:rPr>
        <w:t>¶ 61,220</w:t>
      </w:r>
      <w:r w:rsidRPr="00392386">
        <w:t xml:space="preserve"> at P 404; </w:t>
      </w:r>
      <w:r w:rsidRPr="00392386">
        <w:rPr>
          <w:i/>
          <w:iCs/>
        </w:rPr>
        <w:t>pro forma</w:t>
      </w:r>
      <w:r w:rsidRPr="00392386">
        <w:t xml:space="preserve"> LGIA art</w:t>
      </w:r>
      <w:r>
        <w:t>.</w:t>
      </w:r>
      <w:r w:rsidRPr="00392386">
        <w:t xml:space="preserve"> 9.3 (“Transmission Provider shall cause the Transmission System and the Transmission</w:t>
      </w:r>
      <w:r>
        <w:t xml:space="preserve"> </w:t>
      </w:r>
      <w:r w:rsidRPr="00392386">
        <w:t>Provider</w:t>
      </w:r>
      <w:r>
        <w:t>’</w:t>
      </w:r>
      <w:r w:rsidRPr="00392386">
        <w:t xml:space="preserve">s Interconnection Facilities to be operated, maintained and controlled in a safe and reliable manner and in accordance with this LGIA”); </w:t>
      </w:r>
      <w:r w:rsidRPr="00392386">
        <w:rPr>
          <w:i/>
          <w:iCs/>
        </w:rPr>
        <w:t>Midwest Indep. Transmission Sys. Operator, Inc.</w:t>
      </w:r>
      <w:r w:rsidRPr="00392386">
        <w:t xml:space="preserve">, 138 FERC ¶ 61,233, at </w:t>
      </w:r>
      <w:r w:rsidR="007A693F">
        <w:t xml:space="preserve">   </w:t>
      </w:r>
      <w:r w:rsidRPr="00392386">
        <w:t xml:space="preserve">P 190, </w:t>
      </w:r>
      <w:r w:rsidRPr="00392386">
        <w:rPr>
          <w:i/>
          <w:iCs/>
        </w:rPr>
        <w:t>reh’g denied</w:t>
      </w:r>
      <w:r w:rsidRPr="00392386">
        <w:t xml:space="preserve">, 139 FERC ¶ 61,253, </w:t>
      </w:r>
      <w:r w:rsidRPr="00392386">
        <w:rPr>
          <w:i/>
          <w:iCs/>
        </w:rPr>
        <w:t>partial reh’g granted on other grounds</w:t>
      </w:r>
      <w:r w:rsidRPr="00392386">
        <w:t xml:space="preserve">, </w:t>
      </w:r>
      <w:r w:rsidR="007A693F">
        <w:t xml:space="preserve">        </w:t>
      </w:r>
      <w:r w:rsidRPr="00392386">
        <w:t>150 FERC ¶ 61,035</w:t>
      </w:r>
      <w:r>
        <w:t>)</w:t>
      </w:r>
      <w:r w:rsidRPr="00392386">
        <w:t xml:space="preserve">.  </w:t>
      </w:r>
      <w:r w:rsidRPr="00392386">
        <w:rPr>
          <w:i/>
          <w:iCs/>
        </w:rPr>
        <w:t>See also</w:t>
      </w:r>
      <w:r w:rsidRPr="00392386">
        <w:t xml:space="preserve"> </w:t>
      </w:r>
      <w:r w:rsidRPr="00392386">
        <w:rPr>
          <w:i/>
          <w:iCs/>
        </w:rPr>
        <w:t>pro forma</w:t>
      </w:r>
      <w:r w:rsidRPr="00392386">
        <w:t xml:space="preserve"> LGIA art</w:t>
      </w:r>
      <w:r>
        <w:t>.</w:t>
      </w:r>
      <w:r w:rsidRPr="00392386">
        <w:t xml:space="preserve"> 9.4 (“Interconnection Customer shall at its own expense operate, maintain and control the Large Generating Facility and Interconnection Customer’s Interconnection Facilities in a safe and reliable manner and in accordance with this LGIA”)</w:t>
      </w:r>
      <w:r>
        <w:t>).</w:t>
      </w:r>
    </w:p>
  </w:footnote>
  <w:footnote w:id="1100">
    <w:p w:rsidR="00760048" w:rsidP="00071614" w14:paraId="585ED4BA" w14:textId="77777777">
      <w:pPr>
        <w:pStyle w:val="FootnoteText"/>
      </w:pPr>
      <w:r w:rsidRPr="0072600F">
        <w:rPr>
          <w:rStyle w:val="FootnoteReference"/>
        </w:rPr>
        <w:footnoteRef/>
      </w:r>
      <w:r>
        <w:t xml:space="preserve"> Order No. 2023, </w:t>
      </w:r>
      <w:r w:rsidRPr="00044066">
        <w:rPr>
          <w:szCs w:val="26"/>
        </w:rPr>
        <w:t>1</w:t>
      </w:r>
      <w:r>
        <w:rPr>
          <w:szCs w:val="26"/>
        </w:rPr>
        <w:t>8</w:t>
      </w:r>
      <w:r w:rsidRPr="00044066">
        <w:rPr>
          <w:szCs w:val="26"/>
        </w:rPr>
        <w:t>4 FERC ¶ 61,</w:t>
      </w:r>
      <w:r>
        <w:rPr>
          <w:szCs w:val="26"/>
        </w:rPr>
        <w:t>054</w:t>
      </w:r>
      <w:r>
        <w:t xml:space="preserve"> at P 1587 (citing </w:t>
      </w:r>
      <w:r w:rsidRPr="0066310C">
        <w:t>SPP Initial Comments at 26 (“Even though the Commission has stated that transmission providers retain the discretion regarding whether to use such technologies, the very fact that the transmission provider is required to evaluate them will lead to disputes if the transmission provider then exercises that discretion.”)</w:t>
      </w:r>
      <w:r>
        <w:t>)</w:t>
      </w:r>
      <w:r w:rsidRPr="0066310C">
        <w:t>.</w:t>
      </w:r>
    </w:p>
  </w:footnote>
  <w:footnote w:id="1101">
    <w:p w:rsidR="00760048" w:rsidP="00071614" w14:paraId="4913B671" w14:textId="77777777">
      <w:pPr>
        <w:pStyle w:val="FootnoteText"/>
      </w:pPr>
      <w:r w:rsidRPr="0072600F">
        <w:rPr>
          <w:rStyle w:val="FootnoteReference"/>
        </w:rPr>
        <w:footnoteRef/>
      </w:r>
      <w:r>
        <w:t xml:space="preserve"> </w:t>
      </w:r>
      <w:r w:rsidRPr="00936B78">
        <w:rPr>
          <w:i/>
          <w:iCs/>
        </w:rPr>
        <w:t>Id</w:t>
      </w:r>
      <w:r>
        <w:rPr>
          <w:i/>
          <w:iCs/>
        </w:rPr>
        <w:t xml:space="preserve">. </w:t>
      </w:r>
      <w:r>
        <w:t>P 1590.</w:t>
      </w:r>
    </w:p>
  </w:footnote>
  <w:footnote w:id="1102">
    <w:p w:rsidR="00760048" w:rsidP="00071614" w14:paraId="144AE2D9" w14:textId="77777777">
      <w:pPr>
        <w:pStyle w:val="FootnoteText"/>
      </w:pPr>
      <w:r w:rsidRPr="0072600F">
        <w:rPr>
          <w:rStyle w:val="FootnoteReference"/>
        </w:rPr>
        <w:footnoteRef/>
      </w:r>
      <w:r>
        <w:t xml:space="preserve"> </w:t>
      </w:r>
      <w:r w:rsidRPr="004B355B">
        <w:t>SPP Rehearing Request at 19.</w:t>
      </w:r>
    </w:p>
  </w:footnote>
  <w:footnote w:id="1103">
    <w:p w:rsidR="00760048" w14:paraId="17ED517D" w14:textId="77777777">
      <w:pPr>
        <w:pStyle w:val="FootnoteText"/>
      </w:pPr>
      <w:r w:rsidRPr="0072600F">
        <w:rPr>
          <w:rStyle w:val="FootnoteReference"/>
        </w:rPr>
        <w:footnoteRef/>
      </w:r>
      <w:r>
        <w:t xml:space="preserve"> </w:t>
      </w:r>
      <w:r w:rsidRPr="004B355B">
        <w:t>WATT</w:t>
      </w:r>
      <w:r w:rsidRPr="007A39F5">
        <w:rPr>
          <w:szCs w:val="22"/>
        </w:rPr>
        <w:t xml:space="preserve"> </w:t>
      </w:r>
      <w:r w:rsidRPr="007A39F5">
        <w:t>Coalition</w:t>
      </w:r>
      <w:r w:rsidRPr="004B355B">
        <w:t xml:space="preserve"> Rehearing Request at 24.</w:t>
      </w:r>
    </w:p>
  </w:footnote>
  <w:footnote w:id="1104">
    <w:p w:rsidR="00760048" w:rsidP="00071614" w14:paraId="065BD3CC" w14:textId="77777777">
      <w:pPr>
        <w:pStyle w:val="FootnoteText"/>
      </w:pPr>
      <w:r w:rsidRPr="0072600F">
        <w:rPr>
          <w:rStyle w:val="FootnoteReference"/>
        </w:rPr>
        <w:footnoteRef/>
      </w:r>
      <w:r>
        <w:t xml:space="preserve"> PJM Rehearing Request at 45-46.</w:t>
      </w:r>
    </w:p>
  </w:footnote>
  <w:footnote w:id="1105">
    <w:p w:rsidR="00760048" w:rsidP="00071614" w14:paraId="0BD8F31B" w14:textId="77777777">
      <w:pPr>
        <w:pStyle w:val="FootnoteText"/>
      </w:pPr>
      <w:r w:rsidRPr="0072600F">
        <w:rPr>
          <w:rStyle w:val="FootnoteReference"/>
        </w:rPr>
        <w:footnoteRef/>
      </w:r>
      <w:r>
        <w:t xml:space="preserve"> Clean Energy Associations Rehearing Request at 48; </w:t>
      </w:r>
      <w:r w:rsidRPr="00B45AA7">
        <w:t>Public Interest Organizations</w:t>
      </w:r>
      <w:r w:rsidRPr="00B45AA7">
        <w:t xml:space="preserve"> </w:t>
      </w:r>
      <w:r w:rsidRPr="00DF19B5">
        <w:t>Rehearing Request at 13-15</w:t>
      </w:r>
      <w:r>
        <w:t xml:space="preserve">; </w:t>
      </w:r>
      <w:r>
        <w:t xml:space="preserve">WATT </w:t>
      </w:r>
      <w:r>
        <w:t>Coalition Rehearing Request at 1-2, 14-15, 24-30.</w:t>
      </w:r>
    </w:p>
  </w:footnote>
  <w:footnote w:id="1106">
    <w:p w:rsidR="00760048" w:rsidP="00071614" w14:paraId="1CF31CEA" w14:textId="77777777">
      <w:pPr>
        <w:pStyle w:val="FootnoteText"/>
      </w:pPr>
      <w:r w:rsidRPr="0072600F">
        <w:rPr>
          <w:rStyle w:val="FootnoteReference"/>
        </w:rPr>
        <w:footnoteRef/>
      </w:r>
      <w:r>
        <w:t xml:space="preserve"> </w:t>
      </w:r>
      <w:r w:rsidRPr="00B45AA7">
        <w:t>Public Interest Organizations</w:t>
      </w:r>
      <w:r w:rsidRPr="00B45AA7">
        <w:t xml:space="preserve"> </w:t>
      </w:r>
      <w:r w:rsidRPr="00DF19B5">
        <w:t xml:space="preserve">Rehearing Request </w:t>
      </w:r>
      <w:r>
        <w:t>at 13-15.</w:t>
      </w:r>
    </w:p>
  </w:footnote>
  <w:footnote w:id="1107">
    <w:p w:rsidR="00760048" w:rsidP="00071614" w14:paraId="35A90923" w14:textId="77777777">
      <w:pPr>
        <w:pStyle w:val="FootnoteText"/>
      </w:pPr>
      <w:r w:rsidRPr="0072600F">
        <w:rPr>
          <w:rStyle w:val="FootnoteReference"/>
        </w:rPr>
        <w:footnoteRef/>
      </w:r>
      <w:r>
        <w:t xml:space="preserve"> Clean Energy Associations Rehearing Request at 46-48.</w:t>
      </w:r>
    </w:p>
  </w:footnote>
  <w:footnote w:id="1108">
    <w:p w:rsidR="00760048" w:rsidP="00071614" w14:paraId="30D04C2C" w14:textId="77777777">
      <w:pPr>
        <w:pStyle w:val="FootnoteText"/>
      </w:pPr>
      <w:r w:rsidRPr="0072600F">
        <w:rPr>
          <w:rStyle w:val="FootnoteReference"/>
        </w:rPr>
        <w:footnoteRef/>
      </w:r>
      <w:r>
        <w:t xml:space="preserve"> </w:t>
      </w:r>
      <w:bookmarkStart w:id="103" w:name="_Hlk148108228"/>
      <w:r>
        <w:t xml:space="preserve">WATT </w:t>
      </w:r>
      <w:r>
        <w:t xml:space="preserve">Coalition Rehearing Request at </w:t>
      </w:r>
      <w:bookmarkEnd w:id="103"/>
      <w:r w:rsidRPr="00FB186F">
        <w:t>1-2, 14</w:t>
      </w:r>
      <w:r>
        <w:t xml:space="preserve"> (arguing that Order No. 2023 violates APA section 706(2)(A)).</w:t>
      </w:r>
    </w:p>
  </w:footnote>
  <w:footnote w:id="1109">
    <w:p w:rsidR="00760048" w:rsidP="00071614" w14:paraId="42070043" w14:textId="77777777">
      <w:pPr>
        <w:pStyle w:val="FootnoteText"/>
      </w:pPr>
      <w:r w:rsidRPr="0072600F">
        <w:rPr>
          <w:rStyle w:val="FootnoteReference"/>
        </w:rPr>
        <w:footnoteRef/>
      </w:r>
      <w:r>
        <w:t xml:space="preserve"> </w:t>
      </w:r>
      <w:r>
        <w:rPr>
          <w:i/>
          <w:iCs/>
        </w:rPr>
        <w:t>Id</w:t>
      </w:r>
      <w:r w:rsidRPr="00BC1D82">
        <w:t>.</w:t>
      </w:r>
      <w:r>
        <w:t xml:space="preserve"> at 24-25 </w:t>
      </w:r>
      <w:r w:rsidRPr="00E72692">
        <w:t>(citing Order No. 2023</w:t>
      </w:r>
      <w:r>
        <w:t xml:space="preserve">, </w:t>
      </w:r>
      <w:r w:rsidRPr="00044066">
        <w:rPr>
          <w:szCs w:val="26"/>
        </w:rPr>
        <w:t>1</w:t>
      </w:r>
      <w:r>
        <w:rPr>
          <w:szCs w:val="26"/>
        </w:rPr>
        <w:t>8</w:t>
      </w:r>
      <w:r w:rsidRPr="00044066">
        <w:rPr>
          <w:szCs w:val="26"/>
        </w:rPr>
        <w:t>4 FERC ¶ 61,</w:t>
      </w:r>
      <w:r>
        <w:rPr>
          <w:szCs w:val="26"/>
        </w:rPr>
        <w:t>054</w:t>
      </w:r>
      <w:r w:rsidRPr="00E72692">
        <w:t xml:space="preserve"> at P 1585).</w:t>
      </w:r>
    </w:p>
  </w:footnote>
  <w:footnote w:id="1110">
    <w:p w:rsidR="00760048" w:rsidP="00071614" w14:paraId="21A1E0BC" w14:textId="77777777">
      <w:pPr>
        <w:pStyle w:val="FootnoteText"/>
      </w:pPr>
      <w:r w:rsidRPr="0072600F">
        <w:rPr>
          <w:rStyle w:val="FootnoteReference"/>
        </w:rPr>
        <w:footnoteRef/>
      </w:r>
      <w:r>
        <w:t xml:space="preserve"> </w:t>
      </w:r>
      <w:r>
        <w:rPr>
          <w:i/>
          <w:iCs/>
        </w:rPr>
        <w:t>Id</w:t>
      </w:r>
      <w:r w:rsidRPr="00BC1D82">
        <w:t>.</w:t>
      </w:r>
      <w:r>
        <w:t xml:space="preserve"> at </w:t>
      </w:r>
      <w:r w:rsidRPr="005035D2">
        <w:t>26</w:t>
      </w:r>
      <w:r>
        <w:t>.</w:t>
      </w:r>
      <w:bookmarkStart w:id="105" w:name="_Hlk148109654"/>
    </w:p>
    <w:bookmarkEnd w:id="105"/>
  </w:footnote>
  <w:footnote w:id="1111">
    <w:p w:rsidR="00760048" w:rsidP="00071614" w14:paraId="5A375055" w14:textId="77777777">
      <w:pPr>
        <w:pStyle w:val="FootnoteText"/>
      </w:pPr>
      <w:r w:rsidRPr="0072600F">
        <w:rPr>
          <w:rStyle w:val="FootnoteReference"/>
        </w:rPr>
        <w:footnoteRef/>
      </w:r>
      <w:r>
        <w:t xml:space="preserve"> </w:t>
      </w:r>
      <w:r>
        <w:rPr>
          <w:i/>
          <w:iCs/>
        </w:rPr>
        <w:t>Id</w:t>
      </w:r>
      <w:r w:rsidRPr="00BC1D82">
        <w:t>.</w:t>
      </w:r>
      <w:r>
        <w:t xml:space="preserve"> at 27 </w:t>
      </w:r>
      <w:r w:rsidRPr="004C070B">
        <w:t>(quoting Order No. 2023</w:t>
      </w:r>
      <w:r>
        <w:t xml:space="preserve">, </w:t>
      </w:r>
      <w:r w:rsidRPr="00044066">
        <w:rPr>
          <w:szCs w:val="26"/>
        </w:rPr>
        <w:t>1</w:t>
      </w:r>
      <w:r>
        <w:rPr>
          <w:szCs w:val="26"/>
        </w:rPr>
        <w:t>8</w:t>
      </w:r>
      <w:r w:rsidRPr="00044066">
        <w:rPr>
          <w:szCs w:val="26"/>
        </w:rPr>
        <w:t>4 FERC ¶ 61,</w:t>
      </w:r>
      <w:r>
        <w:rPr>
          <w:szCs w:val="26"/>
        </w:rPr>
        <w:t>054</w:t>
      </w:r>
      <w:r w:rsidRPr="004C070B">
        <w:t xml:space="preserve"> at </w:t>
      </w:r>
      <w:r>
        <w:t xml:space="preserve">P </w:t>
      </w:r>
      <w:r w:rsidRPr="004C070B">
        <w:t>1589).</w:t>
      </w:r>
    </w:p>
  </w:footnote>
  <w:footnote w:id="1112">
    <w:p w:rsidR="00760048" w:rsidP="00071614" w14:paraId="1711A406" w14:textId="77777777">
      <w:pPr>
        <w:pStyle w:val="FootnoteText"/>
      </w:pPr>
      <w:r w:rsidRPr="0072600F">
        <w:rPr>
          <w:rStyle w:val="FootnoteReference"/>
        </w:rPr>
        <w:footnoteRef/>
      </w:r>
      <w:r>
        <w:t xml:space="preserve"> </w:t>
      </w:r>
      <w:r>
        <w:rPr>
          <w:i/>
          <w:iCs/>
        </w:rPr>
        <w:t>Id</w:t>
      </w:r>
      <w:r w:rsidRPr="00BC1D82">
        <w:t>.</w:t>
      </w:r>
      <w:r>
        <w:t xml:space="preserve"> at </w:t>
      </w:r>
      <w:r w:rsidRPr="005035D2">
        <w:t>26</w:t>
      </w:r>
      <w:r>
        <w:t>.</w:t>
      </w:r>
    </w:p>
  </w:footnote>
  <w:footnote w:id="1113">
    <w:p w:rsidR="00760048" w14:paraId="1ACE372D" w14:textId="77777777">
      <w:pPr>
        <w:pStyle w:val="FootnoteText"/>
      </w:pPr>
      <w:r w:rsidRPr="0072600F">
        <w:rPr>
          <w:rStyle w:val="FootnoteReference"/>
        </w:rPr>
        <w:footnoteRef/>
      </w:r>
      <w:r>
        <w:t xml:space="preserve"> </w:t>
      </w:r>
      <w:r w:rsidRPr="00DE74B7">
        <w:rPr>
          <w:i/>
          <w:iCs/>
        </w:rPr>
        <w:t>Id</w:t>
      </w:r>
      <w:r w:rsidRPr="00DE74B7">
        <w:t xml:space="preserve">. </w:t>
      </w:r>
      <w:r>
        <w:t xml:space="preserve">at 27 </w:t>
      </w:r>
      <w:r w:rsidRPr="00DE74B7">
        <w:t>(quoting Order No. 2023, 184 FERC ¶ 61,054 at P 1589).</w:t>
      </w:r>
    </w:p>
  </w:footnote>
  <w:footnote w:id="1114">
    <w:p w:rsidR="00760048" w:rsidP="00071614" w14:paraId="74276747" w14:textId="77777777">
      <w:pPr>
        <w:pStyle w:val="FootnoteText"/>
      </w:pPr>
      <w:r w:rsidRPr="0072600F">
        <w:rPr>
          <w:rStyle w:val="FootnoteReference"/>
        </w:rPr>
        <w:footnoteRef/>
      </w:r>
      <w:r>
        <w:t xml:space="preserve"> </w:t>
      </w:r>
      <w:r>
        <w:rPr>
          <w:i/>
          <w:iCs/>
        </w:rPr>
        <w:t>Id</w:t>
      </w:r>
      <w:r w:rsidRPr="00BC1D82">
        <w:t>.</w:t>
      </w:r>
      <w:r>
        <w:t xml:space="preserve"> at </w:t>
      </w:r>
      <w:r w:rsidRPr="005035D2">
        <w:t>26</w:t>
      </w:r>
      <w:r>
        <w:t>.</w:t>
      </w:r>
    </w:p>
  </w:footnote>
  <w:footnote w:id="1115">
    <w:p w:rsidR="00760048" w:rsidP="00071614" w14:paraId="26B1F5E5" w14:textId="77777777">
      <w:pPr>
        <w:pStyle w:val="FootnoteText"/>
      </w:pPr>
      <w:r w:rsidRPr="0072600F">
        <w:rPr>
          <w:rStyle w:val="FootnoteReference"/>
        </w:rPr>
        <w:footnoteRef/>
      </w:r>
      <w:r>
        <w:t xml:space="preserve"> </w:t>
      </w:r>
      <w:r>
        <w:rPr>
          <w:i/>
          <w:iCs/>
        </w:rPr>
        <w:t>Id</w:t>
      </w:r>
      <w:r w:rsidRPr="00BC1D82">
        <w:t>.</w:t>
      </w:r>
      <w:r>
        <w:t xml:space="preserve"> at </w:t>
      </w:r>
      <w:r w:rsidRPr="00A5706B">
        <w:t>29 (citing Order No. 2023</w:t>
      </w:r>
      <w:r>
        <w:t xml:space="preserve">, </w:t>
      </w:r>
      <w:r w:rsidRPr="00044066">
        <w:rPr>
          <w:szCs w:val="26"/>
        </w:rPr>
        <w:t>1</w:t>
      </w:r>
      <w:r>
        <w:rPr>
          <w:szCs w:val="26"/>
        </w:rPr>
        <w:t>8</w:t>
      </w:r>
      <w:r w:rsidRPr="00044066">
        <w:rPr>
          <w:szCs w:val="26"/>
        </w:rPr>
        <w:t>4 FERC ¶ 61,</w:t>
      </w:r>
      <w:r>
        <w:rPr>
          <w:szCs w:val="26"/>
        </w:rPr>
        <w:t>054</w:t>
      </w:r>
      <w:r w:rsidRPr="00A5706B">
        <w:t xml:space="preserve"> at P 1587).</w:t>
      </w:r>
    </w:p>
  </w:footnote>
  <w:footnote w:id="1116">
    <w:p w:rsidR="00760048" w:rsidP="00071614" w14:paraId="143329A3" w14:textId="77777777">
      <w:pPr>
        <w:pStyle w:val="FootnoteText"/>
      </w:pPr>
      <w:r w:rsidRPr="0072600F">
        <w:rPr>
          <w:rStyle w:val="FootnoteReference"/>
        </w:rPr>
        <w:footnoteRef/>
      </w:r>
      <w:r>
        <w:t xml:space="preserve"> </w:t>
      </w:r>
      <w:r>
        <w:rPr>
          <w:i/>
          <w:iCs/>
        </w:rPr>
        <w:t>Id</w:t>
      </w:r>
      <w:r w:rsidRPr="00BC1D82">
        <w:t>.</w:t>
      </w:r>
      <w:r w:rsidRPr="000B5FC1">
        <w:t xml:space="preserve"> (citing, e.g., MISO Business Practice Manual 015 Section 5.3.1).</w:t>
      </w:r>
    </w:p>
  </w:footnote>
  <w:footnote w:id="1117">
    <w:p w:rsidR="00760048" w14:paraId="09D104B8" w14:textId="77777777">
      <w:pPr>
        <w:pStyle w:val="FootnoteText"/>
      </w:pPr>
      <w:r w:rsidRPr="0072600F">
        <w:rPr>
          <w:rStyle w:val="FootnoteReference"/>
        </w:rPr>
        <w:footnoteRef/>
      </w:r>
      <w:r>
        <w:t xml:space="preserve"> </w:t>
      </w:r>
      <w:r w:rsidRPr="003772BC">
        <w:rPr>
          <w:i/>
        </w:rPr>
        <w:t>Id.</w:t>
      </w:r>
      <w:r>
        <w:t xml:space="preserve"> at 24, 30.</w:t>
      </w:r>
    </w:p>
  </w:footnote>
  <w:footnote w:id="1118">
    <w:p w:rsidR="00760048" w:rsidP="00071614" w14:paraId="32AECAA8" w14:textId="77777777">
      <w:pPr>
        <w:pStyle w:val="FootnoteText"/>
      </w:pPr>
      <w:r w:rsidRPr="0072600F">
        <w:rPr>
          <w:rStyle w:val="FootnoteReference"/>
        </w:rPr>
        <w:footnoteRef/>
      </w:r>
      <w:r>
        <w:t xml:space="preserve"> </w:t>
      </w:r>
      <w:r>
        <w:rPr>
          <w:i/>
          <w:iCs/>
        </w:rPr>
        <w:t>Id</w:t>
      </w:r>
      <w:r w:rsidRPr="00BC1D82">
        <w:t>.</w:t>
      </w:r>
      <w:r>
        <w:t xml:space="preserve"> </w:t>
      </w:r>
      <w:r w:rsidRPr="00E87D3E">
        <w:t>at 30.</w:t>
      </w:r>
    </w:p>
  </w:footnote>
  <w:footnote w:id="1119">
    <w:p w:rsidR="00760048" w:rsidP="00071614" w14:paraId="76A15144" w14:textId="77777777">
      <w:pPr>
        <w:pStyle w:val="FootnoteText"/>
      </w:pPr>
      <w:r w:rsidRPr="0072600F">
        <w:rPr>
          <w:rStyle w:val="FootnoteReference"/>
        </w:rPr>
        <w:footnoteRef/>
      </w:r>
      <w:r>
        <w:t xml:space="preserve"> SPP Rehearing Request at 20.</w:t>
      </w:r>
    </w:p>
  </w:footnote>
  <w:footnote w:id="1120">
    <w:p w:rsidR="00760048" w:rsidP="00071614" w14:paraId="25B78D6C" w14:textId="77777777">
      <w:pPr>
        <w:pStyle w:val="FootnoteText"/>
      </w:pPr>
      <w:r w:rsidRPr="0072600F">
        <w:rPr>
          <w:rStyle w:val="FootnoteReference"/>
        </w:rPr>
        <w:footnoteRef/>
      </w:r>
      <w:r>
        <w:t xml:space="preserve"> VEIR Rehearing Request at 3-6.</w:t>
      </w:r>
    </w:p>
  </w:footnote>
  <w:footnote w:id="1121">
    <w:p w:rsidR="00760048" w:rsidP="00071614" w14:paraId="0DB93B7C" w14:textId="77777777">
      <w:pPr>
        <w:pStyle w:val="FootnoteText"/>
      </w:pPr>
      <w:r w:rsidRPr="0072600F">
        <w:rPr>
          <w:rStyle w:val="FootnoteReference"/>
        </w:rPr>
        <w:footnoteRef/>
      </w:r>
      <w:r>
        <w:t xml:space="preserve"> </w:t>
      </w:r>
      <w:r>
        <w:rPr>
          <w:i/>
          <w:iCs/>
        </w:rPr>
        <w:t>Id</w:t>
      </w:r>
      <w:r w:rsidRPr="00BC1D82">
        <w:t>.</w:t>
      </w:r>
      <w:r>
        <w:t xml:space="preserve"> at 4-5 (quoting </w:t>
      </w:r>
      <w:r w:rsidRPr="007E5875">
        <w:t>Order No. 2023</w:t>
      </w:r>
      <w:r>
        <w:t xml:space="preserve">, </w:t>
      </w:r>
      <w:r w:rsidRPr="00044066">
        <w:rPr>
          <w:szCs w:val="26"/>
        </w:rPr>
        <w:t>1</w:t>
      </w:r>
      <w:r>
        <w:rPr>
          <w:szCs w:val="26"/>
        </w:rPr>
        <w:t>8</w:t>
      </w:r>
      <w:r w:rsidRPr="00044066">
        <w:rPr>
          <w:szCs w:val="26"/>
        </w:rPr>
        <w:t>4 FERC ¶ 61,</w:t>
      </w:r>
      <w:r>
        <w:rPr>
          <w:szCs w:val="26"/>
        </w:rPr>
        <w:t>054</w:t>
      </w:r>
      <w:r w:rsidRPr="007E5875">
        <w:t xml:space="preserve"> at P 1597</w:t>
      </w:r>
      <w:r>
        <w:t xml:space="preserve"> (citing Energy Policy Act of 2005, </w:t>
      </w:r>
      <w:r w:rsidRPr="00632E38">
        <w:t xml:space="preserve">42 U.S.C. </w:t>
      </w:r>
      <w:r w:rsidRPr="00B332EA" w:rsidR="00B332EA">
        <w:t>§</w:t>
      </w:r>
      <w:r w:rsidR="00B332EA">
        <w:t xml:space="preserve"> </w:t>
      </w:r>
      <w:r w:rsidRPr="00632E38">
        <w:t>16422(a)</w:t>
      </w:r>
      <w:r>
        <w:t>, (b)))</w:t>
      </w:r>
      <w:r w:rsidRPr="007E5875">
        <w:t>.</w:t>
      </w:r>
      <w:r>
        <w:t xml:space="preserve">  VEIR points to several definitions of advanced conductors:  (1) </w:t>
      </w:r>
      <w:r w:rsidRPr="00912541">
        <w:t>advanced conductor technology includ</w:t>
      </w:r>
      <w:r>
        <w:t>e</w:t>
      </w:r>
      <w:r w:rsidRPr="00912541">
        <w:t xml:space="preserve"> advanced composite conductors high</w:t>
      </w:r>
      <w:r>
        <w:t xml:space="preserve"> </w:t>
      </w:r>
      <w:r w:rsidRPr="00912541">
        <w:t>temperature low-sag conductors, and fiber optic temperature sensing conductors</w:t>
      </w:r>
      <w:r>
        <w:t xml:space="preserve">, </w:t>
      </w:r>
      <w:r w:rsidRPr="00772625">
        <w:t xml:space="preserve">42 U.S.C. </w:t>
      </w:r>
      <w:r w:rsidRPr="00B332EA" w:rsidR="00B332EA">
        <w:t>§</w:t>
      </w:r>
      <w:r w:rsidR="00B332EA">
        <w:t xml:space="preserve"> </w:t>
      </w:r>
      <w:r w:rsidRPr="00772625">
        <w:t>16422(a)</w:t>
      </w:r>
      <w:r>
        <w:t>; (2) a</w:t>
      </w:r>
      <w:r w:rsidRPr="005E1AEC">
        <w:t xml:space="preserve">dvanced </w:t>
      </w:r>
      <w:r>
        <w:t>c</w:t>
      </w:r>
      <w:r w:rsidRPr="005E1AEC">
        <w:t xml:space="preserve">onductors and </w:t>
      </w:r>
      <w:r>
        <w:t>c</w:t>
      </w:r>
      <w:r w:rsidRPr="005E1AEC">
        <w:t xml:space="preserve">ables </w:t>
      </w:r>
      <w:r>
        <w:t xml:space="preserve">include </w:t>
      </w:r>
      <w:r w:rsidRPr="005E1AEC">
        <w:t>advanced overhead conductors</w:t>
      </w:r>
      <w:r>
        <w:t xml:space="preserve"> that are </w:t>
      </w:r>
      <w:r w:rsidRPr="005E1AEC">
        <w:t xml:space="preserve">facilities that </w:t>
      </w:r>
      <w:r>
        <w:t>“</w:t>
      </w:r>
      <w:r w:rsidRPr="005E1AEC">
        <w:t>employ advanced aluminum alloys, steel, and composite material in novel ways that provide enhanced performance over conventional overhead conductors</w:t>
      </w:r>
      <w:r>
        <w:t xml:space="preserve">,” </w:t>
      </w:r>
      <w:r w:rsidRPr="002D51CC">
        <w:t>advanced-transmission-technologies-report (energy.gov), at p. 26</w:t>
      </w:r>
      <w:r>
        <w:t xml:space="preserve">, and (3) </w:t>
      </w:r>
      <w:r w:rsidRPr="000101DD">
        <w:t xml:space="preserve">advanced conductors and </w:t>
      </w:r>
      <w:r w:rsidRPr="00D6324F">
        <w:t xml:space="preserve">cables are </w:t>
      </w:r>
      <w:r>
        <w:t>“</w:t>
      </w:r>
      <w:r w:rsidRPr="00D6324F">
        <w:t>superconducting cables</w:t>
      </w:r>
      <w:r>
        <w:t>”</w:t>
      </w:r>
      <w:r w:rsidRPr="00D6324F">
        <w:t xml:space="preserve"> composed of materials that have near</w:t>
      </w:r>
      <w:r>
        <w:t xml:space="preserve"> </w:t>
      </w:r>
      <w:r w:rsidRPr="00D6324F">
        <w:t>zero resistance at extremely low temperatures, offering little to no electrical losses if used in transmission</w:t>
      </w:r>
      <w:r>
        <w:t xml:space="preserve">, </w:t>
      </w:r>
      <w:r w:rsidRPr="000A6666">
        <w:t>advanced-transmission-technologies-report (energy.gov), at p. 26</w:t>
      </w:r>
      <w:r>
        <w:t>.</w:t>
      </w:r>
    </w:p>
  </w:footnote>
  <w:footnote w:id="1122">
    <w:p w:rsidR="00760048" w:rsidP="00071614" w14:paraId="162BAFF5" w14:textId="77777777">
      <w:pPr>
        <w:pStyle w:val="FootnoteText"/>
      </w:pPr>
      <w:r w:rsidRPr="0072600F">
        <w:rPr>
          <w:rStyle w:val="FootnoteReference"/>
        </w:rPr>
        <w:footnoteRef/>
      </w:r>
      <w:r>
        <w:t xml:space="preserve"> VEIR Rehearing Request at 5-6.</w:t>
      </w:r>
    </w:p>
  </w:footnote>
  <w:footnote w:id="1123">
    <w:p w:rsidR="00760048" w:rsidP="00071614" w14:paraId="250A0E6A" w14:textId="77777777">
      <w:pPr>
        <w:pStyle w:val="FootnoteText"/>
      </w:pPr>
      <w:r w:rsidRPr="0072600F">
        <w:rPr>
          <w:rStyle w:val="FootnoteReference"/>
        </w:rPr>
        <w:footnoteRef/>
      </w:r>
      <w:r>
        <w:t xml:space="preserve"> </w:t>
      </w:r>
      <w:r w:rsidRPr="00E65BA6">
        <w:t xml:space="preserve">Clean Energy Associations Rehearing Request at 44; </w:t>
      </w:r>
      <w:bookmarkStart w:id="108" w:name="_Hlk148098244"/>
      <w:r w:rsidRPr="00E65BA6">
        <w:t xml:space="preserve">WATT </w:t>
      </w:r>
      <w:r>
        <w:t>Coalition Rehearing Request</w:t>
      </w:r>
      <w:r w:rsidRPr="00E65BA6">
        <w:t xml:space="preserve"> at</w:t>
      </w:r>
      <w:bookmarkEnd w:id="108"/>
      <w:r w:rsidRPr="00E65BA6">
        <w:t xml:space="preserve"> 1-31.</w:t>
      </w:r>
    </w:p>
  </w:footnote>
  <w:footnote w:id="1124">
    <w:p w:rsidR="00760048" w:rsidP="00071614" w14:paraId="0DD7CC22" w14:textId="77777777">
      <w:pPr>
        <w:pStyle w:val="FootnoteText"/>
      </w:pPr>
      <w:r w:rsidRPr="0072600F">
        <w:rPr>
          <w:rStyle w:val="FootnoteReference"/>
        </w:rPr>
        <w:footnoteRef/>
      </w:r>
      <w:r>
        <w:t xml:space="preserve"> </w:t>
      </w:r>
      <w:r>
        <w:t xml:space="preserve">WATT </w:t>
      </w:r>
      <w:r>
        <w:t>Coalition Rehearing Request</w:t>
      </w:r>
      <w:r w:rsidRPr="00ED3544">
        <w:t xml:space="preserve"> </w:t>
      </w:r>
      <w:r w:rsidRPr="005406FF">
        <w:t>at</w:t>
      </w:r>
      <w:r w:rsidRPr="005406FF">
        <w:rPr>
          <w:sz w:val="22"/>
          <w:szCs w:val="22"/>
        </w:rPr>
        <w:t xml:space="preserve"> </w:t>
      </w:r>
      <w:r w:rsidRPr="005406FF">
        <w:t xml:space="preserve">13-14 (citing </w:t>
      </w:r>
      <w:r>
        <w:t xml:space="preserve">Order No. </w:t>
      </w:r>
      <w:r w:rsidRPr="005406FF">
        <w:t>2023</w:t>
      </w:r>
      <w:r>
        <w:t xml:space="preserve">, </w:t>
      </w:r>
      <w:r w:rsidRPr="00044066">
        <w:rPr>
          <w:szCs w:val="26"/>
        </w:rPr>
        <w:t>1</w:t>
      </w:r>
      <w:r>
        <w:rPr>
          <w:szCs w:val="26"/>
        </w:rPr>
        <w:t>8</w:t>
      </w:r>
      <w:r w:rsidRPr="00044066">
        <w:rPr>
          <w:szCs w:val="26"/>
        </w:rPr>
        <w:t>4 FERC ¶ 61,</w:t>
      </w:r>
      <w:r>
        <w:rPr>
          <w:szCs w:val="26"/>
        </w:rPr>
        <w:t>054</w:t>
      </w:r>
      <w:r w:rsidRPr="005406FF">
        <w:t xml:space="preserve"> at PP 1578, 1598).</w:t>
      </w:r>
    </w:p>
  </w:footnote>
  <w:footnote w:id="1125">
    <w:p w:rsidR="00760048" w:rsidP="00071614" w14:paraId="2ABEDCBD" w14:textId="77777777">
      <w:pPr>
        <w:pStyle w:val="FootnoteText"/>
      </w:pPr>
      <w:r w:rsidRPr="0072600F">
        <w:rPr>
          <w:rStyle w:val="FootnoteReference"/>
        </w:rPr>
        <w:footnoteRef/>
      </w:r>
      <w:r>
        <w:t xml:space="preserve"> </w:t>
      </w:r>
      <w:bookmarkStart w:id="109" w:name="_Hlk148101953"/>
      <w:r>
        <w:rPr>
          <w:i/>
          <w:iCs/>
        </w:rPr>
        <w:t>Id</w:t>
      </w:r>
      <w:r w:rsidRPr="00BC1D82">
        <w:t>.</w:t>
      </w:r>
      <w:r w:rsidRPr="00C55D55">
        <w:t xml:space="preserve"> </w:t>
      </w:r>
      <w:r>
        <w:t xml:space="preserve">at </w:t>
      </w:r>
      <w:bookmarkEnd w:id="109"/>
      <w:r w:rsidRPr="00C55D55">
        <w:t xml:space="preserve">19-20 (citing WATT </w:t>
      </w:r>
      <w:r>
        <w:t xml:space="preserve">Coalition </w:t>
      </w:r>
      <w:r w:rsidRPr="00C55D55">
        <w:t>Reply Comments at 7-15, 16-17</w:t>
      </w:r>
      <w:r w:rsidR="007E3111">
        <w:t>)</w:t>
      </w:r>
      <w:r w:rsidRPr="00C55D55">
        <w:t>.</w:t>
      </w:r>
    </w:p>
  </w:footnote>
  <w:footnote w:id="1126">
    <w:p w:rsidR="00760048" w:rsidP="00071614" w14:paraId="772714D3" w14:textId="77777777">
      <w:pPr>
        <w:pStyle w:val="FootnoteText"/>
      </w:pPr>
      <w:r w:rsidRPr="0072600F">
        <w:rPr>
          <w:rStyle w:val="FootnoteReference"/>
        </w:rPr>
        <w:footnoteRef/>
      </w:r>
      <w:r>
        <w:t xml:space="preserve"> </w:t>
      </w:r>
      <w:r>
        <w:rPr>
          <w:i/>
          <w:iCs/>
        </w:rPr>
        <w:t>Id</w:t>
      </w:r>
      <w:r w:rsidRPr="00BC1D82">
        <w:t>.</w:t>
      </w:r>
      <w:r w:rsidRPr="00C55D55">
        <w:t xml:space="preserve"> </w:t>
      </w:r>
      <w:r w:rsidRPr="005F02E3">
        <w:t>at 20 (citing Order No. 2023</w:t>
      </w:r>
      <w:r>
        <w:t xml:space="preserve">, </w:t>
      </w:r>
      <w:r w:rsidRPr="00044066">
        <w:rPr>
          <w:szCs w:val="26"/>
        </w:rPr>
        <w:t>1</w:t>
      </w:r>
      <w:r>
        <w:rPr>
          <w:szCs w:val="26"/>
        </w:rPr>
        <w:t>8</w:t>
      </w:r>
      <w:r w:rsidRPr="00044066">
        <w:rPr>
          <w:szCs w:val="26"/>
        </w:rPr>
        <w:t>4 FERC ¶ 61,</w:t>
      </w:r>
      <w:r>
        <w:rPr>
          <w:szCs w:val="26"/>
        </w:rPr>
        <w:t>054</w:t>
      </w:r>
      <w:r w:rsidRPr="005F02E3">
        <w:t xml:space="preserve"> at P 1598 (citing PJM Transmission Owners </w:t>
      </w:r>
      <w:r>
        <w:t xml:space="preserve">Initial Comments </w:t>
      </w:r>
      <w:r w:rsidRPr="005F02E3">
        <w:t>at 56</w:t>
      </w:r>
      <w:r>
        <w:t>;</w:t>
      </w:r>
      <w:r w:rsidRPr="005F02E3">
        <w:t xml:space="preserve"> ISO-NE </w:t>
      </w:r>
      <w:r>
        <w:t xml:space="preserve">Initial Comments </w:t>
      </w:r>
      <w:r w:rsidRPr="005F02E3">
        <w:t>at 41</w:t>
      </w:r>
      <w:r>
        <w:t>;</w:t>
      </w:r>
      <w:r w:rsidRPr="005F02E3">
        <w:t xml:space="preserve"> </w:t>
      </w:r>
      <w:r w:rsidR="00E157ED">
        <w:t>NYTOs</w:t>
      </w:r>
      <w:r w:rsidRPr="005F02E3">
        <w:t xml:space="preserve"> </w:t>
      </w:r>
      <w:r>
        <w:t xml:space="preserve">Initial Comments </w:t>
      </w:r>
      <w:r w:rsidRPr="005F02E3">
        <w:t>at 32-33</w:t>
      </w:r>
      <w:r>
        <w:t>;</w:t>
      </w:r>
      <w:r w:rsidRPr="005F02E3">
        <w:t xml:space="preserve"> PacifiCorp </w:t>
      </w:r>
      <w:r>
        <w:t xml:space="preserve">Initial Comments </w:t>
      </w:r>
      <w:r w:rsidRPr="005F02E3">
        <w:t>at 4</w:t>
      </w:r>
      <w:r>
        <w:t>;</w:t>
      </w:r>
      <w:r w:rsidRPr="005F02E3">
        <w:t xml:space="preserve"> Tri-State </w:t>
      </w:r>
      <w:r>
        <w:t xml:space="preserve">Initial Comments </w:t>
      </w:r>
      <w:r w:rsidRPr="005F02E3">
        <w:t>at 23</w:t>
      </w:r>
      <w:r>
        <w:t>;</w:t>
      </w:r>
      <w:r w:rsidRPr="005F02E3">
        <w:t xml:space="preserve"> Chamber of Commerce </w:t>
      </w:r>
      <w:r>
        <w:t xml:space="preserve">Initial Comments </w:t>
      </w:r>
      <w:r w:rsidRPr="005F02E3">
        <w:t>at 12-13)</w:t>
      </w:r>
      <w:r>
        <w:t>)</w:t>
      </w:r>
      <w:r w:rsidRPr="005F02E3">
        <w:t>.</w:t>
      </w:r>
    </w:p>
  </w:footnote>
  <w:footnote w:id="1127">
    <w:p w:rsidR="00760048" w:rsidP="00071614" w14:paraId="3156DE83" w14:textId="77777777">
      <w:pPr>
        <w:pStyle w:val="FootnoteText"/>
      </w:pPr>
      <w:r w:rsidRPr="0072600F">
        <w:rPr>
          <w:rStyle w:val="FootnoteReference"/>
        </w:rPr>
        <w:footnoteRef/>
      </w:r>
      <w:r>
        <w:t xml:space="preserve"> </w:t>
      </w:r>
      <w:r>
        <w:rPr>
          <w:i/>
          <w:iCs/>
        </w:rPr>
        <w:t>Id</w:t>
      </w:r>
      <w:r w:rsidRPr="00BC1D82">
        <w:t>.</w:t>
      </w:r>
      <w:r>
        <w:t xml:space="preserve"> at </w:t>
      </w:r>
      <w:r w:rsidRPr="00046CB9">
        <w:t xml:space="preserve">20-21 (Environmental Defense Fund </w:t>
      </w:r>
      <w:r w:rsidR="00667218">
        <w:t xml:space="preserve">NOPR </w:t>
      </w:r>
      <w:r w:rsidRPr="00046CB9">
        <w:t>Reply Comments</w:t>
      </w:r>
      <w:r w:rsidR="00AB1FCC">
        <w:t xml:space="preserve"> at </w:t>
      </w:r>
      <w:r w:rsidR="00667218">
        <w:t>11-12</w:t>
      </w:r>
      <w:r w:rsidRPr="00046CB9">
        <w:t>).</w:t>
      </w:r>
    </w:p>
  </w:footnote>
  <w:footnote w:id="1128">
    <w:p w:rsidR="00760048" w14:paraId="6CA304CE" w14:textId="77777777">
      <w:pPr>
        <w:pStyle w:val="FootnoteText"/>
      </w:pPr>
      <w:r w:rsidRPr="0072600F">
        <w:rPr>
          <w:rStyle w:val="FootnoteReference"/>
        </w:rPr>
        <w:footnoteRef/>
      </w:r>
      <w:r>
        <w:t xml:space="preserve"> </w:t>
      </w:r>
      <w:r w:rsidRPr="00E65BA6">
        <w:t>Clean Energy Associations Rehearing Request at</w:t>
      </w:r>
      <w:r>
        <w:t xml:space="preserve"> 41.</w:t>
      </w:r>
    </w:p>
  </w:footnote>
  <w:footnote w:id="1129">
    <w:p w:rsidR="00760048" w:rsidP="00071614" w14:paraId="44FC3C09" w14:textId="77777777">
      <w:pPr>
        <w:pStyle w:val="FootnoteText"/>
      </w:pPr>
      <w:r w:rsidRPr="0072600F">
        <w:rPr>
          <w:rStyle w:val="FootnoteReference"/>
        </w:rPr>
        <w:footnoteRef/>
      </w:r>
      <w:r>
        <w:t xml:space="preserve"> </w:t>
      </w:r>
      <w:r>
        <w:rPr>
          <w:i/>
          <w:iCs/>
        </w:rPr>
        <w:t>Id</w:t>
      </w:r>
      <w:r w:rsidRPr="00BC1D82">
        <w:t>.</w:t>
      </w:r>
      <w:r>
        <w:t xml:space="preserve"> </w:t>
      </w:r>
      <w:r w:rsidRPr="00E65BA6">
        <w:t>at 40-42</w:t>
      </w:r>
      <w:r>
        <w:t xml:space="preserve">; </w:t>
      </w:r>
      <w:r>
        <w:t xml:space="preserve">WATT </w:t>
      </w:r>
      <w:r>
        <w:t>Coalition Rehearing Request</w:t>
      </w:r>
      <w:r w:rsidRPr="00ED3544">
        <w:t xml:space="preserve"> </w:t>
      </w:r>
      <w:r w:rsidRPr="005406FF">
        <w:t>at</w:t>
      </w:r>
      <w:r w:rsidRPr="005406FF">
        <w:rPr>
          <w:sz w:val="22"/>
          <w:szCs w:val="22"/>
        </w:rPr>
        <w:t xml:space="preserve"> </w:t>
      </w:r>
      <w:r>
        <w:t>6-11, 20-21</w:t>
      </w:r>
      <w:r w:rsidRPr="00E65BA6">
        <w:t>.</w:t>
      </w:r>
      <w:r w:rsidRPr="00D1219C">
        <w:rPr>
          <w:szCs w:val="22"/>
        </w:rPr>
        <w:t xml:space="preserve"> </w:t>
      </w:r>
      <w:r>
        <w:rPr>
          <w:szCs w:val="22"/>
        </w:rPr>
        <w:t xml:space="preserve"> </w:t>
      </w:r>
      <w:r w:rsidRPr="003772BC">
        <w:rPr>
          <w:i/>
          <w:szCs w:val="22"/>
        </w:rPr>
        <w:t xml:space="preserve">See </w:t>
      </w:r>
      <w:r w:rsidRPr="00D1219C">
        <w:t xml:space="preserve">WATT </w:t>
      </w:r>
      <w:r w:rsidRPr="00D1219C">
        <w:t>Coalition Rehearing Request at 6-9 (</w:t>
      </w:r>
      <w:r>
        <w:t xml:space="preserve">pointing to use of </w:t>
      </w:r>
      <w:r w:rsidRPr="00D1219C">
        <w:t xml:space="preserve">dynamic line ratings </w:t>
      </w:r>
      <w:r>
        <w:t>in Europe, Australia and Sweden</w:t>
      </w:r>
      <w:r w:rsidRPr="00362DFA" w:rsidR="00362DFA">
        <w:t>, including the European Network of Transmission System Operators for Electricity Technopedia rating dynamic line ratings as “system ready for full-scale deployment;”</w:t>
      </w:r>
      <w:r>
        <w:t xml:space="preserve">; to the </w:t>
      </w:r>
      <w:r w:rsidRPr="00D1219C">
        <w:t xml:space="preserve">U.S. Canada Power System Outage Task Force </w:t>
      </w:r>
      <w:r>
        <w:t xml:space="preserve">recommendation </w:t>
      </w:r>
      <w:r w:rsidRPr="00D1219C">
        <w:t>for NERC to use dynamic line ratings to prevent and mitigate outages</w:t>
      </w:r>
      <w:r>
        <w:t>;</w:t>
      </w:r>
      <w:r w:rsidRPr="009B69E0">
        <w:rPr>
          <w:szCs w:val="22"/>
        </w:rPr>
        <w:t xml:space="preserve"> </w:t>
      </w:r>
      <w:r>
        <w:rPr>
          <w:szCs w:val="22"/>
        </w:rPr>
        <w:t xml:space="preserve">to the </w:t>
      </w:r>
      <w:r w:rsidRPr="009B69E0">
        <w:t>U.S. Department of Energy</w:t>
      </w:r>
      <w:r>
        <w:t xml:space="preserve"> support for </w:t>
      </w:r>
      <w:r w:rsidRPr="009B69E0">
        <w:t>the deployment of dynamic line ratings in the United States (e.g., the Oncor Electric Delivery Company pilot)</w:t>
      </w:r>
      <w:r>
        <w:t xml:space="preserve">; to </w:t>
      </w:r>
      <w:r w:rsidRPr="009B69E0">
        <w:t>U.S. utilities</w:t>
      </w:r>
      <w:r>
        <w:t xml:space="preserve"> </w:t>
      </w:r>
      <w:r w:rsidRPr="009B69E0">
        <w:t>pilot</w:t>
      </w:r>
      <w:r>
        <w:t xml:space="preserve">ing </w:t>
      </w:r>
      <w:r w:rsidRPr="009B69E0">
        <w:t xml:space="preserve">dynamic line ratings and </w:t>
      </w:r>
      <w:r>
        <w:t xml:space="preserve">the </w:t>
      </w:r>
      <w:r w:rsidRPr="009B69E0">
        <w:t>95</w:t>
      </w:r>
      <w:r w:rsidRPr="009B69E0">
        <w:rPr>
          <w:vertAlign w:val="superscript"/>
        </w:rPr>
        <w:t>th</w:t>
      </w:r>
      <w:r w:rsidRPr="009B69E0">
        <w:t xml:space="preserve"> Edison Award in 2023</w:t>
      </w:r>
      <w:r>
        <w:t xml:space="preserve"> to </w:t>
      </w:r>
      <w:r w:rsidRPr="009B69E0">
        <w:t>PPL Electric Utilities for the first operational deployment of dynamic line ratings in the United States</w:t>
      </w:r>
      <w:r w:rsidR="009277C0">
        <w:t>,</w:t>
      </w:r>
      <w:r w:rsidRPr="00991BD1" w:rsidR="00B31979">
        <w:rPr>
          <w:rFonts w:asciiTheme="minorHAnsi" w:eastAsiaTheme="minorHAnsi" w:hAnsiTheme="minorHAnsi" w:cstheme="minorBidi"/>
          <w:sz w:val="22"/>
          <w:szCs w:val="22"/>
        </w:rPr>
        <w:t xml:space="preserve"> </w:t>
      </w:r>
      <w:r w:rsidRPr="00B31979" w:rsidR="00B31979">
        <w:t xml:space="preserve">and to the use of </w:t>
      </w:r>
      <w:r w:rsidR="00C2741E">
        <w:t>dynamic line ratings</w:t>
      </w:r>
      <w:r w:rsidRPr="00B31979" w:rsidR="00B31979">
        <w:t xml:space="preserve"> in the place of a 200MW standalone battery in MISO</w:t>
      </w:r>
      <w:r w:rsidRPr="00D1219C">
        <w:t>)</w:t>
      </w:r>
      <w:r>
        <w:t>.</w:t>
      </w:r>
    </w:p>
  </w:footnote>
  <w:footnote w:id="1130">
    <w:p w:rsidR="00760048" w:rsidP="00071614" w14:paraId="1B980003" w14:textId="77777777">
      <w:pPr>
        <w:pStyle w:val="FootnoteText"/>
      </w:pPr>
      <w:r w:rsidRPr="0072600F">
        <w:rPr>
          <w:rStyle w:val="FootnoteReference"/>
        </w:rPr>
        <w:footnoteRef/>
      </w:r>
      <w:r>
        <w:t xml:space="preserve"> </w:t>
      </w:r>
      <w:bookmarkStart w:id="112" w:name="_Hlk148104779"/>
      <w:r>
        <w:rPr>
          <w:i/>
          <w:iCs/>
        </w:rPr>
        <w:t>Id</w:t>
      </w:r>
      <w:r w:rsidRPr="00BC1D82">
        <w:t>.</w:t>
      </w:r>
      <w:r w:rsidRPr="00C559D1">
        <w:t xml:space="preserve"> at </w:t>
      </w:r>
      <w:bookmarkEnd w:id="112"/>
      <w:r w:rsidRPr="005C17A1">
        <w:t>9-11 (citing NOPR</w:t>
      </w:r>
      <w:r>
        <w:t xml:space="preserve">, </w:t>
      </w:r>
      <w:r w:rsidRPr="00DD4BA6">
        <w:t>179 FERC ¶ 61,194</w:t>
      </w:r>
      <w:r w:rsidRPr="005C17A1">
        <w:t xml:space="preserve"> at P</w:t>
      </w:r>
      <w:r w:rsidRPr="00C559D1">
        <w:t>P</w:t>
      </w:r>
      <w:r w:rsidRPr="005C17A1">
        <w:t xml:space="preserve"> 289-290</w:t>
      </w:r>
      <w:r w:rsidRPr="00C559D1">
        <w:t xml:space="preserve">, 294-95; </w:t>
      </w:r>
      <w:r w:rsidRPr="005C17A1">
        <w:t>FERC, Grid-Enhancing Technologies, Notice of Workshop, Docket No. AD19-19-000 (Sept. 9, 2019)</w:t>
      </w:r>
      <w:r w:rsidRPr="00C559D1">
        <w:t xml:space="preserve">; </w:t>
      </w:r>
      <w:r w:rsidRPr="005C17A1">
        <w:rPr>
          <w:i/>
          <w:iCs/>
        </w:rPr>
        <w:t>Bldg. for the Future Through Elec. Reg’l Transmission Planning &amp; Cost Allocation &amp; Generator Interconnection</w:t>
      </w:r>
      <w:r w:rsidRPr="005C17A1">
        <w:t>, 86 FR 40266 (July 15, 2021), 176 FERC ¶ 61,024 at P 158 (2021)</w:t>
      </w:r>
      <w:r>
        <w:t>)</w:t>
      </w:r>
      <w:r w:rsidRPr="005C17A1">
        <w:t>.</w:t>
      </w:r>
    </w:p>
  </w:footnote>
  <w:footnote w:id="1131">
    <w:p w:rsidR="00760048" w:rsidP="00071614" w14:paraId="3145254B" w14:textId="77777777">
      <w:pPr>
        <w:pStyle w:val="FootnoteText"/>
      </w:pPr>
      <w:r w:rsidRPr="0072600F">
        <w:rPr>
          <w:rStyle w:val="FootnoteReference"/>
        </w:rPr>
        <w:footnoteRef/>
      </w:r>
      <w:r>
        <w:t xml:space="preserve"> </w:t>
      </w:r>
      <w:r>
        <w:rPr>
          <w:i/>
          <w:iCs/>
        </w:rPr>
        <w:t>Id</w:t>
      </w:r>
      <w:r w:rsidRPr="00BC1D82">
        <w:t>.</w:t>
      </w:r>
      <w:r w:rsidRPr="009B73F3">
        <w:t xml:space="preserve"> at</w:t>
      </w:r>
      <w:r>
        <w:t xml:space="preserve"> </w:t>
      </w:r>
      <w:r w:rsidRPr="005C17A1">
        <w:t>13 (citing Order No. 2023</w:t>
      </w:r>
      <w:r>
        <w:t>,</w:t>
      </w:r>
      <w:r w:rsidRPr="00951115">
        <w:rPr>
          <w:szCs w:val="26"/>
        </w:rPr>
        <w:t xml:space="preserve"> </w:t>
      </w:r>
      <w:r w:rsidRPr="00044066">
        <w:rPr>
          <w:szCs w:val="26"/>
        </w:rPr>
        <w:t>1</w:t>
      </w:r>
      <w:r>
        <w:rPr>
          <w:szCs w:val="26"/>
        </w:rPr>
        <w:t>8</w:t>
      </w:r>
      <w:r w:rsidRPr="00044066">
        <w:rPr>
          <w:szCs w:val="26"/>
        </w:rPr>
        <w:t>4 FERC ¶ 61,</w:t>
      </w:r>
      <w:r>
        <w:rPr>
          <w:szCs w:val="26"/>
        </w:rPr>
        <w:t>054</w:t>
      </w:r>
      <w:r w:rsidRPr="005C17A1">
        <w:t xml:space="preserve"> at P 1598; </w:t>
      </w:r>
      <w:r w:rsidRPr="008076C6" w:rsidR="008076C6">
        <w:rPr>
          <w:i/>
          <w:iCs/>
        </w:rPr>
        <w:t>Managing Transmission Line Ratings</w:t>
      </w:r>
      <w:r w:rsidRPr="008076C6" w:rsidR="008076C6">
        <w:t xml:space="preserve">, </w:t>
      </w:r>
      <w:r w:rsidRPr="005C17A1">
        <w:t xml:space="preserve">Order No. 881, </w:t>
      </w:r>
      <w:r w:rsidRPr="008076C6" w:rsidR="008076C6">
        <w:t xml:space="preserve">87 FR 2244 (Jan. 13, 2022), </w:t>
      </w:r>
      <w:r w:rsidRPr="005C17A1">
        <w:t>177 FERC 61,179 at P 251</w:t>
      </w:r>
      <w:r w:rsidR="00391421">
        <w:t xml:space="preserve"> (2021)</w:t>
      </w:r>
      <w:r w:rsidRPr="005C17A1">
        <w:t>)</w:t>
      </w:r>
      <w:r>
        <w:t>.</w:t>
      </w:r>
    </w:p>
  </w:footnote>
  <w:footnote w:id="1132">
    <w:p w:rsidR="00760048" w:rsidP="00071614" w14:paraId="44B47C8C" w14:textId="77777777">
      <w:pPr>
        <w:pStyle w:val="FootnoteText"/>
      </w:pPr>
      <w:r w:rsidRPr="0072600F">
        <w:rPr>
          <w:rStyle w:val="FootnoteReference"/>
        </w:rPr>
        <w:footnoteRef/>
      </w:r>
      <w:r>
        <w:t xml:space="preserve"> </w:t>
      </w:r>
      <w:r>
        <w:rPr>
          <w:i/>
          <w:iCs/>
        </w:rPr>
        <w:t>Id</w:t>
      </w:r>
      <w:r w:rsidRPr="00BC1D82">
        <w:t>.</w:t>
      </w:r>
      <w:r>
        <w:t xml:space="preserve"> at </w:t>
      </w:r>
      <w:r w:rsidRPr="005C17A1">
        <w:t>9</w:t>
      </w:r>
      <w:r>
        <w:t>.</w:t>
      </w:r>
    </w:p>
  </w:footnote>
  <w:footnote w:id="1133">
    <w:p w:rsidR="00760048" w:rsidP="00071614" w14:paraId="5B1AD994" w14:textId="77777777">
      <w:pPr>
        <w:pStyle w:val="FootnoteText"/>
      </w:pPr>
      <w:r w:rsidRPr="0072600F">
        <w:rPr>
          <w:rStyle w:val="FootnoteReference"/>
        </w:rPr>
        <w:footnoteRef/>
      </w:r>
      <w:r>
        <w:t xml:space="preserve"> </w:t>
      </w:r>
      <w:r>
        <w:rPr>
          <w:i/>
          <w:iCs/>
        </w:rPr>
        <w:t>Id</w:t>
      </w:r>
      <w:r w:rsidRPr="00BC1D82">
        <w:t>.</w:t>
      </w:r>
      <w:r>
        <w:t xml:space="preserve"> </w:t>
      </w:r>
      <w:r w:rsidRPr="000C70FF">
        <w:t>at 21</w:t>
      </w:r>
      <w:r>
        <w:t>-22</w:t>
      </w:r>
      <w:r w:rsidRPr="000C70FF">
        <w:t>.</w:t>
      </w:r>
    </w:p>
  </w:footnote>
  <w:footnote w:id="1134">
    <w:p w:rsidR="00760048" w:rsidP="00071614" w14:paraId="3019F0FD" w14:textId="77777777">
      <w:pPr>
        <w:pStyle w:val="FootnoteText"/>
      </w:pPr>
      <w:r w:rsidRPr="0072600F">
        <w:rPr>
          <w:rStyle w:val="FootnoteReference"/>
        </w:rPr>
        <w:footnoteRef/>
      </w:r>
      <w:r>
        <w:t xml:space="preserve"> </w:t>
      </w:r>
      <w:bookmarkStart w:id="115" w:name="_Hlk148105803"/>
      <w:r>
        <w:rPr>
          <w:i/>
          <w:iCs/>
        </w:rPr>
        <w:t>Id</w:t>
      </w:r>
      <w:r w:rsidRPr="00BC1D82">
        <w:t>.</w:t>
      </w:r>
      <w:r>
        <w:t xml:space="preserve"> at 22.</w:t>
      </w:r>
      <w:bookmarkEnd w:id="115"/>
    </w:p>
  </w:footnote>
  <w:footnote w:id="1135">
    <w:p w:rsidR="00760048" w14:paraId="6E3ED4CD" w14:textId="77777777">
      <w:pPr>
        <w:pStyle w:val="FootnoteText"/>
      </w:pPr>
      <w:r w:rsidRPr="0072600F">
        <w:rPr>
          <w:rStyle w:val="FootnoteReference"/>
        </w:rPr>
        <w:footnoteRef/>
      </w:r>
      <w:r>
        <w:t xml:space="preserve"> </w:t>
      </w:r>
      <w:r w:rsidRPr="0012356C">
        <w:rPr>
          <w:i/>
          <w:iCs/>
        </w:rPr>
        <w:t>Id</w:t>
      </w:r>
      <w:r w:rsidRPr="0012356C">
        <w:t>. at 22-23</w:t>
      </w:r>
      <w:r>
        <w:t xml:space="preserve"> </w:t>
      </w:r>
      <w:r w:rsidRPr="0012356C">
        <w:t xml:space="preserve">(citing </w:t>
      </w:r>
      <w:r w:rsidRPr="0012356C">
        <w:rPr>
          <w:i/>
          <w:iCs/>
        </w:rPr>
        <w:t>Am</w:t>
      </w:r>
      <w:r w:rsidR="00391421">
        <w:rPr>
          <w:i/>
          <w:iCs/>
        </w:rPr>
        <w:t>.</w:t>
      </w:r>
      <w:r w:rsidRPr="0012356C">
        <w:rPr>
          <w:i/>
          <w:iCs/>
        </w:rPr>
        <w:t xml:space="preserve"> Clean Power Ass’n v. </w:t>
      </w:r>
      <w:r w:rsidR="009E3856">
        <w:rPr>
          <w:i/>
          <w:iCs/>
        </w:rPr>
        <w:t>FERC</w:t>
      </w:r>
      <w:r w:rsidRPr="0012356C">
        <w:t xml:space="preserve">, 54 F.4th 722 (D.C. Cir. 2022) (finding that </w:t>
      </w:r>
      <w:r>
        <w:t xml:space="preserve">the Commission </w:t>
      </w:r>
      <w:r w:rsidRPr="0012356C">
        <w:t>failed to reasonably explain its decision</w:t>
      </w:r>
      <w:r>
        <w:t xml:space="preserve">, noting </w:t>
      </w:r>
      <w:r w:rsidRPr="0012356C">
        <w:t>it gave short shrift to the Petitioner’s concern</w:t>
      </w:r>
      <w:r>
        <w:t>))</w:t>
      </w:r>
      <w:r w:rsidRPr="0012356C">
        <w:t>.</w:t>
      </w:r>
    </w:p>
  </w:footnote>
  <w:footnote w:id="1136">
    <w:p w:rsidR="00760048" w:rsidP="00071614" w14:paraId="7B76B3D5" w14:textId="77777777">
      <w:pPr>
        <w:pStyle w:val="FootnoteText"/>
      </w:pPr>
      <w:r w:rsidRPr="0072600F">
        <w:rPr>
          <w:rStyle w:val="FootnoteReference"/>
        </w:rPr>
        <w:footnoteRef/>
      </w:r>
      <w:r>
        <w:t xml:space="preserve"> </w:t>
      </w:r>
      <w:r>
        <w:rPr>
          <w:i/>
          <w:iCs/>
        </w:rPr>
        <w:t>Id</w:t>
      </w:r>
      <w:r w:rsidRPr="00BC1D82">
        <w:t>.</w:t>
      </w:r>
      <w:r>
        <w:t xml:space="preserve"> at 22</w:t>
      </w:r>
      <w:r w:rsidRPr="0012356C">
        <w:rPr>
          <w:szCs w:val="22"/>
        </w:rPr>
        <w:t xml:space="preserve"> </w:t>
      </w:r>
      <w:r>
        <w:rPr>
          <w:szCs w:val="22"/>
        </w:rPr>
        <w:t>(</w:t>
      </w:r>
      <w:r w:rsidRPr="0012356C">
        <w:t>point</w:t>
      </w:r>
      <w:r>
        <w:t>ing</w:t>
      </w:r>
      <w:r w:rsidRPr="0012356C">
        <w:t xml:space="preserve"> to the background information demonstrating that dynamic line ratings have specific and appreciable value in generator interconnection</w:t>
      </w:r>
      <w:r>
        <w:t>).</w:t>
      </w:r>
    </w:p>
  </w:footnote>
  <w:footnote w:id="1137">
    <w:p w:rsidR="00760048" w:rsidP="00071614" w14:paraId="13DDD9DC" w14:textId="77777777">
      <w:pPr>
        <w:pStyle w:val="FootnoteText"/>
      </w:pPr>
      <w:r w:rsidRPr="0072600F">
        <w:rPr>
          <w:rStyle w:val="FootnoteReference"/>
        </w:rPr>
        <w:footnoteRef/>
      </w:r>
      <w:r>
        <w:t xml:space="preserve"> </w:t>
      </w:r>
      <w:r>
        <w:rPr>
          <w:i/>
          <w:iCs/>
        </w:rPr>
        <w:t>Id</w:t>
      </w:r>
      <w:r w:rsidRPr="00BC1D82">
        <w:t>.</w:t>
      </w:r>
      <w:r>
        <w:t xml:space="preserve"> at </w:t>
      </w:r>
      <w:r w:rsidRPr="007B22D7">
        <w:t>23 (</w:t>
      </w:r>
      <w:r w:rsidR="004678B4">
        <w:t>citin</w:t>
      </w:r>
      <w:r w:rsidRPr="007B22D7" w:rsidR="004678B4">
        <w:t xml:space="preserve">g </w:t>
      </w:r>
      <w:r w:rsidRPr="007B22D7">
        <w:t>Order No. 2023</w:t>
      </w:r>
      <w:r>
        <w:t xml:space="preserve">, </w:t>
      </w:r>
      <w:r w:rsidRPr="00044066">
        <w:rPr>
          <w:szCs w:val="26"/>
        </w:rPr>
        <w:t>1</w:t>
      </w:r>
      <w:r>
        <w:rPr>
          <w:szCs w:val="26"/>
        </w:rPr>
        <w:t>8</w:t>
      </w:r>
      <w:r w:rsidRPr="00044066">
        <w:rPr>
          <w:szCs w:val="26"/>
        </w:rPr>
        <w:t>4 FERC ¶ 61,</w:t>
      </w:r>
      <w:r>
        <w:rPr>
          <w:szCs w:val="26"/>
        </w:rPr>
        <w:t>054</w:t>
      </w:r>
      <w:r w:rsidRPr="007B22D7">
        <w:t xml:space="preserve"> at P 1598).</w:t>
      </w:r>
    </w:p>
  </w:footnote>
  <w:footnote w:id="1138">
    <w:p w:rsidR="00760048" w:rsidP="00071614" w14:paraId="40FB7A8E" w14:textId="77777777">
      <w:pPr>
        <w:pStyle w:val="FootnoteText"/>
      </w:pPr>
      <w:r w:rsidRPr="0072600F">
        <w:rPr>
          <w:rStyle w:val="FootnoteReference"/>
        </w:rPr>
        <w:footnoteRef/>
      </w:r>
      <w:r>
        <w:t xml:space="preserve"> </w:t>
      </w:r>
      <w:r>
        <w:rPr>
          <w:i/>
          <w:iCs/>
        </w:rPr>
        <w:t>Id</w:t>
      </w:r>
      <w:r w:rsidRPr="00BC1D82">
        <w:t>.</w:t>
      </w:r>
    </w:p>
  </w:footnote>
  <w:footnote w:id="1139">
    <w:p w:rsidR="00760048" w:rsidP="00071614" w14:paraId="0A9964D1" w14:textId="77777777">
      <w:pPr>
        <w:pStyle w:val="FootnoteText"/>
      </w:pPr>
      <w:r w:rsidRPr="0072600F">
        <w:rPr>
          <w:rStyle w:val="FootnoteReference"/>
        </w:rPr>
        <w:footnoteRef/>
      </w:r>
      <w:r>
        <w:t xml:space="preserve"> </w:t>
      </w:r>
      <w:r>
        <w:rPr>
          <w:i/>
          <w:iCs/>
        </w:rPr>
        <w:t>Id</w:t>
      </w:r>
      <w:r w:rsidRPr="00BC1D82">
        <w:t>.</w:t>
      </w:r>
      <w:r>
        <w:t xml:space="preserve"> </w:t>
      </w:r>
      <w:r w:rsidRPr="006F6228">
        <w:t>(</w:t>
      </w:r>
      <w:r>
        <w:t xml:space="preserve">citing </w:t>
      </w:r>
      <w:r w:rsidRPr="006F6228">
        <w:t xml:space="preserve">Advanced Energy Economy </w:t>
      </w:r>
      <w:r w:rsidR="009A763C">
        <w:t>NOPR</w:t>
      </w:r>
      <w:r w:rsidRPr="006F6228">
        <w:t xml:space="preserve"> Reply Comments</w:t>
      </w:r>
      <w:r w:rsidR="009A763C">
        <w:t xml:space="preserve"> at 41-42</w:t>
      </w:r>
      <w:r w:rsidRPr="006F6228">
        <w:t>).</w:t>
      </w:r>
    </w:p>
  </w:footnote>
  <w:footnote w:id="1140">
    <w:p w:rsidR="00760048" w14:paraId="39BD677D" w14:textId="77777777">
      <w:pPr>
        <w:pStyle w:val="FootnoteText"/>
      </w:pPr>
      <w:r w:rsidRPr="0072600F">
        <w:rPr>
          <w:rStyle w:val="FootnoteReference"/>
        </w:rPr>
        <w:footnoteRef/>
      </w:r>
      <w:r>
        <w:t xml:space="preserve"> </w:t>
      </w:r>
      <w:r w:rsidRPr="007368E2">
        <w:rPr>
          <w:i/>
          <w:iCs/>
        </w:rPr>
        <w:t>Id.</w:t>
      </w:r>
      <w:r>
        <w:t xml:space="preserve"> at 23-24.</w:t>
      </w:r>
    </w:p>
  </w:footnote>
  <w:footnote w:id="1141">
    <w:p w:rsidR="00760048" w:rsidP="00071614" w14:paraId="3237FDC7" w14:textId="77777777">
      <w:pPr>
        <w:pStyle w:val="FootnoteText"/>
      </w:pPr>
      <w:r w:rsidRPr="0072600F">
        <w:rPr>
          <w:rStyle w:val="FootnoteReference"/>
        </w:rPr>
        <w:footnoteRef/>
      </w:r>
      <w:r>
        <w:t xml:space="preserve"> Clean Energy Associations Rehearing Request at 44.</w:t>
      </w:r>
    </w:p>
  </w:footnote>
  <w:footnote w:id="1142">
    <w:p w:rsidR="00760048" w:rsidP="00071614" w14:paraId="290F8D31" w14:textId="77777777">
      <w:pPr>
        <w:pStyle w:val="FootnoteText"/>
      </w:pPr>
      <w:r w:rsidRPr="0072600F">
        <w:rPr>
          <w:rStyle w:val="FootnoteReference"/>
        </w:rPr>
        <w:footnoteRef/>
      </w:r>
      <w:r>
        <w:t xml:space="preserve"> </w:t>
      </w:r>
      <w:r>
        <w:rPr>
          <w:i/>
          <w:iCs/>
        </w:rPr>
        <w:t>Id</w:t>
      </w:r>
      <w:r w:rsidRPr="00BC1D82">
        <w:t>.</w:t>
      </w:r>
      <w:r>
        <w:t xml:space="preserve"> at 42-43</w:t>
      </w:r>
      <w:r w:rsidRPr="003F7BF9">
        <w:rPr>
          <w:szCs w:val="22"/>
        </w:rPr>
        <w:t xml:space="preserve"> </w:t>
      </w:r>
      <w:r>
        <w:rPr>
          <w:szCs w:val="22"/>
        </w:rPr>
        <w:t>(</w:t>
      </w:r>
      <w:r w:rsidRPr="003F7BF9">
        <w:t>citing Order No. 2023</w:t>
      </w:r>
      <w:r>
        <w:t xml:space="preserve">, </w:t>
      </w:r>
      <w:r w:rsidRPr="00044066">
        <w:rPr>
          <w:szCs w:val="26"/>
        </w:rPr>
        <w:t>1</w:t>
      </w:r>
      <w:r>
        <w:rPr>
          <w:szCs w:val="26"/>
        </w:rPr>
        <w:t>8</w:t>
      </w:r>
      <w:r w:rsidRPr="00044066">
        <w:rPr>
          <w:szCs w:val="26"/>
        </w:rPr>
        <w:t>4 FERC ¶ 61,</w:t>
      </w:r>
      <w:r>
        <w:rPr>
          <w:szCs w:val="26"/>
        </w:rPr>
        <w:t>054</w:t>
      </w:r>
      <w:r w:rsidRPr="003F7BF9">
        <w:t xml:space="preserve"> at PP 1582, 1584</w:t>
      </w:r>
      <w:r>
        <w:t>).</w:t>
      </w:r>
    </w:p>
  </w:footnote>
  <w:footnote w:id="1143">
    <w:p w:rsidR="00760048" w:rsidP="00071614" w14:paraId="54A858BB" w14:textId="77777777">
      <w:pPr>
        <w:pStyle w:val="FootnoteText"/>
      </w:pPr>
      <w:r w:rsidRPr="0072600F">
        <w:rPr>
          <w:rStyle w:val="FootnoteReference"/>
        </w:rPr>
        <w:footnoteRef/>
      </w:r>
      <w:r>
        <w:t xml:space="preserve"> </w:t>
      </w:r>
      <w:r>
        <w:rPr>
          <w:i/>
          <w:iCs/>
        </w:rPr>
        <w:t>Id</w:t>
      </w:r>
      <w:r w:rsidRPr="00BC1D82">
        <w:t>.</w:t>
      </w:r>
      <w:r>
        <w:t xml:space="preserve"> at 43-44.</w:t>
      </w:r>
    </w:p>
  </w:footnote>
  <w:footnote w:id="1144">
    <w:p w:rsidR="00760048" w:rsidRPr="00044066" w:rsidP="00071614" w14:paraId="5960E628" w14:textId="77777777">
      <w:pPr>
        <w:pStyle w:val="FootnoteText"/>
        <w:rPr>
          <w:szCs w:val="26"/>
        </w:rPr>
      </w:pPr>
      <w:r w:rsidRPr="0072600F">
        <w:rPr>
          <w:rStyle w:val="FootnoteReference"/>
        </w:rPr>
        <w:footnoteRef/>
      </w:r>
      <w:r w:rsidRPr="00044066">
        <w:rPr>
          <w:szCs w:val="26"/>
        </w:rPr>
        <w:t xml:space="preserve"> </w:t>
      </w:r>
      <w:r>
        <w:rPr>
          <w:szCs w:val="26"/>
        </w:rPr>
        <w:t xml:space="preserve">Order No. 2023, </w:t>
      </w:r>
      <w:r w:rsidRPr="00044066">
        <w:rPr>
          <w:szCs w:val="26"/>
        </w:rPr>
        <w:t>1</w:t>
      </w:r>
      <w:r>
        <w:rPr>
          <w:szCs w:val="26"/>
        </w:rPr>
        <w:t>8</w:t>
      </w:r>
      <w:r w:rsidRPr="00044066">
        <w:rPr>
          <w:szCs w:val="26"/>
        </w:rPr>
        <w:t>4 FERC ¶ 61,</w:t>
      </w:r>
      <w:r>
        <w:rPr>
          <w:szCs w:val="26"/>
        </w:rPr>
        <w:t xml:space="preserve">054 at P 1583 (citing </w:t>
      </w:r>
      <w:r w:rsidRPr="00044066">
        <w:rPr>
          <w:szCs w:val="26"/>
        </w:rPr>
        <w:t>NOPR, 179 FERC ¶ 61,194 at PP 294-295</w:t>
      </w:r>
      <w:r>
        <w:rPr>
          <w:szCs w:val="26"/>
        </w:rPr>
        <w:t>)</w:t>
      </w:r>
      <w:r w:rsidRPr="00044066">
        <w:rPr>
          <w:szCs w:val="26"/>
        </w:rPr>
        <w:t>.</w:t>
      </w:r>
    </w:p>
  </w:footnote>
  <w:footnote w:id="1145">
    <w:p w:rsidR="00760048" w:rsidP="00071614" w14:paraId="756A7FC5" w14:textId="77777777">
      <w:pPr>
        <w:pStyle w:val="FootnoteText"/>
      </w:pPr>
      <w:r w:rsidRPr="0072600F">
        <w:rPr>
          <w:rStyle w:val="FootnoteReference"/>
        </w:rPr>
        <w:footnoteRef/>
      </w:r>
      <w:r>
        <w:t xml:space="preserve"> </w:t>
      </w:r>
      <w:r>
        <w:rPr>
          <w:i/>
          <w:iCs/>
        </w:rPr>
        <w:t>Id</w:t>
      </w:r>
      <w:r w:rsidRPr="00BC1D82">
        <w:t>.</w:t>
      </w:r>
      <w:r>
        <w:t xml:space="preserve"> P 1587 (citing </w:t>
      </w:r>
      <w:r w:rsidRPr="0066310C">
        <w:t>SPP Initial Comments at 26 (“Even though the Commission has stated that transmission providers retain the discretion regarding whether to use such technologies, the very fact that the transmission provider is required to evaluate them will lead to disputes if the transmission provider then exercises that discretion.”)</w:t>
      </w:r>
      <w:r>
        <w:t>)</w:t>
      </w:r>
      <w:r w:rsidRPr="0066310C">
        <w:t>.</w:t>
      </w:r>
    </w:p>
  </w:footnote>
  <w:footnote w:id="1146">
    <w:p w:rsidR="00760048" w:rsidP="00071614" w14:paraId="11B49058" w14:textId="77777777">
      <w:pPr>
        <w:pStyle w:val="FootnoteText"/>
      </w:pPr>
      <w:r w:rsidRPr="0072600F">
        <w:rPr>
          <w:rStyle w:val="FootnoteReference"/>
        </w:rPr>
        <w:footnoteRef/>
      </w:r>
      <w:r>
        <w:t xml:space="preserve"> </w:t>
      </w:r>
      <w:r>
        <w:rPr>
          <w:i/>
          <w:iCs/>
        </w:rPr>
        <w:t>Id</w:t>
      </w:r>
      <w:r w:rsidRPr="00BC1D82">
        <w:t>.</w:t>
      </w:r>
      <w:r>
        <w:t xml:space="preserve"> PP 1578, 1579, 1581, 1587, 1590. </w:t>
      </w:r>
    </w:p>
  </w:footnote>
  <w:footnote w:id="1147">
    <w:p w:rsidR="00760048" w14:paraId="57124979" w14:textId="77777777">
      <w:pPr>
        <w:pStyle w:val="FootnoteText"/>
      </w:pPr>
      <w:r w:rsidRPr="0072600F">
        <w:rPr>
          <w:rStyle w:val="FootnoteReference"/>
        </w:rPr>
        <w:footnoteRef/>
      </w:r>
      <w:r>
        <w:t xml:space="preserve"> </w:t>
      </w:r>
      <w:r>
        <w:rPr>
          <w:i/>
          <w:iCs/>
        </w:rPr>
        <w:t>Id</w:t>
      </w:r>
      <w:r w:rsidRPr="00BC1D82">
        <w:t>.</w:t>
      </w:r>
      <w:r>
        <w:t xml:space="preserve"> P 1764.</w:t>
      </w:r>
    </w:p>
  </w:footnote>
  <w:footnote w:id="1148">
    <w:p w:rsidR="0063362D" w:rsidRPr="0063362D" w14:paraId="73998810" w14:textId="77777777">
      <w:pPr>
        <w:pStyle w:val="FootnoteText"/>
      </w:pPr>
      <w:r>
        <w:rPr>
          <w:rStyle w:val="FootnoteReference"/>
        </w:rPr>
        <w:footnoteRef/>
      </w:r>
      <w:r>
        <w:t xml:space="preserve"> </w:t>
      </w:r>
      <w:r>
        <w:rPr>
          <w:i/>
          <w:iCs/>
        </w:rPr>
        <w:t xml:space="preserve">Id. </w:t>
      </w:r>
      <w:r>
        <w:t>P 1589.</w:t>
      </w:r>
    </w:p>
  </w:footnote>
  <w:footnote w:id="1149">
    <w:p w:rsidR="005A1D9E" w:rsidRPr="005A1D9E" w14:paraId="6405B73C" w14:textId="77777777">
      <w:pPr>
        <w:pStyle w:val="FootnoteText"/>
      </w:pPr>
      <w:r>
        <w:rPr>
          <w:rStyle w:val="FootnoteReference"/>
        </w:rPr>
        <w:footnoteRef/>
      </w:r>
      <w:r>
        <w:t xml:space="preserve"> </w:t>
      </w:r>
      <w:r>
        <w:rPr>
          <w:i/>
          <w:iCs/>
        </w:rPr>
        <w:t xml:space="preserve">Id. </w:t>
      </w:r>
      <w:r>
        <w:t>P 1587.</w:t>
      </w:r>
    </w:p>
  </w:footnote>
  <w:footnote w:id="1150">
    <w:p w:rsidR="00760048" w:rsidP="00071614" w14:paraId="4A536884" w14:textId="77777777">
      <w:pPr>
        <w:pStyle w:val="FootnoteText"/>
      </w:pPr>
      <w:r w:rsidRPr="0072600F">
        <w:rPr>
          <w:rStyle w:val="FootnoteReference"/>
        </w:rPr>
        <w:footnoteRef/>
      </w:r>
      <w:r>
        <w:t xml:space="preserve"> </w:t>
      </w:r>
      <w:r>
        <w:rPr>
          <w:i/>
          <w:iCs/>
        </w:rPr>
        <w:t>Id</w:t>
      </w:r>
      <w:r w:rsidRPr="00BC1D82">
        <w:t>.</w:t>
      </w:r>
      <w:r w:rsidR="005A1D9E">
        <w:t xml:space="preserve"> P 1764.</w:t>
      </w:r>
    </w:p>
  </w:footnote>
  <w:footnote w:id="1151">
    <w:p w:rsidR="00760048" w:rsidP="00071614" w14:paraId="7CDD631F" w14:textId="77777777">
      <w:pPr>
        <w:pStyle w:val="FootnoteText"/>
      </w:pPr>
      <w:r w:rsidRPr="0072600F">
        <w:rPr>
          <w:rStyle w:val="FootnoteReference"/>
        </w:rPr>
        <w:footnoteRef/>
      </w:r>
      <w:r>
        <w:rPr>
          <w:rStyle w:val="FootnoteReference"/>
        </w:rPr>
        <w:t xml:space="preserve"> </w:t>
      </w:r>
      <w:r w:rsidRPr="002739E3">
        <w:rPr>
          <w:i/>
        </w:rPr>
        <w:t xml:space="preserve">See </w:t>
      </w:r>
      <w:r w:rsidRPr="002739E3">
        <w:rPr>
          <w:i/>
        </w:rPr>
        <w:t>infra</w:t>
      </w:r>
      <w:r>
        <w:t xml:space="preserve"> PP</w:t>
      </w:r>
      <w:r w:rsidRPr="00CE29A0">
        <w:t xml:space="preserve"> </w:t>
      </w:r>
      <w:r w:rsidR="0087047C">
        <w:fldChar w:fldCharType="begin"/>
      </w:r>
      <w:r w:rsidR="0087047C">
        <w:instrText xml:space="preserve"> REF _Ref161764354 \r \h </w:instrText>
      </w:r>
      <w:r w:rsidR="0087047C">
        <w:fldChar w:fldCharType="separate"/>
      </w:r>
      <w:r w:rsidR="0087047C">
        <w:t>621</w:t>
      </w:r>
      <w:r w:rsidR="0087047C">
        <w:fldChar w:fldCharType="end"/>
      </w:r>
      <w:r w:rsidR="0087047C">
        <w:t>-</w:t>
      </w:r>
      <w:r w:rsidR="0087047C">
        <w:fldChar w:fldCharType="begin"/>
      </w:r>
      <w:r w:rsidR="0087047C">
        <w:instrText xml:space="preserve"> REF _Ref161764360 \r \h </w:instrText>
      </w:r>
      <w:r w:rsidR="0087047C">
        <w:fldChar w:fldCharType="separate"/>
      </w:r>
      <w:r w:rsidR="0087047C">
        <w:t>627</w:t>
      </w:r>
      <w:r w:rsidR="0087047C">
        <w:fldChar w:fldCharType="end"/>
      </w:r>
      <w:r>
        <w:fldChar w:fldCharType="begin"/>
      </w:r>
      <w:r>
        <w:instrText xml:space="preserve"> REF _Ref160729859 \r \h </w:instrText>
      </w:r>
      <w:r w:rsidR="00BE439E">
        <w:fldChar w:fldCharType="separate"/>
      </w:r>
      <w:r>
        <w:fldChar w:fldCharType="end"/>
      </w:r>
      <w:r>
        <w:t>.</w:t>
      </w:r>
    </w:p>
  </w:footnote>
  <w:footnote w:id="1152">
    <w:p w:rsidR="005A1D9E" w14:paraId="54308DED" w14:textId="77777777">
      <w:pPr>
        <w:pStyle w:val="FootnoteText"/>
      </w:pPr>
      <w:r>
        <w:rPr>
          <w:rStyle w:val="FootnoteReference"/>
        </w:rPr>
        <w:footnoteRef/>
      </w:r>
      <w:r>
        <w:t xml:space="preserve"> </w:t>
      </w:r>
      <w:r w:rsidR="006C2DBD">
        <w:rPr>
          <w:i/>
          <w:iCs/>
        </w:rPr>
        <w:t>See</w:t>
      </w:r>
      <w:r w:rsidR="00FB1CC3">
        <w:rPr>
          <w:i/>
          <w:iCs/>
        </w:rPr>
        <w:t>, e.g.,</w:t>
      </w:r>
      <w:r w:rsidR="006C2DBD">
        <w:rPr>
          <w:i/>
          <w:iCs/>
        </w:rPr>
        <w:t xml:space="preserve"> </w:t>
      </w:r>
      <w:r w:rsidRPr="005A1D9E">
        <w:rPr>
          <w:i/>
          <w:iCs/>
        </w:rPr>
        <w:t>S</w:t>
      </w:r>
      <w:r w:rsidR="00FB1CC3">
        <w:rPr>
          <w:i/>
          <w:iCs/>
        </w:rPr>
        <w:t>w.</w:t>
      </w:r>
      <w:r w:rsidRPr="005A1D9E">
        <w:rPr>
          <w:i/>
          <w:iCs/>
        </w:rPr>
        <w:t xml:space="preserve"> Power Pool, Inc.</w:t>
      </w:r>
      <w:r w:rsidRPr="005A1D9E">
        <w:t xml:space="preserve">, 171 FERC ¶ 61,068, </w:t>
      </w:r>
      <w:r w:rsidRPr="005A1D9E">
        <w:rPr>
          <w:i/>
          <w:iCs/>
        </w:rPr>
        <w:t>order on reh’g</w:t>
      </w:r>
      <w:r w:rsidRPr="005A1D9E">
        <w:t>, 172</w:t>
      </w:r>
      <w:r w:rsidR="00FB1CC3">
        <w:t xml:space="preserve"> </w:t>
      </w:r>
      <w:r w:rsidRPr="005A1D9E">
        <w:t>FERC ¶ 61,286 (2020)</w:t>
      </w:r>
      <w:r>
        <w:t>.</w:t>
      </w:r>
    </w:p>
  </w:footnote>
  <w:footnote w:id="1153">
    <w:p w:rsidR="00760048" w:rsidP="00071614" w14:paraId="65C1AC11" w14:textId="77777777">
      <w:pPr>
        <w:pStyle w:val="FootnoteText"/>
      </w:pPr>
      <w:r w:rsidRPr="0072600F">
        <w:rPr>
          <w:rStyle w:val="FootnoteReference"/>
        </w:rPr>
        <w:footnoteRef/>
      </w:r>
      <w:r>
        <w:t xml:space="preserve"> </w:t>
      </w:r>
      <w:r w:rsidRPr="00A15EA2">
        <w:t>Order No. 2003-A,</w:t>
      </w:r>
      <w:r w:rsidRPr="00B23DF6">
        <w:t xml:space="preserve"> 106 FERC ¶ 61,220 at P 404; </w:t>
      </w:r>
      <w:r w:rsidRPr="00B23DF6">
        <w:rPr>
          <w:i/>
          <w:iCs/>
        </w:rPr>
        <w:t>pro forma</w:t>
      </w:r>
      <w:r w:rsidRPr="00B23DF6">
        <w:t xml:space="preserve"> LGIA art. 9.3 (“Transmission Provider shall cause the Transmission System and the Transmission Provider’s Interconnection Facilities to be operated, maintained and controlled in a safe and reliable manner and in accordance with this LGIA”); </w:t>
      </w:r>
      <w:r w:rsidRPr="00B23DF6">
        <w:rPr>
          <w:i/>
          <w:iCs/>
        </w:rPr>
        <w:t>Interconnection for Wind Energy</w:t>
      </w:r>
      <w:r w:rsidRPr="0071771C">
        <w:t xml:space="preserve">, 111 FERC </w:t>
      </w:r>
      <w:r>
        <w:t>¶</w:t>
      </w:r>
      <w:r w:rsidRPr="0071771C">
        <w:t xml:space="preserve"> 61,353, at P51, </w:t>
      </w:r>
      <w:r w:rsidRPr="00B23DF6">
        <w:rPr>
          <w:i/>
          <w:iCs/>
        </w:rPr>
        <w:t>reh’g granted in part on other grounds</w:t>
      </w:r>
      <w:r w:rsidRPr="0071771C">
        <w:t xml:space="preserve">, 113 FERC </w:t>
      </w:r>
      <w:r>
        <w:t>¶</w:t>
      </w:r>
      <w:r w:rsidRPr="0071771C">
        <w:t xml:space="preserve"> 61</w:t>
      </w:r>
      <w:r>
        <w:t>,</w:t>
      </w:r>
      <w:r w:rsidRPr="0071771C">
        <w:t xml:space="preserve">254 (2005) (“because the Transmission Provider is responsible for the safe and reliable operation of its transmission system (pursuant to NERC and regional reliability council standards), it is in the best position to establish if reactive power is needed in individual circumstances”); </w:t>
      </w:r>
      <w:r w:rsidRPr="0071771C">
        <w:rPr>
          <w:i/>
          <w:iCs/>
        </w:rPr>
        <w:t>Big Sandy Peaker Plant, LLC v. PJM Interconnection, L.L.C.</w:t>
      </w:r>
      <w:r w:rsidRPr="0071771C">
        <w:t>, 154 FERC ¶ 61,216, at P 50 (2016) (the Commission gives “reliability-related discretion to [ISOs], and [will] not second-guess their decisions in that regard”).</w:t>
      </w:r>
    </w:p>
  </w:footnote>
  <w:footnote w:id="1154">
    <w:p w:rsidR="00760048" w:rsidP="00071614" w14:paraId="51F2E264" w14:textId="77777777">
      <w:pPr>
        <w:pStyle w:val="FootnoteText"/>
      </w:pPr>
      <w:r w:rsidRPr="0072600F">
        <w:rPr>
          <w:rStyle w:val="FootnoteReference"/>
        </w:rPr>
        <w:footnoteRef/>
      </w:r>
      <w:r>
        <w:t xml:space="preserve"> </w:t>
      </w:r>
      <w:r w:rsidRPr="00BB7D7D">
        <w:t xml:space="preserve">Order No. 2023, 184 FERC ¶ 61,054 at </w:t>
      </w:r>
      <w:r>
        <w:t>PP 1582, 1584, 1589</w:t>
      </w:r>
      <w:r w:rsidRPr="00392386">
        <w:t>.</w:t>
      </w:r>
    </w:p>
  </w:footnote>
  <w:footnote w:id="1155">
    <w:p w:rsidR="00760048" w:rsidP="00071614" w14:paraId="6DE3E47A" w14:textId="77777777">
      <w:pPr>
        <w:pStyle w:val="FootnoteText"/>
      </w:pPr>
      <w:r w:rsidRPr="0072600F">
        <w:rPr>
          <w:rStyle w:val="FootnoteReference"/>
        </w:rPr>
        <w:footnoteRef/>
      </w:r>
      <w:r>
        <w:t xml:space="preserve"> </w:t>
      </w:r>
      <w:r w:rsidRPr="00B40403">
        <w:rPr>
          <w:i/>
          <w:iCs/>
        </w:rPr>
        <w:t>See, e.g.</w:t>
      </w:r>
      <w:r w:rsidRPr="00B40403">
        <w:t xml:space="preserve">, Reliability Standard TOP-001-5, “Transmission Operations,” which requires each Transmission Operator to act to maintain the reliability of its Transmission Operator Area; </w:t>
      </w:r>
      <w:r w:rsidRPr="00B23DF6">
        <w:rPr>
          <w:i/>
          <w:iCs/>
        </w:rPr>
        <w:t>see also</w:t>
      </w:r>
      <w:r w:rsidRPr="00B40403">
        <w:t xml:space="preserve"> </w:t>
      </w:r>
      <w:r w:rsidRPr="00B23DF6">
        <w:rPr>
          <w:i/>
          <w:iCs/>
        </w:rPr>
        <w:t>Interconnection for Wind Energy</w:t>
      </w:r>
      <w:r w:rsidRPr="00B40403">
        <w:t>, 1</w:t>
      </w:r>
      <w:r w:rsidRPr="00C85F1D">
        <w:t xml:space="preserve">13 FERC </w:t>
      </w:r>
      <w:r w:rsidRPr="00B40403">
        <w:t xml:space="preserve">¶ </w:t>
      </w:r>
      <w:r w:rsidRPr="00C85F1D">
        <w:t>61</w:t>
      </w:r>
      <w:r w:rsidRPr="00B40403">
        <w:t>,</w:t>
      </w:r>
      <w:r w:rsidRPr="00C85F1D">
        <w:t>254</w:t>
      </w:r>
      <w:r w:rsidRPr="00B40403">
        <w:t>, at P 42 (</w:t>
      </w:r>
      <w:r w:rsidRPr="00C85F1D">
        <w:t>2005</w:t>
      </w:r>
      <w:r w:rsidRPr="00B40403">
        <w:t>) (“Transmission Providers are required to complete a detailed System Impact Study, and are required to ensure that NERC reliability standards are met in all instances.”).</w:t>
      </w:r>
    </w:p>
  </w:footnote>
  <w:footnote w:id="1156">
    <w:p w:rsidR="00760048" w:rsidRPr="00584B67" w:rsidP="00071614" w14:paraId="5AC10777" w14:textId="77777777">
      <w:pPr>
        <w:pStyle w:val="FootnoteText"/>
      </w:pPr>
      <w:r w:rsidRPr="0072600F">
        <w:rPr>
          <w:rStyle w:val="FootnoteReference"/>
        </w:rPr>
        <w:footnoteRef/>
      </w:r>
      <w:r>
        <w:t xml:space="preserve"> </w:t>
      </w:r>
      <w:r w:rsidRPr="007C211E">
        <w:t xml:space="preserve">Order No. 2023, 184 FERC ¶ 61,054 at </w:t>
      </w:r>
      <w:r w:rsidRPr="00584B67">
        <w:t xml:space="preserve">P </w:t>
      </w:r>
      <w:r w:rsidRPr="006E6777">
        <w:t>1582</w:t>
      </w:r>
      <w:r w:rsidRPr="00584B67">
        <w:t xml:space="preserve"> (citing Order No. 2003, 104 FERC ¶ 61,103 at P 767; Order No. 2003-A, 106 FERC ¶ 61,220 at P 404; </w:t>
      </w:r>
      <w:r w:rsidRPr="00584B67">
        <w:rPr>
          <w:i/>
          <w:iCs/>
        </w:rPr>
        <w:t>pro forma</w:t>
      </w:r>
      <w:r w:rsidRPr="00584B67">
        <w:t xml:space="preserve"> LGIA arts. 9.3, 9.4).</w:t>
      </w:r>
    </w:p>
  </w:footnote>
  <w:footnote w:id="1157">
    <w:p w:rsidR="00760048" w14:paraId="3A4856D8" w14:textId="77777777">
      <w:pPr>
        <w:pStyle w:val="FootnoteText"/>
      </w:pPr>
      <w:r w:rsidRPr="0072600F">
        <w:rPr>
          <w:rStyle w:val="FootnoteReference"/>
        </w:rPr>
        <w:footnoteRef/>
      </w:r>
      <w:r>
        <w:t xml:space="preserve"> </w:t>
      </w:r>
      <w:r w:rsidR="00E04A17">
        <w:rPr>
          <w:i/>
          <w:iCs/>
        </w:rPr>
        <w:t>Id</w:t>
      </w:r>
      <w:r w:rsidRPr="00BC1D82" w:rsidR="00E04A17">
        <w:t>.</w:t>
      </w:r>
      <w:r>
        <w:t xml:space="preserve"> </w:t>
      </w:r>
      <w:r w:rsidRPr="002523B4">
        <w:t>PP 1578, 1580, 1582, 1584, 1587, 1589</w:t>
      </w:r>
      <w:r>
        <w:t>.  Below, we discuss modifying this standard to refer to “</w:t>
      </w:r>
      <w:r>
        <w:rPr>
          <w:bCs/>
        </w:rPr>
        <w:t>a</w:t>
      </w:r>
      <w:r w:rsidRPr="008F3D1F">
        <w:rPr>
          <w:bCs/>
        </w:rPr>
        <w:t xml:space="preserve">pplicable </w:t>
      </w:r>
      <w:r>
        <w:rPr>
          <w:bCs/>
        </w:rPr>
        <w:t>l</w:t>
      </w:r>
      <w:r w:rsidRPr="008F3D1F">
        <w:rPr>
          <w:bCs/>
        </w:rPr>
        <w:t xml:space="preserve">aws and </w:t>
      </w:r>
      <w:r>
        <w:rPr>
          <w:bCs/>
        </w:rPr>
        <w:t>r</w:t>
      </w:r>
      <w:r w:rsidRPr="008F3D1F">
        <w:rPr>
          <w:bCs/>
        </w:rPr>
        <w:t>egulations</w:t>
      </w:r>
      <w:r>
        <w:rPr>
          <w:bCs/>
        </w:rPr>
        <w:t>” rather than “</w:t>
      </w:r>
      <w:r w:rsidRPr="008F3D1F">
        <w:rPr>
          <w:bCs/>
        </w:rPr>
        <w:t>other applicable regulatory requirements</w:t>
      </w:r>
      <w:r w:rsidRPr="00202545">
        <w:rPr>
          <w:bCs/>
        </w:rPr>
        <w:t xml:space="preserve">.”  </w:t>
      </w:r>
      <w:r w:rsidRPr="00202545">
        <w:rPr>
          <w:i/>
        </w:rPr>
        <w:t>See infra</w:t>
      </w:r>
      <w:r w:rsidRPr="00202545">
        <w:t xml:space="preserve"> P</w:t>
      </w:r>
      <w:r w:rsidR="00D91F89">
        <w:t>P</w:t>
      </w:r>
      <w:r w:rsidRPr="00202545">
        <w:t xml:space="preserve"> </w:t>
      </w:r>
      <w:r w:rsidR="0087047C">
        <w:fldChar w:fldCharType="begin"/>
      </w:r>
      <w:r w:rsidR="0087047C">
        <w:instrText xml:space="preserve"> REF _Ref160729885 \r \h </w:instrText>
      </w:r>
      <w:r w:rsidR="0087047C">
        <w:fldChar w:fldCharType="separate"/>
      </w:r>
      <w:r w:rsidR="0087047C">
        <w:t>624</w:t>
      </w:r>
      <w:r w:rsidR="0087047C">
        <w:fldChar w:fldCharType="end"/>
      </w:r>
      <w:r w:rsidR="0087047C">
        <w:t xml:space="preserve">, </w:t>
      </w:r>
      <w:r w:rsidR="0087047C">
        <w:fldChar w:fldCharType="begin"/>
      </w:r>
      <w:r w:rsidR="0087047C">
        <w:instrText xml:space="preserve"> REF _Ref161764487 \r \h </w:instrText>
      </w:r>
      <w:r w:rsidR="0087047C">
        <w:fldChar w:fldCharType="separate"/>
      </w:r>
      <w:r w:rsidR="0087047C">
        <w:t>626</w:t>
      </w:r>
      <w:r w:rsidR="0087047C">
        <w:fldChar w:fldCharType="end"/>
      </w:r>
      <w:r w:rsidR="0087047C">
        <w:t>-</w:t>
      </w:r>
      <w:r w:rsidR="0087047C">
        <w:fldChar w:fldCharType="begin"/>
      </w:r>
      <w:r w:rsidR="0087047C">
        <w:instrText xml:space="preserve"> REF _Ref161764360 \r \h </w:instrText>
      </w:r>
      <w:r w:rsidR="0087047C">
        <w:fldChar w:fldCharType="separate"/>
      </w:r>
      <w:r w:rsidR="0087047C">
        <w:t>627</w:t>
      </w:r>
      <w:r w:rsidR="0087047C">
        <w:fldChar w:fldCharType="end"/>
      </w:r>
      <w:r w:rsidRPr="00202545">
        <w:fldChar w:fldCharType="begin"/>
      </w:r>
      <w:r w:rsidRPr="00202545">
        <w:instrText xml:space="preserve"> REF _Ref160729885 \r \h </w:instrText>
      </w:r>
      <w:r>
        <w:instrText xml:space="preserve"> \* MERGEFORMAT </w:instrText>
      </w:r>
      <w:r w:rsidR="00BE439E">
        <w:fldChar w:fldCharType="separate"/>
      </w:r>
      <w:r w:rsidRPr="00202545">
        <w:fldChar w:fldCharType="end"/>
      </w:r>
      <w:r w:rsidRPr="00202545">
        <w:rPr>
          <w:bCs/>
        </w:rPr>
        <w:t>.</w:t>
      </w:r>
      <w:r w:rsidR="007209C9">
        <w:rPr>
          <w:bCs/>
        </w:rPr>
        <w:t xml:space="preserve"> </w:t>
      </w:r>
    </w:p>
  </w:footnote>
  <w:footnote w:id="1158">
    <w:p w:rsidR="00760048" w:rsidRPr="00EB2614" w:rsidP="00071614" w14:paraId="0438648E" w14:textId="77777777">
      <w:pPr>
        <w:pStyle w:val="FootnoteText"/>
      </w:pPr>
      <w:r w:rsidRPr="0072600F">
        <w:rPr>
          <w:rStyle w:val="FootnoteReference"/>
        </w:rPr>
        <w:footnoteRef/>
      </w:r>
      <w:r>
        <w:t xml:space="preserve"> </w:t>
      </w:r>
      <w:r w:rsidRPr="002523B4">
        <w:rPr>
          <w:i/>
          <w:iCs/>
        </w:rPr>
        <w:t>Pro forma</w:t>
      </w:r>
      <w:r>
        <w:t xml:space="preserve"> LGIP section 1 (Definitions).</w:t>
      </w:r>
    </w:p>
  </w:footnote>
  <w:footnote w:id="1159">
    <w:p w:rsidR="00760048" w:rsidP="00071614" w14:paraId="02764506" w14:textId="77777777">
      <w:pPr>
        <w:pStyle w:val="FootnoteText"/>
      </w:pPr>
      <w:r w:rsidRPr="0072600F">
        <w:rPr>
          <w:rStyle w:val="FootnoteReference"/>
        </w:rPr>
        <w:footnoteRef/>
      </w:r>
      <w:r>
        <w:t xml:space="preserve"> </w:t>
      </w:r>
      <w:r w:rsidRPr="00433EEE">
        <w:rPr>
          <w:i/>
        </w:rPr>
        <w:t>Pro forma</w:t>
      </w:r>
      <w:r>
        <w:t xml:space="preserve"> </w:t>
      </w:r>
      <w:r w:rsidRPr="005B1383">
        <w:t xml:space="preserve">SGIP </w:t>
      </w:r>
      <w:r>
        <w:t>attach. 1 (Glossary of Terms).</w:t>
      </w:r>
      <w:r w:rsidRPr="005B1383">
        <w:t xml:space="preserve"> </w:t>
      </w:r>
    </w:p>
  </w:footnote>
  <w:footnote w:id="1160">
    <w:p w:rsidR="00760048" w:rsidRPr="00EB2614" w:rsidP="00071614" w14:paraId="0E42BBD1" w14:textId="77777777">
      <w:pPr>
        <w:pStyle w:val="FootnoteText"/>
      </w:pPr>
      <w:r w:rsidRPr="0072600F">
        <w:rPr>
          <w:rStyle w:val="FootnoteReference"/>
        </w:rPr>
        <w:footnoteRef/>
      </w:r>
      <w:r>
        <w:t xml:space="preserve"> </w:t>
      </w:r>
      <w:r w:rsidRPr="002523B4">
        <w:rPr>
          <w:i/>
          <w:iCs/>
        </w:rPr>
        <w:t>Pro forma</w:t>
      </w:r>
      <w:r>
        <w:t xml:space="preserve"> LGIP section 1 (Definitions).</w:t>
      </w:r>
    </w:p>
  </w:footnote>
  <w:footnote w:id="1161">
    <w:p w:rsidR="00760048" w:rsidP="00071614" w14:paraId="312C0317" w14:textId="77777777">
      <w:pPr>
        <w:pStyle w:val="FootnoteText"/>
      </w:pPr>
      <w:r w:rsidRPr="0072600F">
        <w:rPr>
          <w:rStyle w:val="FootnoteReference"/>
        </w:rPr>
        <w:footnoteRef/>
      </w:r>
      <w:r>
        <w:t xml:space="preserve"> </w:t>
      </w:r>
      <w:r w:rsidRPr="00135CE2">
        <w:rPr>
          <w:i/>
          <w:iCs/>
        </w:rPr>
        <w:t xml:space="preserve">See </w:t>
      </w:r>
      <w:r>
        <w:rPr>
          <w:i/>
          <w:iCs/>
        </w:rPr>
        <w:t>id.</w:t>
      </w:r>
    </w:p>
  </w:footnote>
  <w:footnote w:id="1162">
    <w:p w:rsidR="00760048" w:rsidP="00071614" w14:paraId="007F62C0" w14:textId="77777777">
      <w:pPr>
        <w:pStyle w:val="FootnoteText"/>
      </w:pPr>
      <w:r w:rsidRPr="0072600F">
        <w:rPr>
          <w:rStyle w:val="FootnoteReference"/>
        </w:rPr>
        <w:footnoteRef/>
      </w:r>
      <w:r>
        <w:t xml:space="preserve"> </w:t>
      </w:r>
      <w:r w:rsidRPr="00135CE2">
        <w:rPr>
          <w:i/>
          <w:iCs/>
        </w:rPr>
        <w:t xml:space="preserve">See </w:t>
      </w:r>
      <w:r>
        <w:rPr>
          <w:i/>
          <w:iCs/>
        </w:rPr>
        <w:t>id.</w:t>
      </w:r>
    </w:p>
  </w:footnote>
  <w:footnote w:id="1163">
    <w:p w:rsidR="00760048" w:rsidP="00071614" w14:paraId="31FC079D" w14:textId="77777777">
      <w:pPr>
        <w:pStyle w:val="FootnoteText"/>
      </w:pPr>
      <w:r w:rsidRPr="0072600F">
        <w:rPr>
          <w:rStyle w:val="FootnoteReference"/>
        </w:rPr>
        <w:footnoteRef/>
      </w:r>
      <w:r>
        <w:t xml:space="preserve"> </w:t>
      </w:r>
      <w:r w:rsidRPr="00F32EB2">
        <w:t xml:space="preserve">Order No. 2023, 184 FERC ¶ 61,054 at </w:t>
      </w:r>
      <w:r>
        <w:t>P 1589.</w:t>
      </w:r>
    </w:p>
  </w:footnote>
  <w:footnote w:id="1164">
    <w:p w:rsidR="00194B86" w:rsidRPr="00194B86" w14:paraId="2CBCDDCA" w14:textId="77777777">
      <w:pPr>
        <w:pStyle w:val="FootnoteText"/>
      </w:pPr>
      <w:r>
        <w:rPr>
          <w:rStyle w:val="FootnoteReference"/>
        </w:rPr>
        <w:footnoteRef/>
      </w:r>
      <w:r>
        <w:t xml:space="preserve"> </w:t>
      </w:r>
      <w:r>
        <w:rPr>
          <w:i/>
          <w:iCs/>
        </w:rPr>
        <w:t xml:space="preserve">See </w:t>
      </w:r>
      <w:r>
        <w:rPr>
          <w:i/>
          <w:iCs/>
        </w:rPr>
        <w:t xml:space="preserve">supra </w:t>
      </w:r>
      <w:r>
        <w:t xml:space="preserve">P </w:t>
      </w:r>
      <w:r w:rsidR="003F66A3">
        <w:fldChar w:fldCharType="begin"/>
      </w:r>
      <w:r w:rsidR="003F66A3">
        <w:instrText xml:space="preserve"> REF _Ref161763236 \r \h </w:instrText>
      </w:r>
      <w:r w:rsidR="003F66A3">
        <w:fldChar w:fldCharType="separate"/>
      </w:r>
      <w:r w:rsidR="003F66A3">
        <w:t>619</w:t>
      </w:r>
      <w:r w:rsidR="003F66A3">
        <w:fldChar w:fldCharType="end"/>
      </w:r>
      <w:r>
        <w:t>.</w:t>
      </w:r>
    </w:p>
  </w:footnote>
  <w:footnote w:id="1165">
    <w:p w:rsidR="00760048" w:rsidRPr="000B768B" w:rsidP="00071614" w14:paraId="649565DC" w14:textId="77777777">
      <w:pPr>
        <w:pStyle w:val="FootnoteText"/>
        <w:rPr>
          <w:szCs w:val="26"/>
        </w:rPr>
      </w:pPr>
      <w:r w:rsidRPr="0072600F">
        <w:rPr>
          <w:rStyle w:val="FootnoteReference"/>
        </w:rPr>
        <w:footnoteRef/>
      </w:r>
      <w:r w:rsidRPr="000B768B">
        <w:rPr>
          <w:szCs w:val="26"/>
        </w:rPr>
        <w:t xml:space="preserve"> </w:t>
      </w:r>
      <w:r>
        <w:rPr>
          <w:szCs w:val="26"/>
        </w:rPr>
        <w:t xml:space="preserve">Order No. 2023, </w:t>
      </w:r>
      <w:r w:rsidRPr="00F32EB2">
        <w:t>184 FERC ¶ 61,054</w:t>
      </w:r>
      <w:r>
        <w:rPr>
          <w:szCs w:val="26"/>
        </w:rPr>
        <w:t xml:space="preserve"> at PP 1582, 1584.</w:t>
      </w:r>
    </w:p>
  </w:footnote>
  <w:footnote w:id="1166">
    <w:p w:rsidR="00760048" w14:paraId="52719874" w14:textId="77777777">
      <w:pPr>
        <w:pStyle w:val="FootnoteText"/>
      </w:pPr>
      <w:r w:rsidRPr="0072600F">
        <w:rPr>
          <w:rStyle w:val="FootnoteReference"/>
        </w:rPr>
        <w:footnoteRef/>
      </w:r>
      <w:r>
        <w:t xml:space="preserve"> </w:t>
      </w:r>
      <w:r w:rsidRPr="00FF5B90">
        <w:rPr>
          <w:i/>
        </w:rPr>
        <w:t>See</w:t>
      </w:r>
      <w:r>
        <w:t xml:space="preserve"> VEIR Rehearing Request at 3-6 (citing </w:t>
      </w:r>
      <w:r w:rsidRPr="00DA5127">
        <w:t xml:space="preserve">42 U.S.C. </w:t>
      </w:r>
      <w:r w:rsidRPr="00B332EA" w:rsidR="00B332EA">
        <w:t>§</w:t>
      </w:r>
      <w:r w:rsidR="00B332EA">
        <w:t xml:space="preserve"> </w:t>
      </w:r>
      <w:r w:rsidRPr="00DA5127">
        <w:t>16422(a)</w:t>
      </w:r>
      <w:r>
        <w:t>; U.S. Department of Energy</w:t>
      </w:r>
      <w:r w:rsidRPr="00DA5127">
        <w:t xml:space="preserve"> </w:t>
      </w:r>
      <w:r w:rsidRPr="000C59A2">
        <w:t>December 2020 Report (Advanced Transmission Technologies)</w:t>
      </w:r>
      <w:r>
        <w:t>).</w:t>
      </w:r>
    </w:p>
  </w:footnote>
  <w:footnote w:id="1167">
    <w:p w:rsidR="00760048" w:rsidRPr="00044066" w:rsidP="00071614" w14:paraId="6AF26F1B" w14:textId="77777777">
      <w:pPr>
        <w:pStyle w:val="FootnoteText"/>
        <w:rPr>
          <w:szCs w:val="26"/>
        </w:rPr>
      </w:pPr>
      <w:r w:rsidRPr="0072600F">
        <w:rPr>
          <w:rStyle w:val="FootnoteReference"/>
        </w:rPr>
        <w:footnoteRef/>
      </w:r>
      <w:r w:rsidRPr="00044066">
        <w:rPr>
          <w:szCs w:val="26"/>
        </w:rPr>
        <w:t xml:space="preserve"> </w:t>
      </w:r>
      <w:bookmarkStart w:id="140" w:name="_Hlk160695352"/>
      <w:r w:rsidRPr="006C26E1">
        <w:rPr>
          <w:szCs w:val="26"/>
        </w:rPr>
        <w:t>Order No. 2023, 184 FERC ¶ 61,054 at P 1586</w:t>
      </w:r>
      <w:bookmarkEnd w:id="140"/>
      <w:r w:rsidRPr="006C26E1">
        <w:rPr>
          <w:szCs w:val="26"/>
        </w:rPr>
        <w:t>.</w:t>
      </w:r>
    </w:p>
  </w:footnote>
  <w:footnote w:id="1168">
    <w:p w:rsidR="00760048" w:rsidP="00071614" w14:paraId="719D5E42" w14:textId="77777777">
      <w:pPr>
        <w:pStyle w:val="FootnoteText"/>
      </w:pPr>
      <w:r w:rsidRPr="0072600F">
        <w:rPr>
          <w:rStyle w:val="FootnoteReference"/>
        </w:rPr>
        <w:footnoteRef/>
      </w:r>
      <w:r>
        <w:t xml:space="preserve"> We acknowledge that the Commission found that “</w:t>
      </w:r>
      <w:r w:rsidRPr="004C00F4">
        <w:t>in some cases transmission providers may be able to rapidly determine if a certain enumerated alternative transmission technology is inappropriate for further study</w:t>
      </w:r>
      <w:r>
        <w:t xml:space="preserve">.”  </w:t>
      </w:r>
      <w:r w:rsidRPr="00A84771">
        <w:rPr>
          <w:i/>
          <w:iCs/>
        </w:rPr>
        <w:t>See id.</w:t>
      </w:r>
      <w:r>
        <w:t xml:space="preserve"> P 1590.  In such instances, the transmission provider would be able to exclude </w:t>
      </w:r>
      <w:r w:rsidR="0006147E">
        <w:t>dynamic line rating</w:t>
      </w:r>
      <w:r w:rsidR="0072148E">
        <w:t>s</w:t>
      </w:r>
      <w:r>
        <w:t xml:space="preserve"> as a possible solution for certain reliability violations identified in the cluster study.  In so doing, interconnection queue processing times would be unaffected.  </w:t>
      </w:r>
    </w:p>
  </w:footnote>
  <w:footnote w:id="1169">
    <w:p w:rsidR="00760048" w14:paraId="3D360921" w14:textId="77777777">
      <w:pPr>
        <w:pStyle w:val="FootnoteText"/>
      </w:pPr>
      <w:r w:rsidRPr="0072600F">
        <w:rPr>
          <w:rStyle w:val="FootnoteReference"/>
        </w:rPr>
        <w:footnoteRef/>
      </w:r>
      <w:r>
        <w:t xml:space="preserve"> </w:t>
      </w:r>
      <w:r w:rsidRPr="00263253">
        <w:t xml:space="preserve">Order No. 2003-A, 106 FERC ¶ 61,220 at P </w:t>
      </w:r>
      <w:r>
        <w:t>500</w:t>
      </w:r>
      <w:r w:rsidR="004F126C">
        <w:t>.</w:t>
      </w:r>
    </w:p>
  </w:footnote>
  <w:footnote w:id="1170">
    <w:p w:rsidR="00760048" w:rsidP="00071614" w14:paraId="5D091A44" w14:textId="77777777">
      <w:pPr>
        <w:pStyle w:val="FootnoteText"/>
      </w:pPr>
      <w:r w:rsidRPr="0072600F">
        <w:rPr>
          <w:rStyle w:val="FootnoteReference"/>
        </w:rPr>
        <w:footnoteRef/>
      </w:r>
      <w:r>
        <w:t xml:space="preserve"> </w:t>
      </w:r>
      <w:r w:rsidRPr="00DD5D05">
        <w:rPr>
          <w:i/>
          <w:iCs/>
        </w:rPr>
        <w:t>Id.</w:t>
      </w:r>
    </w:p>
  </w:footnote>
  <w:footnote w:id="1171">
    <w:p w:rsidR="0023210E" w:rsidP="0023210E" w14:paraId="41419665" w14:textId="77777777">
      <w:pPr>
        <w:pStyle w:val="FootnoteText"/>
      </w:pPr>
      <w:r>
        <w:rPr>
          <w:rStyle w:val="FootnoteReference"/>
        </w:rPr>
        <w:footnoteRef/>
      </w:r>
      <w:r>
        <w:t xml:space="preserve"> </w:t>
      </w:r>
      <w:r w:rsidRPr="0023210E">
        <w:rPr>
          <w:i/>
          <w:iCs/>
        </w:rPr>
        <w:t>See, e.g.,</w:t>
      </w:r>
      <w:r w:rsidRPr="0023210E">
        <w:t xml:space="preserve"> LGIP section 7.3 (“[t]he [c]luster [s]</w:t>
      </w:r>
      <w:r w:rsidRPr="0023210E">
        <w:t>tudy shall evaluate the impact of the proposed interconnection on the reliability of the [t]ransmission [s]ystem.”).</w:t>
      </w:r>
    </w:p>
  </w:footnote>
  <w:footnote w:id="1172">
    <w:p w:rsidR="00760048" w:rsidP="00071614" w14:paraId="0C33658E" w14:textId="77777777">
      <w:pPr>
        <w:pStyle w:val="FootnoteText"/>
      </w:pPr>
      <w:r w:rsidRPr="0072600F">
        <w:rPr>
          <w:rStyle w:val="FootnoteReference"/>
        </w:rPr>
        <w:footnoteRef/>
      </w:r>
      <w:r>
        <w:t xml:space="preserve"> </w:t>
      </w:r>
      <w:r w:rsidRPr="005A71E2">
        <w:t xml:space="preserve">Order No. 2023, 184 FERC ¶ 61,054 at P </w:t>
      </w:r>
      <w:r>
        <w:t xml:space="preserve">1545 (citing </w:t>
      </w:r>
      <w:r w:rsidRPr="00C40C5A">
        <w:t>AECI Initial Comments at 9; AEP Initial Comments at 51; Avangrid Initial Comments at 36; Southern Initial Comments at 29; U.S. Chamber of Commerce Initial Comments at 12</w:t>
      </w:r>
      <w:r>
        <w:t>).</w:t>
      </w:r>
    </w:p>
  </w:footnote>
  <w:footnote w:id="1173">
    <w:p w:rsidR="00760048" w:rsidP="00071614" w14:paraId="2ACBA94A" w14:textId="79DDF880">
      <w:pPr>
        <w:pStyle w:val="FootnoteText"/>
      </w:pPr>
      <w:r w:rsidRPr="0072600F">
        <w:rPr>
          <w:rStyle w:val="FootnoteReference"/>
        </w:rPr>
        <w:footnoteRef/>
      </w:r>
      <w:r w:rsidRPr="002F6A64">
        <w:t xml:space="preserve"> </w:t>
      </w:r>
      <w:r w:rsidRPr="002F6A64">
        <w:rPr>
          <w:i/>
        </w:rPr>
        <w:t xml:space="preserve">See </w:t>
      </w:r>
      <w:r w:rsidRPr="002F6A64">
        <w:rPr>
          <w:i/>
        </w:rPr>
        <w:t xml:space="preserve">supra </w:t>
      </w:r>
      <w:r w:rsidRPr="002F6A64">
        <w:t>P</w:t>
      </w:r>
      <w:r w:rsidR="00B737D9">
        <w:t xml:space="preserve">P </w:t>
      </w:r>
      <w:r w:rsidR="003F66A3">
        <w:fldChar w:fldCharType="begin"/>
      </w:r>
      <w:r w:rsidR="003F66A3">
        <w:instrText xml:space="preserve"> REF _Ref160109312 \r \h </w:instrText>
      </w:r>
      <w:r w:rsidR="003F66A3">
        <w:fldChar w:fldCharType="separate"/>
      </w:r>
      <w:r w:rsidR="003F66A3">
        <w:t>386</w:t>
      </w:r>
      <w:r w:rsidR="003F66A3">
        <w:fldChar w:fldCharType="end"/>
      </w:r>
      <w:r w:rsidR="00B737D9">
        <w:t>,</w:t>
      </w:r>
      <w:r w:rsidRPr="002F6A64">
        <w:t xml:space="preserve"> </w:t>
      </w:r>
      <w:r w:rsidRPr="002F6A64">
        <w:fldChar w:fldCharType="begin"/>
      </w:r>
      <w:r w:rsidRPr="002F6A64">
        <w:instrText xml:space="preserve"> REF _Ref160729131 \r \h </w:instrText>
      </w:r>
      <w:r>
        <w:instrText xml:space="preserve"> \* MERGEFORMAT </w:instrText>
      </w:r>
      <w:r w:rsidRPr="002F6A64">
        <w:fldChar w:fldCharType="separate"/>
      </w:r>
      <w:r w:rsidR="00C46123">
        <w:t>609</w:t>
      </w:r>
      <w:r w:rsidRPr="002F6A64">
        <w:fldChar w:fldCharType="end"/>
      </w:r>
      <w:r w:rsidR="003C7F10">
        <w:t xml:space="preserve"> n.</w:t>
      </w:r>
      <w:r w:rsidR="00773D08">
        <w:t>1145</w:t>
      </w:r>
      <w:r w:rsidR="002C6C76">
        <w:fldChar w:fldCharType="begin"/>
      </w:r>
      <w:r w:rsidR="002C6C76">
        <w:instrText xml:space="preserve"> NOTEREF _Ref161764077 \h </w:instrText>
      </w:r>
      <w:r w:rsidR="00BE439E">
        <w:fldChar w:fldCharType="separate"/>
      </w:r>
      <w:r w:rsidR="002C6C76">
        <w:fldChar w:fldCharType="end"/>
      </w:r>
      <w:r w:rsidRPr="002F6A64">
        <w:t>.</w:t>
      </w:r>
    </w:p>
  </w:footnote>
  <w:footnote w:id="1174">
    <w:p w:rsidR="00760048" w14:paraId="622A5845" w14:textId="77777777">
      <w:pPr>
        <w:pStyle w:val="FootnoteText"/>
      </w:pPr>
      <w:r w:rsidRPr="0072600F">
        <w:rPr>
          <w:rStyle w:val="FootnoteReference"/>
        </w:rPr>
        <w:footnoteRef/>
      </w:r>
      <w:r>
        <w:t xml:space="preserve"> </w:t>
      </w:r>
      <w:r w:rsidRPr="00263253">
        <w:t xml:space="preserve">Order No. 2003-A, 106 FERC ¶ 61,220 at P </w:t>
      </w:r>
      <w:r>
        <w:t>500</w:t>
      </w:r>
      <w:r w:rsidR="004B42EE">
        <w:t xml:space="preserve"> (</w:t>
      </w:r>
      <w:r w:rsidR="00806252">
        <w:t>also stating that</w:t>
      </w:r>
      <w:r w:rsidR="00A772A3">
        <w:t>,</w:t>
      </w:r>
      <w:r w:rsidR="00806252">
        <w:t xml:space="preserve">  “</w:t>
      </w:r>
      <w:r w:rsidR="00995CFA">
        <w:t>[h]</w:t>
      </w:r>
      <w:r w:rsidRPr="00EA3E66" w:rsidR="00EA3E66">
        <w:t xml:space="preserve">owever, </w:t>
      </w:r>
      <w:r w:rsidR="00306B17">
        <w:t>[NRIS]</w:t>
      </w:r>
      <w:r w:rsidRPr="00EA3E66" w:rsidR="00EA3E66">
        <w:t xml:space="preserve"> does not necessarily provide the </w:t>
      </w:r>
      <w:r w:rsidR="00306B17">
        <w:t>[i]</w:t>
      </w:r>
      <w:r w:rsidRPr="00EA3E66" w:rsidR="00EA3E66">
        <w:t xml:space="preserve">nterconnection </w:t>
      </w:r>
      <w:r w:rsidR="00306B17">
        <w:t>[c]</w:t>
      </w:r>
      <w:r w:rsidRPr="00EA3E66" w:rsidR="00EA3E66">
        <w:t xml:space="preserve">ustomer with the capability to physically deliver the output of its </w:t>
      </w:r>
      <w:r w:rsidR="00306B17">
        <w:t>[g]</w:t>
      </w:r>
      <w:r w:rsidRPr="00EA3E66" w:rsidR="00EA3E66">
        <w:t xml:space="preserve">enerating </w:t>
      </w:r>
      <w:r w:rsidR="00306B17">
        <w:t>[f]</w:t>
      </w:r>
      <w:r w:rsidRPr="00EA3E66" w:rsidR="00EA3E66">
        <w:t xml:space="preserve">acility to any particular load without incurring congestion costs.  Nor does </w:t>
      </w:r>
      <w:r w:rsidR="00306B17">
        <w:t xml:space="preserve">[NRIS] </w:t>
      </w:r>
      <w:r w:rsidRPr="00EA3E66" w:rsidR="00EA3E66">
        <w:t xml:space="preserve">convey a right to deliver the output of the </w:t>
      </w:r>
      <w:r w:rsidR="00306B17">
        <w:t>[g]</w:t>
      </w:r>
      <w:r w:rsidRPr="00EA3E66" w:rsidR="00EA3E66">
        <w:t xml:space="preserve">enerating </w:t>
      </w:r>
      <w:r w:rsidR="00306B17">
        <w:t>[f]</w:t>
      </w:r>
      <w:r w:rsidRPr="00EA3E66" w:rsidR="00EA3E66">
        <w:t>acility to any particular customer</w:t>
      </w:r>
      <w:r w:rsidR="00D36439">
        <w:t>.</w:t>
      </w:r>
      <w:r w:rsidR="00806252">
        <w:t>”</w:t>
      </w:r>
      <w:r w:rsidR="008571DE">
        <w:t>).</w:t>
      </w:r>
      <w:r w:rsidR="00EA3E66">
        <w:t xml:space="preserve">  </w:t>
      </w:r>
    </w:p>
  </w:footnote>
  <w:footnote w:id="1175">
    <w:p w:rsidR="00760048" w14:paraId="0D89277C" w14:textId="77777777">
      <w:pPr>
        <w:pStyle w:val="FootnoteText"/>
      </w:pPr>
      <w:r w:rsidRPr="0072600F">
        <w:rPr>
          <w:rStyle w:val="FootnoteReference"/>
        </w:rPr>
        <w:footnoteRef/>
      </w:r>
      <w:r>
        <w:t xml:space="preserve"> </w:t>
      </w:r>
      <w:r w:rsidRPr="006A72F0" w:rsidR="007C7D43">
        <w:rPr>
          <w:i/>
          <w:iCs/>
        </w:rPr>
        <w:t>Id.</w:t>
      </w:r>
      <w:r w:rsidR="007C7D43">
        <w:t xml:space="preserve"> </w:t>
      </w:r>
      <w:r w:rsidR="00DA27D4">
        <w:t xml:space="preserve"> </w:t>
      </w:r>
      <w:r w:rsidRPr="006A72F0" w:rsidR="002F1520">
        <w:rPr>
          <w:i/>
        </w:rPr>
        <w:t>See also</w:t>
      </w:r>
      <w:r w:rsidR="002F1520">
        <w:t xml:space="preserve"> </w:t>
      </w:r>
      <w:r>
        <w:t xml:space="preserve">Order No. 881, </w:t>
      </w:r>
      <w:r w:rsidRPr="00616A1C">
        <w:t>177 FERC ¶ 61,179 at P</w:t>
      </w:r>
      <w:r>
        <w:t xml:space="preserve"> 35 (explaining that “</w:t>
      </w:r>
      <w:r w:rsidRPr="00EF127C">
        <w:t>while current transmission line rating practices usually understate transfer capability, they can also overstate transfer capability</w:t>
      </w:r>
      <w:r>
        <w:t>…”).</w:t>
      </w:r>
    </w:p>
  </w:footnote>
  <w:footnote w:id="1176">
    <w:p w:rsidR="00760048" w:rsidP="00071614" w14:paraId="61BC8069" w14:textId="77777777">
      <w:pPr>
        <w:pStyle w:val="FootnoteText"/>
      </w:pPr>
      <w:r w:rsidRPr="0072600F">
        <w:rPr>
          <w:rStyle w:val="FootnoteReference"/>
        </w:rPr>
        <w:footnoteRef/>
      </w:r>
      <w:r>
        <w:t xml:space="preserve"> WATT Coalition Rehearing Request at 21-2</w:t>
      </w:r>
      <w:r w:rsidR="005021C8">
        <w:t>3</w:t>
      </w:r>
      <w:r>
        <w:t xml:space="preserve"> (quoting Order No. 2023, 184 FERC ¶ 61,054 at P 1598). </w:t>
      </w:r>
    </w:p>
  </w:footnote>
  <w:footnote w:id="1177">
    <w:p w:rsidR="00760048" w:rsidRPr="00044066" w:rsidP="00071614" w14:paraId="1797171C" w14:textId="77777777">
      <w:pPr>
        <w:pStyle w:val="FootnoteText"/>
        <w:rPr>
          <w:szCs w:val="26"/>
        </w:rPr>
      </w:pPr>
      <w:r w:rsidRPr="0072600F">
        <w:rPr>
          <w:rStyle w:val="FootnoteReference"/>
        </w:rPr>
        <w:footnoteRef/>
      </w:r>
      <w:r w:rsidRPr="00044066">
        <w:rPr>
          <w:szCs w:val="26"/>
        </w:rPr>
        <w:t xml:space="preserve"> </w:t>
      </w:r>
      <w:r>
        <w:t xml:space="preserve">Order No. 2023, 184 FERC ¶ 61,054 </w:t>
      </w:r>
      <w:r>
        <w:rPr>
          <w:szCs w:val="26"/>
        </w:rPr>
        <w:t>at P 1586</w:t>
      </w:r>
      <w:r w:rsidRPr="00044066">
        <w:rPr>
          <w:szCs w:val="26"/>
        </w:rPr>
        <w:t>.</w:t>
      </w:r>
    </w:p>
  </w:footnote>
  <w:footnote w:id="1178">
    <w:p w:rsidR="00C87635" w14:paraId="1A5E5448" w14:textId="77777777">
      <w:pPr>
        <w:pStyle w:val="FootnoteText"/>
      </w:pPr>
      <w:r>
        <w:rPr>
          <w:rStyle w:val="FootnoteReference"/>
        </w:rPr>
        <w:footnoteRef/>
      </w:r>
      <w:r>
        <w:t xml:space="preserve"> </w:t>
      </w:r>
      <w:r w:rsidR="009E58CE">
        <w:rPr>
          <w:i/>
          <w:iCs/>
        </w:rPr>
        <w:t>Id.</w:t>
      </w:r>
      <w:r w:rsidR="00000255">
        <w:rPr>
          <w:i/>
        </w:rPr>
        <w:t xml:space="preserve"> </w:t>
      </w:r>
      <w:r w:rsidRPr="00000255" w:rsidR="00000255">
        <w:t>P 1549 (citing MISO TOs Initial Comments at 30; MISO Initial Comments at 11)</w:t>
      </w:r>
      <w:r w:rsidR="00000255">
        <w:t>.</w:t>
      </w:r>
    </w:p>
  </w:footnote>
  <w:footnote w:id="1179">
    <w:p w:rsidR="00760048" w:rsidP="00071614" w14:paraId="2FD41018" w14:textId="77777777">
      <w:pPr>
        <w:pStyle w:val="FootnoteText"/>
      </w:pPr>
      <w:r w:rsidRPr="0072600F">
        <w:rPr>
          <w:rStyle w:val="FootnoteReference"/>
        </w:rPr>
        <w:footnoteRef/>
      </w:r>
      <w:r>
        <w:t xml:space="preserve"> </w:t>
      </w:r>
      <w:r w:rsidRPr="00470013">
        <w:t xml:space="preserve">FPA section 206 requires </w:t>
      </w:r>
      <w:r>
        <w:t>that,</w:t>
      </w:r>
      <w:r w:rsidRPr="00470013">
        <w:t xml:space="preserve"> when the Commission finds a rate subject to its jurisdiction to be “unjust, unreasonable, unduly discriminatory or preferential, the Commission shall determine the just and reasonable rate, charge, classification, rule, regulation, practice, or contract to be thereafter observed and in force, and shall fix the same by order.” </w:t>
      </w:r>
      <w:r w:rsidRPr="002D2208">
        <w:t>16 U.S.C. § 824e</w:t>
      </w:r>
      <w:r>
        <w:t xml:space="preserve">; </w:t>
      </w:r>
      <w:r w:rsidRPr="002D2208">
        <w:rPr>
          <w:i/>
          <w:iCs/>
        </w:rPr>
        <w:t>see also</w:t>
      </w:r>
      <w:r w:rsidRPr="00470013">
        <w:rPr>
          <w:i/>
          <w:iCs/>
        </w:rPr>
        <w:t> </w:t>
      </w:r>
      <w:r w:rsidRPr="002D2208">
        <w:rPr>
          <w:i/>
          <w:iCs/>
        </w:rPr>
        <w:t>Del. Pub. Serv. Comm'n v. PJM Interconnection, L.L.C</w:t>
      </w:r>
      <w:r w:rsidRPr="002D2208">
        <w:t>, 166 FERC ¶ 61,161, at P 16 (2019)</w:t>
      </w:r>
      <w:r w:rsidRPr="00470013">
        <w:t> (“In finding [certain tariff provisions] unjust and unreasonable ... pursuant to FPA section 206, the Commission is required to establish the just and reasonable </w:t>
      </w:r>
      <w:r w:rsidRPr="002D2208">
        <w:t>replacement</w:t>
      </w:r>
      <w:r w:rsidRPr="00470013">
        <w:t> </w:t>
      </w:r>
      <w:r w:rsidRPr="002D2208">
        <w:t>rate</w:t>
      </w:r>
      <w:r w:rsidRPr="00470013">
        <w:t>.”).</w:t>
      </w:r>
    </w:p>
  </w:footnote>
  <w:footnote w:id="1180">
    <w:p w:rsidR="00760048" w:rsidP="009720E6" w14:paraId="757A3C90" w14:textId="77777777">
      <w:pPr>
        <w:pStyle w:val="FootnoteText"/>
      </w:pPr>
      <w:r w:rsidRPr="0072600F">
        <w:rPr>
          <w:rStyle w:val="FootnoteReference"/>
        </w:rPr>
        <w:footnoteRef/>
      </w:r>
      <w:r>
        <w:t xml:space="preserve"> Order No. 2023, 184 FERC ¶ 61,054 at P 1600.</w:t>
      </w:r>
      <w:r w:rsidR="00211B5A">
        <w:t xml:space="preserve">  </w:t>
      </w:r>
      <w:bookmarkStart w:id="143" w:name="_Hlk161666969"/>
      <w:r w:rsidRPr="009720E6" w:rsidR="009720E6">
        <w:t>While we are declining to include dynamic line ratings among the enumerate</w:t>
      </w:r>
      <w:r w:rsidR="00555140">
        <w:t>d</w:t>
      </w:r>
      <w:r w:rsidRPr="009720E6" w:rsidR="009720E6">
        <w:t xml:space="preserve"> technologies for the reasons explained herein, we note that dynamic line ratings may have greater utility when studying an interconnection customer requesting ERIS because such a customer is opting for “as available” service</w:t>
      </w:r>
      <w:bookmarkEnd w:id="143"/>
      <w:r w:rsidR="008213AD">
        <w:t>.</w:t>
      </w:r>
      <w:r w:rsidRPr="009720E6" w:rsidR="009720E6">
        <w:t xml:space="preserve"> </w:t>
      </w:r>
      <w:r w:rsidR="008213AD">
        <w:t xml:space="preserve"> </w:t>
      </w:r>
      <w:r w:rsidR="00ED6042">
        <w:rPr>
          <w:i/>
          <w:iCs/>
        </w:rPr>
        <w:t xml:space="preserve">See </w:t>
      </w:r>
      <w:r w:rsidRPr="00021E47" w:rsidR="00021E47">
        <w:t xml:space="preserve">Order No. 2003-A, </w:t>
      </w:r>
      <w:r w:rsidRPr="005C5ECE" w:rsidR="005C5ECE">
        <w:t>106 FERC ¶ 61,220</w:t>
      </w:r>
      <w:r w:rsidR="005C5ECE">
        <w:t xml:space="preserve"> at </w:t>
      </w:r>
      <w:r w:rsidRPr="00021E47" w:rsidR="00021E47">
        <w:t xml:space="preserve">P 499.  </w:t>
      </w:r>
      <w:r w:rsidR="00021E47">
        <w:t>B</w:t>
      </w:r>
      <w:r w:rsidRPr="009720E6" w:rsidR="009720E6">
        <w:t>y contrast</w:t>
      </w:r>
      <w:r w:rsidR="001A6870">
        <w:t>,</w:t>
      </w:r>
      <w:r w:rsidRPr="009720E6" w:rsidR="009720E6">
        <w:t xml:space="preserve"> </w:t>
      </w:r>
      <w:r w:rsidR="001A6870">
        <w:t>for</w:t>
      </w:r>
      <w:r w:rsidRPr="009720E6" w:rsidR="009720E6">
        <w:t xml:space="preserve"> NRIS,</w:t>
      </w:r>
      <w:r w:rsidR="00844B08">
        <w:t xml:space="preserve"> </w:t>
      </w:r>
      <w:r w:rsidRPr="00844B08" w:rsidR="00844B08">
        <w:t>“[t]</w:t>
      </w:r>
      <w:r w:rsidRPr="00844B08" w:rsidR="00844B08">
        <w:t xml:space="preserve">ransmission [p]roviders must study the [t]ransmission [s]ystem at peak load, under a variety of severely stressed conditions to determine whether, with the [g]enerating [f]acility at full output, the aggregate of generation in the local area can be delivered to the aggregate of load, consistent with [t]ransmission [p]rovider’s reliability criteria and procedures.”  Order No. 2003-A, </w:t>
      </w:r>
      <w:r w:rsidRPr="005C5ECE" w:rsidR="005C5ECE">
        <w:t>106 FERC ¶ 61,220</w:t>
      </w:r>
      <w:r w:rsidR="005C5ECE">
        <w:t xml:space="preserve"> at </w:t>
      </w:r>
      <w:r w:rsidRPr="00844B08" w:rsidR="00844B08">
        <w:t>P 500.</w:t>
      </w:r>
      <w:r w:rsidRPr="00844B08" w:rsidR="00844B08">
        <w:t xml:space="preserve"> </w:t>
      </w:r>
      <w:r w:rsidRPr="00844B08" w:rsidR="00844B08">
        <w:t xml:space="preserve"> </w:t>
      </w:r>
      <w:r w:rsidRPr="009720E6" w:rsidR="009720E6">
        <w:t xml:space="preserve"> </w:t>
      </w:r>
    </w:p>
  </w:footnote>
  <w:footnote w:id="1181">
    <w:p w:rsidR="00760048" w:rsidP="00071614" w14:paraId="6D7243F7" w14:textId="77777777">
      <w:pPr>
        <w:pStyle w:val="FootnoteText"/>
      </w:pPr>
      <w:r w:rsidRPr="0072600F">
        <w:rPr>
          <w:rStyle w:val="FootnoteReference"/>
        </w:rPr>
        <w:footnoteRef/>
      </w:r>
      <w:r>
        <w:rPr>
          <w:rStyle w:val="FootnoteReference"/>
        </w:rPr>
        <w:t xml:space="preserve"> </w:t>
      </w:r>
      <w:r w:rsidR="007979E8">
        <w:t xml:space="preserve">Order No. 2023, 184 FERC ¶ 61,054 at </w:t>
      </w:r>
      <w:r>
        <w:t xml:space="preserve">P 1599.  In Order No. 2023, the Commission pointed to the process in SPP, which takes into account </w:t>
      </w:r>
      <w:r w:rsidRPr="00CA1B51">
        <w:t>five considerations that, together, ensure that a selected storage resource will serve a transmission function</w:t>
      </w:r>
      <w:r>
        <w:t xml:space="preserve">.  </w:t>
      </w:r>
      <w:r>
        <w:rPr>
          <w:i/>
          <w:iCs/>
        </w:rPr>
        <w:t>Id</w:t>
      </w:r>
      <w:r w:rsidRPr="00BC1D82">
        <w:t>.</w:t>
      </w:r>
      <w:r>
        <w:t xml:space="preserve"> (citing </w:t>
      </w:r>
      <w:r w:rsidRPr="007D3C57">
        <w:rPr>
          <w:i/>
        </w:rPr>
        <w:t>Sw. Power Pool, Inc.</w:t>
      </w:r>
      <w:r w:rsidRPr="007D3C57">
        <w:t>, 183 FERC ¶</w:t>
      </w:r>
      <w:r w:rsidR="009C1DE7">
        <w:t> </w:t>
      </w:r>
      <w:r w:rsidRPr="007D3C57">
        <w:t>61,153, at P 29 (2023)</w:t>
      </w:r>
      <w:r>
        <w:t>)</w:t>
      </w:r>
      <w:r w:rsidRPr="007D3C57">
        <w:t>.</w:t>
      </w:r>
    </w:p>
  </w:footnote>
  <w:footnote w:id="1182">
    <w:p w:rsidR="00760048" w:rsidP="00071614" w14:paraId="53A64B0C" w14:textId="77777777">
      <w:pPr>
        <w:pStyle w:val="FootnoteText"/>
      </w:pPr>
      <w:r w:rsidRPr="0072600F">
        <w:rPr>
          <w:rStyle w:val="FootnoteReference"/>
        </w:rPr>
        <w:footnoteRef/>
      </w:r>
      <w:r>
        <w:t xml:space="preserve"> </w:t>
      </w:r>
      <w:r>
        <w:rPr>
          <w:i/>
          <w:iCs/>
        </w:rPr>
        <w:t>Id</w:t>
      </w:r>
      <w:r w:rsidRPr="00BC1D82">
        <w:t>.</w:t>
      </w:r>
      <w:r>
        <w:t xml:space="preserve"> P 1600.</w:t>
      </w:r>
    </w:p>
  </w:footnote>
  <w:footnote w:id="1183">
    <w:p w:rsidR="00760048" w14:paraId="2D99EFFD" w14:textId="77777777">
      <w:pPr>
        <w:pStyle w:val="FootnoteText"/>
      </w:pPr>
      <w:r w:rsidRPr="0072600F">
        <w:rPr>
          <w:rStyle w:val="FootnoteReference"/>
        </w:rPr>
        <w:footnoteRef/>
      </w:r>
      <w:r>
        <w:t xml:space="preserve"> </w:t>
      </w:r>
      <w:r>
        <w:rPr>
          <w:i/>
          <w:iCs/>
        </w:rPr>
        <w:t>Id</w:t>
      </w:r>
      <w:r w:rsidRPr="00BC1D82">
        <w:t>.</w:t>
      </w:r>
      <w:r>
        <w:t xml:space="preserve"> P 1659.</w:t>
      </w:r>
    </w:p>
  </w:footnote>
  <w:footnote w:id="1184">
    <w:p w:rsidR="00760048" w14:paraId="05989495" w14:textId="77777777">
      <w:pPr>
        <w:pStyle w:val="FootnoteText"/>
      </w:pPr>
      <w:r w:rsidRPr="0072600F">
        <w:rPr>
          <w:rStyle w:val="FootnoteReference"/>
        </w:rPr>
        <w:footnoteRef/>
      </w:r>
      <w:r>
        <w:t xml:space="preserve"> </w:t>
      </w:r>
      <w:r w:rsidRPr="00596D5F">
        <w:rPr>
          <w:i/>
          <w:iCs/>
        </w:rPr>
        <w:t>Id.</w:t>
      </w:r>
      <w:r w:rsidRPr="00596D5F">
        <w:rPr>
          <w:i/>
        </w:rPr>
        <w:t xml:space="preserve"> </w:t>
      </w:r>
      <w:r>
        <w:t>P 1660.</w:t>
      </w:r>
    </w:p>
  </w:footnote>
  <w:footnote w:id="1185">
    <w:p w:rsidR="00760048" w:rsidP="00071614" w14:paraId="4988B92C" w14:textId="77777777">
      <w:pPr>
        <w:pStyle w:val="FootnoteText"/>
      </w:pPr>
      <w:r w:rsidRPr="0072600F">
        <w:rPr>
          <w:rStyle w:val="FootnoteReference"/>
        </w:rPr>
        <w:footnoteRef/>
      </w:r>
      <w:r>
        <w:t xml:space="preserve"> Invenergy Rehearing </w:t>
      </w:r>
      <w:r w:rsidR="00F91353">
        <w:t>Request</w:t>
      </w:r>
      <w:r>
        <w:t xml:space="preserve"> at 13.</w:t>
      </w:r>
    </w:p>
  </w:footnote>
  <w:footnote w:id="1186">
    <w:p w:rsidR="00760048" w:rsidP="00071614" w14:paraId="1D34AACC" w14:textId="77777777">
      <w:pPr>
        <w:pStyle w:val="FootnoteText"/>
      </w:pPr>
      <w:r w:rsidRPr="0072600F">
        <w:rPr>
          <w:rStyle w:val="FootnoteReference"/>
        </w:rPr>
        <w:footnoteRef/>
      </w:r>
      <w:r>
        <w:t xml:space="preserve"> </w:t>
      </w:r>
      <w:r w:rsidRPr="00596D5F">
        <w:rPr>
          <w:i/>
          <w:iCs/>
        </w:rPr>
        <w:t>Id.</w:t>
      </w:r>
      <w:r w:rsidRPr="00596D5F">
        <w:rPr>
          <w:i/>
        </w:rPr>
        <w:t xml:space="preserve"> </w:t>
      </w:r>
      <w:r>
        <w:t>at 10-12.</w:t>
      </w:r>
    </w:p>
  </w:footnote>
  <w:footnote w:id="1187">
    <w:p w:rsidR="00760048" w:rsidP="00071614" w14:paraId="08891779" w14:textId="77777777">
      <w:pPr>
        <w:pStyle w:val="FootnoteText"/>
      </w:pPr>
      <w:r w:rsidRPr="0072600F">
        <w:rPr>
          <w:rStyle w:val="FootnoteReference"/>
        </w:rPr>
        <w:footnoteRef/>
      </w:r>
      <w:r>
        <w:t xml:space="preserve"> </w:t>
      </w:r>
      <w:r w:rsidRPr="00596D5F">
        <w:rPr>
          <w:i/>
          <w:iCs/>
        </w:rPr>
        <w:t>Id.</w:t>
      </w:r>
      <w:r w:rsidRPr="00596D5F">
        <w:rPr>
          <w:i/>
        </w:rPr>
        <w:t xml:space="preserve"> </w:t>
      </w:r>
      <w:r>
        <w:t>at 12-13.</w:t>
      </w:r>
    </w:p>
  </w:footnote>
  <w:footnote w:id="1188">
    <w:p w:rsidR="00760048" w:rsidP="00071614" w14:paraId="0E563BC0" w14:textId="77777777">
      <w:pPr>
        <w:pStyle w:val="FootnoteText"/>
      </w:pPr>
      <w:r w:rsidRPr="0072600F">
        <w:rPr>
          <w:rStyle w:val="FootnoteReference"/>
        </w:rPr>
        <w:footnoteRef/>
      </w:r>
      <w:r>
        <w:t xml:space="preserve"> </w:t>
      </w:r>
      <w:r w:rsidRPr="00596D5F">
        <w:rPr>
          <w:i/>
          <w:iCs/>
        </w:rPr>
        <w:t>Id.</w:t>
      </w:r>
      <w:r w:rsidRPr="00596D5F">
        <w:rPr>
          <w:i/>
        </w:rPr>
        <w:t xml:space="preserve"> </w:t>
      </w:r>
      <w:r>
        <w:t>at 14.</w:t>
      </w:r>
    </w:p>
  </w:footnote>
  <w:footnote w:id="1189">
    <w:p w:rsidR="00760048" w:rsidP="00071614" w14:paraId="1D3EF078" w14:textId="77777777">
      <w:pPr>
        <w:pStyle w:val="FootnoteText"/>
      </w:pPr>
      <w:r w:rsidRPr="0072600F">
        <w:rPr>
          <w:rStyle w:val="FootnoteReference"/>
        </w:rPr>
        <w:footnoteRef/>
      </w:r>
      <w:r>
        <w:t xml:space="preserve"> </w:t>
      </w:r>
      <w:r w:rsidRPr="00963004">
        <w:t>Ørsted</w:t>
      </w:r>
      <w:r w:rsidRPr="00963004">
        <w:t xml:space="preserve"> </w:t>
      </w:r>
      <w:r>
        <w:t xml:space="preserve">Rehearing </w:t>
      </w:r>
      <w:r w:rsidR="00F91353">
        <w:t>Request</w:t>
      </w:r>
      <w:r>
        <w:t xml:space="preserve"> at 6-7.</w:t>
      </w:r>
    </w:p>
  </w:footnote>
  <w:footnote w:id="1190">
    <w:p w:rsidR="00760048" w:rsidP="00071614" w14:paraId="129BFC85" w14:textId="77777777">
      <w:pPr>
        <w:pStyle w:val="FootnoteText"/>
      </w:pPr>
      <w:r w:rsidRPr="0072600F">
        <w:rPr>
          <w:rStyle w:val="FootnoteReference"/>
        </w:rPr>
        <w:footnoteRef/>
      </w:r>
      <w:r>
        <w:t xml:space="preserve"> </w:t>
      </w:r>
      <w:r w:rsidRPr="00596D5F">
        <w:rPr>
          <w:i/>
          <w:iCs/>
        </w:rPr>
        <w:t>Id.</w:t>
      </w:r>
      <w:r>
        <w:rPr>
          <w:i/>
        </w:rPr>
        <w:t xml:space="preserve"> </w:t>
      </w:r>
      <w:r>
        <w:t>at 7-8.</w:t>
      </w:r>
    </w:p>
  </w:footnote>
  <w:footnote w:id="1191">
    <w:p w:rsidR="00760048" w:rsidP="00071614" w14:paraId="05333464" w14:textId="77777777">
      <w:pPr>
        <w:pStyle w:val="FootnoteText"/>
      </w:pPr>
      <w:r w:rsidRPr="0072600F">
        <w:rPr>
          <w:rStyle w:val="FootnoteReference"/>
        </w:rPr>
        <w:footnoteRef/>
      </w:r>
      <w:r>
        <w:t xml:space="preserve"> </w:t>
      </w:r>
      <w:r w:rsidRPr="00596D5F">
        <w:rPr>
          <w:i/>
          <w:iCs/>
        </w:rPr>
        <w:t>Id.</w:t>
      </w:r>
      <w:r>
        <w:rPr>
          <w:i/>
        </w:rPr>
        <w:t xml:space="preserve"> </w:t>
      </w:r>
      <w:r>
        <w:t>at 8-9.</w:t>
      </w:r>
    </w:p>
  </w:footnote>
  <w:footnote w:id="1192">
    <w:p w:rsidR="00760048" w:rsidP="00071614" w14:paraId="186D8B0A" w14:textId="77777777">
      <w:pPr>
        <w:pStyle w:val="FootnoteText"/>
      </w:pPr>
      <w:r w:rsidRPr="0072600F">
        <w:rPr>
          <w:rStyle w:val="FootnoteReference"/>
        </w:rPr>
        <w:footnoteRef/>
      </w:r>
      <w:r>
        <w:t xml:space="preserve"> </w:t>
      </w:r>
      <w:r w:rsidRPr="00596D5F">
        <w:rPr>
          <w:i/>
          <w:iCs/>
        </w:rPr>
        <w:t>Id.</w:t>
      </w:r>
      <w:r>
        <w:rPr>
          <w:i/>
        </w:rPr>
        <w:t xml:space="preserve"> </w:t>
      </w:r>
      <w:r>
        <w:t>at 9.</w:t>
      </w:r>
    </w:p>
  </w:footnote>
  <w:footnote w:id="1193">
    <w:p w:rsidR="00760048" w:rsidP="00071614" w14:paraId="3D7BC6A4" w14:textId="77777777">
      <w:pPr>
        <w:pStyle w:val="FootnoteText"/>
      </w:pPr>
      <w:r w:rsidRPr="0072600F">
        <w:rPr>
          <w:rStyle w:val="FootnoteReference"/>
        </w:rPr>
        <w:footnoteRef/>
      </w:r>
      <w:r>
        <w:t xml:space="preserve"> PacifiCorp Rehearing </w:t>
      </w:r>
      <w:r w:rsidR="00F91353">
        <w:t>Request</w:t>
      </w:r>
      <w:r>
        <w:t xml:space="preserve"> at 23-24.  </w:t>
      </w:r>
    </w:p>
  </w:footnote>
  <w:footnote w:id="1194">
    <w:p w:rsidR="00760048" w:rsidP="00071614" w14:paraId="50804A68" w14:textId="77777777">
      <w:pPr>
        <w:pStyle w:val="FootnoteText"/>
      </w:pPr>
      <w:r w:rsidRPr="0072600F">
        <w:rPr>
          <w:rStyle w:val="FootnoteReference"/>
        </w:rPr>
        <w:footnoteRef/>
      </w:r>
      <w:r>
        <w:t xml:space="preserve"> Order No. 2023, </w:t>
      </w:r>
      <w:r w:rsidRPr="000F36A1">
        <w:t>184 FERC ¶ 61,054</w:t>
      </w:r>
      <w:r>
        <w:t xml:space="preserve"> at P 1675.</w:t>
      </w:r>
    </w:p>
  </w:footnote>
  <w:footnote w:id="1195">
    <w:p w:rsidR="00760048" w:rsidRPr="00C459EC" w:rsidP="00071614" w14:paraId="64B366E6" w14:textId="77777777">
      <w:pPr>
        <w:pStyle w:val="FootnoteText"/>
      </w:pPr>
      <w:r w:rsidRPr="0072600F">
        <w:rPr>
          <w:rStyle w:val="FootnoteReference"/>
        </w:rPr>
        <w:footnoteRef/>
      </w:r>
      <w:r>
        <w:t xml:space="preserve"> </w:t>
      </w:r>
      <w:r>
        <w:rPr>
          <w:i/>
          <w:iCs/>
        </w:rPr>
        <w:t>See pro forma</w:t>
      </w:r>
      <w:r>
        <w:t xml:space="preserve"> LGIP, </w:t>
      </w:r>
      <w:r w:rsidR="00391421">
        <w:t>a</w:t>
      </w:r>
      <w:r w:rsidRPr="00C459EC">
        <w:t>ttach</w:t>
      </w:r>
      <w:r w:rsidR="00391421">
        <w:t>.</w:t>
      </w:r>
      <w:r w:rsidRPr="00C459EC">
        <w:t xml:space="preserve"> A to </w:t>
      </w:r>
      <w:r w:rsidR="00391421">
        <w:t>a</w:t>
      </w:r>
      <w:r w:rsidRPr="00C459EC">
        <w:t>pp</w:t>
      </w:r>
      <w:r w:rsidR="00391421">
        <w:t>.</w:t>
      </w:r>
      <w:r w:rsidRPr="00C459EC">
        <w:t xml:space="preserve"> 1</w:t>
      </w:r>
      <w:r>
        <w:t>.</w:t>
      </w:r>
    </w:p>
  </w:footnote>
  <w:footnote w:id="1196">
    <w:p w:rsidR="00760048" w:rsidP="00071614" w14:paraId="517F6DB4" w14:textId="77777777">
      <w:pPr>
        <w:pStyle w:val="FootnoteText"/>
      </w:pPr>
      <w:r w:rsidRPr="0072600F">
        <w:rPr>
          <w:rStyle w:val="FootnoteReference"/>
        </w:rPr>
        <w:footnoteRef/>
      </w:r>
      <w:r>
        <w:t xml:space="preserve"> Order No. 2023, </w:t>
      </w:r>
      <w:r w:rsidRPr="000F36A1">
        <w:t>184 FERC ¶ 61,054</w:t>
      </w:r>
      <w:r>
        <w:t xml:space="preserve"> at P 1682.</w:t>
      </w:r>
    </w:p>
  </w:footnote>
  <w:footnote w:id="1197">
    <w:p w:rsidR="00760048" w:rsidP="00071614" w14:paraId="20A07EAA" w14:textId="77777777">
      <w:pPr>
        <w:pStyle w:val="FootnoteText"/>
      </w:pPr>
      <w:r w:rsidRPr="0072600F">
        <w:rPr>
          <w:rStyle w:val="FootnoteReference"/>
        </w:rPr>
        <w:footnoteRef/>
      </w:r>
      <w:r>
        <w:t xml:space="preserve"> </w:t>
      </w:r>
      <w:r>
        <w:rPr>
          <w:i/>
          <w:iCs/>
        </w:rPr>
        <w:t>Id.</w:t>
      </w:r>
    </w:p>
  </w:footnote>
  <w:footnote w:id="1198">
    <w:p w:rsidR="00760048" w:rsidRPr="00007DCF" w:rsidP="00071614" w14:paraId="4828054B" w14:textId="77777777">
      <w:pPr>
        <w:pStyle w:val="FootnoteText"/>
      </w:pPr>
      <w:r w:rsidRPr="0072600F">
        <w:rPr>
          <w:rStyle w:val="FootnoteReference"/>
        </w:rPr>
        <w:footnoteRef/>
      </w:r>
      <w:r>
        <w:t xml:space="preserve"> </w:t>
      </w:r>
      <w:r>
        <w:rPr>
          <w:i/>
          <w:iCs/>
        </w:rPr>
        <w:t xml:space="preserve">See </w:t>
      </w:r>
      <w:r w:rsidRPr="00242FFE">
        <w:rPr>
          <w:i/>
          <w:iCs/>
        </w:rPr>
        <w:t>Sw. Power Pool Inc.</w:t>
      </w:r>
      <w:r w:rsidRPr="00242FFE">
        <w:rPr>
          <w:iCs/>
        </w:rPr>
        <w:t>,</w:t>
      </w:r>
      <w:r>
        <w:rPr>
          <w:i/>
          <w:iCs/>
        </w:rPr>
        <w:t xml:space="preserve"> </w:t>
      </w:r>
      <w:r w:rsidRPr="00242FFE">
        <w:t>181 FERC ¶ 61,018</w:t>
      </w:r>
      <w:r w:rsidR="00292367">
        <w:t>,</w:t>
      </w:r>
      <w:r>
        <w:t xml:space="preserve"> at P 8</w:t>
      </w:r>
      <w:r w:rsidR="00292367">
        <w:t xml:space="preserve"> (</w:t>
      </w:r>
      <w:r w:rsidR="0010088B">
        <w:t>2022)</w:t>
      </w:r>
      <w:r>
        <w:t>.</w:t>
      </w:r>
    </w:p>
  </w:footnote>
  <w:footnote w:id="1199">
    <w:p w:rsidR="00760048" w:rsidP="00071614" w14:paraId="425FD74D" w14:textId="77777777">
      <w:pPr>
        <w:pStyle w:val="FootnoteText"/>
      </w:pPr>
      <w:r w:rsidRPr="0072600F">
        <w:rPr>
          <w:rStyle w:val="FootnoteReference"/>
        </w:rPr>
        <w:footnoteRef/>
      </w:r>
      <w:r>
        <w:t xml:space="preserve"> Order No. 2023, </w:t>
      </w:r>
      <w:r w:rsidRPr="000F36A1">
        <w:t>184 FERC ¶ 61,054</w:t>
      </w:r>
      <w:r>
        <w:t xml:space="preserve"> at P 1669.</w:t>
      </w:r>
    </w:p>
  </w:footnote>
  <w:footnote w:id="1200">
    <w:p w:rsidR="00760048" w:rsidP="00071614" w14:paraId="71D382A1" w14:textId="77777777">
      <w:pPr>
        <w:pStyle w:val="FootnoteText"/>
      </w:pPr>
      <w:r w:rsidRPr="0072600F">
        <w:rPr>
          <w:rStyle w:val="FootnoteReference"/>
        </w:rPr>
        <w:footnoteRef/>
      </w:r>
      <w:r>
        <w:t xml:space="preserve"> PacifiCorp Rehearing </w:t>
      </w:r>
      <w:r w:rsidR="00F91353">
        <w:t xml:space="preserve">Request </w:t>
      </w:r>
      <w:r>
        <w:t>at 23-24.  It is unclear which models PacifiCorp would like to add, but it appears that they might be LHFRT (</w:t>
      </w:r>
      <w:r w:rsidRPr="00665E05">
        <w:t>Low/High Frequency Ride Through</w:t>
      </w:r>
      <w:r>
        <w:t>) and LHVRT (</w:t>
      </w:r>
      <w:r w:rsidRPr="00665E05">
        <w:t>Low/High Voltage Ride Through</w:t>
      </w:r>
      <w:r>
        <w:t>).</w:t>
      </w:r>
    </w:p>
  </w:footnote>
  <w:footnote w:id="1201">
    <w:p w:rsidR="00760048" w:rsidP="00071614" w14:paraId="5A475CA3" w14:textId="77777777">
      <w:pPr>
        <w:pStyle w:val="FootnoteText"/>
      </w:pPr>
      <w:r w:rsidRPr="0072600F">
        <w:rPr>
          <w:rStyle w:val="FootnoteReference"/>
        </w:rPr>
        <w:footnoteRef/>
      </w:r>
      <w:r>
        <w:t xml:space="preserve"> </w:t>
      </w:r>
      <w:r>
        <w:rPr>
          <w:i/>
          <w:iCs/>
        </w:rPr>
        <w:t xml:space="preserve">See </w:t>
      </w:r>
      <w:r>
        <w:rPr>
          <w:i/>
          <w:iCs/>
        </w:rPr>
        <w:t xml:space="preserve">supra </w:t>
      </w:r>
      <w:r>
        <w:t xml:space="preserve">P </w:t>
      </w:r>
      <w:r>
        <w:fldChar w:fldCharType="begin"/>
      </w:r>
      <w:r>
        <w:instrText xml:space="preserve"> REF _Ref160109312 \r \h </w:instrText>
      </w:r>
      <w:r>
        <w:fldChar w:fldCharType="separate"/>
      </w:r>
      <w:r w:rsidR="00C46123">
        <w:t>386</w:t>
      </w:r>
      <w:r>
        <w:fldChar w:fldCharType="end"/>
      </w:r>
      <w:r>
        <w:t>.</w:t>
      </w:r>
    </w:p>
  </w:footnote>
  <w:footnote w:id="1202">
    <w:p w:rsidR="00760048" w14:paraId="7EB9C6AE" w14:textId="77777777">
      <w:pPr>
        <w:pStyle w:val="FootnoteText"/>
      </w:pPr>
      <w:r w:rsidRPr="0072600F">
        <w:rPr>
          <w:rStyle w:val="FootnoteReference"/>
        </w:rPr>
        <w:footnoteRef/>
      </w:r>
      <w:r>
        <w:t xml:space="preserve"> Order No. 2023, </w:t>
      </w:r>
      <w:r w:rsidRPr="000F36A1">
        <w:t>184 FERC ¶ 61,054</w:t>
      </w:r>
      <w:r>
        <w:t xml:space="preserve"> at P 1715.</w:t>
      </w:r>
    </w:p>
  </w:footnote>
  <w:footnote w:id="1203">
    <w:p w:rsidR="00760048" w:rsidP="00071614" w14:paraId="38080FE0" w14:textId="77777777">
      <w:pPr>
        <w:pStyle w:val="FootnoteText"/>
      </w:pPr>
      <w:r w:rsidRPr="0072600F">
        <w:rPr>
          <w:rStyle w:val="FootnoteReference"/>
        </w:rPr>
        <w:footnoteRef/>
      </w:r>
      <w:r>
        <w:t xml:space="preserve"> Invenergy Rehearing </w:t>
      </w:r>
      <w:r w:rsidR="00F91353">
        <w:t>Request</w:t>
      </w:r>
      <w:r>
        <w:t xml:space="preserve"> at 16-17.</w:t>
      </w:r>
    </w:p>
  </w:footnote>
  <w:footnote w:id="1204">
    <w:p w:rsidR="00760048" w:rsidP="00071614" w14:paraId="2855D839" w14:textId="77777777">
      <w:pPr>
        <w:pStyle w:val="FootnoteText"/>
      </w:pPr>
      <w:r w:rsidRPr="0072600F">
        <w:rPr>
          <w:rStyle w:val="FootnoteReference"/>
        </w:rPr>
        <w:footnoteRef/>
      </w:r>
      <w:r>
        <w:t xml:space="preserve"> </w:t>
      </w:r>
      <w:r w:rsidRPr="00FA40E5" w:rsidR="00FA40E5">
        <w:t>Clean Energy Associations</w:t>
      </w:r>
      <w:r>
        <w:t xml:space="preserve"> Rehearing </w:t>
      </w:r>
      <w:r w:rsidR="00F91353">
        <w:t xml:space="preserve">Request </w:t>
      </w:r>
      <w:r>
        <w:t>at 83.</w:t>
      </w:r>
    </w:p>
  </w:footnote>
  <w:footnote w:id="1205">
    <w:p w:rsidR="00760048" w:rsidP="00071614" w14:paraId="0054C001" w14:textId="77777777">
      <w:pPr>
        <w:pStyle w:val="FootnoteText"/>
      </w:pPr>
      <w:r w:rsidRPr="0072600F">
        <w:rPr>
          <w:rStyle w:val="FootnoteReference"/>
        </w:rPr>
        <w:footnoteRef/>
      </w:r>
      <w:r>
        <w:t xml:space="preserve"> Order No. 2023, </w:t>
      </w:r>
      <w:r w:rsidRPr="000F36A1">
        <w:t>184 FERC ¶ 61,054</w:t>
      </w:r>
      <w:r>
        <w:t xml:space="preserve"> at P 1717.</w:t>
      </w:r>
    </w:p>
  </w:footnote>
  <w:footnote w:id="1206">
    <w:p w:rsidR="00760048" w:rsidP="00071614" w14:paraId="4E5689CE" w14:textId="77777777">
      <w:pPr>
        <w:pStyle w:val="FootnoteText"/>
      </w:pPr>
      <w:r w:rsidRPr="0072600F">
        <w:rPr>
          <w:rStyle w:val="FootnoteReference"/>
        </w:rPr>
        <w:footnoteRef/>
      </w:r>
      <w:r>
        <w:t xml:space="preserve"> </w:t>
      </w:r>
      <w:r w:rsidRPr="00910D7D">
        <w:rPr>
          <w:i/>
          <w:iCs/>
        </w:rPr>
        <w:t>See</w:t>
      </w:r>
      <w:r w:rsidRPr="00DE165F">
        <w:t xml:space="preserve"> AEP Rehearing Request at 26-28</w:t>
      </w:r>
      <w:r>
        <w:t xml:space="preserve"> (requesting more time for compliance)</w:t>
      </w:r>
      <w:r w:rsidRPr="00DE165F">
        <w:t>; Dominion Rehearing Request at 26-30</w:t>
      </w:r>
      <w:r>
        <w:t xml:space="preserve"> (requesting a year to submit compliance filings)</w:t>
      </w:r>
      <w:r w:rsidRPr="00DE165F">
        <w:t>; EEI Rehearing Request at 10-11</w:t>
      </w:r>
      <w:r>
        <w:t xml:space="preserve"> (requesting the compliance deadline be set to 180 days from the effective date of the final rule) </w:t>
      </w:r>
      <w:r w:rsidRPr="00DE165F">
        <w:t>; PacifiCorp Rehearing Request at 20-22</w:t>
      </w:r>
      <w:r>
        <w:t xml:space="preserve"> (requesting the compliance deadline be set to 180 days from the effective date of the final rule, or alternatively, 120 days)</w:t>
      </w:r>
      <w:r w:rsidRPr="00DE165F">
        <w:t>; PJM Rehearing Request at 46-48</w:t>
      </w:r>
      <w:r>
        <w:t xml:space="preserve"> (requesting the Commission delay compliance such that the 90 day clock would start upon the Commission’s issuance of an order on rehearing)</w:t>
      </w:r>
      <w:r w:rsidRPr="00DE165F">
        <w:t>.</w:t>
      </w:r>
      <w:r>
        <w:t xml:space="preserve"> </w:t>
      </w:r>
    </w:p>
  </w:footnote>
  <w:footnote w:id="1207">
    <w:p w:rsidR="00760048" w14:paraId="68F17A74" w14:textId="77777777">
      <w:pPr>
        <w:pStyle w:val="FootnoteText"/>
      </w:pPr>
      <w:r w:rsidRPr="0072600F">
        <w:rPr>
          <w:rStyle w:val="FootnoteReference"/>
        </w:rPr>
        <w:footnoteRef/>
      </w:r>
      <w:r>
        <w:t xml:space="preserve"> Indicated PJM TOs Rehearing Request at 17.</w:t>
      </w:r>
    </w:p>
  </w:footnote>
  <w:footnote w:id="1208">
    <w:p w:rsidR="00760048" w:rsidP="00071614" w14:paraId="12F39B78" w14:textId="77777777">
      <w:pPr>
        <w:pStyle w:val="FootnoteText"/>
      </w:pPr>
      <w:r w:rsidRPr="0072600F">
        <w:rPr>
          <w:rStyle w:val="FootnoteReference"/>
        </w:rPr>
        <w:footnoteRef/>
      </w:r>
      <w:r>
        <w:t xml:space="preserve"> Dominion Rehearing </w:t>
      </w:r>
      <w:r w:rsidR="00F91353">
        <w:t>Request</w:t>
      </w:r>
      <w:r>
        <w:t xml:space="preserve"> at 30 (citing </w:t>
      </w:r>
      <w:r w:rsidRPr="0078178F">
        <w:t xml:space="preserve">Order No. 2023, 184 FERC ¶ 61,054 at P 1769 (“This final rule will be effective as described above; however, the </w:t>
      </w:r>
      <w:r w:rsidRPr="006A72F0">
        <w:rPr>
          <w:i/>
        </w:rPr>
        <w:t>pro forma</w:t>
      </w:r>
      <w:r w:rsidRPr="0078178F">
        <w:t xml:space="preserve"> LGIP, </w:t>
      </w:r>
      <w:r w:rsidRPr="006A72F0">
        <w:rPr>
          <w:i/>
        </w:rPr>
        <w:t>pro forma</w:t>
      </w:r>
      <w:r w:rsidRPr="0078178F">
        <w:t xml:space="preserve"> LGIA, </w:t>
      </w:r>
      <w:r w:rsidRPr="006A72F0">
        <w:rPr>
          <w:i/>
        </w:rPr>
        <w:t>pro forma</w:t>
      </w:r>
      <w:r w:rsidRPr="0078178F">
        <w:t xml:space="preserve"> SGIP], and </w:t>
      </w:r>
      <w:r w:rsidRPr="006A72F0">
        <w:rPr>
          <w:i/>
        </w:rPr>
        <w:t>pro forma</w:t>
      </w:r>
      <w:r w:rsidRPr="0078178F">
        <w:t xml:space="preserve"> SGIP requirements in transmission providers’ tariffs will not be effective until the Commission-approved effective date of the transmission provider’s filing in compliance with this final rule.”)</w:t>
      </w:r>
      <w:r>
        <w:t>).</w:t>
      </w:r>
    </w:p>
  </w:footnote>
  <w:footnote w:id="1209">
    <w:p w:rsidR="00760048" w:rsidP="00071614" w14:paraId="26A01094" w14:textId="77777777">
      <w:pPr>
        <w:pStyle w:val="FootnoteText"/>
      </w:pPr>
      <w:r w:rsidRPr="0072600F">
        <w:rPr>
          <w:rStyle w:val="FootnoteReference"/>
        </w:rPr>
        <w:footnoteRef/>
      </w:r>
      <w:r>
        <w:t xml:space="preserve"> </w:t>
      </w:r>
      <w:bookmarkStart w:id="153" w:name="_Hlk160114951"/>
      <w:r w:rsidRPr="00745303">
        <w:rPr>
          <w:i/>
          <w:iCs/>
        </w:rPr>
        <w:t>Order on Motions and Addressing Limited Arguments Raised on Rehearing and Setting Aside Prior Order, In Part</w:t>
      </w:r>
      <w:r>
        <w:t>, Docket No. RM22-14 (Oct. 25, 2023).</w:t>
      </w:r>
      <w:bookmarkEnd w:id="153"/>
    </w:p>
  </w:footnote>
  <w:footnote w:id="1210">
    <w:p w:rsidR="00760048" w14:paraId="65A8CA44" w14:textId="77777777">
      <w:pPr>
        <w:pStyle w:val="FootnoteText"/>
      </w:pPr>
      <w:r w:rsidRPr="0072600F">
        <w:rPr>
          <w:rStyle w:val="FootnoteReference"/>
        </w:rPr>
        <w:footnoteRef/>
      </w:r>
      <w:r>
        <w:t xml:space="preserve"> Order No. 2023, </w:t>
      </w:r>
      <w:r w:rsidRPr="0078178F">
        <w:t>184 FERC ¶ 61,054 at P 1769</w:t>
      </w:r>
      <w:r>
        <w:t>.</w:t>
      </w:r>
    </w:p>
  </w:footnote>
  <w:footnote w:id="1211">
    <w:p w:rsidR="00760048" w:rsidRPr="00044066" w:rsidP="00071614" w14:paraId="17647E01" w14:textId="77777777">
      <w:pPr>
        <w:pStyle w:val="FootnoteText"/>
        <w:rPr>
          <w:szCs w:val="26"/>
        </w:rPr>
      </w:pPr>
      <w:r w:rsidRPr="0072600F">
        <w:rPr>
          <w:rStyle w:val="FootnoteReference"/>
        </w:rPr>
        <w:footnoteRef/>
      </w:r>
      <w:r w:rsidRPr="00044066">
        <w:rPr>
          <w:szCs w:val="26"/>
        </w:rPr>
        <w:t xml:space="preserve"> 44 U.S.C. </w:t>
      </w:r>
      <w:r w:rsidRPr="00CD5828" w:rsidR="00535220">
        <w:rPr>
          <w:szCs w:val="26"/>
        </w:rPr>
        <w:t>§</w:t>
      </w:r>
      <w:r w:rsidR="00535220">
        <w:rPr>
          <w:szCs w:val="26"/>
        </w:rPr>
        <w:t xml:space="preserve"> </w:t>
      </w:r>
      <w:r w:rsidRPr="00044066">
        <w:rPr>
          <w:szCs w:val="26"/>
        </w:rPr>
        <w:t>3507(d).</w:t>
      </w:r>
    </w:p>
  </w:footnote>
  <w:footnote w:id="1212">
    <w:p w:rsidR="00760048" w:rsidRPr="00044066" w:rsidP="00071614" w14:paraId="0542A40A" w14:textId="77777777">
      <w:pPr>
        <w:pStyle w:val="FootnoteText"/>
        <w:rPr>
          <w:szCs w:val="26"/>
        </w:rPr>
      </w:pPr>
      <w:r w:rsidRPr="0072600F">
        <w:rPr>
          <w:rStyle w:val="FootnoteReference"/>
        </w:rPr>
        <w:footnoteRef/>
      </w:r>
      <w:r w:rsidRPr="00044066">
        <w:rPr>
          <w:szCs w:val="26"/>
        </w:rPr>
        <w:t xml:space="preserve"> 5 CFR 1320.11.</w:t>
      </w:r>
    </w:p>
  </w:footnote>
  <w:footnote w:id="1213">
    <w:p w:rsidR="00760048" w:rsidRPr="00044066" w:rsidP="00071614" w14:paraId="689BC588" w14:textId="77777777">
      <w:pPr>
        <w:pStyle w:val="FootnoteText"/>
        <w:rPr>
          <w:szCs w:val="26"/>
        </w:rPr>
      </w:pPr>
      <w:r w:rsidRPr="0072600F">
        <w:rPr>
          <w:rStyle w:val="FootnoteReference"/>
        </w:rPr>
        <w:footnoteRef/>
      </w:r>
      <w:r w:rsidRPr="00044066">
        <w:rPr>
          <w:szCs w:val="26"/>
        </w:rPr>
        <w:t xml:space="preserve"> 18 CFR 35.28(f)(1).</w:t>
      </w:r>
    </w:p>
  </w:footnote>
  <w:footnote w:id="1214">
    <w:p w:rsidR="00760048" w:rsidP="00071614" w14:paraId="3AF5F18F" w14:textId="77777777">
      <w:pPr>
        <w:pStyle w:val="FootnoteText"/>
      </w:pPr>
      <w:r w:rsidRPr="0072600F">
        <w:rPr>
          <w:rStyle w:val="FootnoteReference"/>
        </w:rPr>
        <w:footnoteRef/>
      </w:r>
      <w:r>
        <w:t xml:space="preserve"> </w:t>
      </w:r>
      <w:r w:rsidRPr="0060111F">
        <w:t xml:space="preserve">44 U.S.C. </w:t>
      </w:r>
      <w:r w:rsidRPr="00CD5828" w:rsidR="00CD5828">
        <w:t>§</w:t>
      </w:r>
      <w:r w:rsidR="00CD5828">
        <w:t xml:space="preserve"> </w:t>
      </w:r>
      <w:r w:rsidRPr="0060111F">
        <w:t>3507(d).</w:t>
      </w:r>
    </w:p>
  </w:footnote>
  <w:footnote w:id="1215">
    <w:p w:rsidR="00760048" w:rsidP="00071614" w14:paraId="0840DE28" w14:textId="77777777">
      <w:pPr>
        <w:pStyle w:val="FootnoteText"/>
      </w:pPr>
      <w:r w:rsidRPr="0072600F">
        <w:rPr>
          <w:rStyle w:val="FootnoteReference"/>
        </w:rPr>
        <w:footnoteRef/>
      </w:r>
      <w:r>
        <w:t xml:space="preserve"> 5 CFR 1320.3(b)(1).</w:t>
      </w:r>
    </w:p>
  </w:footnote>
  <w:footnote w:id="1216">
    <w:p w:rsidR="00760048" w:rsidRPr="00044066" w:rsidP="00071614" w14:paraId="3B976AE4" w14:textId="77777777">
      <w:pPr>
        <w:pStyle w:val="FootnoteText"/>
        <w:rPr>
          <w:szCs w:val="26"/>
        </w:rPr>
      </w:pPr>
      <w:r w:rsidRPr="0072600F">
        <w:rPr>
          <w:rStyle w:val="FootnoteReference"/>
        </w:rPr>
        <w:footnoteRef/>
      </w:r>
      <w:r w:rsidRPr="00044066">
        <w:rPr>
          <w:szCs w:val="26"/>
        </w:rPr>
        <w:t xml:space="preserve"> Commission staff estimate that respondents’ hourly wages plus benefits are comparable to those of FERC employees</w:t>
      </w:r>
      <w:r>
        <w:rPr>
          <w:szCs w:val="26"/>
        </w:rPr>
        <w:t xml:space="preserve"> (2024)</w:t>
      </w:r>
      <w:r w:rsidRPr="00044066">
        <w:rPr>
          <w:szCs w:val="26"/>
        </w:rPr>
        <w:t xml:space="preserve">.  Therefore, the </w:t>
      </w:r>
      <w:r>
        <w:rPr>
          <w:szCs w:val="26"/>
        </w:rPr>
        <w:t xml:space="preserve">2024 FERC </w:t>
      </w:r>
      <w:r w:rsidRPr="00044066">
        <w:rPr>
          <w:szCs w:val="26"/>
        </w:rPr>
        <w:t xml:space="preserve">hourly cost </w:t>
      </w:r>
      <w:r>
        <w:rPr>
          <w:szCs w:val="26"/>
        </w:rPr>
        <w:t xml:space="preserve">estimate </w:t>
      </w:r>
      <w:r w:rsidRPr="00044066">
        <w:rPr>
          <w:szCs w:val="26"/>
        </w:rPr>
        <w:t>in this analysis is $</w:t>
      </w:r>
      <w:r>
        <w:rPr>
          <w:szCs w:val="26"/>
        </w:rPr>
        <w:t>100</w:t>
      </w:r>
      <w:r w:rsidRPr="00044066">
        <w:rPr>
          <w:szCs w:val="26"/>
        </w:rPr>
        <w:t xml:space="preserve"> per hour ($</w:t>
      </w:r>
      <w:r w:rsidRPr="003508CF">
        <w:rPr>
          <w:szCs w:val="26"/>
        </w:rPr>
        <w:t>207,786</w:t>
      </w:r>
      <w:r>
        <w:rPr>
          <w:b/>
          <w:bCs/>
          <w:szCs w:val="26"/>
        </w:rPr>
        <w:t xml:space="preserve"> </w:t>
      </w:r>
      <w:r w:rsidRPr="00044066">
        <w:rPr>
          <w:szCs w:val="26"/>
        </w:rPr>
        <w:t>per year)</w:t>
      </w:r>
      <w:r>
        <w:rPr>
          <w:szCs w:val="26"/>
        </w:rPr>
        <w:t>.</w:t>
      </w:r>
    </w:p>
  </w:footnote>
  <w:footnote w:id="1217">
    <w:p w:rsidR="00760048" w:rsidP="00071614" w14:paraId="3AEC75CF" w14:textId="77777777">
      <w:pPr>
        <w:pStyle w:val="FootnoteText"/>
      </w:pPr>
      <w:r w:rsidRPr="0072600F">
        <w:rPr>
          <w:rStyle w:val="FootnoteReference"/>
        </w:rPr>
        <w:footnoteRef/>
      </w:r>
      <w:r>
        <w:t xml:space="preserve"> Order No. 2023 erroneously reported 44 ongoing responses for Affected Systems Study Process reforms.  This was an error and the current number of estimated ongoing responses is zero.  However, the burden cost per response and total burden estimates for Affected Systems Study Process reforms were correctly calculated and reported. </w:t>
      </w:r>
    </w:p>
  </w:footnote>
  <w:footnote w:id="1218">
    <w:p w:rsidR="00760048" w:rsidRPr="00A972FF" w:rsidP="00071614" w14:paraId="1C705CE5" w14:textId="77777777">
      <w:pPr>
        <w:pStyle w:val="FootnoteText"/>
      </w:pPr>
      <w:r w:rsidRPr="0072600F">
        <w:rPr>
          <w:rStyle w:val="FootnoteReference"/>
        </w:rPr>
        <w:footnoteRef/>
      </w:r>
      <w:r w:rsidRPr="00A972FF">
        <w:t xml:space="preserve"> </w:t>
      </w:r>
      <w:r>
        <w:rPr>
          <w:i/>
          <w:iCs/>
        </w:rPr>
        <w:t>Regul</w:t>
      </w:r>
      <w:r w:rsidRPr="00870368">
        <w:rPr>
          <w:i/>
          <w:iCs/>
        </w:rPr>
        <w:t>s</w:t>
      </w:r>
      <w:r w:rsidR="00391421">
        <w:rPr>
          <w:i/>
          <w:iCs/>
        </w:rPr>
        <w:t>.</w:t>
      </w:r>
      <w:r w:rsidRPr="00870368">
        <w:rPr>
          <w:i/>
          <w:iCs/>
        </w:rPr>
        <w:t xml:space="preserve"> Implementing the </w:t>
      </w:r>
      <w:r>
        <w:rPr>
          <w:i/>
          <w:iCs/>
        </w:rPr>
        <w:t>Nat</w:t>
      </w:r>
      <w:r w:rsidR="00391421">
        <w:rPr>
          <w:i/>
          <w:iCs/>
        </w:rPr>
        <w:t>’</w:t>
      </w:r>
      <w:r>
        <w:rPr>
          <w:i/>
          <w:iCs/>
        </w:rPr>
        <w:t>l</w:t>
      </w:r>
      <w:r w:rsidR="00391421">
        <w:rPr>
          <w:i/>
          <w:iCs/>
        </w:rPr>
        <w:t>.</w:t>
      </w:r>
      <w:r>
        <w:rPr>
          <w:i/>
          <w:iCs/>
        </w:rPr>
        <w:t xml:space="preserve"> Env</w:t>
      </w:r>
      <w:r w:rsidR="00391421">
        <w:rPr>
          <w:i/>
          <w:iCs/>
        </w:rPr>
        <w:t>’</w:t>
      </w:r>
      <w:r>
        <w:rPr>
          <w:i/>
          <w:iCs/>
        </w:rPr>
        <w:t>t Pol</w:t>
      </w:r>
      <w:r w:rsidR="00391421">
        <w:rPr>
          <w:i/>
          <w:iCs/>
        </w:rPr>
        <w:t>’</w:t>
      </w:r>
      <w:r>
        <w:rPr>
          <w:i/>
          <w:iCs/>
        </w:rPr>
        <w:t>y</w:t>
      </w:r>
      <w:r w:rsidRPr="00870368">
        <w:rPr>
          <w:i/>
          <w:iCs/>
        </w:rPr>
        <w:t xml:space="preserve"> Act</w:t>
      </w:r>
      <w:r w:rsidRPr="00A972FF">
        <w:t>, Ord</w:t>
      </w:r>
      <w:r>
        <w:t>er</w:t>
      </w:r>
      <w:r w:rsidRPr="00A972FF">
        <w:t xml:space="preserve"> No. 486,</w:t>
      </w:r>
      <w:r>
        <w:t xml:space="preserve"> </w:t>
      </w:r>
      <w:r w:rsidRPr="00A972FF">
        <w:t>52 FR 47897 (Dec. 17, 1987), FERC Stats. &amp; Regs. Preambles 1986-1990 ¶</w:t>
      </w:r>
      <w:r>
        <w:t> </w:t>
      </w:r>
      <w:r w:rsidRPr="00A972FF">
        <w:t>30,783 (1987)</w:t>
      </w:r>
      <w:r>
        <w:t xml:space="preserve"> (cross-referenced at </w:t>
      </w:r>
      <w:r w:rsidRPr="00870368">
        <w:t>41 FERC ¶</w:t>
      </w:r>
      <w:r>
        <w:t> </w:t>
      </w:r>
      <w:r w:rsidRPr="00870368">
        <w:t>61,284</w:t>
      </w:r>
      <w:r>
        <w:t>)</w:t>
      </w:r>
      <w:r w:rsidRPr="00A972FF">
        <w:t>.</w:t>
      </w:r>
    </w:p>
  </w:footnote>
  <w:footnote w:id="1219">
    <w:p w:rsidR="00760048" w:rsidRPr="00044066" w:rsidP="00071614" w14:paraId="1DA876BD" w14:textId="77777777">
      <w:pPr>
        <w:pStyle w:val="FootnoteText"/>
        <w:rPr>
          <w:szCs w:val="26"/>
        </w:rPr>
      </w:pPr>
      <w:r w:rsidRPr="0072600F">
        <w:rPr>
          <w:rStyle w:val="FootnoteReference"/>
        </w:rPr>
        <w:footnoteRef/>
      </w:r>
      <w:r w:rsidRPr="00044066">
        <w:rPr>
          <w:szCs w:val="26"/>
        </w:rPr>
        <w:t xml:space="preserve"> 18 CFR 380.4(a)(15).</w:t>
      </w:r>
    </w:p>
  </w:footnote>
  <w:footnote w:id="1220">
    <w:p w:rsidR="00760048" w:rsidRPr="00044066" w:rsidP="00071614" w14:paraId="62DFF751" w14:textId="77777777">
      <w:pPr>
        <w:pStyle w:val="FootnoteText"/>
        <w:rPr>
          <w:szCs w:val="26"/>
        </w:rPr>
      </w:pPr>
      <w:r w:rsidRPr="0072600F">
        <w:rPr>
          <w:rStyle w:val="FootnoteReference"/>
        </w:rPr>
        <w:footnoteRef/>
      </w:r>
      <w:r w:rsidRPr="00044066">
        <w:rPr>
          <w:szCs w:val="26"/>
        </w:rPr>
        <w:t xml:space="preserve"> 5 U.S.C. </w:t>
      </w:r>
      <w:r w:rsidRPr="00CD5828" w:rsidR="00CD5828">
        <w:rPr>
          <w:szCs w:val="26"/>
        </w:rPr>
        <w:t>§</w:t>
      </w:r>
      <w:r w:rsidR="00CD5828">
        <w:rPr>
          <w:szCs w:val="26"/>
        </w:rPr>
        <w:t xml:space="preserve"> </w:t>
      </w:r>
      <w:r w:rsidRPr="00044066">
        <w:rPr>
          <w:szCs w:val="26"/>
        </w:rPr>
        <w:t>601-612.</w:t>
      </w:r>
    </w:p>
  </w:footnote>
  <w:footnote w:id="1221">
    <w:p w:rsidR="00760048" w:rsidRPr="00044066" w:rsidP="00071614" w14:paraId="451FC347" w14:textId="77777777">
      <w:pPr>
        <w:pStyle w:val="FootnoteText"/>
        <w:rPr>
          <w:szCs w:val="26"/>
        </w:rPr>
      </w:pPr>
      <w:r w:rsidRPr="0072600F">
        <w:rPr>
          <w:rStyle w:val="FootnoteReference"/>
        </w:rPr>
        <w:footnoteRef/>
      </w:r>
      <w:r w:rsidRPr="00044066">
        <w:rPr>
          <w:szCs w:val="26"/>
        </w:rPr>
        <w:t xml:space="preserve"> </w:t>
      </w:r>
      <w:r w:rsidRPr="00044066">
        <w:rPr>
          <w:rFonts w:eastAsia="Wingdings"/>
          <w:szCs w:val="26"/>
        </w:rPr>
        <w:t>13 CFR 121.201.</w:t>
      </w:r>
    </w:p>
  </w:footnote>
  <w:footnote w:id="1222">
    <w:p w:rsidR="00760048" w:rsidRPr="00044066" w:rsidP="00071614" w14:paraId="6E93675D" w14:textId="77777777">
      <w:pPr>
        <w:pStyle w:val="FootnoteText"/>
        <w:rPr>
          <w:szCs w:val="26"/>
        </w:rPr>
      </w:pPr>
      <w:r w:rsidRPr="0072600F">
        <w:rPr>
          <w:rStyle w:val="FootnoteReference"/>
        </w:rPr>
        <w:footnoteRef/>
      </w:r>
      <w:r w:rsidRPr="00044066">
        <w:rPr>
          <w:szCs w:val="26"/>
        </w:rPr>
        <w:t xml:space="preserve"> The RFA definition of “small entity” refers to the definition provided in the Small Business Act, which defines a “small business concern” as a business that is independently owned and operated and that is not dominant in its field of operation.  The Small Business Administration’s regulations define the threshold for a small Electric Bulk Power Transmission and Control entity (NAICS code 221121) to be 950 employees (“the maximum allowed for a concern and its affiliates to be considered small”).  </w:t>
      </w:r>
      <w:r w:rsidRPr="00044066">
        <w:rPr>
          <w:i/>
          <w:szCs w:val="26"/>
        </w:rPr>
        <w:t>See</w:t>
      </w:r>
      <w:r w:rsidRPr="00044066">
        <w:rPr>
          <w:szCs w:val="26"/>
        </w:rPr>
        <w:t xml:space="preserve"> </w:t>
      </w:r>
      <w:r>
        <w:rPr>
          <w:szCs w:val="26"/>
        </w:rPr>
        <w:t xml:space="preserve">    </w:t>
      </w:r>
      <w:r w:rsidRPr="00044066">
        <w:rPr>
          <w:szCs w:val="26"/>
        </w:rPr>
        <w:t xml:space="preserve">13 CFR 121.201; </w:t>
      </w:r>
      <w:r w:rsidRPr="00044066">
        <w:rPr>
          <w:i/>
          <w:szCs w:val="26"/>
        </w:rPr>
        <w:t>see also</w:t>
      </w:r>
      <w:r w:rsidRPr="00044066">
        <w:rPr>
          <w:szCs w:val="26"/>
        </w:rPr>
        <w:t xml:space="preserve"> 5 U.S.C. </w:t>
      </w:r>
      <w:r w:rsidRPr="00CD5828" w:rsidR="00CD5828">
        <w:rPr>
          <w:szCs w:val="26"/>
        </w:rPr>
        <w:t>§</w:t>
      </w:r>
      <w:r w:rsidR="00CD5828">
        <w:rPr>
          <w:szCs w:val="26"/>
        </w:rPr>
        <w:t xml:space="preserve"> </w:t>
      </w:r>
      <w:r w:rsidRPr="00044066">
        <w:rPr>
          <w:szCs w:val="26"/>
        </w:rPr>
        <w:t xml:space="preserve">601(3) (citing to </w:t>
      </w:r>
      <w:r>
        <w:rPr>
          <w:szCs w:val="26"/>
        </w:rPr>
        <w:t>s</w:t>
      </w:r>
      <w:r w:rsidRPr="00044066">
        <w:rPr>
          <w:szCs w:val="26"/>
        </w:rPr>
        <w:t xml:space="preserve">ection 3 of the Small Business Act, 15 U.S.C. </w:t>
      </w:r>
      <w:r w:rsidRPr="00CD5828" w:rsidR="00535220">
        <w:rPr>
          <w:szCs w:val="26"/>
        </w:rPr>
        <w:t>§</w:t>
      </w:r>
      <w:r w:rsidR="00535220">
        <w:rPr>
          <w:szCs w:val="26"/>
        </w:rPr>
        <w:t xml:space="preserve"> </w:t>
      </w:r>
      <w:r w:rsidRPr="00044066">
        <w:rPr>
          <w:szCs w:val="26"/>
        </w:rPr>
        <w:t>632).</w:t>
      </w:r>
    </w:p>
  </w:footnote>
  <w:footnote w:id="1223">
    <w:p w:rsidR="00760048" w:rsidRPr="00044066" w:rsidP="00071614" w14:paraId="27F13C32" w14:textId="77777777">
      <w:pPr>
        <w:pStyle w:val="FootnoteText"/>
        <w:rPr>
          <w:szCs w:val="26"/>
        </w:rPr>
      </w:pPr>
      <w:r w:rsidRPr="0072600F">
        <w:rPr>
          <w:rStyle w:val="FootnoteReference"/>
        </w:rPr>
        <w:footnoteRef/>
      </w:r>
      <w:r w:rsidRPr="00044066">
        <w:rPr>
          <w:szCs w:val="26"/>
        </w:rPr>
        <w:t xml:space="preserve"> 18 CFR 35.28(f)(1).</w:t>
      </w:r>
    </w:p>
  </w:footnote>
  <w:footnote w:id="1224">
    <w:p w:rsidR="00760048" w:rsidRPr="00044066" w:rsidP="00071614" w14:paraId="6C9F02BC" w14:textId="77777777">
      <w:pPr>
        <w:pStyle w:val="FootnoteText"/>
        <w:rPr>
          <w:szCs w:val="26"/>
        </w:rPr>
      </w:pPr>
      <w:r w:rsidRPr="0072600F">
        <w:rPr>
          <w:rStyle w:val="FootnoteReference"/>
        </w:rPr>
        <w:footnoteRef/>
      </w:r>
      <w:r w:rsidRPr="00044066">
        <w:rPr>
          <w:szCs w:val="26"/>
        </w:rPr>
        <w:t xml:space="preserve"> U.S. Small Business Administration, </w:t>
      </w:r>
      <w:r w:rsidRPr="00044066">
        <w:rPr>
          <w:i/>
          <w:szCs w:val="26"/>
        </w:rPr>
        <w:t>A Guide for Government Agencies How to Comply with the Regulatory Flexibility Act</w:t>
      </w:r>
      <w:r w:rsidRPr="00044066">
        <w:rPr>
          <w:szCs w:val="26"/>
        </w:rPr>
        <w:t>, at 18 (Aug</w:t>
      </w:r>
      <w:r>
        <w:rPr>
          <w:szCs w:val="26"/>
        </w:rPr>
        <w:t>.</w:t>
      </w:r>
      <w:r w:rsidRPr="00044066">
        <w:rPr>
          <w:szCs w:val="26"/>
        </w:rPr>
        <w:t xml:space="preserve"> 2017), https://cdn.advocacy.sba.gov/wp-content/uploads/2019/06/21110349/How-to-Comply-with-the-RFA.pdf. </w:t>
      </w:r>
    </w:p>
  </w:footnote>
  <w:footnote w:id="1225">
    <w:p w:rsidR="00760048" w14:paraId="2B38C575" w14:textId="77777777">
      <w:pPr>
        <w:pStyle w:val="FootnoteText"/>
      </w:pPr>
      <w:r w:rsidRPr="0072600F">
        <w:rPr>
          <w:rStyle w:val="FootnoteReference"/>
        </w:rPr>
        <w:footnoteRef/>
      </w:r>
      <w:r>
        <w:t xml:space="preserve"> Data drawn from the following sources, respectively:</w:t>
      </w:r>
    </w:p>
    <w:p w:rsidR="00760048" w:rsidP="00071614" w14:paraId="3BFBE75B" w14:textId="77777777">
      <w:pPr>
        <w:pStyle w:val="FootnoteText"/>
      </w:pPr>
      <w:r w:rsidRPr="002A2569">
        <w:t>https://www.oasis.oati.com/azps/ (Arizona Public Service);</w:t>
      </w:r>
      <w:r>
        <w:t xml:space="preserve"> </w:t>
      </w:r>
      <w:r w:rsidRPr="002A2569">
        <w:t>https://www.oasis.oati.com/avat/ (Avista Corp.);</w:t>
      </w:r>
      <w:r>
        <w:t xml:space="preserve"> </w:t>
      </w:r>
      <w:r w:rsidRPr="002A2569">
        <w:t>https://www.oasis.oati.com/SCEG/ (Dominion Energy South Carolina);</w:t>
      </w:r>
      <w:r>
        <w:t xml:space="preserve"> </w:t>
      </w:r>
      <w:r w:rsidRPr="002A2569">
        <w:t>http://www.oasis.oati.com/duk/index.html (Duke Energy Carolinas);</w:t>
      </w:r>
      <w:r>
        <w:t xml:space="preserve"> </w:t>
      </w:r>
      <w:r w:rsidRPr="002A2569">
        <w:t>https://www.oasis.oati.com/epe/index.html (El Paso Electric Co.);</w:t>
      </w:r>
      <w:r>
        <w:t xml:space="preserve"> </w:t>
      </w:r>
      <w:r w:rsidRPr="002A2569">
        <w:t>http://www.oasis.oati.com/NEVP/ (Nevada Power);</w:t>
      </w:r>
      <w:r>
        <w:t xml:space="preserve"> </w:t>
      </w:r>
      <w:r w:rsidRPr="002A2569">
        <w:t>https://www.oasis.oati.com/PPW/ (PacifiCorp);</w:t>
      </w:r>
      <w:r>
        <w:t xml:space="preserve"> </w:t>
      </w:r>
      <w:r w:rsidRPr="006E1144">
        <w:t>https://www.oasis.oati.com/psco/index.html</w:t>
      </w:r>
      <w:r>
        <w:t xml:space="preserve"> </w:t>
      </w:r>
      <w:r w:rsidRPr="002A2569">
        <w:t>(Public Service Company of Colorado);</w:t>
      </w:r>
      <w:r>
        <w:t xml:space="preserve"> </w:t>
      </w:r>
      <w:r w:rsidRPr="002A2569">
        <w:t>https://www.oasis.oati.com/PNM/ (Public</w:t>
      </w:r>
      <w:r>
        <w:t xml:space="preserve"> </w:t>
      </w:r>
      <w:r w:rsidRPr="002A2569">
        <w:t>Service Company of New Mexico);</w:t>
      </w:r>
      <w:r>
        <w:t xml:space="preserve"> and </w:t>
      </w:r>
      <w:r w:rsidRPr="002A2569">
        <w:t>https://www.oasis.oati.com/tsgt/index.html (Tri-State Generation and Transmission)</w:t>
      </w:r>
      <w:r>
        <w:t>.</w:t>
      </w:r>
    </w:p>
  </w:footnote>
  <w:footnote w:id="1226">
    <w:p w:rsidR="00F3594B" w14:paraId="49E75D55" w14:textId="77777777">
      <w:pPr>
        <w:pStyle w:val="FootnoteText"/>
      </w:pPr>
      <w:r w:rsidRPr="0072600F">
        <w:rPr>
          <w:rStyle w:val="FootnoteReference"/>
        </w:rPr>
        <w:footnoteRef/>
      </w:r>
      <w:r>
        <w:t xml:space="preserve"> </w:t>
      </w:r>
      <w:r w:rsidRPr="00173EE3">
        <w:rPr>
          <w:rFonts w:eastAsia="Arial Unicode MS"/>
          <w:szCs w:val="24"/>
        </w:rPr>
        <w:t xml:space="preserve">For purposes of this table, a mainline is the three-phase backbone of a circuit.  It will typically constitute lines with wire sizes of 4/0 American wire gauge, 336.4 </w:t>
      </w:r>
      <w:r w:rsidRPr="00173EE3">
        <w:rPr>
          <w:rFonts w:eastAsia="Arial Unicode MS"/>
          <w:szCs w:val="24"/>
        </w:rPr>
        <w:t>kcmil, 397.5 kcmil, 477 kcmil and 795 kcmil.</w:t>
      </w:r>
    </w:p>
  </w:footnote>
  <w:footnote w:id="1227">
    <w:p w:rsidR="00F3594B" w14:paraId="4BF46676" w14:textId="77777777">
      <w:pPr>
        <w:pStyle w:val="FootnoteText"/>
      </w:pPr>
      <w:r w:rsidRPr="0072600F">
        <w:rPr>
          <w:rStyle w:val="FootnoteReference"/>
        </w:rPr>
        <w:footnoteRef/>
      </w:r>
      <w:r>
        <w:t xml:space="preserve"> </w:t>
      </w:r>
      <w:r w:rsidRPr="00173EE3">
        <w:rPr>
          <w:rFonts w:eastAsia="Arial Unicode MS"/>
          <w:szCs w:val="24"/>
        </w:rPr>
        <w:t>An Interconnection Customer can determine this information about its proposed interconnection location in advance by requesting a pre-application report pursuant to section 1.2.</w:t>
      </w:r>
    </w:p>
  </w:footnote>
  <w:footnote w:id="1228">
    <w:p w:rsidR="00F3594B" w:rsidRPr="002D0383" w14:paraId="7A0B9BDF" w14:textId="77777777">
      <w:pPr>
        <w:pStyle w:val="FootnoteText"/>
      </w:pPr>
      <w:r w:rsidRPr="0072600F">
        <w:rPr>
          <w:rStyle w:val="FootnoteReference"/>
        </w:rPr>
        <w:footnoteRef/>
      </w:r>
      <w:r w:rsidRPr="002D0383">
        <w:t xml:space="preserve"> A spot </w:t>
      </w:r>
      <w:r>
        <w:t>n</w:t>
      </w:r>
      <w:r w:rsidRPr="002D0383">
        <w:t xml:space="preserve">etwork is a type of distribution system found within modern commercial buildings to provide high reliability of service to a single customer. </w:t>
      </w:r>
      <w:r>
        <w:t xml:space="preserve"> </w:t>
      </w:r>
      <w:r w:rsidRPr="002D0383">
        <w:t>(</w:t>
      </w:r>
      <w:r w:rsidRPr="002E73C0">
        <w:t>Standard Handbook for Electrical Engineers</w:t>
      </w:r>
      <w:r w:rsidRPr="002D0383">
        <w:t>, 11th edition, Donald Fink, McGraw Hill Book Company)</w:t>
      </w:r>
    </w:p>
  </w:footnote>
  <w:footnote w:id="1229">
    <w:p w:rsidR="009B2286" w:rsidP="007F034F" w14:paraId="2A67C681" w14:textId="77777777">
      <w:pPr>
        <w:pStyle w:val="FootnoteText"/>
      </w:pPr>
      <w:r>
        <w:rPr>
          <w:rStyle w:val="FootnoteReference"/>
        </w:rPr>
        <w:footnoteRef/>
      </w:r>
      <w:r>
        <w:t xml:space="preserve"> </w:t>
      </w:r>
      <w:r w:rsidRPr="0028405D">
        <w:rPr>
          <w:i/>
          <w:szCs w:val="26"/>
        </w:rPr>
        <w:t>Improvements to Generator Interconnection Procedures and Agreements</w:t>
      </w:r>
      <w:r w:rsidRPr="000B3E65">
        <w:rPr>
          <w:szCs w:val="26"/>
        </w:rPr>
        <w:t xml:space="preserve">, </w:t>
      </w:r>
      <w:r>
        <w:rPr>
          <w:szCs w:val="26"/>
        </w:rPr>
        <w:t xml:space="preserve">Order No. 2023-A, </w:t>
      </w:r>
      <w:r w:rsidRPr="00066631">
        <w:rPr>
          <w:szCs w:val="26"/>
        </w:rPr>
        <w:t>186 FERC ¶ 61,199</w:t>
      </w:r>
      <w:r w:rsidRPr="000B3E65">
        <w:rPr>
          <w:szCs w:val="26"/>
        </w:rPr>
        <w:t xml:space="preserve"> (202</w:t>
      </w:r>
      <w:r>
        <w:rPr>
          <w:szCs w:val="26"/>
        </w:rPr>
        <w:t>4).</w:t>
      </w:r>
    </w:p>
  </w:footnote>
  <w:footnote w:id="1230">
    <w:p w:rsidR="009B2286" w:rsidP="00107968" w14:paraId="6A370C84" w14:textId="77777777">
      <w:pPr>
        <w:pStyle w:val="FootnoteText"/>
      </w:pPr>
      <w:r>
        <w:rPr>
          <w:rStyle w:val="FootnoteReference"/>
        </w:rPr>
        <w:footnoteRef/>
      </w:r>
      <w:r>
        <w:t xml:space="preserve"> </w:t>
      </w:r>
      <w:r w:rsidRPr="005C746F">
        <w:rPr>
          <w:i/>
          <w:iCs/>
        </w:rPr>
        <w:t>Improvements to Generator Interconnection Procedures and Agreements</w:t>
      </w:r>
      <w:r w:rsidRPr="005C746F">
        <w:t>, Order</w:t>
      </w:r>
      <w:r>
        <w:t xml:space="preserve"> </w:t>
      </w:r>
      <w:r w:rsidRPr="005C746F">
        <w:t>No. 2023, 88 FR 61014 (Sept. 6, 2023), 184 FERC ¶ 61,054 (2023)</w:t>
      </w:r>
      <w:r>
        <w:t xml:space="preserve"> (Christie, Comm’r, concurring at P 1) (</w:t>
      </w:r>
      <w:r w:rsidRPr="004547D7">
        <w:t>Order No. 2023 Concurrence</w:t>
      </w:r>
      <w:r>
        <w:t xml:space="preserve">), </w:t>
      </w:r>
      <w:hyperlink r:id="rId1" w:history="1">
        <w:r w:rsidRPr="005B42E4">
          <w:rPr>
            <w:rStyle w:val="Hyperlink"/>
          </w:rPr>
          <w:t>https://www.ferc.gov/news-events/news/e-1-commissioner-christie-concurrence-order-no-2023-interconnection-final-rule</w:t>
        </w:r>
      </w:hyperlink>
      <w:r w:rsidRPr="005C746F">
        <w:t>.</w:t>
      </w:r>
    </w:p>
  </w:footnote>
  <w:footnote w:id="1231">
    <w:p w:rsidR="009B2286" w14:paraId="5CE812FF" w14:textId="77777777">
      <w:pPr>
        <w:pStyle w:val="FootnoteText"/>
      </w:pPr>
      <w:r>
        <w:rPr>
          <w:rStyle w:val="FootnoteReference"/>
        </w:rPr>
        <w:footnoteRef/>
      </w:r>
      <w:r>
        <w:t xml:space="preserve"> </w:t>
      </w:r>
      <w:r w:rsidRPr="004547D7">
        <w:rPr>
          <w:i/>
          <w:iCs/>
        </w:rPr>
        <w:t>Id.</w:t>
      </w:r>
      <w:r>
        <w:t xml:space="preserve"> P 2.</w:t>
      </w:r>
    </w:p>
  </w:footnote>
  <w:footnote w:id="1232">
    <w:p w:rsidR="009B2286" w:rsidRPr="0058158B" w:rsidP="007F034F" w14:paraId="4E2DA1D1" w14:textId="77777777">
      <w:pPr>
        <w:pStyle w:val="FootnoteText"/>
        <w:rPr>
          <w:szCs w:val="26"/>
        </w:rPr>
      </w:pPr>
      <w:r w:rsidRPr="0058158B">
        <w:rPr>
          <w:rStyle w:val="FootnoteReference"/>
        </w:rPr>
        <w:footnoteRef/>
      </w:r>
      <w:r w:rsidRPr="0058158B">
        <w:rPr>
          <w:szCs w:val="26"/>
        </w:rPr>
        <w:t xml:space="preserve"> </w:t>
      </w:r>
      <w:r w:rsidRPr="004547D7">
        <w:rPr>
          <w:i/>
          <w:iCs/>
          <w:szCs w:val="26"/>
        </w:rPr>
        <w:t>Id.</w:t>
      </w:r>
      <w:r>
        <w:rPr>
          <w:szCs w:val="26"/>
        </w:rPr>
        <w:t xml:space="preserve"> P 5 (footnote omitted).</w:t>
      </w:r>
    </w:p>
  </w:footnote>
  <w:footnote w:id="1233">
    <w:p w:rsidR="009B2286" w14:paraId="47A5BF51" w14:textId="77777777">
      <w:pPr>
        <w:pStyle w:val="FootnoteText"/>
      </w:pPr>
      <w:r>
        <w:rPr>
          <w:rStyle w:val="FootnoteReference"/>
        </w:rPr>
        <w:footnoteRef/>
      </w:r>
      <w:r>
        <w:t xml:space="preserve"> </w:t>
      </w:r>
      <w:r w:rsidRPr="004547D7">
        <w:rPr>
          <w:i/>
          <w:iCs/>
        </w:rPr>
        <w:t>Id.</w:t>
      </w:r>
      <w:r>
        <w:t xml:space="preserve"> PP 6-7.</w:t>
      </w:r>
    </w:p>
  </w:footnote>
  <w:footnote w:id="1234">
    <w:p w:rsidR="009B2286" w14:paraId="3CA971F3" w14:textId="77777777">
      <w:pPr>
        <w:pStyle w:val="FootnoteText"/>
      </w:pPr>
      <w:r>
        <w:rPr>
          <w:rStyle w:val="FootnoteReference"/>
        </w:rPr>
        <w:footnoteRef/>
      </w:r>
      <w:r>
        <w:t xml:space="preserve"> </w:t>
      </w:r>
      <w:r w:rsidRPr="004547D7">
        <w:rPr>
          <w:i/>
          <w:iCs/>
        </w:rPr>
        <w:t>Id.</w:t>
      </w:r>
      <w:r>
        <w:t xml:space="preserve"> P 8.</w:t>
      </w:r>
    </w:p>
  </w:footnote>
  <w:footnote w:id="1235">
    <w:p w:rsidR="009B2286" w14:paraId="4B8543DB" w14:textId="77777777">
      <w:pPr>
        <w:pStyle w:val="FootnoteText"/>
      </w:pPr>
      <w:r>
        <w:rPr>
          <w:rStyle w:val="FootnoteReference"/>
        </w:rPr>
        <w:footnoteRef/>
      </w:r>
      <w:r>
        <w:t xml:space="preserve"> </w:t>
      </w:r>
      <w:r w:rsidRPr="00806AB1">
        <w:rPr>
          <w:i/>
          <w:iCs/>
        </w:rPr>
        <w:t>Id.</w:t>
      </w:r>
      <w:r>
        <w:t xml:space="preserve"> P 9.</w:t>
      </w:r>
    </w:p>
  </w:footnote>
  <w:footnote w:id="1236">
    <w:p w:rsidR="009B2286" w14:paraId="5288F476" w14:textId="77777777">
      <w:pPr>
        <w:pStyle w:val="FootnoteText"/>
      </w:pPr>
      <w:r>
        <w:rPr>
          <w:rStyle w:val="FootnoteReference"/>
        </w:rPr>
        <w:footnoteRef/>
      </w:r>
      <w:r>
        <w:t xml:space="preserve"> </w:t>
      </w:r>
      <w:r w:rsidRPr="00806AB1">
        <w:rPr>
          <w:i/>
          <w:iCs/>
        </w:rPr>
        <w:t>Id.</w:t>
      </w:r>
      <w:r>
        <w:t xml:space="preserve"> P 10.</w:t>
      </w:r>
    </w:p>
  </w:footnote>
  <w:footnote w:id="1237">
    <w:p w:rsidR="009B2286" w14:paraId="6B172CC7" w14:textId="77777777">
      <w:pPr>
        <w:pStyle w:val="FootnoteText"/>
      </w:pPr>
      <w:r>
        <w:rPr>
          <w:rStyle w:val="FootnoteReference"/>
        </w:rPr>
        <w:footnoteRef/>
      </w:r>
      <w:r>
        <w:t xml:space="preserve"> </w:t>
      </w:r>
      <w:r w:rsidRPr="000256D5">
        <w:rPr>
          <w:i/>
          <w:iCs/>
        </w:rPr>
        <w:t>Id.</w:t>
      </w:r>
      <w:r>
        <w:t xml:space="preserve"> P 11.</w:t>
      </w:r>
    </w:p>
  </w:footnote>
  <w:footnote w:id="1238">
    <w:p w:rsidR="009B2286" w14:paraId="731DCD4B" w14:textId="77777777">
      <w:pPr>
        <w:pStyle w:val="FootnoteText"/>
      </w:pPr>
      <w:r>
        <w:rPr>
          <w:rStyle w:val="FootnoteReference"/>
        </w:rPr>
        <w:footnoteRef/>
      </w:r>
      <w:r>
        <w:t xml:space="preserve"> Order </w:t>
      </w:r>
      <w:r w:rsidRPr="0017189C">
        <w:t xml:space="preserve">No. 2023-A, </w:t>
      </w:r>
      <w:bookmarkStart w:id="919" w:name="_Hlk161831958"/>
      <w:r w:rsidRPr="00FD1083">
        <w:rPr>
          <w:szCs w:val="26"/>
        </w:rPr>
        <w:t>186 FERC ¶ 61,199</w:t>
      </w:r>
      <w:bookmarkEnd w:id="919"/>
      <w:r w:rsidRPr="00FD1083">
        <w:rPr>
          <w:szCs w:val="26"/>
        </w:rPr>
        <w:t xml:space="preserve"> </w:t>
      </w:r>
      <w:r w:rsidRPr="00FF6B11">
        <w:t xml:space="preserve">at </w:t>
      </w:r>
      <w:r w:rsidRPr="000426C4">
        <w:t>P 618</w:t>
      </w:r>
      <w:r w:rsidRPr="00FF6B11">
        <w:t xml:space="preserve"> (citations</w:t>
      </w:r>
      <w:r>
        <w:t xml:space="preserve"> omitted)</w:t>
      </w:r>
      <w:r w:rsidRPr="0017189C">
        <w:t>.</w:t>
      </w:r>
    </w:p>
  </w:footnote>
  <w:footnote w:id="1239">
    <w:p w:rsidR="009B2286" w:rsidP="00B17023" w14:paraId="5959B1F4" w14:textId="77777777">
      <w:pPr>
        <w:pStyle w:val="FootnoteText"/>
      </w:pPr>
      <w:r>
        <w:rPr>
          <w:rStyle w:val="FootnoteReference"/>
        </w:rPr>
        <w:footnoteRef/>
      </w:r>
      <w:r>
        <w:t xml:space="preserve"> </w:t>
      </w:r>
      <w:r w:rsidRPr="00DB4726">
        <w:rPr>
          <w:i/>
          <w:iCs/>
        </w:rPr>
        <w:t>Id.</w:t>
      </w:r>
      <w:r>
        <w:t xml:space="preserve"> </w:t>
      </w:r>
      <w:r w:rsidRPr="000426C4">
        <w:t>P 619</w:t>
      </w:r>
      <w:r>
        <w:t xml:space="preserve"> (citation omitted); </w:t>
      </w:r>
      <w:r w:rsidRPr="00B17023">
        <w:rPr>
          <w:i/>
          <w:iCs/>
        </w:rPr>
        <w:t>see also</w:t>
      </w:r>
      <w:r>
        <w:rPr>
          <w:i/>
          <w:iCs/>
        </w:rPr>
        <w:t xml:space="preserve"> id. </w:t>
      </w:r>
      <w:r w:rsidRPr="000426C4">
        <w:t>PP 626-627.</w:t>
      </w:r>
    </w:p>
  </w:footnote>
  <w:footnote w:id="1240">
    <w:p w:rsidR="009B2286" w:rsidP="00273F6A" w14:paraId="610CB348" w14:textId="77777777">
      <w:pPr>
        <w:pStyle w:val="FootnoteText"/>
      </w:pPr>
      <w:r>
        <w:rPr>
          <w:rStyle w:val="FootnoteReference"/>
        </w:rPr>
        <w:footnoteRef/>
      </w:r>
      <w:r>
        <w:t xml:space="preserve"> </w:t>
      </w:r>
      <w:r w:rsidRPr="004547D7">
        <w:t>Order No. 2023 Concurrence</w:t>
      </w:r>
      <w:r>
        <w:t xml:space="preserve"> at P 12 (emphasis added).</w:t>
      </w:r>
    </w:p>
  </w:footnote>
  <w:footnote w:id="1241">
    <w:p w:rsidR="009B2286" w14:paraId="3F46C299" w14:textId="77777777">
      <w:pPr>
        <w:pStyle w:val="FootnoteText"/>
      </w:pPr>
      <w:r>
        <w:rPr>
          <w:rStyle w:val="FootnoteReference"/>
        </w:rPr>
        <w:footnoteRef/>
      </w:r>
      <w:r>
        <w:t xml:space="preserve"> </w:t>
      </w:r>
      <w:r w:rsidRPr="00DE7491">
        <w:rPr>
          <w:i/>
          <w:iCs/>
        </w:rPr>
        <w:t>Id.</w:t>
      </w:r>
      <w:r>
        <w:t xml:space="preserve"> P 17.</w:t>
      </w:r>
    </w:p>
  </w:footnote>
  <w:footnote w:id="1242">
    <w:p w:rsidR="009B2286" w14:paraId="18A44193" w14:textId="77777777">
      <w:pPr>
        <w:pStyle w:val="FootnoteText"/>
      </w:pPr>
      <w:r>
        <w:rPr>
          <w:rStyle w:val="FootnoteReference"/>
        </w:rPr>
        <w:footnoteRef/>
      </w:r>
      <w:r>
        <w:t xml:space="preserve"> </w:t>
      </w:r>
      <w:r w:rsidRPr="00DE7491">
        <w:rPr>
          <w:i/>
          <w:iCs/>
        </w:rPr>
        <w:t>Id.</w:t>
      </w:r>
      <w:r>
        <w:t xml:space="preserve"> P 18.</w:t>
      </w:r>
    </w:p>
  </w:footnote>
  <w:footnote w:id="1243">
    <w:p w:rsidR="009B2286" w14:paraId="70745DA5" w14:textId="77777777">
      <w:pPr>
        <w:pStyle w:val="FootnoteText"/>
      </w:pPr>
      <w:r>
        <w:rPr>
          <w:rStyle w:val="FootnoteReference"/>
        </w:rPr>
        <w:footnoteRef/>
      </w:r>
      <w:r>
        <w:t xml:space="preserve"> </w:t>
      </w:r>
      <w:r w:rsidRPr="00CC1F8E">
        <w:rPr>
          <w:i/>
          <w:iCs/>
        </w:rPr>
        <w:t>Id.</w:t>
      </w:r>
      <w:r>
        <w:t xml:space="preserve"> P 20.</w:t>
      </w:r>
    </w:p>
  </w:footnote>
  <w:footnote w:id="1244">
    <w:p w:rsidR="009B2286" w14:paraId="3B397A74" w14:textId="77777777">
      <w:pPr>
        <w:pStyle w:val="FootnoteText"/>
      </w:pPr>
      <w:r>
        <w:rPr>
          <w:rStyle w:val="FootnoteReference"/>
        </w:rPr>
        <w:footnoteRef/>
      </w:r>
      <w:r>
        <w:t xml:space="preserve"> Order </w:t>
      </w:r>
      <w:r w:rsidRPr="0017189C">
        <w:t xml:space="preserve">No. 2023-A, </w:t>
      </w:r>
      <w:r w:rsidRPr="00FD1083">
        <w:rPr>
          <w:szCs w:val="26"/>
        </w:rPr>
        <w:t xml:space="preserve">186 FERC ¶ 61,199 </w:t>
      </w:r>
      <w:r w:rsidRPr="00FF6B11">
        <w:t xml:space="preserve">at </w:t>
      </w:r>
      <w:r w:rsidRPr="000426C4">
        <w:t>P 465</w:t>
      </w:r>
      <w:r>
        <w:t xml:space="preserve"> (citation omitted)</w:t>
      </w:r>
      <w:r w:rsidRPr="0017189C">
        <w:t>.</w:t>
      </w:r>
    </w:p>
  </w:footnote>
  <w:footnote w:id="1245">
    <w:p w:rsidR="009B2286" w14:paraId="271B8331" w14:textId="77777777">
      <w:pPr>
        <w:pStyle w:val="FootnoteText"/>
      </w:pPr>
      <w:r>
        <w:rPr>
          <w:rStyle w:val="FootnoteReference"/>
        </w:rPr>
        <w:footnoteRef/>
      </w:r>
      <w:r>
        <w:t xml:space="preserve"> </w:t>
      </w:r>
      <w:r w:rsidRPr="004547D7">
        <w:t>Order No. 2023 Concurrence</w:t>
      </w:r>
      <w:r>
        <w:t xml:space="preserve"> at PP 21-22.</w:t>
      </w:r>
    </w:p>
  </w:footnote>
  <w:footnote w:id="1246">
    <w:p w:rsidR="009B2286" w14:paraId="6584BA7A" w14:textId="77777777">
      <w:pPr>
        <w:pStyle w:val="FootnoteText"/>
      </w:pPr>
      <w:r>
        <w:rPr>
          <w:rStyle w:val="FootnoteReference"/>
        </w:rPr>
        <w:footnoteRef/>
      </w:r>
      <w:r>
        <w:t xml:space="preserve"> Order No. 2023-A, </w:t>
      </w:r>
      <w:r w:rsidRPr="00FD1083">
        <w:rPr>
          <w:szCs w:val="26"/>
        </w:rPr>
        <w:t>186 FERC ¶ 61,199</w:t>
      </w:r>
      <w:r w:rsidRPr="00FD1083">
        <w:t xml:space="preserve"> </w:t>
      </w:r>
      <w:r w:rsidRPr="00FF6B11">
        <w:t xml:space="preserve">at </w:t>
      </w:r>
      <w:r w:rsidRPr="000426C4">
        <w:t>P 106</w:t>
      </w:r>
      <w:r w:rsidRPr="00FF6B11">
        <w:t>.</w:t>
      </w:r>
    </w:p>
  </w:footnote>
  <w:footnote w:id="1247">
    <w:p w:rsidR="009B2286" w14:paraId="2FF2C5B2" w14:textId="77777777">
      <w:pPr>
        <w:pStyle w:val="FootnoteText"/>
      </w:pPr>
      <w:r>
        <w:rPr>
          <w:rStyle w:val="FootnoteReference"/>
        </w:rPr>
        <w:footnoteRef/>
      </w:r>
      <w:r>
        <w:t xml:space="preserve"> </w:t>
      </w:r>
      <w:r w:rsidRPr="004547D7">
        <w:t>Order No. 2023 Concurrence</w:t>
      </w:r>
      <w:r>
        <w:t xml:space="preserve"> at P 22 </w:t>
      </w:r>
      <w:r w:rsidRPr="00066631">
        <w:t>(emphasis in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0048" w:rsidP="00071614" w14:paraId="3F15596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760048" w:rsidP="00071614" w14:paraId="311429A0" w14:textId="777777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075C8CFA"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FA1B69" w14:paraId="7D120919" w14:textId="0E864D22">
    <w:pPr>
      <w:pStyle w:val="Header"/>
      <w:rPr>
        <w:sz w:val="26"/>
        <w:szCs w:val="26"/>
      </w:rPr>
    </w:pPr>
    <w:r w:rsidRPr="00FA1B69">
      <w:rPr>
        <w:sz w:val="26"/>
        <w:szCs w:val="26"/>
      </w:rPr>
      <w:t>Docket No. RM22-14-001</w:t>
    </w:r>
    <w:r w:rsidRPr="00FA1B69">
      <w:rPr>
        <w:sz w:val="26"/>
        <w:szCs w:val="26"/>
      </w:rPr>
      <w:tab/>
    </w:r>
    <w:r w:rsidRPr="00FA1B69">
      <w:rPr>
        <w:sz w:val="26"/>
        <w:szCs w:val="26"/>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65349664"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53189B9F" w14:textId="77777777">
    <w:pPr>
      <w:pStyle w:val="Header"/>
    </w:pPr>
  </w:p>
  <w:p w:rsidR="00F3594B" w14:paraId="7216F927" w14:textId="77777777"/>
  <w:p w:rsidR="00F3594B" w14:paraId="76613790" w14:textId="77777777"/>
  <w:p w:rsidR="00F3594B" w14:paraId="0A9D8CD2" w14:textId="77777777"/>
  <w:p w:rsidR="00F3594B" w14:paraId="5930115B" w14:textId="77777777"/>
  <w:p w:rsidR="00F3594B" w14:paraId="2416AB53" w14:textId="77777777"/>
  <w:p w:rsidR="00F3594B" w14:paraId="14B74BC6" w14:textId="7777777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rsidRPr="00383B2A" w14:paraId="4E9630F2" w14:textId="68F0EABA">
    <w:pPr>
      <w:pStyle w:val="Header"/>
      <w:rPr>
        <w:sz w:val="26"/>
        <w:szCs w:val="26"/>
      </w:rPr>
    </w:pPr>
    <w:bookmarkStart w:id="679" w:name="_Hlk161945052"/>
    <w:bookmarkStart w:id="680" w:name="_Hlk161945053"/>
    <w:r w:rsidRPr="00383B2A">
      <w:rPr>
        <w:sz w:val="26"/>
        <w:szCs w:val="26"/>
      </w:rPr>
      <w:t>Docket No. RM22-14-001</w:t>
    </w:r>
    <w:bookmarkEnd w:id="679"/>
    <w:bookmarkEnd w:id="680"/>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4B" w14:paraId="16976E88" w14:textId="77777777">
    <w:pPr>
      <w:pStyle w:val="Header"/>
    </w:pPr>
  </w:p>
  <w:p w:rsidR="00F3594B" w14:paraId="4A78075C" w14:textId="77777777"/>
  <w:p w:rsidR="00F3594B" w14:paraId="79BF37D9" w14:textId="77777777"/>
  <w:p w:rsidR="00F3594B" w14:paraId="37CE8175" w14:textId="77777777"/>
  <w:p w:rsidR="00F3594B" w14:paraId="084948A3" w14:textId="77777777"/>
  <w:p w:rsidR="00F3594B" w14:paraId="7E74549A" w14:textId="77777777"/>
  <w:p w:rsidR="00F3594B" w14:paraId="4FDE8B69" w14:textId="7777777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2A65DF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03D78" w14:paraId="21412EC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503D78" w14:paraId="5CAC7BD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844" w:rsidRPr="00383B2A" w:rsidP="005B7844" w14:paraId="3D7A2587" w14:textId="77777777">
    <w:pPr>
      <w:pStyle w:val="Header"/>
      <w:rPr>
        <w:sz w:val="26"/>
        <w:szCs w:val="26"/>
      </w:rPr>
    </w:pPr>
    <w:r w:rsidRPr="00383B2A">
      <w:rPr>
        <w:sz w:val="26"/>
        <w:szCs w:val="26"/>
      </w:rPr>
      <w:t>Docket No. RM22-14-001</w:t>
    </w:r>
  </w:p>
  <w:p w:rsidR="00503D78" w14:paraId="7F569410"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D78" w14:paraId="691CC915"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39E" w:rsidP="00665DA4" w14:paraId="4BAE7E07"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BE439E" w:rsidP="00665DA4" w14:paraId="0025A92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787862"/>
      <w:docPartObj>
        <w:docPartGallery w:val="Page Numbers (Top of Page)"/>
        <w:docPartUnique/>
      </w:docPartObj>
    </w:sdtPr>
    <w:sdtEndPr>
      <w:rPr>
        <w:noProof/>
      </w:rPr>
    </w:sdtEndPr>
    <w:sdtContent>
      <w:p w:rsidR="00A36830" w14:paraId="2C4A7F1B" w14:textId="54D69A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60048" w:rsidP="00071614" w14:paraId="6EE9E553" w14:textId="469CAEF5">
    <w:pPr>
      <w:pStyle w:val="Header"/>
      <w:spacing w:after="240"/>
    </w:pPr>
    <w:r>
      <w:t>Docket No. RM22-14-001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39E" w:rsidRPr="00115B2B" w:rsidP="00542FC1" w14:paraId="44F77686" w14:textId="77777777">
    <w:pPr>
      <w:pStyle w:val="Header"/>
      <w:spacing w:after="240"/>
      <w:rPr>
        <w:sz w:val="26"/>
        <w:szCs w:val="26"/>
      </w:rPr>
    </w:pPr>
    <w:r w:rsidRPr="00115B2B">
      <w:rPr>
        <w:sz w:val="26"/>
        <w:szCs w:val="26"/>
      </w:rPr>
      <w:t>Docket No. RM22-14-001</w:t>
    </w:r>
    <w:r w:rsidRPr="00115B2B">
      <w:rPr>
        <w:sz w:val="26"/>
        <w:szCs w:val="26"/>
      </w:rPr>
      <w:tab/>
    </w:r>
    <w:r w:rsidRPr="00115B2B" w:rsidR="006B02A7">
      <w:rPr>
        <w:sz w:val="26"/>
        <w:szCs w:val="26"/>
      </w:rPr>
      <w:tab/>
    </w:r>
    <w:r w:rsidRPr="00115B2B">
      <w:rPr>
        <w:sz w:val="26"/>
        <w:szCs w:val="26"/>
      </w:rPr>
      <w:fldChar w:fldCharType="begin"/>
    </w:r>
    <w:r w:rsidRPr="00115B2B">
      <w:rPr>
        <w:sz w:val="26"/>
        <w:szCs w:val="26"/>
      </w:rPr>
      <w:instrText xml:space="preserve"> PAGE  \* MERGEFORMAT </w:instrText>
    </w:r>
    <w:r w:rsidRPr="00115B2B">
      <w:rPr>
        <w:sz w:val="26"/>
        <w:szCs w:val="26"/>
      </w:rPr>
      <w:fldChar w:fldCharType="separate"/>
    </w:r>
    <w:r w:rsidRPr="00115B2B">
      <w:rPr>
        <w:noProof/>
        <w:sz w:val="26"/>
        <w:szCs w:val="26"/>
      </w:rPr>
      <w:t>- 1 -</w:t>
    </w:r>
    <w:r w:rsidRPr="00115B2B">
      <w:rPr>
        <w:sz w:val="26"/>
        <w:szCs w:val="26"/>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39E" w:rsidRPr="0000404F" w:rsidP="0000404F" w14:paraId="505872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B0" w:rsidRPr="002E07AE" w:rsidP="003B75EE" w14:paraId="3638FA5F" w14:textId="77777777">
    <w:pPr>
      <w:pStyle w:val="Header"/>
      <w:tabs>
        <w:tab w:val="clear" w:pos="8640"/>
        <w:tab w:val="right" w:pos="9000"/>
      </w:tabs>
      <w:rPr>
        <w:sz w:val="26"/>
        <w:szCs w:val="26"/>
      </w:rPr>
    </w:pPr>
    <w:r w:rsidRPr="002E07AE">
      <w:rPr>
        <w:sz w:val="26"/>
        <w:szCs w:val="26"/>
      </w:rPr>
      <w:t xml:space="preserve">Docket No. </w:t>
    </w:r>
    <w:r w:rsidRPr="002E07AE">
      <w:rPr>
        <w:rFonts w:eastAsia="Calibri"/>
        <w:sz w:val="26"/>
        <w:szCs w:val="26"/>
      </w:rPr>
      <w:t>RM22-14-001</w:t>
    </w:r>
    <w:sdt>
      <w:sdtPr>
        <w:rPr>
          <w:sz w:val="26"/>
          <w:szCs w:val="26"/>
        </w:rPr>
        <w:id w:val="-535738108"/>
        <w:docPartObj>
          <w:docPartGallery w:val="Page Numbers (Top of Page)"/>
          <w:docPartUnique/>
        </w:docPartObj>
      </w:sdtPr>
      <w:sdtEndPr>
        <w:rPr>
          <w:noProof/>
        </w:rPr>
      </w:sdtEndPr>
      <w:sdtContent>
        <w:r w:rsidRPr="002E07AE">
          <w:rPr>
            <w:sz w:val="26"/>
            <w:szCs w:val="26"/>
          </w:rPr>
          <w:tab/>
        </w:r>
        <w:r w:rsidRPr="002E07AE">
          <w:rPr>
            <w:sz w:val="26"/>
            <w:szCs w:val="26"/>
          </w:rPr>
          <w:tab/>
          <w:t xml:space="preserve"> </w:t>
        </w:r>
        <w:r w:rsidRPr="002E07AE">
          <w:rPr>
            <w:sz w:val="26"/>
            <w:szCs w:val="26"/>
          </w:rPr>
          <w:fldChar w:fldCharType="begin"/>
        </w:r>
        <w:r w:rsidRPr="002E07AE">
          <w:rPr>
            <w:sz w:val="26"/>
            <w:szCs w:val="26"/>
          </w:rPr>
          <w:instrText xml:space="preserve"> PAGE   \* MERGEFORMAT </w:instrText>
        </w:r>
        <w:r w:rsidRPr="002E07AE">
          <w:rPr>
            <w:sz w:val="26"/>
            <w:szCs w:val="26"/>
          </w:rPr>
          <w:fldChar w:fldCharType="separate"/>
        </w:r>
        <w:r w:rsidRPr="002E07AE">
          <w:rPr>
            <w:noProof/>
            <w:sz w:val="26"/>
            <w:szCs w:val="26"/>
          </w:rPr>
          <w:t>2</w:t>
        </w:r>
        <w:r w:rsidRPr="002E07AE">
          <w:rPr>
            <w:noProof/>
            <w:sz w:val="26"/>
            <w:szCs w:val="26"/>
          </w:rPr>
          <w:fldChar w:fldCharType="end"/>
        </w:r>
        <w:r w:rsidRPr="002E07AE">
          <w:rPr>
            <w:noProof/>
            <w:sz w:val="26"/>
            <w:szCs w:val="26"/>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B0" w:rsidP="005015E8" w14:paraId="5CB56349" w14:textId="77777777">
    <w:pPr>
      <w:pStyle w:val="Header"/>
      <w:jc w:val="center"/>
    </w:pPr>
  </w:p>
  <w:p w:rsidR="003408B0" w14:paraId="35AECDF3"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5E8" w:rsidP="005015E8" w14:paraId="3CA5BE34" w14:textId="77777777">
    <w:pPr>
      <w:pStyle w:val="Header"/>
      <w:jc w:val="center"/>
    </w:pPr>
  </w:p>
  <w:p w:rsidR="005015E8" w14:paraId="3D7EA7E2"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B0" w:rsidRPr="002E07AE" w:rsidP="003B75EE" w14:paraId="31C86F76" w14:textId="77777777">
    <w:pPr>
      <w:pStyle w:val="Header"/>
      <w:tabs>
        <w:tab w:val="clear" w:pos="8640"/>
        <w:tab w:val="right" w:pos="9000"/>
      </w:tabs>
      <w:rPr>
        <w:sz w:val="26"/>
        <w:szCs w:val="26"/>
      </w:rPr>
    </w:pPr>
    <w:r w:rsidRPr="002E07AE">
      <w:rPr>
        <w:sz w:val="26"/>
        <w:szCs w:val="26"/>
      </w:rPr>
      <w:t xml:space="preserve">Docket No. </w:t>
    </w:r>
    <w:r w:rsidRPr="002E07AE">
      <w:rPr>
        <w:rFonts w:eastAsia="Calibri"/>
        <w:sz w:val="26"/>
        <w:szCs w:val="26"/>
      </w:rPr>
      <w:t>RM22-14-001</w:t>
    </w:r>
    <w:sdt>
      <w:sdtPr>
        <w:rPr>
          <w:sz w:val="26"/>
          <w:szCs w:val="26"/>
        </w:rPr>
        <w:id w:val="-2061619790"/>
        <w:docPartObj>
          <w:docPartGallery w:val="Page Numbers (Top of Page)"/>
          <w:docPartUnique/>
        </w:docPartObj>
      </w:sdtPr>
      <w:sdtEndPr>
        <w:rPr>
          <w:noProof/>
        </w:rPr>
      </w:sdtEndPr>
      <w:sdtContent>
        <w:r w:rsidRPr="002E07AE">
          <w:rPr>
            <w:sz w:val="26"/>
            <w:szCs w:val="26"/>
          </w:rPr>
          <w:tab/>
        </w:r>
        <w:r w:rsidRPr="002E07AE">
          <w:rPr>
            <w:sz w:val="26"/>
            <w:szCs w:val="26"/>
          </w:rPr>
          <w:tab/>
          <w:t xml:space="preserve"> </w:t>
        </w:r>
        <w:r w:rsidRPr="002E07AE">
          <w:rPr>
            <w:sz w:val="26"/>
            <w:szCs w:val="26"/>
          </w:rPr>
          <w:fldChar w:fldCharType="begin"/>
        </w:r>
        <w:r w:rsidRPr="002E07AE">
          <w:rPr>
            <w:sz w:val="26"/>
            <w:szCs w:val="26"/>
          </w:rPr>
          <w:instrText xml:space="preserve"> PAGE   \* MERGEFORMAT </w:instrText>
        </w:r>
        <w:r w:rsidRPr="002E07AE">
          <w:rPr>
            <w:sz w:val="26"/>
            <w:szCs w:val="26"/>
          </w:rPr>
          <w:fldChar w:fldCharType="separate"/>
        </w:r>
        <w:r w:rsidRPr="002E07AE">
          <w:rPr>
            <w:noProof/>
            <w:sz w:val="26"/>
            <w:szCs w:val="26"/>
          </w:rPr>
          <w:t>2</w:t>
        </w:r>
        <w:r w:rsidRPr="002E07AE">
          <w:rPr>
            <w:noProof/>
            <w:sz w:val="26"/>
            <w:szCs w:val="26"/>
          </w:rPr>
          <w:fldChar w:fldCharType="end"/>
        </w:r>
        <w:r w:rsidRPr="002E07AE">
          <w:rPr>
            <w:noProof/>
            <w:sz w:val="26"/>
            <w:szCs w:val="26"/>
          </w:rPr>
          <w:t xml:space="preserve">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5E8" w14:paraId="4A6032E8" w14:textId="77777777">
    <w:pPr>
      <w:pStyle w:val="Header"/>
    </w:pPr>
  </w:p>
  <w:p w:rsidR="005015E8" w14:paraId="678DCAF7"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B0" w:rsidRPr="002E07AE" w:rsidP="003B75EE" w14:paraId="366066F9" w14:textId="0F59EEFE">
    <w:pPr>
      <w:pStyle w:val="Header"/>
      <w:tabs>
        <w:tab w:val="clear" w:pos="8640"/>
        <w:tab w:val="right" w:pos="9000"/>
      </w:tabs>
      <w:rPr>
        <w:sz w:val="26"/>
        <w:szCs w:val="26"/>
      </w:rPr>
    </w:pPr>
    <w:r w:rsidRPr="002E07AE">
      <w:rPr>
        <w:sz w:val="26"/>
        <w:szCs w:val="26"/>
      </w:rPr>
      <w:t xml:space="preserve">Docket No. </w:t>
    </w:r>
    <w:r w:rsidRPr="002E07AE">
      <w:rPr>
        <w:rFonts w:eastAsia="Calibri"/>
        <w:sz w:val="26"/>
        <w:szCs w:val="26"/>
      </w:rPr>
      <w:t>RM22-14-001</w:t>
    </w:r>
    <w:sdt>
      <w:sdtPr>
        <w:rPr>
          <w:sz w:val="26"/>
          <w:szCs w:val="26"/>
        </w:rPr>
        <w:id w:val="-1279489410"/>
        <w:docPartObj>
          <w:docPartGallery w:val="Page Numbers (Top of Page)"/>
          <w:docPartUnique/>
        </w:docPartObj>
      </w:sdtPr>
      <w:sdtEndPr>
        <w:rPr>
          <w:noProof/>
          <w:highlight w:val="yellow"/>
        </w:rPr>
      </w:sdtEndPr>
      <w:sdtContent>
        <w:r w:rsidRPr="002E07AE">
          <w:rPr>
            <w:sz w:val="26"/>
            <w:szCs w:val="26"/>
          </w:rPr>
          <w:tab/>
        </w:r>
        <w:r w:rsidRPr="002E07AE">
          <w:rPr>
            <w:sz w:val="26"/>
            <w:szCs w:val="26"/>
          </w:rPr>
          <w:tab/>
          <w:t xml:space="preserve"> </w:t>
        </w:r>
        <w:r w:rsidRPr="00476415">
          <w:rPr>
            <w:sz w:val="26"/>
            <w:szCs w:val="26"/>
          </w:rPr>
          <w:fldChar w:fldCharType="begin"/>
        </w:r>
        <w:r w:rsidRPr="00476415">
          <w:rPr>
            <w:sz w:val="26"/>
            <w:szCs w:val="26"/>
          </w:rPr>
          <w:instrText xml:space="preserve"> PAGE   \* MERGEFORMAT </w:instrText>
        </w:r>
        <w:r w:rsidRPr="00476415">
          <w:rPr>
            <w:sz w:val="26"/>
            <w:szCs w:val="26"/>
          </w:rPr>
          <w:fldChar w:fldCharType="separate"/>
        </w:r>
        <w:r w:rsidRPr="00476415">
          <w:rPr>
            <w:noProof/>
            <w:sz w:val="26"/>
            <w:szCs w:val="26"/>
          </w:rPr>
          <w:t>2</w:t>
        </w:r>
        <w:r w:rsidRPr="00476415">
          <w:rPr>
            <w:noProof/>
            <w:sz w:val="26"/>
            <w:szCs w:val="26"/>
          </w:rPr>
          <w:fldChar w:fldCharType="end"/>
        </w:r>
        <w:r w:rsidRPr="00476415">
          <w:rPr>
            <w:noProof/>
            <w:sz w:val="26"/>
            <w:szCs w:val="26"/>
            <w:highlight w:val="yellow"/>
          </w:rPr>
          <w:t xml:space="preserve"> </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15E8" w:rsidRPr="002E07AE" w:rsidP="003B75EE" w14:paraId="5FFCCA20" w14:textId="77777777">
    <w:pPr>
      <w:pStyle w:val="Header"/>
      <w:tabs>
        <w:tab w:val="clear" w:pos="8640"/>
        <w:tab w:val="right" w:pos="9000"/>
      </w:tabs>
      <w:rPr>
        <w:sz w:val="26"/>
        <w:szCs w:val="26"/>
      </w:rPr>
    </w:pPr>
    <w:r w:rsidRPr="002E07AE">
      <w:rPr>
        <w:sz w:val="26"/>
        <w:szCs w:val="26"/>
      </w:rPr>
      <w:t xml:space="preserve">Docket No. </w:t>
    </w:r>
    <w:r w:rsidRPr="002E07AE">
      <w:rPr>
        <w:rFonts w:eastAsia="Calibri"/>
        <w:sz w:val="26"/>
        <w:szCs w:val="26"/>
      </w:rPr>
      <w:t>RM22-14-001</w:t>
    </w:r>
    <w:sdt>
      <w:sdtPr>
        <w:rPr>
          <w:sz w:val="26"/>
          <w:szCs w:val="26"/>
        </w:rPr>
        <w:id w:val="-690375900"/>
        <w:docPartObj>
          <w:docPartGallery w:val="Page Numbers (Top of Page)"/>
          <w:docPartUnique/>
        </w:docPartObj>
      </w:sdtPr>
      <w:sdtEndPr>
        <w:rPr>
          <w:noProof/>
          <w:highlight w:val="yellow"/>
        </w:rPr>
      </w:sdtEndPr>
      <w:sdtContent>
        <w:r w:rsidRPr="002E07AE">
          <w:rPr>
            <w:sz w:val="26"/>
            <w:szCs w:val="26"/>
          </w:rPr>
          <w:tab/>
        </w:r>
        <w:r w:rsidRPr="002E07AE">
          <w:rPr>
            <w:sz w:val="26"/>
            <w:szCs w:val="26"/>
          </w:rPr>
          <w:tab/>
          <w:t xml:space="preserve"> </w:t>
        </w:r>
        <w:r w:rsidRPr="00476415">
          <w:rPr>
            <w:sz w:val="26"/>
            <w:szCs w:val="26"/>
          </w:rPr>
          <w:fldChar w:fldCharType="begin"/>
        </w:r>
        <w:r w:rsidRPr="00476415">
          <w:rPr>
            <w:sz w:val="26"/>
            <w:szCs w:val="26"/>
          </w:rPr>
          <w:instrText xml:space="preserve"> PAGE   \* MERGEFORMAT </w:instrText>
        </w:r>
        <w:r w:rsidRPr="00476415">
          <w:rPr>
            <w:sz w:val="26"/>
            <w:szCs w:val="26"/>
          </w:rPr>
          <w:fldChar w:fldCharType="separate"/>
        </w:r>
        <w:r w:rsidRPr="00476415">
          <w:rPr>
            <w:noProof/>
            <w:sz w:val="26"/>
            <w:szCs w:val="26"/>
          </w:rPr>
          <w:t>2</w:t>
        </w:r>
        <w:r w:rsidRPr="00476415">
          <w:rPr>
            <w:noProof/>
            <w:sz w:val="26"/>
            <w:szCs w:val="26"/>
          </w:rPr>
          <w:fldChar w:fldCharType="end"/>
        </w:r>
        <w:r w:rsidRPr="00476415">
          <w:rPr>
            <w:noProof/>
            <w:sz w:val="26"/>
            <w:szCs w:val="26"/>
            <w:highlight w:val="yellow"/>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CB69E5"/>
    <w:multiLevelType w:val="multilevel"/>
    <w:tmpl w:val="2DAC66F6"/>
    <w:lvl w:ilvl="0">
      <w:start w:val="1"/>
      <w:numFmt w:val="decimal"/>
      <w:lvlText w:val="%1.0"/>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2">
    <w:nsid w:val="051233D4"/>
    <w:multiLevelType w:val="hybridMultilevel"/>
    <w:tmpl w:val="CBA4F34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651867"/>
    <w:multiLevelType w:val="hybridMultilevel"/>
    <w:tmpl w:val="CED8CE30"/>
    <w:lvl w:ilvl="0">
      <w:start w:val="1"/>
      <w:numFmt w:val="bullet"/>
      <w:lvlText w:val=""/>
      <w:lvlJc w:val="left"/>
      <w:pPr>
        <w:tabs>
          <w:tab w:val="num" w:pos="3060"/>
        </w:tabs>
        <w:ind w:left="306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start w:val="1"/>
      <w:numFmt w:val="bullet"/>
      <w:pStyle w:val="GeneralTextLvl28p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09442B0"/>
    <w:multiLevelType w:val="multilevel"/>
    <w:tmpl w:val="354878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7570D5"/>
    <w:multiLevelType w:val="hybridMultilevel"/>
    <w:tmpl w:val="2F60D8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492170"/>
    <w:multiLevelType w:val="hybridMultilevel"/>
    <w:tmpl w:val="A03CCF3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0E4C46"/>
    <w:multiLevelType w:val="hybridMultilevel"/>
    <w:tmpl w:val="75909A9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9E37AF"/>
    <w:multiLevelType w:val="multilevel"/>
    <w:tmpl w:val="2DAC66F6"/>
    <w:lvl w:ilvl="0">
      <w:start w:val="1"/>
      <w:numFmt w:val="decimal"/>
      <w:lvlText w:val="%1.0"/>
      <w:lvlJc w:val="left"/>
      <w:pPr>
        <w:ind w:left="1440" w:hanging="360"/>
      </w:pPr>
      <w:rPr>
        <w:rFonts w:hint="default"/>
      </w:rPr>
    </w:lvl>
    <w:lvl w:ilvl="1">
      <w:start w:val="1"/>
      <w:numFmt w:val="bullet"/>
      <w:lvlText w:val="­"/>
      <w:lvlJc w:val="left"/>
      <w:pPr>
        <w:ind w:left="2160" w:hanging="360"/>
      </w:pPr>
      <w:rPr>
        <w:rFonts w:ascii="Courier New" w:hAnsi="Courier New"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8640" w:hanging="1800"/>
      </w:pPr>
      <w:rPr>
        <w:rFonts w:hint="default"/>
      </w:rPr>
    </w:lvl>
  </w:abstractNum>
  <w:abstractNum w:abstractNumId="9">
    <w:nsid w:val="21D065A9"/>
    <w:multiLevelType w:val="hybridMultilevel"/>
    <w:tmpl w:val="11CAEE02"/>
    <w:lvl w:ilvl="0">
      <w:start w:val="8"/>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nsid w:val="35036FA0"/>
    <w:multiLevelType w:val="multilevel"/>
    <w:tmpl w:val="210054F6"/>
    <w:name w:val="Appendix Heading37"/>
    <w:lvl w:ilvl="0">
      <w:start w:val="1"/>
      <w:numFmt w:val="none"/>
      <w:suff w:val="nothing"/>
      <w:lvlJc w:val="left"/>
      <w:rPr>
        <w:rFonts w:cs="Times New Roman" w:hint="default"/>
      </w:rPr>
    </w:lvl>
    <w:lvl w:ilvl="1">
      <w:start w:val="1"/>
      <w:numFmt w:val="decimal"/>
      <w:lvlText w:val="%2."/>
      <w:lvlJc w:val="left"/>
      <w:pPr>
        <w:tabs>
          <w:tab w:val="num" w:pos="720"/>
        </w:tabs>
        <w:ind w:left="720" w:hanging="720"/>
      </w:pPr>
      <w:rPr>
        <w:rFonts w:ascii="Arial" w:hAnsi="Arial" w:cs="Times New Roman" w:hint="default"/>
        <w:b w:val="0"/>
        <w:i w:val="0"/>
        <w:sz w:val="22"/>
      </w:rPr>
    </w:lvl>
    <w:lvl w:ilvl="2">
      <w:start w:val="1"/>
      <w:numFmt w:val="lowerLetter"/>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1440"/>
        </w:tabs>
        <w:ind w:left="1440" w:hanging="720"/>
      </w:pPr>
      <w:rPr>
        <w:rFonts w:ascii="Arial" w:hAnsi="Arial" w:cs="Times New Roman" w:hint="default"/>
        <w:b w:val="0"/>
        <w:i w:val="0"/>
        <w:sz w:val="22"/>
      </w:rPr>
    </w:lvl>
    <w:lvl w:ilvl="4">
      <w:start w:val="1"/>
      <w:numFmt w:val="decimal"/>
      <w:lvlText w:val="%5.0"/>
      <w:lvlJc w:val="left"/>
      <w:pPr>
        <w:tabs>
          <w:tab w:val="num" w:pos="1440"/>
        </w:tabs>
      </w:pPr>
      <w:rPr>
        <w:rFonts w:ascii="Times New Roman" w:hAnsi="Times New Roman" w:cs="Times New Roman" w:hint="default"/>
        <w:b w:val="0"/>
        <w:i w:val="0"/>
        <w:iCs/>
        <w:sz w:val="26"/>
        <w:szCs w:val="26"/>
      </w:rPr>
    </w:lvl>
    <w:lvl w:ilvl="5">
      <w:start w:val="1"/>
      <w:numFmt w:val="decimal"/>
      <w:lvlRestart w:val="0"/>
      <w:lvlText w:val="%6.0"/>
      <w:lvlJc w:val="left"/>
      <w:pPr>
        <w:tabs>
          <w:tab w:val="num" w:pos="1440"/>
        </w:tabs>
      </w:pPr>
      <w:rPr>
        <w:rFonts w:ascii="Arial" w:hAnsi="Arial" w:cs="Times New Roman" w:hint="default"/>
        <w:b w:val="0"/>
        <w:i w:val="0"/>
        <w:sz w:val="22"/>
      </w:rPr>
    </w:lvl>
    <w:lvl w:ilvl="6">
      <w:start w:val="1"/>
      <w:numFmt w:val="bullet"/>
      <w:lvlText w:val=""/>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cs="Times New Roman" w:hint="default"/>
      </w:rPr>
    </w:lvl>
    <w:lvl w:ilvl="8">
      <w:start w:val="1"/>
      <w:numFmt w:val="decimal"/>
      <w:lvlText w:val="%9."/>
      <w:lvlJc w:val="left"/>
      <w:pPr>
        <w:tabs>
          <w:tab w:val="num" w:pos="2880"/>
        </w:tabs>
        <w:ind w:left="2880" w:hanging="720"/>
      </w:pPr>
      <w:rPr>
        <w:rFonts w:cs="Times New Roman" w:hint="default"/>
      </w:rPr>
    </w:lvl>
  </w:abstractNum>
  <w:abstractNum w:abstractNumId="12">
    <w:nsid w:val="3D7A30EA"/>
    <w:multiLevelType w:val="multilevel"/>
    <w:tmpl w:val="3AB0F2BA"/>
    <w:lvl w:ilvl="0">
      <w:start w:val="1"/>
      <w:numFmt w:val="decimal"/>
      <w:lvlText w:val="%1."/>
      <w:lvlJc w:val="left"/>
      <w:pPr>
        <w:ind w:left="720" w:hanging="360"/>
      </w:pPr>
      <w:rPr>
        <w:rFonts w:hint="default"/>
      </w:rPr>
    </w:lvl>
    <w:lvl w:ilvl="1">
      <w:start w:val="3"/>
      <w:numFmt w:val="decimal"/>
      <w:isLgl/>
      <w:lvlText w:val="%1.%2"/>
      <w:lvlJc w:val="left"/>
      <w:pPr>
        <w:ind w:left="162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3">
    <w:nsid w:val="42CA6F0C"/>
    <w:multiLevelType w:val="multilevel"/>
    <w:tmpl w:val="22F683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D79700F"/>
    <w:multiLevelType w:val="multilevel"/>
    <w:tmpl w:val="5D38967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D8F3463"/>
    <w:multiLevelType w:val="multilevel"/>
    <w:tmpl w:val="418ABDF0"/>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EE3132F"/>
    <w:multiLevelType w:val="hybridMultilevel"/>
    <w:tmpl w:val="B4C44E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2C47DE"/>
    <w:multiLevelType w:val="multilevel"/>
    <w:tmpl w:val="45EAAB2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9D91364"/>
    <w:multiLevelType w:val="hybridMultilevel"/>
    <w:tmpl w:val="49F005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6502FF"/>
    <w:multiLevelType w:val="multilevel"/>
    <w:tmpl w:val="3104DDCC"/>
    <w:lvl w:ilvl="0">
      <w:start w:val="1"/>
      <w:numFmt w:val="upperRoman"/>
      <w:pStyle w:val="AppendixHeader"/>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nsid w:val="5BF804A3"/>
    <w:multiLevelType w:val="multilevel"/>
    <w:tmpl w:val="13E8EC02"/>
    <w:name w:val="Appendix Heading3722"/>
    <w:lvl w:ilvl="0">
      <w:start w:val="1"/>
      <w:numFmt w:val="none"/>
      <w:lvlText w:val="-"/>
      <w:lvlJc w:val="left"/>
      <w:pPr>
        <w:tabs>
          <w:tab w:val="num" w:pos="2160"/>
        </w:tabs>
        <w:ind w:left="2160" w:hanging="720"/>
      </w:pPr>
      <w:rPr>
        <w:rFonts w:ascii="Arial" w:hAnsi="Arial" w:cs="Times New Roman" w:hint="default"/>
        <w:b w:val="0"/>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69D903DF"/>
    <w:multiLevelType w:val="multilevel"/>
    <w:tmpl w:val="76A4F0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33761DE"/>
    <w:multiLevelType w:val="hybridMultilevel"/>
    <w:tmpl w:val="A0C4277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3">
    <w:nsid w:val="74C501B6"/>
    <w:multiLevelType w:val="multilevel"/>
    <w:tmpl w:val="3214B29A"/>
    <w:lvl w:ilvl="0">
      <w:start w:val="2"/>
      <w:numFmt w:val="decimal"/>
      <w:lvlText w:val="%1"/>
      <w:lvlJc w:val="left"/>
      <w:pPr>
        <w:ind w:left="435" w:hanging="435"/>
      </w:pPr>
      <w:rPr>
        <w:rFonts w:hint="default"/>
        <w:sz w:val="22"/>
      </w:rPr>
    </w:lvl>
    <w:lvl w:ilvl="1">
      <w:start w:val="3"/>
      <w:numFmt w:val="decimal"/>
      <w:lvlText w:val="%1.%2"/>
      <w:lvlJc w:val="left"/>
      <w:pPr>
        <w:ind w:left="795" w:hanging="435"/>
      </w:pPr>
      <w:rPr>
        <w:rFonts w:hint="default"/>
        <w:sz w:val="22"/>
      </w:rPr>
    </w:lvl>
    <w:lvl w:ilvl="2">
      <w:start w:val="2"/>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4">
    <w:nsid w:val="77856B2C"/>
    <w:multiLevelType w:val="hybridMultilevel"/>
    <w:tmpl w:val="394A3F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3B09D3"/>
    <w:multiLevelType w:val="hybridMultilevel"/>
    <w:tmpl w:val="CBA4F34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4E4DD3"/>
    <w:multiLevelType w:val="hybridMultilevel"/>
    <w:tmpl w:val="DFBE2616"/>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FD64AF"/>
    <w:multiLevelType w:val="multilevel"/>
    <w:tmpl w:val="0B2CDB5C"/>
    <w:lvl w:ilvl="0">
      <w:start w:val="1"/>
      <w:numFmt w:val="none"/>
      <w:suff w:val="nothing"/>
      <w:lvlJc w:val="left"/>
      <w:rPr>
        <w:rFonts w:cs="Times New Roman" w:hint="default"/>
      </w:rPr>
    </w:lvl>
    <w:lvl w:ilvl="1">
      <w:start w:val="1"/>
      <w:numFmt w:val="decimal"/>
      <w:lvlText w:val="%2."/>
      <w:lvlJc w:val="left"/>
      <w:pPr>
        <w:tabs>
          <w:tab w:val="num" w:pos="720"/>
        </w:tabs>
        <w:ind w:left="720" w:hanging="720"/>
      </w:pPr>
      <w:rPr>
        <w:rFonts w:ascii="Arial" w:hAnsi="Arial" w:cs="Times New Roman" w:hint="default"/>
        <w:b w:val="0"/>
        <w:i w:val="0"/>
        <w:sz w:val="22"/>
      </w:rPr>
    </w:lvl>
    <w:lvl w:ilvl="2">
      <w:start w:val="1"/>
      <w:numFmt w:val="lowerLetter"/>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1440"/>
        </w:tabs>
        <w:ind w:left="1440" w:hanging="720"/>
      </w:pPr>
      <w:rPr>
        <w:rFonts w:ascii="Arial" w:hAnsi="Arial" w:cs="Times New Roman" w:hint="default"/>
        <w:b w:val="0"/>
        <w:i w:val="0"/>
        <w:sz w:val="22"/>
      </w:rPr>
    </w:lvl>
    <w:lvl w:ilvl="4">
      <w:start w:val="1"/>
      <w:numFmt w:val="decimal"/>
      <w:lvlText w:val="%5.0"/>
      <w:lvlJc w:val="left"/>
      <w:pPr>
        <w:tabs>
          <w:tab w:val="num" w:pos="1440"/>
        </w:tabs>
      </w:pPr>
      <w:rPr>
        <w:rFonts w:ascii="Times New Roman" w:hAnsi="Times New Roman" w:cs="Times New Roman" w:hint="default"/>
        <w:b w:val="0"/>
        <w:i w:val="0"/>
        <w:iCs/>
        <w:sz w:val="26"/>
        <w:szCs w:val="26"/>
      </w:rPr>
    </w:lvl>
    <w:lvl w:ilvl="5">
      <w:start w:val="1"/>
      <w:numFmt w:val="decimal"/>
      <w:lvlRestart w:val="0"/>
      <w:lvlText w:val="%6.0"/>
      <w:lvlJc w:val="left"/>
      <w:pPr>
        <w:tabs>
          <w:tab w:val="num" w:pos="1440"/>
        </w:tabs>
      </w:pPr>
      <w:rPr>
        <w:rFonts w:ascii="Arial" w:hAnsi="Arial" w:cs="Times New Roman" w:hint="default"/>
        <w:b w:val="0"/>
        <w:i w:val="0"/>
        <w:sz w:val="22"/>
      </w:rPr>
    </w:lvl>
    <w:lvl w:ilvl="6">
      <w:start w:val="1"/>
      <w:numFmt w:val="bullet"/>
      <w:lvlText w:val=""/>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cs="Times New Roman" w:hint="default"/>
      </w:rPr>
    </w:lvl>
    <w:lvl w:ilvl="8">
      <w:start w:val="1"/>
      <w:numFmt w:val="decimal"/>
      <w:lvlText w:val="%9."/>
      <w:lvlJc w:val="left"/>
      <w:pPr>
        <w:tabs>
          <w:tab w:val="num" w:pos="2880"/>
        </w:tabs>
        <w:ind w:left="2880" w:hanging="720"/>
      </w:pPr>
      <w:rPr>
        <w:rFonts w:cs="Times New Roman" w:hint="default"/>
      </w:rPr>
    </w:lvl>
  </w:abstractNum>
  <w:num w:numId="1" w16cid:durableId="740757033">
    <w:abstractNumId w:val="10"/>
  </w:num>
  <w:num w:numId="2" w16cid:durableId="1668552337">
    <w:abstractNumId w:val="26"/>
  </w:num>
  <w:num w:numId="3" w16cid:durableId="1854831370">
    <w:abstractNumId w:val="3"/>
  </w:num>
  <w:num w:numId="4" w16cid:durableId="249777865">
    <w:abstractNumId w:val="9"/>
  </w:num>
  <w:num w:numId="5" w16cid:durableId="1069617323">
    <w:abstractNumId w:val="11"/>
  </w:num>
  <w:num w:numId="6" w16cid:durableId="368070585">
    <w:abstractNumId w:val="20"/>
  </w:num>
  <w:num w:numId="7" w16cid:durableId="677270200">
    <w:abstractNumId w:val="27"/>
  </w:num>
  <w:num w:numId="8" w16cid:durableId="541870472">
    <w:abstractNumId w:val="1"/>
  </w:num>
  <w:num w:numId="9" w16cid:durableId="403799499">
    <w:abstractNumId w:val="8"/>
  </w:num>
  <w:num w:numId="10" w16cid:durableId="887574625">
    <w:abstractNumId w:val="6"/>
  </w:num>
  <w:num w:numId="11" w16cid:durableId="1579752403">
    <w:abstractNumId w:val="17"/>
  </w:num>
  <w:num w:numId="12" w16cid:durableId="384106532">
    <w:abstractNumId w:val="13"/>
  </w:num>
  <w:num w:numId="13" w16cid:durableId="620963432">
    <w:abstractNumId w:val="5"/>
  </w:num>
  <w:num w:numId="14" w16cid:durableId="381636842">
    <w:abstractNumId w:val="12"/>
  </w:num>
  <w:num w:numId="15" w16cid:durableId="1871994198">
    <w:abstractNumId w:val="24"/>
  </w:num>
  <w:num w:numId="16" w16cid:durableId="102581445">
    <w:abstractNumId w:val="21"/>
  </w:num>
  <w:num w:numId="17" w16cid:durableId="123698189">
    <w:abstractNumId w:val="4"/>
  </w:num>
  <w:num w:numId="18" w16cid:durableId="1146044615">
    <w:abstractNumId w:val="14"/>
  </w:num>
  <w:num w:numId="19" w16cid:durableId="1587106924">
    <w:abstractNumId w:val="15"/>
  </w:num>
  <w:num w:numId="20" w16cid:durableId="2093775861">
    <w:abstractNumId w:val="7"/>
  </w:num>
  <w:num w:numId="21" w16cid:durableId="858353846">
    <w:abstractNumId w:val="18"/>
  </w:num>
  <w:num w:numId="22" w16cid:durableId="1023046390">
    <w:abstractNumId w:val="23"/>
  </w:num>
  <w:num w:numId="23" w16cid:durableId="469977201">
    <w:abstractNumId w:val="25"/>
  </w:num>
  <w:num w:numId="24" w16cid:durableId="1818690725">
    <w:abstractNumId w:val="19"/>
  </w:num>
  <w:num w:numId="25" w16cid:durableId="1520853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815454">
    <w:abstractNumId w:val="16"/>
  </w:num>
  <w:num w:numId="27" w16cid:durableId="1513760981">
    <w:abstractNumId w:val="22"/>
  </w:num>
  <w:num w:numId="28" w16cid:durableId="2002540981">
    <w:abstractNumId w:val="2"/>
  </w:num>
  <w:num w:numId="29" w16cid:durableId="14026328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123732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80"/>
    <w:rsid w:val="00000111"/>
    <w:rsid w:val="00000255"/>
    <w:rsid w:val="00000839"/>
    <w:rsid w:val="00000F3B"/>
    <w:rsid w:val="00002B9F"/>
    <w:rsid w:val="00002E79"/>
    <w:rsid w:val="00003171"/>
    <w:rsid w:val="0000379E"/>
    <w:rsid w:val="00003C71"/>
    <w:rsid w:val="00003D88"/>
    <w:rsid w:val="0000404F"/>
    <w:rsid w:val="00004189"/>
    <w:rsid w:val="00004729"/>
    <w:rsid w:val="0000472D"/>
    <w:rsid w:val="00005088"/>
    <w:rsid w:val="000054F5"/>
    <w:rsid w:val="00005939"/>
    <w:rsid w:val="00005993"/>
    <w:rsid w:val="00006F39"/>
    <w:rsid w:val="00006FA0"/>
    <w:rsid w:val="00007A29"/>
    <w:rsid w:val="00007DCF"/>
    <w:rsid w:val="00007F17"/>
    <w:rsid w:val="000101DD"/>
    <w:rsid w:val="00010686"/>
    <w:rsid w:val="000108EA"/>
    <w:rsid w:val="00010D15"/>
    <w:rsid w:val="000113AF"/>
    <w:rsid w:val="000113D3"/>
    <w:rsid w:val="000114E9"/>
    <w:rsid w:val="00011BF7"/>
    <w:rsid w:val="00011C6B"/>
    <w:rsid w:val="000130E3"/>
    <w:rsid w:val="00013278"/>
    <w:rsid w:val="00013E26"/>
    <w:rsid w:val="00014495"/>
    <w:rsid w:val="00014E33"/>
    <w:rsid w:val="000153DF"/>
    <w:rsid w:val="00015C4D"/>
    <w:rsid w:val="00015E1B"/>
    <w:rsid w:val="0001616F"/>
    <w:rsid w:val="00016B55"/>
    <w:rsid w:val="00017419"/>
    <w:rsid w:val="00017B23"/>
    <w:rsid w:val="00017BE0"/>
    <w:rsid w:val="000203BC"/>
    <w:rsid w:val="000204B6"/>
    <w:rsid w:val="000208BB"/>
    <w:rsid w:val="00020EA6"/>
    <w:rsid w:val="00021652"/>
    <w:rsid w:val="00021A18"/>
    <w:rsid w:val="00021A43"/>
    <w:rsid w:val="00021B2A"/>
    <w:rsid w:val="00021E47"/>
    <w:rsid w:val="00022643"/>
    <w:rsid w:val="00022674"/>
    <w:rsid w:val="000226F9"/>
    <w:rsid w:val="00022D15"/>
    <w:rsid w:val="00024F47"/>
    <w:rsid w:val="000256D5"/>
    <w:rsid w:val="000258CD"/>
    <w:rsid w:val="0002632A"/>
    <w:rsid w:val="000263EB"/>
    <w:rsid w:val="00026690"/>
    <w:rsid w:val="00027486"/>
    <w:rsid w:val="000275C3"/>
    <w:rsid w:val="00030C0A"/>
    <w:rsid w:val="000313D3"/>
    <w:rsid w:val="000325AF"/>
    <w:rsid w:val="000332C3"/>
    <w:rsid w:val="0003382A"/>
    <w:rsid w:val="00034006"/>
    <w:rsid w:val="00034525"/>
    <w:rsid w:val="00034930"/>
    <w:rsid w:val="00035089"/>
    <w:rsid w:val="000351B8"/>
    <w:rsid w:val="000361FD"/>
    <w:rsid w:val="000365D6"/>
    <w:rsid w:val="00036CD0"/>
    <w:rsid w:val="00037224"/>
    <w:rsid w:val="00037287"/>
    <w:rsid w:val="00037B07"/>
    <w:rsid w:val="000403F5"/>
    <w:rsid w:val="0004143E"/>
    <w:rsid w:val="00041530"/>
    <w:rsid w:val="0004168D"/>
    <w:rsid w:val="00042641"/>
    <w:rsid w:val="000426C4"/>
    <w:rsid w:val="00042ECC"/>
    <w:rsid w:val="00043200"/>
    <w:rsid w:val="00043288"/>
    <w:rsid w:val="00044066"/>
    <w:rsid w:val="00044534"/>
    <w:rsid w:val="000446E0"/>
    <w:rsid w:val="000446E4"/>
    <w:rsid w:val="00044781"/>
    <w:rsid w:val="000452BB"/>
    <w:rsid w:val="000459EC"/>
    <w:rsid w:val="00045B25"/>
    <w:rsid w:val="00045D11"/>
    <w:rsid w:val="0004613B"/>
    <w:rsid w:val="00046269"/>
    <w:rsid w:val="00046A2A"/>
    <w:rsid w:val="00046CB9"/>
    <w:rsid w:val="00047463"/>
    <w:rsid w:val="0004751D"/>
    <w:rsid w:val="00047FAB"/>
    <w:rsid w:val="00051AC4"/>
    <w:rsid w:val="000524D2"/>
    <w:rsid w:val="00052F93"/>
    <w:rsid w:val="00053C64"/>
    <w:rsid w:val="0005498C"/>
    <w:rsid w:val="000550EA"/>
    <w:rsid w:val="000553B6"/>
    <w:rsid w:val="00055721"/>
    <w:rsid w:val="00055898"/>
    <w:rsid w:val="00056EC2"/>
    <w:rsid w:val="000575B5"/>
    <w:rsid w:val="000579A7"/>
    <w:rsid w:val="000605DE"/>
    <w:rsid w:val="0006147E"/>
    <w:rsid w:val="00061562"/>
    <w:rsid w:val="000617F8"/>
    <w:rsid w:val="000622AC"/>
    <w:rsid w:val="00062BD0"/>
    <w:rsid w:val="00062E2D"/>
    <w:rsid w:val="00062EBE"/>
    <w:rsid w:val="00062EDD"/>
    <w:rsid w:val="000634D7"/>
    <w:rsid w:val="0006375A"/>
    <w:rsid w:val="000639FC"/>
    <w:rsid w:val="000644C6"/>
    <w:rsid w:val="00064946"/>
    <w:rsid w:val="000649A2"/>
    <w:rsid w:val="00064A25"/>
    <w:rsid w:val="00064CB6"/>
    <w:rsid w:val="00064DF1"/>
    <w:rsid w:val="000656D6"/>
    <w:rsid w:val="0006571A"/>
    <w:rsid w:val="000665B8"/>
    <w:rsid w:val="00066631"/>
    <w:rsid w:val="000667CC"/>
    <w:rsid w:val="00067A54"/>
    <w:rsid w:val="00067F4D"/>
    <w:rsid w:val="0007063E"/>
    <w:rsid w:val="00071614"/>
    <w:rsid w:val="0007164D"/>
    <w:rsid w:val="00071C2E"/>
    <w:rsid w:val="00071E9B"/>
    <w:rsid w:val="00072139"/>
    <w:rsid w:val="00072941"/>
    <w:rsid w:val="0007294C"/>
    <w:rsid w:val="00072A63"/>
    <w:rsid w:val="00072B45"/>
    <w:rsid w:val="000748E9"/>
    <w:rsid w:val="00074A6D"/>
    <w:rsid w:val="00075770"/>
    <w:rsid w:val="0007586C"/>
    <w:rsid w:val="00075CC0"/>
    <w:rsid w:val="0007627F"/>
    <w:rsid w:val="00076F7A"/>
    <w:rsid w:val="00077042"/>
    <w:rsid w:val="00077F46"/>
    <w:rsid w:val="000801D0"/>
    <w:rsid w:val="000804EC"/>
    <w:rsid w:val="00080B0F"/>
    <w:rsid w:val="0008110E"/>
    <w:rsid w:val="000814AA"/>
    <w:rsid w:val="0008174D"/>
    <w:rsid w:val="000824F6"/>
    <w:rsid w:val="00082511"/>
    <w:rsid w:val="000825F1"/>
    <w:rsid w:val="000828DD"/>
    <w:rsid w:val="000835B0"/>
    <w:rsid w:val="00083FB5"/>
    <w:rsid w:val="00084587"/>
    <w:rsid w:val="00085212"/>
    <w:rsid w:val="000856CB"/>
    <w:rsid w:val="000859FA"/>
    <w:rsid w:val="00085FE1"/>
    <w:rsid w:val="0008606F"/>
    <w:rsid w:val="000861D7"/>
    <w:rsid w:val="00087488"/>
    <w:rsid w:val="0008789E"/>
    <w:rsid w:val="000878D7"/>
    <w:rsid w:val="00090319"/>
    <w:rsid w:val="0009036F"/>
    <w:rsid w:val="0009042A"/>
    <w:rsid w:val="0009045C"/>
    <w:rsid w:val="000904AE"/>
    <w:rsid w:val="00090A5C"/>
    <w:rsid w:val="00090C65"/>
    <w:rsid w:val="0009105B"/>
    <w:rsid w:val="00091C32"/>
    <w:rsid w:val="000924F7"/>
    <w:rsid w:val="0009250D"/>
    <w:rsid w:val="000925F4"/>
    <w:rsid w:val="0009281F"/>
    <w:rsid w:val="00092C00"/>
    <w:rsid w:val="00092EC0"/>
    <w:rsid w:val="00093A43"/>
    <w:rsid w:val="00093A73"/>
    <w:rsid w:val="00093C3E"/>
    <w:rsid w:val="000941DA"/>
    <w:rsid w:val="00094C6A"/>
    <w:rsid w:val="0009524E"/>
    <w:rsid w:val="000956C1"/>
    <w:rsid w:val="00095EF5"/>
    <w:rsid w:val="00096B68"/>
    <w:rsid w:val="00096D71"/>
    <w:rsid w:val="00097FA8"/>
    <w:rsid w:val="000A07C6"/>
    <w:rsid w:val="000A0A16"/>
    <w:rsid w:val="000A162B"/>
    <w:rsid w:val="000A18D2"/>
    <w:rsid w:val="000A19C1"/>
    <w:rsid w:val="000A1D3B"/>
    <w:rsid w:val="000A2A72"/>
    <w:rsid w:val="000A2B6F"/>
    <w:rsid w:val="000A2C66"/>
    <w:rsid w:val="000A2E48"/>
    <w:rsid w:val="000A3D0A"/>
    <w:rsid w:val="000A3FCD"/>
    <w:rsid w:val="000A4B61"/>
    <w:rsid w:val="000A4C64"/>
    <w:rsid w:val="000A4DEE"/>
    <w:rsid w:val="000A54B5"/>
    <w:rsid w:val="000A55C5"/>
    <w:rsid w:val="000A57E1"/>
    <w:rsid w:val="000A6395"/>
    <w:rsid w:val="000A6666"/>
    <w:rsid w:val="000B040A"/>
    <w:rsid w:val="000B0695"/>
    <w:rsid w:val="000B1049"/>
    <w:rsid w:val="000B12AB"/>
    <w:rsid w:val="000B1A59"/>
    <w:rsid w:val="000B2E14"/>
    <w:rsid w:val="000B3312"/>
    <w:rsid w:val="000B35BF"/>
    <w:rsid w:val="000B3B96"/>
    <w:rsid w:val="000B3E65"/>
    <w:rsid w:val="000B41D6"/>
    <w:rsid w:val="000B44EB"/>
    <w:rsid w:val="000B4B87"/>
    <w:rsid w:val="000B5540"/>
    <w:rsid w:val="000B5FC1"/>
    <w:rsid w:val="000B67F3"/>
    <w:rsid w:val="000B729C"/>
    <w:rsid w:val="000B768B"/>
    <w:rsid w:val="000B7B1F"/>
    <w:rsid w:val="000B7D38"/>
    <w:rsid w:val="000C064A"/>
    <w:rsid w:val="000C1159"/>
    <w:rsid w:val="000C1178"/>
    <w:rsid w:val="000C1E65"/>
    <w:rsid w:val="000C22C7"/>
    <w:rsid w:val="000C33D2"/>
    <w:rsid w:val="000C3516"/>
    <w:rsid w:val="000C3835"/>
    <w:rsid w:val="000C38A8"/>
    <w:rsid w:val="000C3FB7"/>
    <w:rsid w:val="000C4E9D"/>
    <w:rsid w:val="000C51A6"/>
    <w:rsid w:val="000C5271"/>
    <w:rsid w:val="000C56ED"/>
    <w:rsid w:val="000C584C"/>
    <w:rsid w:val="000C59A2"/>
    <w:rsid w:val="000C5E6D"/>
    <w:rsid w:val="000C62C3"/>
    <w:rsid w:val="000C6C45"/>
    <w:rsid w:val="000C70FF"/>
    <w:rsid w:val="000C7256"/>
    <w:rsid w:val="000C7814"/>
    <w:rsid w:val="000C7A37"/>
    <w:rsid w:val="000C7C13"/>
    <w:rsid w:val="000C7D49"/>
    <w:rsid w:val="000C7F40"/>
    <w:rsid w:val="000D1441"/>
    <w:rsid w:val="000D1B00"/>
    <w:rsid w:val="000D22D8"/>
    <w:rsid w:val="000D2D46"/>
    <w:rsid w:val="000D2D79"/>
    <w:rsid w:val="000D2FAE"/>
    <w:rsid w:val="000D33A3"/>
    <w:rsid w:val="000D3567"/>
    <w:rsid w:val="000D53E9"/>
    <w:rsid w:val="000D551D"/>
    <w:rsid w:val="000D5E12"/>
    <w:rsid w:val="000D6866"/>
    <w:rsid w:val="000D7604"/>
    <w:rsid w:val="000E01DC"/>
    <w:rsid w:val="000E0268"/>
    <w:rsid w:val="000E0B91"/>
    <w:rsid w:val="000E0DBD"/>
    <w:rsid w:val="000E0FD0"/>
    <w:rsid w:val="000E10E0"/>
    <w:rsid w:val="000E1159"/>
    <w:rsid w:val="000E180F"/>
    <w:rsid w:val="000E1832"/>
    <w:rsid w:val="000E251A"/>
    <w:rsid w:val="000E26D8"/>
    <w:rsid w:val="000E305A"/>
    <w:rsid w:val="000E30DF"/>
    <w:rsid w:val="000E30F9"/>
    <w:rsid w:val="000E3594"/>
    <w:rsid w:val="000E3661"/>
    <w:rsid w:val="000E39DA"/>
    <w:rsid w:val="000E3FE4"/>
    <w:rsid w:val="000E4948"/>
    <w:rsid w:val="000E4AA2"/>
    <w:rsid w:val="000E4BC7"/>
    <w:rsid w:val="000E5C27"/>
    <w:rsid w:val="000E6183"/>
    <w:rsid w:val="000E6265"/>
    <w:rsid w:val="000E6438"/>
    <w:rsid w:val="000E6571"/>
    <w:rsid w:val="000E6A13"/>
    <w:rsid w:val="000E6FBD"/>
    <w:rsid w:val="000E78F4"/>
    <w:rsid w:val="000E7AE4"/>
    <w:rsid w:val="000E7B1C"/>
    <w:rsid w:val="000E7B65"/>
    <w:rsid w:val="000E7BE2"/>
    <w:rsid w:val="000F1AD8"/>
    <w:rsid w:val="000F2270"/>
    <w:rsid w:val="000F25B1"/>
    <w:rsid w:val="000F2CCC"/>
    <w:rsid w:val="000F36A1"/>
    <w:rsid w:val="000F3796"/>
    <w:rsid w:val="000F3A3D"/>
    <w:rsid w:val="000F3BF9"/>
    <w:rsid w:val="000F4BE8"/>
    <w:rsid w:val="000F54CA"/>
    <w:rsid w:val="000F5501"/>
    <w:rsid w:val="000F5D7C"/>
    <w:rsid w:val="000F5F98"/>
    <w:rsid w:val="000F6421"/>
    <w:rsid w:val="000F6864"/>
    <w:rsid w:val="000F6B76"/>
    <w:rsid w:val="000F6C2A"/>
    <w:rsid w:val="000F73F7"/>
    <w:rsid w:val="000F77A1"/>
    <w:rsid w:val="000F79D4"/>
    <w:rsid w:val="0010088B"/>
    <w:rsid w:val="0010091B"/>
    <w:rsid w:val="00101913"/>
    <w:rsid w:val="00101B79"/>
    <w:rsid w:val="001026D2"/>
    <w:rsid w:val="00102BC5"/>
    <w:rsid w:val="001031D6"/>
    <w:rsid w:val="0010352B"/>
    <w:rsid w:val="00103B04"/>
    <w:rsid w:val="001040BB"/>
    <w:rsid w:val="00104282"/>
    <w:rsid w:val="001045F8"/>
    <w:rsid w:val="00104C48"/>
    <w:rsid w:val="00105178"/>
    <w:rsid w:val="00105A51"/>
    <w:rsid w:val="00105C12"/>
    <w:rsid w:val="0010628D"/>
    <w:rsid w:val="00106585"/>
    <w:rsid w:val="001068FA"/>
    <w:rsid w:val="00106ED4"/>
    <w:rsid w:val="001070E9"/>
    <w:rsid w:val="001073AC"/>
    <w:rsid w:val="00107968"/>
    <w:rsid w:val="00107A34"/>
    <w:rsid w:val="00107AEA"/>
    <w:rsid w:val="00107FCF"/>
    <w:rsid w:val="0011003C"/>
    <w:rsid w:val="00110503"/>
    <w:rsid w:val="001106CA"/>
    <w:rsid w:val="001107F5"/>
    <w:rsid w:val="0011098A"/>
    <w:rsid w:val="001109C2"/>
    <w:rsid w:val="001110FC"/>
    <w:rsid w:val="00111964"/>
    <w:rsid w:val="00111E55"/>
    <w:rsid w:val="001121C4"/>
    <w:rsid w:val="00112849"/>
    <w:rsid w:val="00112D83"/>
    <w:rsid w:val="001137F3"/>
    <w:rsid w:val="00113A1C"/>
    <w:rsid w:val="00114A81"/>
    <w:rsid w:val="0011500F"/>
    <w:rsid w:val="00115149"/>
    <w:rsid w:val="0011561D"/>
    <w:rsid w:val="00115B2B"/>
    <w:rsid w:val="00116079"/>
    <w:rsid w:val="001164D8"/>
    <w:rsid w:val="00116DCE"/>
    <w:rsid w:val="00117061"/>
    <w:rsid w:val="0011774A"/>
    <w:rsid w:val="00120080"/>
    <w:rsid w:val="00121178"/>
    <w:rsid w:val="0012124D"/>
    <w:rsid w:val="00121ED9"/>
    <w:rsid w:val="001222D7"/>
    <w:rsid w:val="001232F2"/>
    <w:rsid w:val="00123318"/>
    <w:rsid w:val="0012356C"/>
    <w:rsid w:val="00124231"/>
    <w:rsid w:val="00124375"/>
    <w:rsid w:val="001247EA"/>
    <w:rsid w:val="00124A04"/>
    <w:rsid w:val="001255EF"/>
    <w:rsid w:val="0012597E"/>
    <w:rsid w:val="001264FC"/>
    <w:rsid w:val="00126844"/>
    <w:rsid w:val="00126F12"/>
    <w:rsid w:val="001274BE"/>
    <w:rsid w:val="00127D2F"/>
    <w:rsid w:val="00130827"/>
    <w:rsid w:val="00130F77"/>
    <w:rsid w:val="0013115A"/>
    <w:rsid w:val="00131304"/>
    <w:rsid w:val="00131D0E"/>
    <w:rsid w:val="0013206D"/>
    <w:rsid w:val="001322E1"/>
    <w:rsid w:val="0013246C"/>
    <w:rsid w:val="001324DD"/>
    <w:rsid w:val="00132DDD"/>
    <w:rsid w:val="00133062"/>
    <w:rsid w:val="0013371E"/>
    <w:rsid w:val="001342BF"/>
    <w:rsid w:val="001346CA"/>
    <w:rsid w:val="00135427"/>
    <w:rsid w:val="00135CB3"/>
    <w:rsid w:val="00135CE2"/>
    <w:rsid w:val="00136387"/>
    <w:rsid w:val="00136485"/>
    <w:rsid w:val="001364BC"/>
    <w:rsid w:val="00137BFB"/>
    <w:rsid w:val="00137D5E"/>
    <w:rsid w:val="00140016"/>
    <w:rsid w:val="0014001D"/>
    <w:rsid w:val="00141039"/>
    <w:rsid w:val="00141561"/>
    <w:rsid w:val="00141E0B"/>
    <w:rsid w:val="00141F89"/>
    <w:rsid w:val="00142095"/>
    <w:rsid w:val="0014209D"/>
    <w:rsid w:val="001423F5"/>
    <w:rsid w:val="00142793"/>
    <w:rsid w:val="001427E7"/>
    <w:rsid w:val="00142BEE"/>
    <w:rsid w:val="0014317B"/>
    <w:rsid w:val="0014338C"/>
    <w:rsid w:val="001435E9"/>
    <w:rsid w:val="00143A85"/>
    <w:rsid w:val="00144D1F"/>
    <w:rsid w:val="001453DF"/>
    <w:rsid w:val="0014580E"/>
    <w:rsid w:val="001463CF"/>
    <w:rsid w:val="00146CA6"/>
    <w:rsid w:val="00146F89"/>
    <w:rsid w:val="00147033"/>
    <w:rsid w:val="001471F7"/>
    <w:rsid w:val="00147D51"/>
    <w:rsid w:val="00147F85"/>
    <w:rsid w:val="00150333"/>
    <w:rsid w:val="00150714"/>
    <w:rsid w:val="0015074E"/>
    <w:rsid w:val="00151D23"/>
    <w:rsid w:val="00152328"/>
    <w:rsid w:val="00152704"/>
    <w:rsid w:val="00152A35"/>
    <w:rsid w:val="00152F04"/>
    <w:rsid w:val="001532AA"/>
    <w:rsid w:val="00154049"/>
    <w:rsid w:val="00154AD3"/>
    <w:rsid w:val="00154BB7"/>
    <w:rsid w:val="00154E4E"/>
    <w:rsid w:val="001552D0"/>
    <w:rsid w:val="001555DC"/>
    <w:rsid w:val="001559C0"/>
    <w:rsid w:val="00155D0F"/>
    <w:rsid w:val="00155D71"/>
    <w:rsid w:val="0015673A"/>
    <w:rsid w:val="0015686D"/>
    <w:rsid w:val="00160294"/>
    <w:rsid w:val="00160488"/>
    <w:rsid w:val="001604DA"/>
    <w:rsid w:val="0016075C"/>
    <w:rsid w:val="00161372"/>
    <w:rsid w:val="00161E18"/>
    <w:rsid w:val="00161FDF"/>
    <w:rsid w:val="00162350"/>
    <w:rsid w:val="00162620"/>
    <w:rsid w:val="0016263A"/>
    <w:rsid w:val="00162C3D"/>
    <w:rsid w:val="00162E3D"/>
    <w:rsid w:val="00164212"/>
    <w:rsid w:val="001643D7"/>
    <w:rsid w:val="001647A9"/>
    <w:rsid w:val="001657A1"/>
    <w:rsid w:val="001661A1"/>
    <w:rsid w:val="00166591"/>
    <w:rsid w:val="001665E3"/>
    <w:rsid w:val="00166C4A"/>
    <w:rsid w:val="001674F2"/>
    <w:rsid w:val="00170256"/>
    <w:rsid w:val="001702E0"/>
    <w:rsid w:val="001706C5"/>
    <w:rsid w:val="00170AEF"/>
    <w:rsid w:val="00170DB6"/>
    <w:rsid w:val="001710ED"/>
    <w:rsid w:val="00171112"/>
    <w:rsid w:val="0017114D"/>
    <w:rsid w:val="00171173"/>
    <w:rsid w:val="001711EA"/>
    <w:rsid w:val="0017189C"/>
    <w:rsid w:val="00172549"/>
    <w:rsid w:val="00172B71"/>
    <w:rsid w:val="00173807"/>
    <w:rsid w:val="00173B04"/>
    <w:rsid w:val="00173EE3"/>
    <w:rsid w:val="0017440D"/>
    <w:rsid w:val="0017485D"/>
    <w:rsid w:val="00174955"/>
    <w:rsid w:val="0017533B"/>
    <w:rsid w:val="00175403"/>
    <w:rsid w:val="001755B2"/>
    <w:rsid w:val="0017587C"/>
    <w:rsid w:val="00175A5D"/>
    <w:rsid w:val="00176002"/>
    <w:rsid w:val="001766D4"/>
    <w:rsid w:val="001767D5"/>
    <w:rsid w:val="00176A9B"/>
    <w:rsid w:val="0017743D"/>
    <w:rsid w:val="00177B91"/>
    <w:rsid w:val="00180640"/>
    <w:rsid w:val="0018075F"/>
    <w:rsid w:val="001815C2"/>
    <w:rsid w:val="0018201A"/>
    <w:rsid w:val="00183984"/>
    <w:rsid w:val="001840A7"/>
    <w:rsid w:val="001850E1"/>
    <w:rsid w:val="001851A6"/>
    <w:rsid w:val="00185433"/>
    <w:rsid w:val="001858E8"/>
    <w:rsid w:val="001859E9"/>
    <w:rsid w:val="0018681D"/>
    <w:rsid w:val="00186C7C"/>
    <w:rsid w:val="00186D5F"/>
    <w:rsid w:val="001870EB"/>
    <w:rsid w:val="0018753A"/>
    <w:rsid w:val="00187C9C"/>
    <w:rsid w:val="00187CF1"/>
    <w:rsid w:val="00187EC0"/>
    <w:rsid w:val="001900FB"/>
    <w:rsid w:val="0019079E"/>
    <w:rsid w:val="00191673"/>
    <w:rsid w:val="00191D74"/>
    <w:rsid w:val="00192663"/>
    <w:rsid w:val="001933AF"/>
    <w:rsid w:val="001935EC"/>
    <w:rsid w:val="0019397F"/>
    <w:rsid w:val="00193B04"/>
    <w:rsid w:val="00194B86"/>
    <w:rsid w:val="00194F70"/>
    <w:rsid w:val="00195011"/>
    <w:rsid w:val="001955F2"/>
    <w:rsid w:val="00195B8C"/>
    <w:rsid w:val="00195DC4"/>
    <w:rsid w:val="00195F72"/>
    <w:rsid w:val="00195FEB"/>
    <w:rsid w:val="001962E5"/>
    <w:rsid w:val="00196714"/>
    <w:rsid w:val="00196FFB"/>
    <w:rsid w:val="001970B1"/>
    <w:rsid w:val="00197334"/>
    <w:rsid w:val="00197573"/>
    <w:rsid w:val="001979A1"/>
    <w:rsid w:val="00197FC4"/>
    <w:rsid w:val="001A052F"/>
    <w:rsid w:val="001A07B2"/>
    <w:rsid w:val="001A290A"/>
    <w:rsid w:val="001A2A7F"/>
    <w:rsid w:val="001A2A9A"/>
    <w:rsid w:val="001A359C"/>
    <w:rsid w:val="001A4D2F"/>
    <w:rsid w:val="001A5E4B"/>
    <w:rsid w:val="001A61FB"/>
    <w:rsid w:val="001A6870"/>
    <w:rsid w:val="001A6BB8"/>
    <w:rsid w:val="001A722E"/>
    <w:rsid w:val="001A7E5B"/>
    <w:rsid w:val="001A7F09"/>
    <w:rsid w:val="001B0F92"/>
    <w:rsid w:val="001B14B1"/>
    <w:rsid w:val="001B155D"/>
    <w:rsid w:val="001B156E"/>
    <w:rsid w:val="001B158E"/>
    <w:rsid w:val="001B15E9"/>
    <w:rsid w:val="001B1D32"/>
    <w:rsid w:val="001B20C8"/>
    <w:rsid w:val="001B2954"/>
    <w:rsid w:val="001B29DA"/>
    <w:rsid w:val="001B2A3A"/>
    <w:rsid w:val="001B2D05"/>
    <w:rsid w:val="001B30AD"/>
    <w:rsid w:val="001B3104"/>
    <w:rsid w:val="001B3357"/>
    <w:rsid w:val="001B3EDA"/>
    <w:rsid w:val="001B3FE9"/>
    <w:rsid w:val="001B448C"/>
    <w:rsid w:val="001B4507"/>
    <w:rsid w:val="001B4914"/>
    <w:rsid w:val="001B4CFB"/>
    <w:rsid w:val="001B585F"/>
    <w:rsid w:val="001B591B"/>
    <w:rsid w:val="001B76C1"/>
    <w:rsid w:val="001B76F5"/>
    <w:rsid w:val="001B7781"/>
    <w:rsid w:val="001B7FEE"/>
    <w:rsid w:val="001C01FE"/>
    <w:rsid w:val="001C02C5"/>
    <w:rsid w:val="001C0990"/>
    <w:rsid w:val="001C0DA3"/>
    <w:rsid w:val="001C11C9"/>
    <w:rsid w:val="001C25E1"/>
    <w:rsid w:val="001C28D3"/>
    <w:rsid w:val="001C2A99"/>
    <w:rsid w:val="001C2F5A"/>
    <w:rsid w:val="001C31CB"/>
    <w:rsid w:val="001C3306"/>
    <w:rsid w:val="001C3441"/>
    <w:rsid w:val="001C37AF"/>
    <w:rsid w:val="001C3884"/>
    <w:rsid w:val="001C39F6"/>
    <w:rsid w:val="001C4A2A"/>
    <w:rsid w:val="001C4BEA"/>
    <w:rsid w:val="001C7525"/>
    <w:rsid w:val="001D0037"/>
    <w:rsid w:val="001D09FF"/>
    <w:rsid w:val="001D18C3"/>
    <w:rsid w:val="001D1C1B"/>
    <w:rsid w:val="001D1C9E"/>
    <w:rsid w:val="001D1CB7"/>
    <w:rsid w:val="001D2894"/>
    <w:rsid w:val="001D3337"/>
    <w:rsid w:val="001D38A6"/>
    <w:rsid w:val="001D4197"/>
    <w:rsid w:val="001D4346"/>
    <w:rsid w:val="001D46FB"/>
    <w:rsid w:val="001D518F"/>
    <w:rsid w:val="001D600E"/>
    <w:rsid w:val="001D68BE"/>
    <w:rsid w:val="001D7B01"/>
    <w:rsid w:val="001E1303"/>
    <w:rsid w:val="001E1D0F"/>
    <w:rsid w:val="001E1EA8"/>
    <w:rsid w:val="001E27DF"/>
    <w:rsid w:val="001E2C76"/>
    <w:rsid w:val="001E37D9"/>
    <w:rsid w:val="001E3884"/>
    <w:rsid w:val="001E44D4"/>
    <w:rsid w:val="001E4565"/>
    <w:rsid w:val="001E460B"/>
    <w:rsid w:val="001E471B"/>
    <w:rsid w:val="001E5530"/>
    <w:rsid w:val="001E5A8F"/>
    <w:rsid w:val="001E5BAB"/>
    <w:rsid w:val="001E5E38"/>
    <w:rsid w:val="001E6579"/>
    <w:rsid w:val="001E6AA2"/>
    <w:rsid w:val="001E6CCE"/>
    <w:rsid w:val="001E6E56"/>
    <w:rsid w:val="001E6EBC"/>
    <w:rsid w:val="001E73E2"/>
    <w:rsid w:val="001E799E"/>
    <w:rsid w:val="001E7A44"/>
    <w:rsid w:val="001E7A7F"/>
    <w:rsid w:val="001F061C"/>
    <w:rsid w:val="001F07A3"/>
    <w:rsid w:val="001F0FCD"/>
    <w:rsid w:val="001F244B"/>
    <w:rsid w:val="001F3165"/>
    <w:rsid w:val="001F3676"/>
    <w:rsid w:val="001F39CA"/>
    <w:rsid w:val="001F4A5B"/>
    <w:rsid w:val="001F529C"/>
    <w:rsid w:val="001F5627"/>
    <w:rsid w:val="001F5763"/>
    <w:rsid w:val="001F5959"/>
    <w:rsid w:val="001F5E31"/>
    <w:rsid w:val="001F6AEE"/>
    <w:rsid w:val="001F6C7B"/>
    <w:rsid w:val="001F6F0C"/>
    <w:rsid w:val="001F7CF0"/>
    <w:rsid w:val="002000CE"/>
    <w:rsid w:val="00201943"/>
    <w:rsid w:val="00201ACE"/>
    <w:rsid w:val="00201D03"/>
    <w:rsid w:val="002020DF"/>
    <w:rsid w:val="00202545"/>
    <w:rsid w:val="00202586"/>
    <w:rsid w:val="00202874"/>
    <w:rsid w:val="00203497"/>
    <w:rsid w:val="00203DDC"/>
    <w:rsid w:val="002042F8"/>
    <w:rsid w:val="002043D0"/>
    <w:rsid w:val="00204885"/>
    <w:rsid w:val="00204A42"/>
    <w:rsid w:val="00205246"/>
    <w:rsid w:val="00205908"/>
    <w:rsid w:val="00205E42"/>
    <w:rsid w:val="00206252"/>
    <w:rsid w:val="00206D9C"/>
    <w:rsid w:val="00207097"/>
    <w:rsid w:val="0021017F"/>
    <w:rsid w:val="0021074B"/>
    <w:rsid w:val="00210BFE"/>
    <w:rsid w:val="00210CCB"/>
    <w:rsid w:val="002113A0"/>
    <w:rsid w:val="00211A9B"/>
    <w:rsid w:val="00211B5A"/>
    <w:rsid w:val="00211CC9"/>
    <w:rsid w:val="00211ED9"/>
    <w:rsid w:val="002121E6"/>
    <w:rsid w:val="0021236C"/>
    <w:rsid w:val="002124C0"/>
    <w:rsid w:val="002124EE"/>
    <w:rsid w:val="002130D8"/>
    <w:rsid w:val="0021328F"/>
    <w:rsid w:val="0021393F"/>
    <w:rsid w:val="00213994"/>
    <w:rsid w:val="00214558"/>
    <w:rsid w:val="0021466C"/>
    <w:rsid w:val="00214DBE"/>
    <w:rsid w:val="0021508A"/>
    <w:rsid w:val="00216333"/>
    <w:rsid w:val="002167A1"/>
    <w:rsid w:val="00216A27"/>
    <w:rsid w:val="00216C00"/>
    <w:rsid w:val="0022044A"/>
    <w:rsid w:val="00220C43"/>
    <w:rsid w:val="002213F1"/>
    <w:rsid w:val="00221E9A"/>
    <w:rsid w:val="00223690"/>
    <w:rsid w:val="00223896"/>
    <w:rsid w:val="00223910"/>
    <w:rsid w:val="00223E82"/>
    <w:rsid w:val="0022452D"/>
    <w:rsid w:val="00224A25"/>
    <w:rsid w:val="00224ED4"/>
    <w:rsid w:val="00225534"/>
    <w:rsid w:val="00226174"/>
    <w:rsid w:val="00226856"/>
    <w:rsid w:val="00226A82"/>
    <w:rsid w:val="002274FD"/>
    <w:rsid w:val="002278F7"/>
    <w:rsid w:val="00230BF8"/>
    <w:rsid w:val="00231207"/>
    <w:rsid w:val="0023134D"/>
    <w:rsid w:val="00231B9A"/>
    <w:rsid w:val="00231FA7"/>
    <w:rsid w:val="0023210E"/>
    <w:rsid w:val="0023241B"/>
    <w:rsid w:val="002329FF"/>
    <w:rsid w:val="002339A2"/>
    <w:rsid w:val="002342E0"/>
    <w:rsid w:val="0023472B"/>
    <w:rsid w:val="0023482A"/>
    <w:rsid w:val="00235336"/>
    <w:rsid w:val="00235FE5"/>
    <w:rsid w:val="00235FF8"/>
    <w:rsid w:val="00236545"/>
    <w:rsid w:val="00236A9D"/>
    <w:rsid w:val="00236AB7"/>
    <w:rsid w:val="00237466"/>
    <w:rsid w:val="002407DB"/>
    <w:rsid w:val="00240DE7"/>
    <w:rsid w:val="00241249"/>
    <w:rsid w:val="00241CF1"/>
    <w:rsid w:val="00241D0C"/>
    <w:rsid w:val="002421E6"/>
    <w:rsid w:val="00242625"/>
    <w:rsid w:val="00242925"/>
    <w:rsid w:val="00242C48"/>
    <w:rsid w:val="00242C83"/>
    <w:rsid w:val="00242FFE"/>
    <w:rsid w:val="00243D34"/>
    <w:rsid w:val="00244217"/>
    <w:rsid w:val="0024444A"/>
    <w:rsid w:val="00244DAE"/>
    <w:rsid w:val="00244E31"/>
    <w:rsid w:val="00245C70"/>
    <w:rsid w:val="002463BF"/>
    <w:rsid w:val="00246A7A"/>
    <w:rsid w:val="002479AC"/>
    <w:rsid w:val="00247A3F"/>
    <w:rsid w:val="00247EA7"/>
    <w:rsid w:val="002501A3"/>
    <w:rsid w:val="002503A4"/>
    <w:rsid w:val="00250849"/>
    <w:rsid w:val="002519B6"/>
    <w:rsid w:val="00251E7C"/>
    <w:rsid w:val="00252331"/>
    <w:rsid w:val="002523B4"/>
    <w:rsid w:val="002526F0"/>
    <w:rsid w:val="0025296A"/>
    <w:rsid w:val="00252CAB"/>
    <w:rsid w:val="00253CF1"/>
    <w:rsid w:val="00253EE6"/>
    <w:rsid w:val="002545A6"/>
    <w:rsid w:val="00254E01"/>
    <w:rsid w:val="00255701"/>
    <w:rsid w:val="0025772D"/>
    <w:rsid w:val="00257B0A"/>
    <w:rsid w:val="00260024"/>
    <w:rsid w:val="002604BF"/>
    <w:rsid w:val="00260B2E"/>
    <w:rsid w:val="00261127"/>
    <w:rsid w:val="00261964"/>
    <w:rsid w:val="00261CCD"/>
    <w:rsid w:val="00261F1D"/>
    <w:rsid w:val="00262490"/>
    <w:rsid w:val="002626B2"/>
    <w:rsid w:val="00263253"/>
    <w:rsid w:val="00263646"/>
    <w:rsid w:val="00263848"/>
    <w:rsid w:val="00264761"/>
    <w:rsid w:val="00264CC9"/>
    <w:rsid w:val="00265A9C"/>
    <w:rsid w:val="002664E5"/>
    <w:rsid w:val="00266533"/>
    <w:rsid w:val="00266597"/>
    <w:rsid w:val="0026750D"/>
    <w:rsid w:val="00267C87"/>
    <w:rsid w:val="00267EF2"/>
    <w:rsid w:val="0027029B"/>
    <w:rsid w:val="00270316"/>
    <w:rsid w:val="00270462"/>
    <w:rsid w:val="0027064E"/>
    <w:rsid w:val="00270977"/>
    <w:rsid w:val="00270FF9"/>
    <w:rsid w:val="00271A28"/>
    <w:rsid w:val="00271C66"/>
    <w:rsid w:val="00271E93"/>
    <w:rsid w:val="0027211A"/>
    <w:rsid w:val="002721B3"/>
    <w:rsid w:val="00272B79"/>
    <w:rsid w:val="00272BC5"/>
    <w:rsid w:val="00273549"/>
    <w:rsid w:val="002739E3"/>
    <w:rsid w:val="00273EA1"/>
    <w:rsid w:val="00273F6A"/>
    <w:rsid w:val="00274203"/>
    <w:rsid w:val="00274473"/>
    <w:rsid w:val="00274810"/>
    <w:rsid w:val="00274B94"/>
    <w:rsid w:val="0027514B"/>
    <w:rsid w:val="00275434"/>
    <w:rsid w:val="002761AE"/>
    <w:rsid w:val="00276D3E"/>
    <w:rsid w:val="002776AC"/>
    <w:rsid w:val="00277BD9"/>
    <w:rsid w:val="00277C33"/>
    <w:rsid w:val="00277E96"/>
    <w:rsid w:val="00280578"/>
    <w:rsid w:val="002807C4"/>
    <w:rsid w:val="002809B0"/>
    <w:rsid w:val="00280B5F"/>
    <w:rsid w:val="00281992"/>
    <w:rsid w:val="00282326"/>
    <w:rsid w:val="00282BC8"/>
    <w:rsid w:val="00282EA3"/>
    <w:rsid w:val="002830AF"/>
    <w:rsid w:val="002830E1"/>
    <w:rsid w:val="0028402B"/>
    <w:rsid w:val="0028405D"/>
    <w:rsid w:val="0028417A"/>
    <w:rsid w:val="0028421D"/>
    <w:rsid w:val="00284E9A"/>
    <w:rsid w:val="002853DD"/>
    <w:rsid w:val="00285684"/>
    <w:rsid w:val="00285725"/>
    <w:rsid w:val="00285A98"/>
    <w:rsid w:val="00285B86"/>
    <w:rsid w:val="00285FE0"/>
    <w:rsid w:val="00286A28"/>
    <w:rsid w:val="00286C80"/>
    <w:rsid w:val="0028715C"/>
    <w:rsid w:val="002871E9"/>
    <w:rsid w:val="002874CC"/>
    <w:rsid w:val="002907DC"/>
    <w:rsid w:val="00290913"/>
    <w:rsid w:val="00290CF7"/>
    <w:rsid w:val="00291136"/>
    <w:rsid w:val="0029161C"/>
    <w:rsid w:val="00291E8B"/>
    <w:rsid w:val="00292367"/>
    <w:rsid w:val="002926FE"/>
    <w:rsid w:val="002929C1"/>
    <w:rsid w:val="00293251"/>
    <w:rsid w:val="00293506"/>
    <w:rsid w:val="002935D7"/>
    <w:rsid w:val="0029364E"/>
    <w:rsid w:val="00293736"/>
    <w:rsid w:val="00293D33"/>
    <w:rsid w:val="00294001"/>
    <w:rsid w:val="00294375"/>
    <w:rsid w:val="00294C1C"/>
    <w:rsid w:val="00295059"/>
    <w:rsid w:val="0029527B"/>
    <w:rsid w:val="002955B4"/>
    <w:rsid w:val="002959F2"/>
    <w:rsid w:val="00295A79"/>
    <w:rsid w:val="00295B33"/>
    <w:rsid w:val="00295C93"/>
    <w:rsid w:val="00296413"/>
    <w:rsid w:val="00297061"/>
    <w:rsid w:val="0029716F"/>
    <w:rsid w:val="002972C6"/>
    <w:rsid w:val="00297CE3"/>
    <w:rsid w:val="00297FD0"/>
    <w:rsid w:val="002A02DC"/>
    <w:rsid w:val="002A0BA3"/>
    <w:rsid w:val="002A10A3"/>
    <w:rsid w:val="002A11E6"/>
    <w:rsid w:val="002A12CF"/>
    <w:rsid w:val="002A2569"/>
    <w:rsid w:val="002A2AB3"/>
    <w:rsid w:val="002A2E2E"/>
    <w:rsid w:val="002A398B"/>
    <w:rsid w:val="002A41C8"/>
    <w:rsid w:val="002A512D"/>
    <w:rsid w:val="002A517A"/>
    <w:rsid w:val="002A5D44"/>
    <w:rsid w:val="002A61AA"/>
    <w:rsid w:val="002A6C18"/>
    <w:rsid w:val="002A6C2F"/>
    <w:rsid w:val="002A6C93"/>
    <w:rsid w:val="002A6D4C"/>
    <w:rsid w:val="002A7021"/>
    <w:rsid w:val="002A7A5A"/>
    <w:rsid w:val="002B0ED8"/>
    <w:rsid w:val="002B13B1"/>
    <w:rsid w:val="002B1628"/>
    <w:rsid w:val="002B18D3"/>
    <w:rsid w:val="002B1CEB"/>
    <w:rsid w:val="002B2141"/>
    <w:rsid w:val="002B2886"/>
    <w:rsid w:val="002B32A1"/>
    <w:rsid w:val="002B32E4"/>
    <w:rsid w:val="002B3899"/>
    <w:rsid w:val="002B416A"/>
    <w:rsid w:val="002B4E35"/>
    <w:rsid w:val="002B4FAF"/>
    <w:rsid w:val="002B4FCB"/>
    <w:rsid w:val="002B5191"/>
    <w:rsid w:val="002B5415"/>
    <w:rsid w:val="002B5522"/>
    <w:rsid w:val="002B5780"/>
    <w:rsid w:val="002B69BB"/>
    <w:rsid w:val="002B6ADF"/>
    <w:rsid w:val="002B752C"/>
    <w:rsid w:val="002B76BF"/>
    <w:rsid w:val="002B7926"/>
    <w:rsid w:val="002B7BC1"/>
    <w:rsid w:val="002C0821"/>
    <w:rsid w:val="002C0896"/>
    <w:rsid w:val="002C0E6A"/>
    <w:rsid w:val="002C161C"/>
    <w:rsid w:val="002C1EF7"/>
    <w:rsid w:val="002C1FC6"/>
    <w:rsid w:val="002C23C3"/>
    <w:rsid w:val="002C2860"/>
    <w:rsid w:val="002C2F16"/>
    <w:rsid w:val="002C3A1A"/>
    <w:rsid w:val="002C3ABE"/>
    <w:rsid w:val="002C5470"/>
    <w:rsid w:val="002C568B"/>
    <w:rsid w:val="002C58B5"/>
    <w:rsid w:val="002C5DA2"/>
    <w:rsid w:val="002C605A"/>
    <w:rsid w:val="002C610A"/>
    <w:rsid w:val="002C675E"/>
    <w:rsid w:val="002C6C76"/>
    <w:rsid w:val="002C6CC7"/>
    <w:rsid w:val="002C6D08"/>
    <w:rsid w:val="002C6E95"/>
    <w:rsid w:val="002C71EE"/>
    <w:rsid w:val="002C7799"/>
    <w:rsid w:val="002C7BFB"/>
    <w:rsid w:val="002C7F95"/>
    <w:rsid w:val="002D0383"/>
    <w:rsid w:val="002D15FB"/>
    <w:rsid w:val="002D17A2"/>
    <w:rsid w:val="002D19E7"/>
    <w:rsid w:val="002D2208"/>
    <w:rsid w:val="002D2228"/>
    <w:rsid w:val="002D2EBA"/>
    <w:rsid w:val="002D2FC3"/>
    <w:rsid w:val="002D3256"/>
    <w:rsid w:val="002D3450"/>
    <w:rsid w:val="002D385E"/>
    <w:rsid w:val="002D51B9"/>
    <w:rsid w:val="002D51CC"/>
    <w:rsid w:val="002D5482"/>
    <w:rsid w:val="002D5CE3"/>
    <w:rsid w:val="002D5FE7"/>
    <w:rsid w:val="002D6585"/>
    <w:rsid w:val="002D6985"/>
    <w:rsid w:val="002D6D88"/>
    <w:rsid w:val="002D7118"/>
    <w:rsid w:val="002D72F5"/>
    <w:rsid w:val="002D73CE"/>
    <w:rsid w:val="002E0386"/>
    <w:rsid w:val="002E07AE"/>
    <w:rsid w:val="002E0808"/>
    <w:rsid w:val="002E095A"/>
    <w:rsid w:val="002E0BFC"/>
    <w:rsid w:val="002E1571"/>
    <w:rsid w:val="002E1BAA"/>
    <w:rsid w:val="002E1FC6"/>
    <w:rsid w:val="002E248D"/>
    <w:rsid w:val="002E33D1"/>
    <w:rsid w:val="002E3C4A"/>
    <w:rsid w:val="002E3F37"/>
    <w:rsid w:val="002E4242"/>
    <w:rsid w:val="002E480B"/>
    <w:rsid w:val="002E577A"/>
    <w:rsid w:val="002E73C0"/>
    <w:rsid w:val="002E768E"/>
    <w:rsid w:val="002E7B86"/>
    <w:rsid w:val="002E7DDD"/>
    <w:rsid w:val="002E7E81"/>
    <w:rsid w:val="002F0ABC"/>
    <w:rsid w:val="002F10C2"/>
    <w:rsid w:val="002F1520"/>
    <w:rsid w:val="002F168D"/>
    <w:rsid w:val="002F1CC2"/>
    <w:rsid w:val="002F1FCD"/>
    <w:rsid w:val="002F31BF"/>
    <w:rsid w:val="002F320E"/>
    <w:rsid w:val="002F329A"/>
    <w:rsid w:val="002F3367"/>
    <w:rsid w:val="002F34F0"/>
    <w:rsid w:val="002F3566"/>
    <w:rsid w:val="002F37A5"/>
    <w:rsid w:val="002F3B15"/>
    <w:rsid w:val="002F3FBF"/>
    <w:rsid w:val="002F4170"/>
    <w:rsid w:val="002F49D8"/>
    <w:rsid w:val="002F4B51"/>
    <w:rsid w:val="002F4CE8"/>
    <w:rsid w:val="002F5125"/>
    <w:rsid w:val="002F54CA"/>
    <w:rsid w:val="002F5873"/>
    <w:rsid w:val="002F58A3"/>
    <w:rsid w:val="002F5A24"/>
    <w:rsid w:val="002F5BAF"/>
    <w:rsid w:val="002F6A64"/>
    <w:rsid w:val="002F794A"/>
    <w:rsid w:val="002F7EC0"/>
    <w:rsid w:val="003001C9"/>
    <w:rsid w:val="003011EB"/>
    <w:rsid w:val="00301563"/>
    <w:rsid w:val="00301801"/>
    <w:rsid w:val="00301B3A"/>
    <w:rsid w:val="003023AD"/>
    <w:rsid w:val="00302453"/>
    <w:rsid w:val="0030251D"/>
    <w:rsid w:val="00303D9E"/>
    <w:rsid w:val="00303DFA"/>
    <w:rsid w:val="0030492C"/>
    <w:rsid w:val="00304948"/>
    <w:rsid w:val="00304C7D"/>
    <w:rsid w:val="00304D3B"/>
    <w:rsid w:val="00305814"/>
    <w:rsid w:val="00306B17"/>
    <w:rsid w:val="00306BF2"/>
    <w:rsid w:val="00306D04"/>
    <w:rsid w:val="003071E1"/>
    <w:rsid w:val="003078E5"/>
    <w:rsid w:val="00307D2E"/>
    <w:rsid w:val="00307E6C"/>
    <w:rsid w:val="00310D8B"/>
    <w:rsid w:val="00310E95"/>
    <w:rsid w:val="00311526"/>
    <w:rsid w:val="00311B0D"/>
    <w:rsid w:val="0031280B"/>
    <w:rsid w:val="00313223"/>
    <w:rsid w:val="00313835"/>
    <w:rsid w:val="0031499E"/>
    <w:rsid w:val="003165E6"/>
    <w:rsid w:val="00316A9D"/>
    <w:rsid w:val="00316CA1"/>
    <w:rsid w:val="00317452"/>
    <w:rsid w:val="0031752B"/>
    <w:rsid w:val="00317A8F"/>
    <w:rsid w:val="00317D9D"/>
    <w:rsid w:val="00317EA5"/>
    <w:rsid w:val="00320280"/>
    <w:rsid w:val="00320950"/>
    <w:rsid w:val="003214CA"/>
    <w:rsid w:val="00321A5D"/>
    <w:rsid w:val="00321D42"/>
    <w:rsid w:val="00322035"/>
    <w:rsid w:val="00322425"/>
    <w:rsid w:val="00322594"/>
    <w:rsid w:val="00323393"/>
    <w:rsid w:val="00323C3B"/>
    <w:rsid w:val="003246C9"/>
    <w:rsid w:val="00324CBD"/>
    <w:rsid w:val="00324D70"/>
    <w:rsid w:val="00324FE8"/>
    <w:rsid w:val="0032533F"/>
    <w:rsid w:val="003253ED"/>
    <w:rsid w:val="003255D5"/>
    <w:rsid w:val="00325920"/>
    <w:rsid w:val="00325AAE"/>
    <w:rsid w:val="00326A23"/>
    <w:rsid w:val="0032717F"/>
    <w:rsid w:val="0032721C"/>
    <w:rsid w:val="00327309"/>
    <w:rsid w:val="0032755F"/>
    <w:rsid w:val="00330A08"/>
    <w:rsid w:val="00330B90"/>
    <w:rsid w:val="00330E16"/>
    <w:rsid w:val="003313A8"/>
    <w:rsid w:val="003314A7"/>
    <w:rsid w:val="00331590"/>
    <w:rsid w:val="0033180A"/>
    <w:rsid w:val="003323C0"/>
    <w:rsid w:val="0033255A"/>
    <w:rsid w:val="00332902"/>
    <w:rsid w:val="0033332F"/>
    <w:rsid w:val="00333E76"/>
    <w:rsid w:val="00334AE8"/>
    <w:rsid w:val="00334FF1"/>
    <w:rsid w:val="0033557E"/>
    <w:rsid w:val="00335D74"/>
    <w:rsid w:val="00335DE2"/>
    <w:rsid w:val="003361A8"/>
    <w:rsid w:val="00336637"/>
    <w:rsid w:val="003368A3"/>
    <w:rsid w:val="00337056"/>
    <w:rsid w:val="003371C4"/>
    <w:rsid w:val="00337F90"/>
    <w:rsid w:val="003403A0"/>
    <w:rsid w:val="003403EC"/>
    <w:rsid w:val="003408B0"/>
    <w:rsid w:val="003411E5"/>
    <w:rsid w:val="00341A10"/>
    <w:rsid w:val="00342013"/>
    <w:rsid w:val="00342065"/>
    <w:rsid w:val="003422B6"/>
    <w:rsid w:val="003424D0"/>
    <w:rsid w:val="003428A8"/>
    <w:rsid w:val="0034395C"/>
    <w:rsid w:val="00343CBF"/>
    <w:rsid w:val="00343E76"/>
    <w:rsid w:val="0034530C"/>
    <w:rsid w:val="00346039"/>
    <w:rsid w:val="003460E0"/>
    <w:rsid w:val="00347F83"/>
    <w:rsid w:val="00350298"/>
    <w:rsid w:val="00350711"/>
    <w:rsid w:val="00350717"/>
    <w:rsid w:val="003508CF"/>
    <w:rsid w:val="00350ACA"/>
    <w:rsid w:val="00350C2C"/>
    <w:rsid w:val="00350E63"/>
    <w:rsid w:val="00351414"/>
    <w:rsid w:val="00351847"/>
    <w:rsid w:val="00351F3B"/>
    <w:rsid w:val="0035217C"/>
    <w:rsid w:val="003533EC"/>
    <w:rsid w:val="0035389D"/>
    <w:rsid w:val="00353D68"/>
    <w:rsid w:val="0035422A"/>
    <w:rsid w:val="00354829"/>
    <w:rsid w:val="0035498B"/>
    <w:rsid w:val="00355228"/>
    <w:rsid w:val="00355B84"/>
    <w:rsid w:val="00355C92"/>
    <w:rsid w:val="00355D28"/>
    <w:rsid w:val="00356019"/>
    <w:rsid w:val="00356678"/>
    <w:rsid w:val="00356B33"/>
    <w:rsid w:val="00356E0A"/>
    <w:rsid w:val="003576D8"/>
    <w:rsid w:val="003579B6"/>
    <w:rsid w:val="0036013A"/>
    <w:rsid w:val="003607DD"/>
    <w:rsid w:val="003608DE"/>
    <w:rsid w:val="00360D25"/>
    <w:rsid w:val="00361191"/>
    <w:rsid w:val="00361D74"/>
    <w:rsid w:val="00361DEC"/>
    <w:rsid w:val="00361FE9"/>
    <w:rsid w:val="003622B7"/>
    <w:rsid w:val="003623F5"/>
    <w:rsid w:val="00362C4A"/>
    <w:rsid w:val="00362DFA"/>
    <w:rsid w:val="00363AE8"/>
    <w:rsid w:val="00363F5C"/>
    <w:rsid w:val="0036513C"/>
    <w:rsid w:val="003655BD"/>
    <w:rsid w:val="00365AF2"/>
    <w:rsid w:val="0036648A"/>
    <w:rsid w:val="00366822"/>
    <w:rsid w:val="00366E1D"/>
    <w:rsid w:val="0036717F"/>
    <w:rsid w:val="00367D5A"/>
    <w:rsid w:val="00370584"/>
    <w:rsid w:val="003708DA"/>
    <w:rsid w:val="00370A40"/>
    <w:rsid w:val="0037125F"/>
    <w:rsid w:val="003717A6"/>
    <w:rsid w:val="00371CC3"/>
    <w:rsid w:val="003722EE"/>
    <w:rsid w:val="00372E38"/>
    <w:rsid w:val="003737BB"/>
    <w:rsid w:val="0037436E"/>
    <w:rsid w:val="003743EC"/>
    <w:rsid w:val="00374495"/>
    <w:rsid w:val="00374688"/>
    <w:rsid w:val="00374D97"/>
    <w:rsid w:val="00374E48"/>
    <w:rsid w:val="0037519B"/>
    <w:rsid w:val="003753F5"/>
    <w:rsid w:val="00375C4E"/>
    <w:rsid w:val="0037671B"/>
    <w:rsid w:val="00376F30"/>
    <w:rsid w:val="0037726C"/>
    <w:rsid w:val="003772BC"/>
    <w:rsid w:val="003775DD"/>
    <w:rsid w:val="00377F3B"/>
    <w:rsid w:val="00380006"/>
    <w:rsid w:val="0038013A"/>
    <w:rsid w:val="00380A7F"/>
    <w:rsid w:val="00381658"/>
    <w:rsid w:val="003817B4"/>
    <w:rsid w:val="00381888"/>
    <w:rsid w:val="00381C55"/>
    <w:rsid w:val="00382321"/>
    <w:rsid w:val="003823C6"/>
    <w:rsid w:val="003829B4"/>
    <w:rsid w:val="00382CC9"/>
    <w:rsid w:val="00382CD0"/>
    <w:rsid w:val="00383784"/>
    <w:rsid w:val="00383B2A"/>
    <w:rsid w:val="00383C97"/>
    <w:rsid w:val="003840B2"/>
    <w:rsid w:val="00384765"/>
    <w:rsid w:val="00384C69"/>
    <w:rsid w:val="0038584D"/>
    <w:rsid w:val="00385D52"/>
    <w:rsid w:val="003860E9"/>
    <w:rsid w:val="0038736A"/>
    <w:rsid w:val="00387428"/>
    <w:rsid w:val="00387462"/>
    <w:rsid w:val="00387B60"/>
    <w:rsid w:val="003905EB"/>
    <w:rsid w:val="00391421"/>
    <w:rsid w:val="00391448"/>
    <w:rsid w:val="00391589"/>
    <w:rsid w:val="003915AE"/>
    <w:rsid w:val="00391B35"/>
    <w:rsid w:val="00392005"/>
    <w:rsid w:val="00392386"/>
    <w:rsid w:val="003927E5"/>
    <w:rsid w:val="00392AFD"/>
    <w:rsid w:val="00392C71"/>
    <w:rsid w:val="003932EA"/>
    <w:rsid w:val="0039352D"/>
    <w:rsid w:val="00394F43"/>
    <w:rsid w:val="00395BDC"/>
    <w:rsid w:val="00396947"/>
    <w:rsid w:val="003969C6"/>
    <w:rsid w:val="003973DC"/>
    <w:rsid w:val="00397573"/>
    <w:rsid w:val="00397872"/>
    <w:rsid w:val="0039794C"/>
    <w:rsid w:val="00397F24"/>
    <w:rsid w:val="003A13A8"/>
    <w:rsid w:val="003A1A65"/>
    <w:rsid w:val="003A266C"/>
    <w:rsid w:val="003A2CB4"/>
    <w:rsid w:val="003A321D"/>
    <w:rsid w:val="003A34B3"/>
    <w:rsid w:val="003A36AA"/>
    <w:rsid w:val="003A3FB4"/>
    <w:rsid w:val="003A41AD"/>
    <w:rsid w:val="003A434B"/>
    <w:rsid w:val="003A46AA"/>
    <w:rsid w:val="003A570F"/>
    <w:rsid w:val="003A5926"/>
    <w:rsid w:val="003A5A1A"/>
    <w:rsid w:val="003A5AD6"/>
    <w:rsid w:val="003A6FF9"/>
    <w:rsid w:val="003A764C"/>
    <w:rsid w:val="003B0445"/>
    <w:rsid w:val="003B086C"/>
    <w:rsid w:val="003B157D"/>
    <w:rsid w:val="003B2103"/>
    <w:rsid w:val="003B21A7"/>
    <w:rsid w:val="003B243C"/>
    <w:rsid w:val="003B2864"/>
    <w:rsid w:val="003B2F05"/>
    <w:rsid w:val="003B3DF7"/>
    <w:rsid w:val="003B3EC2"/>
    <w:rsid w:val="003B5101"/>
    <w:rsid w:val="003B5B94"/>
    <w:rsid w:val="003B6440"/>
    <w:rsid w:val="003B648D"/>
    <w:rsid w:val="003B6526"/>
    <w:rsid w:val="003B6B74"/>
    <w:rsid w:val="003B74C8"/>
    <w:rsid w:val="003B75EE"/>
    <w:rsid w:val="003B7CE7"/>
    <w:rsid w:val="003B7D45"/>
    <w:rsid w:val="003C02B8"/>
    <w:rsid w:val="003C0755"/>
    <w:rsid w:val="003C0813"/>
    <w:rsid w:val="003C0FB6"/>
    <w:rsid w:val="003C1263"/>
    <w:rsid w:val="003C16B6"/>
    <w:rsid w:val="003C239A"/>
    <w:rsid w:val="003C2505"/>
    <w:rsid w:val="003C39BC"/>
    <w:rsid w:val="003C3B16"/>
    <w:rsid w:val="003C3D4A"/>
    <w:rsid w:val="003C3E9E"/>
    <w:rsid w:val="003C4917"/>
    <w:rsid w:val="003C556E"/>
    <w:rsid w:val="003C58DE"/>
    <w:rsid w:val="003C5A3A"/>
    <w:rsid w:val="003C5D4C"/>
    <w:rsid w:val="003C6F31"/>
    <w:rsid w:val="003C7271"/>
    <w:rsid w:val="003C7F10"/>
    <w:rsid w:val="003D0278"/>
    <w:rsid w:val="003D08BF"/>
    <w:rsid w:val="003D0ABB"/>
    <w:rsid w:val="003D2119"/>
    <w:rsid w:val="003D2706"/>
    <w:rsid w:val="003D2C2C"/>
    <w:rsid w:val="003D2C9E"/>
    <w:rsid w:val="003D2D63"/>
    <w:rsid w:val="003D2DA1"/>
    <w:rsid w:val="003D2FFE"/>
    <w:rsid w:val="003D35E2"/>
    <w:rsid w:val="003D3725"/>
    <w:rsid w:val="003D3B14"/>
    <w:rsid w:val="003D43F7"/>
    <w:rsid w:val="003D4CC9"/>
    <w:rsid w:val="003D5CBD"/>
    <w:rsid w:val="003D63F4"/>
    <w:rsid w:val="003D6F74"/>
    <w:rsid w:val="003D771B"/>
    <w:rsid w:val="003D77E7"/>
    <w:rsid w:val="003D7F93"/>
    <w:rsid w:val="003E0DF7"/>
    <w:rsid w:val="003E1688"/>
    <w:rsid w:val="003E1840"/>
    <w:rsid w:val="003E1E57"/>
    <w:rsid w:val="003E1F3A"/>
    <w:rsid w:val="003E2065"/>
    <w:rsid w:val="003E262A"/>
    <w:rsid w:val="003E284C"/>
    <w:rsid w:val="003E308B"/>
    <w:rsid w:val="003E32BE"/>
    <w:rsid w:val="003E3320"/>
    <w:rsid w:val="003E44A8"/>
    <w:rsid w:val="003E4527"/>
    <w:rsid w:val="003E4564"/>
    <w:rsid w:val="003E477A"/>
    <w:rsid w:val="003E4892"/>
    <w:rsid w:val="003E4B3F"/>
    <w:rsid w:val="003E4BE9"/>
    <w:rsid w:val="003E4DEC"/>
    <w:rsid w:val="003E4F5A"/>
    <w:rsid w:val="003E55FD"/>
    <w:rsid w:val="003E570E"/>
    <w:rsid w:val="003E57F3"/>
    <w:rsid w:val="003E5E42"/>
    <w:rsid w:val="003E615C"/>
    <w:rsid w:val="003E621F"/>
    <w:rsid w:val="003E673B"/>
    <w:rsid w:val="003E6872"/>
    <w:rsid w:val="003E6BAA"/>
    <w:rsid w:val="003E6BBE"/>
    <w:rsid w:val="003E6E6B"/>
    <w:rsid w:val="003E71AA"/>
    <w:rsid w:val="003E76CF"/>
    <w:rsid w:val="003E7B3D"/>
    <w:rsid w:val="003F01BA"/>
    <w:rsid w:val="003F0D11"/>
    <w:rsid w:val="003F0FE0"/>
    <w:rsid w:val="003F1832"/>
    <w:rsid w:val="003F1A21"/>
    <w:rsid w:val="003F1F02"/>
    <w:rsid w:val="003F393B"/>
    <w:rsid w:val="003F46A1"/>
    <w:rsid w:val="003F4FA4"/>
    <w:rsid w:val="003F50B9"/>
    <w:rsid w:val="003F513F"/>
    <w:rsid w:val="003F5CD3"/>
    <w:rsid w:val="003F66A3"/>
    <w:rsid w:val="003F685C"/>
    <w:rsid w:val="003F74FC"/>
    <w:rsid w:val="003F7BBA"/>
    <w:rsid w:val="003F7BF9"/>
    <w:rsid w:val="004004AE"/>
    <w:rsid w:val="004005D6"/>
    <w:rsid w:val="004010C1"/>
    <w:rsid w:val="004010EE"/>
    <w:rsid w:val="0040157E"/>
    <w:rsid w:val="0040164F"/>
    <w:rsid w:val="00401B63"/>
    <w:rsid w:val="00401F3E"/>
    <w:rsid w:val="00402488"/>
    <w:rsid w:val="004024A1"/>
    <w:rsid w:val="004025D0"/>
    <w:rsid w:val="004026A6"/>
    <w:rsid w:val="00402D92"/>
    <w:rsid w:val="0040367C"/>
    <w:rsid w:val="00403C31"/>
    <w:rsid w:val="00403DC5"/>
    <w:rsid w:val="00403EF0"/>
    <w:rsid w:val="00405201"/>
    <w:rsid w:val="0040524A"/>
    <w:rsid w:val="00405AD5"/>
    <w:rsid w:val="00405F51"/>
    <w:rsid w:val="00405F6E"/>
    <w:rsid w:val="00406349"/>
    <w:rsid w:val="004063E1"/>
    <w:rsid w:val="004075AE"/>
    <w:rsid w:val="00407881"/>
    <w:rsid w:val="00410154"/>
    <w:rsid w:val="00410342"/>
    <w:rsid w:val="00410705"/>
    <w:rsid w:val="00410B55"/>
    <w:rsid w:val="00411898"/>
    <w:rsid w:val="00411F30"/>
    <w:rsid w:val="0041210E"/>
    <w:rsid w:val="004123B1"/>
    <w:rsid w:val="004127B8"/>
    <w:rsid w:val="00412B73"/>
    <w:rsid w:val="00412DA9"/>
    <w:rsid w:val="0041333C"/>
    <w:rsid w:val="00413A2F"/>
    <w:rsid w:val="00413E3C"/>
    <w:rsid w:val="004141B0"/>
    <w:rsid w:val="00415DD2"/>
    <w:rsid w:val="00415EF8"/>
    <w:rsid w:val="00416096"/>
    <w:rsid w:val="004169B0"/>
    <w:rsid w:val="00416AE5"/>
    <w:rsid w:val="00416C87"/>
    <w:rsid w:val="00416D89"/>
    <w:rsid w:val="00417507"/>
    <w:rsid w:val="00417BBB"/>
    <w:rsid w:val="00417D77"/>
    <w:rsid w:val="00420219"/>
    <w:rsid w:val="004212C5"/>
    <w:rsid w:val="0042166D"/>
    <w:rsid w:val="00422659"/>
    <w:rsid w:val="0042372F"/>
    <w:rsid w:val="00424C8E"/>
    <w:rsid w:val="00424E52"/>
    <w:rsid w:val="00425E6B"/>
    <w:rsid w:val="004260A3"/>
    <w:rsid w:val="004260F1"/>
    <w:rsid w:val="004268F3"/>
    <w:rsid w:val="00427480"/>
    <w:rsid w:val="0042A899"/>
    <w:rsid w:val="004303F5"/>
    <w:rsid w:val="00430CD0"/>
    <w:rsid w:val="00430EEC"/>
    <w:rsid w:val="00431186"/>
    <w:rsid w:val="00431B2E"/>
    <w:rsid w:val="004321AF"/>
    <w:rsid w:val="00432565"/>
    <w:rsid w:val="004325B8"/>
    <w:rsid w:val="00433BCC"/>
    <w:rsid w:val="00433BD2"/>
    <w:rsid w:val="00433EEE"/>
    <w:rsid w:val="004341B8"/>
    <w:rsid w:val="004342F1"/>
    <w:rsid w:val="00434364"/>
    <w:rsid w:val="00434A32"/>
    <w:rsid w:val="00434BE0"/>
    <w:rsid w:val="00437A2E"/>
    <w:rsid w:val="00437BCA"/>
    <w:rsid w:val="00437CA9"/>
    <w:rsid w:val="0044125A"/>
    <w:rsid w:val="0044142C"/>
    <w:rsid w:val="00441C0C"/>
    <w:rsid w:val="00441D49"/>
    <w:rsid w:val="00442E1A"/>
    <w:rsid w:val="0044301B"/>
    <w:rsid w:val="004444EE"/>
    <w:rsid w:val="00444BCB"/>
    <w:rsid w:val="00444F58"/>
    <w:rsid w:val="0044504B"/>
    <w:rsid w:val="004457B1"/>
    <w:rsid w:val="00447636"/>
    <w:rsid w:val="00447A71"/>
    <w:rsid w:val="00447C0D"/>
    <w:rsid w:val="0045026B"/>
    <w:rsid w:val="0045050C"/>
    <w:rsid w:val="00450566"/>
    <w:rsid w:val="004510CD"/>
    <w:rsid w:val="004510FD"/>
    <w:rsid w:val="00451CEB"/>
    <w:rsid w:val="00451FE7"/>
    <w:rsid w:val="0045341F"/>
    <w:rsid w:val="0045343D"/>
    <w:rsid w:val="00453CBF"/>
    <w:rsid w:val="004547D7"/>
    <w:rsid w:val="0045587D"/>
    <w:rsid w:val="00456F85"/>
    <w:rsid w:val="00457373"/>
    <w:rsid w:val="004579DE"/>
    <w:rsid w:val="00457E45"/>
    <w:rsid w:val="00460325"/>
    <w:rsid w:val="0046057E"/>
    <w:rsid w:val="00460895"/>
    <w:rsid w:val="00460927"/>
    <w:rsid w:val="004615BA"/>
    <w:rsid w:val="00461C69"/>
    <w:rsid w:val="00462070"/>
    <w:rsid w:val="0046260C"/>
    <w:rsid w:val="004635E4"/>
    <w:rsid w:val="00463A1D"/>
    <w:rsid w:val="00464184"/>
    <w:rsid w:val="004642C4"/>
    <w:rsid w:val="00464CB3"/>
    <w:rsid w:val="00465706"/>
    <w:rsid w:val="00465CE1"/>
    <w:rsid w:val="00466019"/>
    <w:rsid w:val="00466892"/>
    <w:rsid w:val="00466EFE"/>
    <w:rsid w:val="00466F1C"/>
    <w:rsid w:val="004675E8"/>
    <w:rsid w:val="004678B4"/>
    <w:rsid w:val="00467974"/>
    <w:rsid w:val="00470013"/>
    <w:rsid w:val="004701AA"/>
    <w:rsid w:val="0047124E"/>
    <w:rsid w:val="004715BD"/>
    <w:rsid w:val="00471A1E"/>
    <w:rsid w:val="00471B0A"/>
    <w:rsid w:val="00471E3B"/>
    <w:rsid w:val="00471E42"/>
    <w:rsid w:val="004732C2"/>
    <w:rsid w:val="00473E1F"/>
    <w:rsid w:val="00473FF8"/>
    <w:rsid w:val="004740CC"/>
    <w:rsid w:val="004745EB"/>
    <w:rsid w:val="0047463F"/>
    <w:rsid w:val="0047476F"/>
    <w:rsid w:val="00474AA4"/>
    <w:rsid w:val="004751D3"/>
    <w:rsid w:val="004753CF"/>
    <w:rsid w:val="00475470"/>
    <w:rsid w:val="00475568"/>
    <w:rsid w:val="00475608"/>
    <w:rsid w:val="00475E41"/>
    <w:rsid w:val="00476415"/>
    <w:rsid w:val="004768F4"/>
    <w:rsid w:val="00476BF2"/>
    <w:rsid w:val="00476D6B"/>
    <w:rsid w:val="0047736D"/>
    <w:rsid w:val="004777E1"/>
    <w:rsid w:val="00477E17"/>
    <w:rsid w:val="00477F33"/>
    <w:rsid w:val="00480062"/>
    <w:rsid w:val="004800CA"/>
    <w:rsid w:val="004801BA"/>
    <w:rsid w:val="0048069D"/>
    <w:rsid w:val="004808CC"/>
    <w:rsid w:val="004808ED"/>
    <w:rsid w:val="00480915"/>
    <w:rsid w:val="00481F85"/>
    <w:rsid w:val="00483551"/>
    <w:rsid w:val="00483608"/>
    <w:rsid w:val="00483C37"/>
    <w:rsid w:val="00484354"/>
    <w:rsid w:val="004851DC"/>
    <w:rsid w:val="00485582"/>
    <w:rsid w:val="00486772"/>
    <w:rsid w:val="00486979"/>
    <w:rsid w:val="004869EC"/>
    <w:rsid w:val="00486BFB"/>
    <w:rsid w:val="00490005"/>
    <w:rsid w:val="00490030"/>
    <w:rsid w:val="00490059"/>
    <w:rsid w:val="00490773"/>
    <w:rsid w:val="004909DA"/>
    <w:rsid w:val="004912AC"/>
    <w:rsid w:val="004925C3"/>
    <w:rsid w:val="00492661"/>
    <w:rsid w:val="0049271C"/>
    <w:rsid w:val="0049278C"/>
    <w:rsid w:val="00493345"/>
    <w:rsid w:val="00493DA5"/>
    <w:rsid w:val="004940A8"/>
    <w:rsid w:val="004940C0"/>
    <w:rsid w:val="0049414A"/>
    <w:rsid w:val="004943B6"/>
    <w:rsid w:val="00494625"/>
    <w:rsid w:val="00494AFA"/>
    <w:rsid w:val="00494E7A"/>
    <w:rsid w:val="00495626"/>
    <w:rsid w:val="0049609D"/>
    <w:rsid w:val="004964D9"/>
    <w:rsid w:val="00496C49"/>
    <w:rsid w:val="00496E43"/>
    <w:rsid w:val="00496F6D"/>
    <w:rsid w:val="00497203"/>
    <w:rsid w:val="00497344"/>
    <w:rsid w:val="004A0093"/>
    <w:rsid w:val="004A01D3"/>
    <w:rsid w:val="004A0314"/>
    <w:rsid w:val="004A0640"/>
    <w:rsid w:val="004A06E4"/>
    <w:rsid w:val="004A228C"/>
    <w:rsid w:val="004A2902"/>
    <w:rsid w:val="004A3388"/>
    <w:rsid w:val="004A39C2"/>
    <w:rsid w:val="004A46E4"/>
    <w:rsid w:val="004A484B"/>
    <w:rsid w:val="004A4907"/>
    <w:rsid w:val="004A50A6"/>
    <w:rsid w:val="004A53D1"/>
    <w:rsid w:val="004A55C6"/>
    <w:rsid w:val="004A709B"/>
    <w:rsid w:val="004A72DA"/>
    <w:rsid w:val="004A7770"/>
    <w:rsid w:val="004A7A82"/>
    <w:rsid w:val="004A7CF7"/>
    <w:rsid w:val="004A7D10"/>
    <w:rsid w:val="004B0B3B"/>
    <w:rsid w:val="004B14D5"/>
    <w:rsid w:val="004B170A"/>
    <w:rsid w:val="004B2104"/>
    <w:rsid w:val="004B275F"/>
    <w:rsid w:val="004B285C"/>
    <w:rsid w:val="004B2FD4"/>
    <w:rsid w:val="004B355B"/>
    <w:rsid w:val="004B3570"/>
    <w:rsid w:val="004B3713"/>
    <w:rsid w:val="004B38C0"/>
    <w:rsid w:val="004B42EE"/>
    <w:rsid w:val="004B45CF"/>
    <w:rsid w:val="004B4664"/>
    <w:rsid w:val="004B58D0"/>
    <w:rsid w:val="004B6B07"/>
    <w:rsid w:val="004B6D11"/>
    <w:rsid w:val="004B7F63"/>
    <w:rsid w:val="004C00F4"/>
    <w:rsid w:val="004C014D"/>
    <w:rsid w:val="004C070B"/>
    <w:rsid w:val="004C08B1"/>
    <w:rsid w:val="004C105E"/>
    <w:rsid w:val="004C11DC"/>
    <w:rsid w:val="004C18B9"/>
    <w:rsid w:val="004C1FC8"/>
    <w:rsid w:val="004C249F"/>
    <w:rsid w:val="004C2B83"/>
    <w:rsid w:val="004C2BFA"/>
    <w:rsid w:val="004C38E1"/>
    <w:rsid w:val="004C397D"/>
    <w:rsid w:val="004C3E8D"/>
    <w:rsid w:val="004C4C0C"/>
    <w:rsid w:val="004C4C58"/>
    <w:rsid w:val="004C5EE2"/>
    <w:rsid w:val="004C6174"/>
    <w:rsid w:val="004C6AF4"/>
    <w:rsid w:val="004C7095"/>
    <w:rsid w:val="004D02DC"/>
    <w:rsid w:val="004D03FA"/>
    <w:rsid w:val="004D0D10"/>
    <w:rsid w:val="004D241F"/>
    <w:rsid w:val="004D26F6"/>
    <w:rsid w:val="004D3314"/>
    <w:rsid w:val="004D46AA"/>
    <w:rsid w:val="004D4C39"/>
    <w:rsid w:val="004D5473"/>
    <w:rsid w:val="004D6547"/>
    <w:rsid w:val="004D66CC"/>
    <w:rsid w:val="004D778E"/>
    <w:rsid w:val="004D791E"/>
    <w:rsid w:val="004D7B81"/>
    <w:rsid w:val="004D7E63"/>
    <w:rsid w:val="004E060B"/>
    <w:rsid w:val="004E06E8"/>
    <w:rsid w:val="004E0BAD"/>
    <w:rsid w:val="004E0EB0"/>
    <w:rsid w:val="004E100E"/>
    <w:rsid w:val="004E16D0"/>
    <w:rsid w:val="004E1932"/>
    <w:rsid w:val="004E1D7B"/>
    <w:rsid w:val="004E1EB6"/>
    <w:rsid w:val="004E1F06"/>
    <w:rsid w:val="004E25D3"/>
    <w:rsid w:val="004E3008"/>
    <w:rsid w:val="004E3E98"/>
    <w:rsid w:val="004E427D"/>
    <w:rsid w:val="004E475B"/>
    <w:rsid w:val="004E47FE"/>
    <w:rsid w:val="004E4DE4"/>
    <w:rsid w:val="004E5334"/>
    <w:rsid w:val="004E5595"/>
    <w:rsid w:val="004E5845"/>
    <w:rsid w:val="004E5980"/>
    <w:rsid w:val="004E6017"/>
    <w:rsid w:val="004F0970"/>
    <w:rsid w:val="004F0A4E"/>
    <w:rsid w:val="004F1050"/>
    <w:rsid w:val="004F1096"/>
    <w:rsid w:val="004F126C"/>
    <w:rsid w:val="004F14B6"/>
    <w:rsid w:val="004F1600"/>
    <w:rsid w:val="004F17F0"/>
    <w:rsid w:val="004F31B9"/>
    <w:rsid w:val="004F38F7"/>
    <w:rsid w:val="004F4039"/>
    <w:rsid w:val="004F4293"/>
    <w:rsid w:val="004F4BA4"/>
    <w:rsid w:val="004F5E2A"/>
    <w:rsid w:val="004F5E6E"/>
    <w:rsid w:val="004F6622"/>
    <w:rsid w:val="004F760E"/>
    <w:rsid w:val="004F7AED"/>
    <w:rsid w:val="00500068"/>
    <w:rsid w:val="00500D7E"/>
    <w:rsid w:val="00500DB0"/>
    <w:rsid w:val="005015E8"/>
    <w:rsid w:val="0050163A"/>
    <w:rsid w:val="005018CF"/>
    <w:rsid w:val="00501EAC"/>
    <w:rsid w:val="00501EDA"/>
    <w:rsid w:val="005021C8"/>
    <w:rsid w:val="00502986"/>
    <w:rsid w:val="00502AB0"/>
    <w:rsid w:val="00502CEE"/>
    <w:rsid w:val="005033F6"/>
    <w:rsid w:val="005035D2"/>
    <w:rsid w:val="00503A04"/>
    <w:rsid w:val="00503D78"/>
    <w:rsid w:val="00504196"/>
    <w:rsid w:val="00504528"/>
    <w:rsid w:val="00504E7C"/>
    <w:rsid w:val="0050615B"/>
    <w:rsid w:val="00506C16"/>
    <w:rsid w:val="00507098"/>
    <w:rsid w:val="00507130"/>
    <w:rsid w:val="00507702"/>
    <w:rsid w:val="00507BD9"/>
    <w:rsid w:val="00507FF2"/>
    <w:rsid w:val="0051030D"/>
    <w:rsid w:val="00510373"/>
    <w:rsid w:val="005105F5"/>
    <w:rsid w:val="0051105A"/>
    <w:rsid w:val="00511437"/>
    <w:rsid w:val="00511D38"/>
    <w:rsid w:val="00511ED9"/>
    <w:rsid w:val="005122B2"/>
    <w:rsid w:val="0051242C"/>
    <w:rsid w:val="005124ED"/>
    <w:rsid w:val="0051295E"/>
    <w:rsid w:val="005129AF"/>
    <w:rsid w:val="00513158"/>
    <w:rsid w:val="005133AD"/>
    <w:rsid w:val="00513D67"/>
    <w:rsid w:val="00514F38"/>
    <w:rsid w:val="00514FE1"/>
    <w:rsid w:val="00515329"/>
    <w:rsid w:val="0051581B"/>
    <w:rsid w:val="005169B6"/>
    <w:rsid w:val="005200E6"/>
    <w:rsid w:val="005219E0"/>
    <w:rsid w:val="005221FE"/>
    <w:rsid w:val="005231D3"/>
    <w:rsid w:val="0052339E"/>
    <w:rsid w:val="0052390A"/>
    <w:rsid w:val="00523EF1"/>
    <w:rsid w:val="0052492F"/>
    <w:rsid w:val="0052528A"/>
    <w:rsid w:val="005256E3"/>
    <w:rsid w:val="00525BA2"/>
    <w:rsid w:val="00525CAB"/>
    <w:rsid w:val="0052603A"/>
    <w:rsid w:val="00526530"/>
    <w:rsid w:val="00526C64"/>
    <w:rsid w:val="00526E65"/>
    <w:rsid w:val="0052736D"/>
    <w:rsid w:val="005275B4"/>
    <w:rsid w:val="00527739"/>
    <w:rsid w:val="00527DED"/>
    <w:rsid w:val="00527E0A"/>
    <w:rsid w:val="0053021D"/>
    <w:rsid w:val="00530929"/>
    <w:rsid w:val="00530BE2"/>
    <w:rsid w:val="00531316"/>
    <w:rsid w:val="00531554"/>
    <w:rsid w:val="00531940"/>
    <w:rsid w:val="00531C45"/>
    <w:rsid w:val="00531F8C"/>
    <w:rsid w:val="00531FDB"/>
    <w:rsid w:val="00532013"/>
    <w:rsid w:val="005328DD"/>
    <w:rsid w:val="00533580"/>
    <w:rsid w:val="00533899"/>
    <w:rsid w:val="005348CC"/>
    <w:rsid w:val="00534D5D"/>
    <w:rsid w:val="00534E4C"/>
    <w:rsid w:val="00535220"/>
    <w:rsid w:val="0053522B"/>
    <w:rsid w:val="005352ED"/>
    <w:rsid w:val="00535DF4"/>
    <w:rsid w:val="00536228"/>
    <w:rsid w:val="005367F7"/>
    <w:rsid w:val="00537345"/>
    <w:rsid w:val="00537799"/>
    <w:rsid w:val="005403DF"/>
    <w:rsid w:val="005406FF"/>
    <w:rsid w:val="0054077C"/>
    <w:rsid w:val="00540923"/>
    <w:rsid w:val="005409A3"/>
    <w:rsid w:val="005409C8"/>
    <w:rsid w:val="00541D33"/>
    <w:rsid w:val="0054280F"/>
    <w:rsid w:val="00542FC1"/>
    <w:rsid w:val="00543A40"/>
    <w:rsid w:val="005441ED"/>
    <w:rsid w:val="0054457C"/>
    <w:rsid w:val="00544A73"/>
    <w:rsid w:val="00545544"/>
    <w:rsid w:val="00545648"/>
    <w:rsid w:val="00545C19"/>
    <w:rsid w:val="005460D2"/>
    <w:rsid w:val="005461E5"/>
    <w:rsid w:val="00546EA5"/>
    <w:rsid w:val="005502EC"/>
    <w:rsid w:val="00550B6E"/>
    <w:rsid w:val="00551372"/>
    <w:rsid w:val="005514B6"/>
    <w:rsid w:val="00551870"/>
    <w:rsid w:val="00551900"/>
    <w:rsid w:val="005521B6"/>
    <w:rsid w:val="005544E3"/>
    <w:rsid w:val="0055461D"/>
    <w:rsid w:val="00555140"/>
    <w:rsid w:val="00555444"/>
    <w:rsid w:val="00555A41"/>
    <w:rsid w:val="00555C2D"/>
    <w:rsid w:val="00556375"/>
    <w:rsid w:val="005566BB"/>
    <w:rsid w:val="00557156"/>
    <w:rsid w:val="00557585"/>
    <w:rsid w:val="00557B12"/>
    <w:rsid w:val="00560191"/>
    <w:rsid w:val="00560640"/>
    <w:rsid w:val="00560817"/>
    <w:rsid w:val="00560823"/>
    <w:rsid w:val="00561297"/>
    <w:rsid w:val="00561642"/>
    <w:rsid w:val="00561DB5"/>
    <w:rsid w:val="0056243C"/>
    <w:rsid w:val="00562A42"/>
    <w:rsid w:val="005646A4"/>
    <w:rsid w:val="005648B7"/>
    <w:rsid w:val="00564F58"/>
    <w:rsid w:val="0056528E"/>
    <w:rsid w:val="00565680"/>
    <w:rsid w:val="00565771"/>
    <w:rsid w:val="0056592A"/>
    <w:rsid w:val="00565D00"/>
    <w:rsid w:val="00566C5A"/>
    <w:rsid w:val="00566CA8"/>
    <w:rsid w:val="00566E60"/>
    <w:rsid w:val="005671E5"/>
    <w:rsid w:val="00567639"/>
    <w:rsid w:val="00567A60"/>
    <w:rsid w:val="00567F06"/>
    <w:rsid w:val="005702AA"/>
    <w:rsid w:val="005709DC"/>
    <w:rsid w:val="00570B6B"/>
    <w:rsid w:val="00571EBE"/>
    <w:rsid w:val="005724C6"/>
    <w:rsid w:val="00572740"/>
    <w:rsid w:val="00572B86"/>
    <w:rsid w:val="00573939"/>
    <w:rsid w:val="00573C15"/>
    <w:rsid w:val="00573CC4"/>
    <w:rsid w:val="00574144"/>
    <w:rsid w:val="00574496"/>
    <w:rsid w:val="005748E6"/>
    <w:rsid w:val="00574D01"/>
    <w:rsid w:val="00574F1B"/>
    <w:rsid w:val="00575045"/>
    <w:rsid w:val="00575304"/>
    <w:rsid w:val="00575557"/>
    <w:rsid w:val="00575FAD"/>
    <w:rsid w:val="00576118"/>
    <w:rsid w:val="005764C8"/>
    <w:rsid w:val="0057713E"/>
    <w:rsid w:val="00577472"/>
    <w:rsid w:val="005806A8"/>
    <w:rsid w:val="005809F4"/>
    <w:rsid w:val="00580B8E"/>
    <w:rsid w:val="00580D36"/>
    <w:rsid w:val="00581218"/>
    <w:rsid w:val="0058158B"/>
    <w:rsid w:val="005822C6"/>
    <w:rsid w:val="0058262A"/>
    <w:rsid w:val="00582792"/>
    <w:rsid w:val="0058288E"/>
    <w:rsid w:val="00582B69"/>
    <w:rsid w:val="00582BB7"/>
    <w:rsid w:val="0058343F"/>
    <w:rsid w:val="005835F3"/>
    <w:rsid w:val="00583E34"/>
    <w:rsid w:val="005840F5"/>
    <w:rsid w:val="00584B67"/>
    <w:rsid w:val="00585492"/>
    <w:rsid w:val="00585FED"/>
    <w:rsid w:val="00586024"/>
    <w:rsid w:val="00586303"/>
    <w:rsid w:val="00586328"/>
    <w:rsid w:val="00586D0C"/>
    <w:rsid w:val="005907EA"/>
    <w:rsid w:val="00590CB0"/>
    <w:rsid w:val="00590CEA"/>
    <w:rsid w:val="00591160"/>
    <w:rsid w:val="00591A44"/>
    <w:rsid w:val="00591E97"/>
    <w:rsid w:val="005922B3"/>
    <w:rsid w:val="00593187"/>
    <w:rsid w:val="00593347"/>
    <w:rsid w:val="00593486"/>
    <w:rsid w:val="00593847"/>
    <w:rsid w:val="00593933"/>
    <w:rsid w:val="00593B7C"/>
    <w:rsid w:val="00594051"/>
    <w:rsid w:val="00594B76"/>
    <w:rsid w:val="0059541D"/>
    <w:rsid w:val="005959E3"/>
    <w:rsid w:val="00595BB5"/>
    <w:rsid w:val="00596047"/>
    <w:rsid w:val="005961EF"/>
    <w:rsid w:val="0059696A"/>
    <w:rsid w:val="00596D5F"/>
    <w:rsid w:val="00596E8D"/>
    <w:rsid w:val="00596FA7"/>
    <w:rsid w:val="00597946"/>
    <w:rsid w:val="00597E59"/>
    <w:rsid w:val="005A0219"/>
    <w:rsid w:val="005A0902"/>
    <w:rsid w:val="005A0C61"/>
    <w:rsid w:val="005A129F"/>
    <w:rsid w:val="005A1352"/>
    <w:rsid w:val="005A1365"/>
    <w:rsid w:val="005A16B4"/>
    <w:rsid w:val="005A17AA"/>
    <w:rsid w:val="005A1D9E"/>
    <w:rsid w:val="005A2014"/>
    <w:rsid w:val="005A23EF"/>
    <w:rsid w:val="005A2DEF"/>
    <w:rsid w:val="005A4925"/>
    <w:rsid w:val="005A51A3"/>
    <w:rsid w:val="005A63B9"/>
    <w:rsid w:val="005A65FB"/>
    <w:rsid w:val="005A6EF5"/>
    <w:rsid w:val="005A705E"/>
    <w:rsid w:val="005A7078"/>
    <w:rsid w:val="005A71E2"/>
    <w:rsid w:val="005A73F0"/>
    <w:rsid w:val="005A748C"/>
    <w:rsid w:val="005B00C0"/>
    <w:rsid w:val="005B046D"/>
    <w:rsid w:val="005B0F27"/>
    <w:rsid w:val="005B1383"/>
    <w:rsid w:val="005B1399"/>
    <w:rsid w:val="005B154C"/>
    <w:rsid w:val="005B209B"/>
    <w:rsid w:val="005B2359"/>
    <w:rsid w:val="005B2888"/>
    <w:rsid w:val="005B332E"/>
    <w:rsid w:val="005B3464"/>
    <w:rsid w:val="005B347C"/>
    <w:rsid w:val="005B3E6C"/>
    <w:rsid w:val="005B4035"/>
    <w:rsid w:val="005B42E4"/>
    <w:rsid w:val="005B454C"/>
    <w:rsid w:val="005B4A5D"/>
    <w:rsid w:val="005B631C"/>
    <w:rsid w:val="005B6342"/>
    <w:rsid w:val="005B7232"/>
    <w:rsid w:val="005B778A"/>
    <w:rsid w:val="005B77F3"/>
    <w:rsid w:val="005B7844"/>
    <w:rsid w:val="005B789B"/>
    <w:rsid w:val="005B7ABB"/>
    <w:rsid w:val="005B7EDE"/>
    <w:rsid w:val="005C0E1E"/>
    <w:rsid w:val="005C0FDD"/>
    <w:rsid w:val="005C17A1"/>
    <w:rsid w:val="005C2089"/>
    <w:rsid w:val="005C2D36"/>
    <w:rsid w:val="005C324B"/>
    <w:rsid w:val="005C3E3B"/>
    <w:rsid w:val="005C3F46"/>
    <w:rsid w:val="005C47E6"/>
    <w:rsid w:val="005C4892"/>
    <w:rsid w:val="005C4927"/>
    <w:rsid w:val="005C4DBE"/>
    <w:rsid w:val="005C4DE2"/>
    <w:rsid w:val="005C5495"/>
    <w:rsid w:val="005C5ECE"/>
    <w:rsid w:val="005C6146"/>
    <w:rsid w:val="005C6407"/>
    <w:rsid w:val="005C66D5"/>
    <w:rsid w:val="005C727B"/>
    <w:rsid w:val="005C746F"/>
    <w:rsid w:val="005C786F"/>
    <w:rsid w:val="005C7DE1"/>
    <w:rsid w:val="005D0314"/>
    <w:rsid w:val="005D0A17"/>
    <w:rsid w:val="005D0FBE"/>
    <w:rsid w:val="005D1697"/>
    <w:rsid w:val="005D1F04"/>
    <w:rsid w:val="005D2A67"/>
    <w:rsid w:val="005D320A"/>
    <w:rsid w:val="005D3596"/>
    <w:rsid w:val="005D4453"/>
    <w:rsid w:val="005D48CA"/>
    <w:rsid w:val="005D491C"/>
    <w:rsid w:val="005D505C"/>
    <w:rsid w:val="005D5168"/>
    <w:rsid w:val="005D5544"/>
    <w:rsid w:val="005D5742"/>
    <w:rsid w:val="005D5C96"/>
    <w:rsid w:val="005D6785"/>
    <w:rsid w:val="005D6FFA"/>
    <w:rsid w:val="005D7619"/>
    <w:rsid w:val="005D7889"/>
    <w:rsid w:val="005D7ADB"/>
    <w:rsid w:val="005D7C95"/>
    <w:rsid w:val="005E0235"/>
    <w:rsid w:val="005E0A06"/>
    <w:rsid w:val="005E123D"/>
    <w:rsid w:val="005E16EE"/>
    <w:rsid w:val="005E19E8"/>
    <w:rsid w:val="005E1AEC"/>
    <w:rsid w:val="005E1B80"/>
    <w:rsid w:val="005E1FE3"/>
    <w:rsid w:val="005E254F"/>
    <w:rsid w:val="005E2ACB"/>
    <w:rsid w:val="005E2F9C"/>
    <w:rsid w:val="005E31E3"/>
    <w:rsid w:val="005E34CF"/>
    <w:rsid w:val="005E35C2"/>
    <w:rsid w:val="005E5477"/>
    <w:rsid w:val="005E56F7"/>
    <w:rsid w:val="005E59E5"/>
    <w:rsid w:val="005E5A3E"/>
    <w:rsid w:val="005E5A80"/>
    <w:rsid w:val="005E5BFE"/>
    <w:rsid w:val="005E5C51"/>
    <w:rsid w:val="005E5F96"/>
    <w:rsid w:val="005E6960"/>
    <w:rsid w:val="005E77AC"/>
    <w:rsid w:val="005E7CB3"/>
    <w:rsid w:val="005F02E3"/>
    <w:rsid w:val="005F038D"/>
    <w:rsid w:val="005F050A"/>
    <w:rsid w:val="005F0F3E"/>
    <w:rsid w:val="005F2287"/>
    <w:rsid w:val="005F2B54"/>
    <w:rsid w:val="005F2C4A"/>
    <w:rsid w:val="005F3048"/>
    <w:rsid w:val="005F357B"/>
    <w:rsid w:val="005F4014"/>
    <w:rsid w:val="005F4294"/>
    <w:rsid w:val="005F4303"/>
    <w:rsid w:val="005F4875"/>
    <w:rsid w:val="005F4D38"/>
    <w:rsid w:val="005F4F9B"/>
    <w:rsid w:val="005F53E1"/>
    <w:rsid w:val="005F542A"/>
    <w:rsid w:val="005F5AF2"/>
    <w:rsid w:val="005F5CA1"/>
    <w:rsid w:val="005F73AA"/>
    <w:rsid w:val="005F7616"/>
    <w:rsid w:val="005F7637"/>
    <w:rsid w:val="005F7950"/>
    <w:rsid w:val="005F7AA5"/>
    <w:rsid w:val="005F7BA8"/>
    <w:rsid w:val="006008EE"/>
    <w:rsid w:val="00601089"/>
    <w:rsid w:val="0060111F"/>
    <w:rsid w:val="00601D7F"/>
    <w:rsid w:val="0060299C"/>
    <w:rsid w:val="00602DA2"/>
    <w:rsid w:val="00603754"/>
    <w:rsid w:val="00603962"/>
    <w:rsid w:val="00604C53"/>
    <w:rsid w:val="00605720"/>
    <w:rsid w:val="006057B7"/>
    <w:rsid w:val="0060585F"/>
    <w:rsid w:val="00605DFF"/>
    <w:rsid w:val="00605E18"/>
    <w:rsid w:val="00605EF6"/>
    <w:rsid w:val="0060646E"/>
    <w:rsid w:val="00607EDB"/>
    <w:rsid w:val="00610489"/>
    <w:rsid w:val="00610756"/>
    <w:rsid w:val="00610C09"/>
    <w:rsid w:val="0061171E"/>
    <w:rsid w:val="006117FC"/>
    <w:rsid w:val="00611979"/>
    <w:rsid w:val="00611D9D"/>
    <w:rsid w:val="00612CF9"/>
    <w:rsid w:val="00612F67"/>
    <w:rsid w:val="00613DE5"/>
    <w:rsid w:val="006142C2"/>
    <w:rsid w:val="00614514"/>
    <w:rsid w:val="006145F8"/>
    <w:rsid w:val="00614BAC"/>
    <w:rsid w:val="006156CB"/>
    <w:rsid w:val="006165C9"/>
    <w:rsid w:val="00616A1C"/>
    <w:rsid w:val="00616AE1"/>
    <w:rsid w:val="00620B3A"/>
    <w:rsid w:val="00621AAF"/>
    <w:rsid w:val="00621DEE"/>
    <w:rsid w:val="00621EC2"/>
    <w:rsid w:val="006228EC"/>
    <w:rsid w:val="00622D24"/>
    <w:rsid w:val="00622E69"/>
    <w:rsid w:val="006235A3"/>
    <w:rsid w:val="006241E7"/>
    <w:rsid w:val="0062443C"/>
    <w:rsid w:val="00624863"/>
    <w:rsid w:val="00624D55"/>
    <w:rsid w:val="00624EC2"/>
    <w:rsid w:val="00624FE0"/>
    <w:rsid w:val="00625A3E"/>
    <w:rsid w:val="0062605F"/>
    <w:rsid w:val="00626229"/>
    <w:rsid w:val="00627505"/>
    <w:rsid w:val="00627D80"/>
    <w:rsid w:val="0063029C"/>
    <w:rsid w:val="00630446"/>
    <w:rsid w:val="00630CCF"/>
    <w:rsid w:val="00630D01"/>
    <w:rsid w:val="00631290"/>
    <w:rsid w:val="0063172D"/>
    <w:rsid w:val="00632E38"/>
    <w:rsid w:val="0063362D"/>
    <w:rsid w:val="006336C1"/>
    <w:rsid w:val="0063388B"/>
    <w:rsid w:val="006346DC"/>
    <w:rsid w:val="006346EB"/>
    <w:rsid w:val="00635C88"/>
    <w:rsid w:val="00636276"/>
    <w:rsid w:val="006362FA"/>
    <w:rsid w:val="00636CC8"/>
    <w:rsid w:val="00637664"/>
    <w:rsid w:val="00640194"/>
    <w:rsid w:val="0064051B"/>
    <w:rsid w:val="0064091F"/>
    <w:rsid w:val="00640E2D"/>
    <w:rsid w:val="00640E64"/>
    <w:rsid w:val="00640FD7"/>
    <w:rsid w:val="00641047"/>
    <w:rsid w:val="006414C2"/>
    <w:rsid w:val="00641D81"/>
    <w:rsid w:val="00642832"/>
    <w:rsid w:val="00643222"/>
    <w:rsid w:val="00643BE7"/>
    <w:rsid w:val="006444C1"/>
    <w:rsid w:val="00644AA2"/>
    <w:rsid w:val="00644D03"/>
    <w:rsid w:val="00645106"/>
    <w:rsid w:val="0064513D"/>
    <w:rsid w:val="00645712"/>
    <w:rsid w:val="00645BBD"/>
    <w:rsid w:val="00645C87"/>
    <w:rsid w:val="00645D8A"/>
    <w:rsid w:val="00646127"/>
    <w:rsid w:val="006467D0"/>
    <w:rsid w:val="00646F9F"/>
    <w:rsid w:val="0065151D"/>
    <w:rsid w:val="00651BB4"/>
    <w:rsid w:val="00652644"/>
    <w:rsid w:val="00652BDF"/>
    <w:rsid w:val="006530B3"/>
    <w:rsid w:val="006539CA"/>
    <w:rsid w:val="0065410D"/>
    <w:rsid w:val="00654210"/>
    <w:rsid w:val="0065468C"/>
    <w:rsid w:val="006546D3"/>
    <w:rsid w:val="00654B43"/>
    <w:rsid w:val="0065549A"/>
    <w:rsid w:val="00655736"/>
    <w:rsid w:val="00655846"/>
    <w:rsid w:val="00655C9D"/>
    <w:rsid w:val="0065608A"/>
    <w:rsid w:val="00656186"/>
    <w:rsid w:val="006562C9"/>
    <w:rsid w:val="00656341"/>
    <w:rsid w:val="0065648C"/>
    <w:rsid w:val="006564B6"/>
    <w:rsid w:val="00656C5F"/>
    <w:rsid w:val="006578D1"/>
    <w:rsid w:val="00657A1D"/>
    <w:rsid w:val="006601C6"/>
    <w:rsid w:val="006601EC"/>
    <w:rsid w:val="00660C9A"/>
    <w:rsid w:val="00661397"/>
    <w:rsid w:val="006619E3"/>
    <w:rsid w:val="00661D68"/>
    <w:rsid w:val="006620ED"/>
    <w:rsid w:val="00662196"/>
    <w:rsid w:val="006623EE"/>
    <w:rsid w:val="00662729"/>
    <w:rsid w:val="00662828"/>
    <w:rsid w:val="0066310C"/>
    <w:rsid w:val="00663161"/>
    <w:rsid w:val="00663465"/>
    <w:rsid w:val="00663874"/>
    <w:rsid w:val="00663C90"/>
    <w:rsid w:val="00664DB1"/>
    <w:rsid w:val="00665DA4"/>
    <w:rsid w:val="00665E05"/>
    <w:rsid w:val="00666065"/>
    <w:rsid w:val="0066622F"/>
    <w:rsid w:val="00666258"/>
    <w:rsid w:val="006662B3"/>
    <w:rsid w:val="006662F1"/>
    <w:rsid w:val="006667A4"/>
    <w:rsid w:val="006668FE"/>
    <w:rsid w:val="00666E77"/>
    <w:rsid w:val="00666F1A"/>
    <w:rsid w:val="00667218"/>
    <w:rsid w:val="0067009D"/>
    <w:rsid w:val="00670145"/>
    <w:rsid w:val="00671082"/>
    <w:rsid w:val="00672A6F"/>
    <w:rsid w:val="00672B04"/>
    <w:rsid w:val="006732C6"/>
    <w:rsid w:val="00673319"/>
    <w:rsid w:val="006736BD"/>
    <w:rsid w:val="00673C43"/>
    <w:rsid w:val="00673E3C"/>
    <w:rsid w:val="0067521D"/>
    <w:rsid w:val="00675603"/>
    <w:rsid w:val="006757AC"/>
    <w:rsid w:val="006757E7"/>
    <w:rsid w:val="00677B2E"/>
    <w:rsid w:val="00677C85"/>
    <w:rsid w:val="00680A18"/>
    <w:rsid w:val="006810EA"/>
    <w:rsid w:val="00681A39"/>
    <w:rsid w:val="00681CBB"/>
    <w:rsid w:val="00681CFE"/>
    <w:rsid w:val="006820EA"/>
    <w:rsid w:val="00682431"/>
    <w:rsid w:val="00682EAC"/>
    <w:rsid w:val="00684284"/>
    <w:rsid w:val="00684B7D"/>
    <w:rsid w:val="00684E14"/>
    <w:rsid w:val="00685242"/>
    <w:rsid w:val="006854A1"/>
    <w:rsid w:val="006859F4"/>
    <w:rsid w:val="00685BE1"/>
    <w:rsid w:val="006868FF"/>
    <w:rsid w:val="00687D57"/>
    <w:rsid w:val="006905AD"/>
    <w:rsid w:val="006908E3"/>
    <w:rsid w:val="006912DD"/>
    <w:rsid w:val="00691C34"/>
    <w:rsid w:val="00692180"/>
    <w:rsid w:val="00692368"/>
    <w:rsid w:val="006926F3"/>
    <w:rsid w:val="0069297E"/>
    <w:rsid w:val="00692B5C"/>
    <w:rsid w:val="006933F2"/>
    <w:rsid w:val="00693432"/>
    <w:rsid w:val="00693A1B"/>
    <w:rsid w:val="006942BC"/>
    <w:rsid w:val="00694980"/>
    <w:rsid w:val="00694AC3"/>
    <w:rsid w:val="0069531E"/>
    <w:rsid w:val="00695D7C"/>
    <w:rsid w:val="006960F4"/>
    <w:rsid w:val="00697092"/>
    <w:rsid w:val="00697472"/>
    <w:rsid w:val="006974EA"/>
    <w:rsid w:val="00697691"/>
    <w:rsid w:val="006977EA"/>
    <w:rsid w:val="00697AC2"/>
    <w:rsid w:val="00697B3B"/>
    <w:rsid w:val="00697E45"/>
    <w:rsid w:val="006A0CDB"/>
    <w:rsid w:val="006A0DD0"/>
    <w:rsid w:val="006A13C6"/>
    <w:rsid w:val="006A1481"/>
    <w:rsid w:val="006A14E9"/>
    <w:rsid w:val="006A1703"/>
    <w:rsid w:val="006A17EA"/>
    <w:rsid w:val="006A19BF"/>
    <w:rsid w:val="006A215B"/>
    <w:rsid w:val="006A2AC4"/>
    <w:rsid w:val="006A2D7B"/>
    <w:rsid w:val="006A3120"/>
    <w:rsid w:val="006A320B"/>
    <w:rsid w:val="006A3460"/>
    <w:rsid w:val="006A366C"/>
    <w:rsid w:val="006A3863"/>
    <w:rsid w:val="006A3A51"/>
    <w:rsid w:val="006A3E5C"/>
    <w:rsid w:val="006A4894"/>
    <w:rsid w:val="006A4BDC"/>
    <w:rsid w:val="006A4E2F"/>
    <w:rsid w:val="006A511C"/>
    <w:rsid w:val="006A536F"/>
    <w:rsid w:val="006A5D36"/>
    <w:rsid w:val="006A6334"/>
    <w:rsid w:val="006A6851"/>
    <w:rsid w:val="006A72F0"/>
    <w:rsid w:val="006A775F"/>
    <w:rsid w:val="006A7C20"/>
    <w:rsid w:val="006B0098"/>
    <w:rsid w:val="006B02A7"/>
    <w:rsid w:val="006B03D4"/>
    <w:rsid w:val="006B062E"/>
    <w:rsid w:val="006B0784"/>
    <w:rsid w:val="006B0AC6"/>
    <w:rsid w:val="006B0BF6"/>
    <w:rsid w:val="006B109F"/>
    <w:rsid w:val="006B26D3"/>
    <w:rsid w:val="006B30A7"/>
    <w:rsid w:val="006B355F"/>
    <w:rsid w:val="006B3C6B"/>
    <w:rsid w:val="006B3EDE"/>
    <w:rsid w:val="006B4260"/>
    <w:rsid w:val="006B4459"/>
    <w:rsid w:val="006B4AB2"/>
    <w:rsid w:val="006B4DAA"/>
    <w:rsid w:val="006B507A"/>
    <w:rsid w:val="006B5E21"/>
    <w:rsid w:val="006B5E9C"/>
    <w:rsid w:val="006B6504"/>
    <w:rsid w:val="006B668E"/>
    <w:rsid w:val="006B686F"/>
    <w:rsid w:val="006C0A10"/>
    <w:rsid w:val="006C0A41"/>
    <w:rsid w:val="006C0A61"/>
    <w:rsid w:val="006C0E9A"/>
    <w:rsid w:val="006C0EE5"/>
    <w:rsid w:val="006C11DD"/>
    <w:rsid w:val="006C13FB"/>
    <w:rsid w:val="006C1778"/>
    <w:rsid w:val="006C19A9"/>
    <w:rsid w:val="006C26E1"/>
    <w:rsid w:val="006C2762"/>
    <w:rsid w:val="006C2DBD"/>
    <w:rsid w:val="006C37C2"/>
    <w:rsid w:val="006C458E"/>
    <w:rsid w:val="006C4A5A"/>
    <w:rsid w:val="006C4B09"/>
    <w:rsid w:val="006C52FF"/>
    <w:rsid w:val="006C5A89"/>
    <w:rsid w:val="006C5E09"/>
    <w:rsid w:val="006C6FC8"/>
    <w:rsid w:val="006C739A"/>
    <w:rsid w:val="006C778D"/>
    <w:rsid w:val="006C7C52"/>
    <w:rsid w:val="006D008A"/>
    <w:rsid w:val="006D00B1"/>
    <w:rsid w:val="006D0F6B"/>
    <w:rsid w:val="006D1139"/>
    <w:rsid w:val="006D11DB"/>
    <w:rsid w:val="006D1DA4"/>
    <w:rsid w:val="006D2034"/>
    <w:rsid w:val="006D21BC"/>
    <w:rsid w:val="006D2491"/>
    <w:rsid w:val="006D2ADA"/>
    <w:rsid w:val="006D30EA"/>
    <w:rsid w:val="006D3260"/>
    <w:rsid w:val="006D505F"/>
    <w:rsid w:val="006D5188"/>
    <w:rsid w:val="006D5714"/>
    <w:rsid w:val="006D6020"/>
    <w:rsid w:val="006D60B8"/>
    <w:rsid w:val="006D648E"/>
    <w:rsid w:val="006D6AAD"/>
    <w:rsid w:val="006D7450"/>
    <w:rsid w:val="006D780B"/>
    <w:rsid w:val="006D7D61"/>
    <w:rsid w:val="006E01AA"/>
    <w:rsid w:val="006E0590"/>
    <w:rsid w:val="006E07DB"/>
    <w:rsid w:val="006E07E1"/>
    <w:rsid w:val="006E0C6F"/>
    <w:rsid w:val="006E1069"/>
    <w:rsid w:val="006E1144"/>
    <w:rsid w:val="006E12D1"/>
    <w:rsid w:val="006E18D9"/>
    <w:rsid w:val="006E2572"/>
    <w:rsid w:val="006E26D2"/>
    <w:rsid w:val="006E2808"/>
    <w:rsid w:val="006E2A11"/>
    <w:rsid w:val="006E3023"/>
    <w:rsid w:val="006E36D2"/>
    <w:rsid w:val="006E3B80"/>
    <w:rsid w:val="006E3C4D"/>
    <w:rsid w:val="006E4D7A"/>
    <w:rsid w:val="006E5031"/>
    <w:rsid w:val="006E504C"/>
    <w:rsid w:val="006E6411"/>
    <w:rsid w:val="006E6777"/>
    <w:rsid w:val="006E699C"/>
    <w:rsid w:val="006E6A06"/>
    <w:rsid w:val="006E6C92"/>
    <w:rsid w:val="006E6F57"/>
    <w:rsid w:val="006E772D"/>
    <w:rsid w:val="006E7E11"/>
    <w:rsid w:val="006F0306"/>
    <w:rsid w:val="006F0A74"/>
    <w:rsid w:val="006F1401"/>
    <w:rsid w:val="006F1454"/>
    <w:rsid w:val="006F1E0C"/>
    <w:rsid w:val="006F20EC"/>
    <w:rsid w:val="006F2411"/>
    <w:rsid w:val="006F2B00"/>
    <w:rsid w:val="006F2CF5"/>
    <w:rsid w:val="006F2EDC"/>
    <w:rsid w:val="006F3BBC"/>
    <w:rsid w:val="006F466D"/>
    <w:rsid w:val="006F4B9B"/>
    <w:rsid w:val="006F51C3"/>
    <w:rsid w:val="006F5416"/>
    <w:rsid w:val="006F565E"/>
    <w:rsid w:val="006F580C"/>
    <w:rsid w:val="006F6228"/>
    <w:rsid w:val="006F6328"/>
    <w:rsid w:val="006F6372"/>
    <w:rsid w:val="006F6509"/>
    <w:rsid w:val="006F650B"/>
    <w:rsid w:val="006F6B0F"/>
    <w:rsid w:val="006F6C27"/>
    <w:rsid w:val="006F73CC"/>
    <w:rsid w:val="006F7BC9"/>
    <w:rsid w:val="006F7C2B"/>
    <w:rsid w:val="00700143"/>
    <w:rsid w:val="0070022F"/>
    <w:rsid w:val="00700591"/>
    <w:rsid w:val="007009FE"/>
    <w:rsid w:val="007022A4"/>
    <w:rsid w:val="0070244B"/>
    <w:rsid w:val="0070301F"/>
    <w:rsid w:val="00704964"/>
    <w:rsid w:val="00705C66"/>
    <w:rsid w:val="00706138"/>
    <w:rsid w:val="00706851"/>
    <w:rsid w:val="00706CEB"/>
    <w:rsid w:val="00710007"/>
    <w:rsid w:val="00710419"/>
    <w:rsid w:val="00710975"/>
    <w:rsid w:val="00710D2C"/>
    <w:rsid w:val="00711DCC"/>
    <w:rsid w:val="00711E3A"/>
    <w:rsid w:val="00712525"/>
    <w:rsid w:val="0071382D"/>
    <w:rsid w:val="00714EF1"/>
    <w:rsid w:val="007155FC"/>
    <w:rsid w:val="00715640"/>
    <w:rsid w:val="00715820"/>
    <w:rsid w:val="007159F7"/>
    <w:rsid w:val="00716007"/>
    <w:rsid w:val="00716F12"/>
    <w:rsid w:val="0071771C"/>
    <w:rsid w:val="007179E3"/>
    <w:rsid w:val="00717DF2"/>
    <w:rsid w:val="00717E77"/>
    <w:rsid w:val="00720462"/>
    <w:rsid w:val="00720898"/>
    <w:rsid w:val="007209C9"/>
    <w:rsid w:val="00720DA0"/>
    <w:rsid w:val="00720EC1"/>
    <w:rsid w:val="00721368"/>
    <w:rsid w:val="0072148E"/>
    <w:rsid w:val="00721586"/>
    <w:rsid w:val="00721932"/>
    <w:rsid w:val="007219F8"/>
    <w:rsid w:val="00721E38"/>
    <w:rsid w:val="00721E7C"/>
    <w:rsid w:val="00722BFE"/>
    <w:rsid w:val="00722C06"/>
    <w:rsid w:val="00723338"/>
    <w:rsid w:val="007236DF"/>
    <w:rsid w:val="007237EA"/>
    <w:rsid w:val="00723B4F"/>
    <w:rsid w:val="00723BF4"/>
    <w:rsid w:val="00723C60"/>
    <w:rsid w:val="00723D91"/>
    <w:rsid w:val="007240E8"/>
    <w:rsid w:val="00724119"/>
    <w:rsid w:val="00724998"/>
    <w:rsid w:val="00724AB9"/>
    <w:rsid w:val="00724ECF"/>
    <w:rsid w:val="007257FC"/>
    <w:rsid w:val="007258E8"/>
    <w:rsid w:val="00725BA6"/>
    <w:rsid w:val="00725F4E"/>
    <w:rsid w:val="0072600F"/>
    <w:rsid w:val="0072662F"/>
    <w:rsid w:val="0072686E"/>
    <w:rsid w:val="00726EB3"/>
    <w:rsid w:val="007302C1"/>
    <w:rsid w:val="00731CC8"/>
    <w:rsid w:val="00731DC8"/>
    <w:rsid w:val="00731E1F"/>
    <w:rsid w:val="007327C8"/>
    <w:rsid w:val="007349FA"/>
    <w:rsid w:val="00734BD9"/>
    <w:rsid w:val="00735AE3"/>
    <w:rsid w:val="00736160"/>
    <w:rsid w:val="007368E2"/>
    <w:rsid w:val="00736AE6"/>
    <w:rsid w:val="00737CBF"/>
    <w:rsid w:val="007401A0"/>
    <w:rsid w:val="0074041C"/>
    <w:rsid w:val="0074064E"/>
    <w:rsid w:val="007406EC"/>
    <w:rsid w:val="007409AC"/>
    <w:rsid w:val="00740AEA"/>
    <w:rsid w:val="00740BF1"/>
    <w:rsid w:val="00741637"/>
    <w:rsid w:val="0074292C"/>
    <w:rsid w:val="00742EA2"/>
    <w:rsid w:val="00743610"/>
    <w:rsid w:val="00743888"/>
    <w:rsid w:val="00743B4B"/>
    <w:rsid w:val="00743CCD"/>
    <w:rsid w:val="0074436A"/>
    <w:rsid w:val="00744869"/>
    <w:rsid w:val="00745045"/>
    <w:rsid w:val="00745303"/>
    <w:rsid w:val="00745490"/>
    <w:rsid w:val="00745E48"/>
    <w:rsid w:val="00746296"/>
    <w:rsid w:val="007462BD"/>
    <w:rsid w:val="007462D5"/>
    <w:rsid w:val="007463EC"/>
    <w:rsid w:val="0074668E"/>
    <w:rsid w:val="00746BEA"/>
    <w:rsid w:val="00746CDD"/>
    <w:rsid w:val="00747221"/>
    <w:rsid w:val="007475B0"/>
    <w:rsid w:val="0074789E"/>
    <w:rsid w:val="00747ABB"/>
    <w:rsid w:val="00750082"/>
    <w:rsid w:val="00750486"/>
    <w:rsid w:val="0075049C"/>
    <w:rsid w:val="00750562"/>
    <w:rsid w:val="007509DC"/>
    <w:rsid w:val="00751023"/>
    <w:rsid w:val="00751112"/>
    <w:rsid w:val="007514CB"/>
    <w:rsid w:val="0075158D"/>
    <w:rsid w:val="00751BAD"/>
    <w:rsid w:val="00752458"/>
    <w:rsid w:val="00752480"/>
    <w:rsid w:val="00752E72"/>
    <w:rsid w:val="007530B3"/>
    <w:rsid w:val="00753177"/>
    <w:rsid w:val="00753467"/>
    <w:rsid w:val="007536C4"/>
    <w:rsid w:val="00753757"/>
    <w:rsid w:val="00753FAA"/>
    <w:rsid w:val="0075459B"/>
    <w:rsid w:val="007545B5"/>
    <w:rsid w:val="007549CE"/>
    <w:rsid w:val="00754C97"/>
    <w:rsid w:val="00754DA9"/>
    <w:rsid w:val="00754E80"/>
    <w:rsid w:val="007554F4"/>
    <w:rsid w:val="007555A7"/>
    <w:rsid w:val="0075587D"/>
    <w:rsid w:val="007558A1"/>
    <w:rsid w:val="007575A5"/>
    <w:rsid w:val="00757EB6"/>
    <w:rsid w:val="00757FB8"/>
    <w:rsid w:val="00760048"/>
    <w:rsid w:val="00760193"/>
    <w:rsid w:val="00760C1D"/>
    <w:rsid w:val="00761324"/>
    <w:rsid w:val="00761A3B"/>
    <w:rsid w:val="00762E37"/>
    <w:rsid w:val="00762F33"/>
    <w:rsid w:val="0076338B"/>
    <w:rsid w:val="00763962"/>
    <w:rsid w:val="00764208"/>
    <w:rsid w:val="00764707"/>
    <w:rsid w:val="00764BDE"/>
    <w:rsid w:val="00765160"/>
    <w:rsid w:val="00765321"/>
    <w:rsid w:val="00765945"/>
    <w:rsid w:val="00766165"/>
    <w:rsid w:val="007661D4"/>
    <w:rsid w:val="00766813"/>
    <w:rsid w:val="00767020"/>
    <w:rsid w:val="0076715C"/>
    <w:rsid w:val="007707D8"/>
    <w:rsid w:val="00770FA9"/>
    <w:rsid w:val="007712C8"/>
    <w:rsid w:val="007716A8"/>
    <w:rsid w:val="00771D88"/>
    <w:rsid w:val="00772345"/>
    <w:rsid w:val="00772625"/>
    <w:rsid w:val="007730B5"/>
    <w:rsid w:val="00773D08"/>
    <w:rsid w:val="00773EAA"/>
    <w:rsid w:val="00774011"/>
    <w:rsid w:val="00774EA7"/>
    <w:rsid w:val="0077508C"/>
    <w:rsid w:val="00775A17"/>
    <w:rsid w:val="00775E38"/>
    <w:rsid w:val="007760CC"/>
    <w:rsid w:val="0077643D"/>
    <w:rsid w:val="007767FD"/>
    <w:rsid w:val="0077716C"/>
    <w:rsid w:val="0077759E"/>
    <w:rsid w:val="007777A7"/>
    <w:rsid w:val="00780464"/>
    <w:rsid w:val="007806A3"/>
    <w:rsid w:val="00780C66"/>
    <w:rsid w:val="0078160B"/>
    <w:rsid w:val="0078178F"/>
    <w:rsid w:val="007818E3"/>
    <w:rsid w:val="007821C4"/>
    <w:rsid w:val="007821E7"/>
    <w:rsid w:val="00782524"/>
    <w:rsid w:val="007828DE"/>
    <w:rsid w:val="00782CB3"/>
    <w:rsid w:val="00782EB0"/>
    <w:rsid w:val="0078345C"/>
    <w:rsid w:val="00783555"/>
    <w:rsid w:val="00783736"/>
    <w:rsid w:val="00783BAC"/>
    <w:rsid w:val="00783C11"/>
    <w:rsid w:val="007843FA"/>
    <w:rsid w:val="0078490A"/>
    <w:rsid w:val="00784929"/>
    <w:rsid w:val="00784A10"/>
    <w:rsid w:val="00784A45"/>
    <w:rsid w:val="00784CB8"/>
    <w:rsid w:val="00784F8E"/>
    <w:rsid w:val="00785078"/>
    <w:rsid w:val="00785246"/>
    <w:rsid w:val="00785CB0"/>
    <w:rsid w:val="00785CF5"/>
    <w:rsid w:val="00785EDE"/>
    <w:rsid w:val="00786E1B"/>
    <w:rsid w:val="00787422"/>
    <w:rsid w:val="007877FA"/>
    <w:rsid w:val="00787941"/>
    <w:rsid w:val="007903AA"/>
    <w:rsid w:val="007907C2"/>
    <w:rsid w:val="007908E3"/>
    <w:rsid w:val="00791388"/>
    <w:rsid w:val="00793B35"/>
    <w:rsid w:val="00793B4B"/>
    <w:rsid w:val="00793FD5"/>
    <w:rsid w:val="007942A2"/>
    <w:rsid w:val="007942F1"/>
    <w:rsid w:val="0079433F"/>
    <w:rsid w:val="00795FCB"/>
    <w:rsid w:val="00795FFE"/>
    <w:rsid w:val="00796610"/>
    <w:rsid w:val="007966DC"/>
    <w:rsid w:val="00796742"/>
    <w:rsid w:val="007979E8"/>
    <w:rsid w:val="00797F7A"/>
    <w:rsid w:val="007A020C"/>
    <w:rsid w:val="007A037D"/>
    <w:rsid w:val="007A04C0"/>
    <w:rsid w:val="007A0680"/>
    <w:rsid w:val="007A06AE"/>
    <w:rsid w:val="007A0924"/>
    <w:rsid w:val="007A0ADB"/>
    <w:rsid w:val="007A12B6"/>
    <w:rsid w:val="007A2074"/>
    <w:rsid w:val="007A22EF"/>
    <w:rsid w:val="007A3723"/>
    <w:rsid w:val="007A39F5"/>
    <w:rsid w:val="007A3E78"/>
    <w:rsid w:val="007A3F1B"/>
    <w:rsid w:val="007A438A"/>
    <w:rsid w:val="007A4550"/>
    <w:rsid w:val="007A45E2"/>
    <w:rsid w:val="007A55D0"/>
    <w:rsid w:val="007A650E"/>
    <w:rsid w:val="007A693F"/>
    <w:rsid w:val="007A7876"/>
    <w:rsid w:val="007A7F3C"/>
    <w:rsid w:val="007B02CA"/>
    <w:rsid w:val="007B0360"/>
    <w:rsid w:val="007B075A"/>
    <w:rsid w:val="007B222D"/>
    <w:rsid w:val="007B22D7"/>
    <w:rsid w:val="007B2AF7"/>
    <w:rsid w:val="007B2DF9"/>
    <w:rsid w:val="007B36ED"/>
    <w:rsid w:val="007B3C7C"/>
    <w:rsid w:val="007B437A"/>
    <w:rsid w:val="007B43FF"/>
    <w:rsid w:val="007B466A"/>
    <w:rsid w:val="007B470C"/>
    <w:rsid w:val="007B47BC"/>
    <w:rsid w:val="007B54D9"/>
    <w:rsid w:val="007B5777"/>
    <w:rsid w:val="007B5FC3"/>
    <w:rsid w:val="007B7C44"/>
    <w:rsid w:val="007C0027"/>
    <w:rsid w:val="007C0739"/>
    <w:rsid w:val="007C0775"/>
    <w:rsid w:val="007C0B2A"/>
    <w:rsid w:val="007C1A58"/>
    <w:rsid w:val="007C1B50"/>
    <w:rsid w:val="007C1EBC"/>
    <w:rsid w:val="007C211E"/>
    <w:rsid w:val="007C261B"/>
    <w:rsid w:val="007C30D7"/>
    <w:rsid w:val="007C37E4"/>
    <w:rsid w:val="007C3A9F"/>
    <w:rsid w:val="007C3AE4"/>
    <w:rsid w:val="007C3B50"/>
    <w:rsid w:val="007C3D04"/>
    <w:rsid w:val="007C3DA7"/>
    <w:rsid w:val="007C458A"/>
    <w:rsid w:val="007C459E"/>
    <w:rsid w:val="007C50C9"/>
    <w:rsid w:val="007C5B16"/>
    <w:rsid w:val="007C5B89"/>
    <w:rsid w:val="007C60CE"/>
    <w:rsid w:val="007C622B"/>
    <w:rsid w:val="007C641F"/>
    <w:rsid w:val="007C6AA6"/>
    <w:rsid w:val="007C6BD5"/>
    <w:rsid w:val="007C6CBC"/>
    <w:rsid w:val="007C6DF7"/>
    <w:rsid w:val="007C78B8"/>
    <w:rsid w:val="007C7D43"/>
    <w:rsid w:val="007C7FF9"/>
    <w:rsid w:val="007D05DA"/>
    <w:rsid w:val="007D1528"/>
    <w:rsid w:val="007D1971"/>
    <w:rsid w:val="007D2820"/>
    <w:rsid w:val="007D2F14"/>
    <w:rsid w:val="007D2FB7"/>
    <w:rsid w:val="007D2FF1"/>
    <w:rsid w:val="007D3515"/>
    <w:rsid w:val="007D35A4"/>
    <w:rsid w:val="007D388C"/>
    <w:rsid w:val="007D3C57"/>
    <w:rsid w:val="007D3D2A"/>
    <w:rsid w:val="007D400B"/>
    <w:rsid w:val="007D44F5"/>
    <w:rsid w:val="007D4A13"/>
    <w:rsid w:val="007D4B7E"/>
    <w:rsid w:val="007D4EAC"/>
    <w:rsid w:val="007D4F64"/>
    <w:rsid w:val="007D5BAE"/>
    <w:rsid w:val="007D5F25"/>
    <w:rsid w:val="007D65D3"/>
    <w:rsid w:val="007D6783"/>
    <w:rsid w:val="007D6A8A"/>
    <w:rsid w:val="007D6C5E"/>
    <w:rsid w:val="007D6DCC"/>
    <w:rsid w:val="007D7866"/>
    <w:rsid w:val="007D7A36"/>
    <w:rsid w:val="007D7BCA"/>
    <w:rsid w:val="007D7CF3"/>
    <w:rsid w:val="007E034D"/>
    <w:rsid w:val="007E084B"/>
    <w:rsid w:val="007E09C9"/>
    <w:rsid w:val="007E13A6"/>
    <w:rsid w:val="007E18E2"/>
    <w:rsid w:val="007E1981"/>
    <w:rsid w:val="007E242A"/>
    <w:rsid w:val="007E2575"/>
    <w:rsid w:val="007E3111"/>
    <w:rsid w:val="007E36A6"/>
    <w:rsid w:val="007E4619"/>
    <w:rsid w:val="007E4728"/>
    <w:rsid w:val="007E4A4F"/>
    <w:rsid w:val="007E4C33"/>
    <w:rsid w:val="007E5875"/>
    <w:rsid w:val="007E5C04"/>
    <w:rsid w:val="007E6294"/>
    <w:rsid w:val="007E64F0"/>
    <w:rsid w:val="007E653B"/>
    <w:rsid w:val="007E66AC"/>
    <w:rsid w:val="007E6741"/>
    <w:rsid w:val="007E678D"/>
    <w:rsid w:val="007E7580"/>
    <w:rsid w:val="007E77C1"/>
    <w:rsid w:val="007F034F"/>
    <w:rsid w:val="007F18C7"/>
    <w:rsid w:val="007F1C7B"/>
    <w:rsid w:val="007F27C9"/>
    <w:rsid w:val="007F39CB"/>
    <w:rsid w:val="007F3DC9"/>
    <w:rsid w:val="007F4189"/>
    <w:rsid w:val="007F438B"/>
    <w:rsid w:val="007F4727"/>
    <w:rsid w:val="007F4CB9"/>
    <w:rsid w:val="007F4FCA"/>
    <w:rsid w:val="007F5581"/>
    <w:rsid w:val="007F5B74"/>
    <w:rsid w:val="007F5C3F"/>
    <w:rsid w:val="007F6286"/>
    <w:rsid w:val="007F651C"/>
    <w:rsid w:val="007F69E6"/>
    <w:rsid w:val="007F796A"/>
    <w:rsid w:val="007F7A90"/>
    <w:rsid w:val="00800129"/>
    <w:rsid w:val="00800377"/>
    <w:rsid w:val="0080048E"/>
    <w:rsid w:val="008009E9"/>
    <w:rsid w:val="00800ED4"/>
    <w:rsid w:val="00800F6C"/>
    <w:rsid w:val="0080133A"/>
    <w:rsid w:val="008015CA"/>
    <w:rsid w:val="00801974"/>
    <w:rsid w:val="00801B90"/>
    <w:rsid w:val="00801CD0"/>
    <w:rsid w:val="0080218A"/>
    <w:rsid w:val="008023F9"/>
    <w:rsid w:val="00802435"/>
    <w:rsid w:val="00802C36"/>
    <w:rsid w:val="00803604"/>
    <w:rsid w:val="00803640"/>
    <w:rsid w:val="0080395A"/>
    <w:rsid w:val="00803995"/>
    <w:rsid w:val="00803E0A"/>
    <w:rsid w:val="00803FC7"/>
    <w:rsid w:val="008040F4"/>
    <w:rsid w:val="008044A0"/>
    <w:rsid w:val="008044D2"/>
    <w:rsid w:val="00804EA3"/>
    <w:rsid w:val="008050F0"/>
    <w:rsid w:val="008056B9"/>
    <w:rsid w:val="0080571F"/>
    <w:rsid w:val="0080583B"/>
    <w:rsid w:val="00806252"/>
    <w:rsid w:val="008063B6"/>
    <w:rsid w:val="0080652B"/>
    <w:rsid w:val="0080672D"/>
    <w:rsid w:val="00806AB1"/>
    <w:rsid w:val="0080718D"/>
    <w:rsid w:val="0080722E"/>
    <w:rsid w:val="008076C6"/>
    <w:rsid w:val="00807870"/>
    <w:rsid w:val="00810F73"/>
    <w:rsid w:val="00811463"/>
    <w:rsid w:val="00811735"/>
    <w:rsid w:val="00811E03"/>
    <w:rsid w:val="00812248"/>
    <w:rsid w:val="00812A1B"/>
    <w:rsid w:val="008134F0"/>
    <w:rsid w:val="008136E7"/>
    <w:rsid w:val="00813F7A"/>
    <w:rsid w:val="0081405C"/>
    <w:rsid w:val="0081414F"/>
    <w:rsid w:val="00814553"/>
    <w:rsid w:val="00814B3B"/>
    <w:rsid w:val="00815D0D"/>
    <w:rsid w:val="008165FD"/>
    <w:rsid w:val="00816BA0"/>
    <w:rsid w:val="0082004E"/>
    <w:rsid w:val="008201D0"/>
    <w:rsid w:val="00820226"/>
    <w:rsid w:val="00820A56"/>
    <w:rsid w:val="008213AD"/>
    <w:rsid w:val="00821B11"/>
    <w:rsid w:val="00821EE8"/>
    <w:rsid w:val="00821F94"/>
    <w:rsid w:val="008223C1"/>
    <w:rsid w:val="008224D2"/>
    <w:rsid w:val="008227ED"/>
    <w:rsid w:val="00822F2D"/>
    <w:rsid w:val="00822F56"/>
    <w:rsid w:val="00824156"/>
    <w:rsid w:val="008248F8"/>
    <w:rsid w:val="00824E8A"/>
    <w:rsid w:val="008258E0"/>
    <w:rsid w:val="00826BEA"/>
    <w:rsid w:val="008273C1"/>
    <w:rsid w:val="008274ED"/>
    <w:rsid w:val="00827618"/>
    <w:rsid w:val="00827A19"/>
    <w:rsid w:val="00827A5B"/>
    <w:rsid w:val="00827F2E"/>
    <w:rsid w:val="008304DA"/>
    <w:rsid w:val="0083057B"/>
    <w:rsid w:val="0083108D"/>
    <w:rsid w:val="008313A2"/>
    <w:rsid w:val="008314CB"/>
    <w:rsid w:val="00832146"/>
    <w:rsid w:val="00832799"/>
    <w:rsid w:val="00832858"/>
    <w:rsid w:val="00832B67"/>
    <w:rsid w:val="00832EE9"/>
    <w:rsid w:val="00833CC6"/>
    <w:rsid w:val="008341D9"/>
    <w:rsid w:val="0083464F"/>
    <w:rsid w:val="00834A9C"/>
    <w:rsid w:val="00834DD2"/>
    <w:rsid w:val="00834FD1"/>
    <w:rsid w:val="00835058"/>
    <w:rsid w:val="0083515F"/>
    <w:rsid w:val="00835356"/>
    <w:rsid w:val="0083586D"/>
    <w:rsid w:val="00835B7F"/>
    <w:rsid w:val="00836657"/>
    <w:rsid w:val="00836AC4"/>
    <w:rsid w:val="0083782B"/>
    <w:rsid w:val="00837C1F"/>
    <w:rsid w:val="008409DD"/>
    <w:rsid w:val="00840E80"/>
    <w:rsid w:val="00840F39"/>
    <w:rsid w:val="00841113"/>
    <w:rsid w:val="00841A8F"/>
    <w:rsid w:val="00841C8F"/>
    <w:rsid w:val="00841F7D"/>
    <w:rsid w:val="0084223F"/>
    <w:rsid w:val="008428D2"/>
    <w:rsid w:val="00843075"/>
    <w:rsid w:val="00843471"/>
    <w:rsid w:val="00844325"/>
    <w:rsid w:val="00844570"/>
    <w:rsid w:val="008446FA"/>
    <w:rsid w:val="00844B08"/>
    <w:rsid w:val="008456DC"/>
    <w:rsid w:val="00845AE3"/>
    <w:rsid w:val="0084630F"/>
    <w:rsid w:val="008464B5"/>
    <w:rsid w:val="00846C82"/>
    <w:rsid w:val="0084780E"/>
    <w:rsid w:val="00847905"/>
    <w:rsid w:val="00847A9F"/>
    <w:rsid w:val="00847C88"/>
    <w:rsid w:val="0085029A"/>
    <w:rsid w:val="00851BE9"/>
    <w:rsid w:val="008524FE"/>
    <w:rsid w:val="00853B53"/>
    <w:rsid w:val="00853F84"/>
    <w:rsid w:val="008540DB"/>
    <w:rsid w:val="008542D3"/>
    <w:rsid w:val="008542FA"/>
    <w:rsid w:val="008543D8"/>
    <w:rsid w:val="00854440"/>
    <w:rsid w:val="00854497"/>
    <w:rsid w:val="008548C0"/>
    <w:rsid w:val="00854AC9"/>
    <w:rsid w:val="00854ED0"/>
    <w:rsid w:val="00855053"/>
    <w:rsid w:val="0085505E"/>
    <w:rsid w:val="00855487"/>
    <w:rsid w:val="00855517"/>
    <w:rsid w:val="008558A0"/>
    <w:rsid w:val="00855B6C"/>
    <w:rsid w:val="00855E3D"/>
    <w:rsid w:val="008560AC"/>
    <w:rsid w:val="00856D6F"/>
    <w:rsid w:val="008571DE"/>
    <w:rsid w:val="008578C1"/>
    <w:rsid w:val="008603F8"/>
    <w:rsid w:val="008617C1"/>
    <w:rsid w:val="008619E7"/>
    <w:rsid w:val="00861B99"/>
    <w:rsid w:val="00861C61"/>
    <w:rsid w:val="008623DF"/>
    <w:rsid w:val="008623E5"/>
    <w:rsid w:val="00862717"/>
    <w:rsid w:val="00863257"/>
    <w:rsid w:val="0086351F"/>
    <w:rsid w:val="00863D28"/>
    <w:rsid w:val="00863DC5"/>
    <w:rsid w:val="00864148"/>
    <w:rsid w:val="00864233"/>
    <w:rsid w:val="008648A0"/>
    <w:rsid w:val="008649D0"/>
    <w:rsid w:val="00864A3F"/>
    <w:rsid w:val="00864C4B"/>
    <w:rsid w:val="00865301"/>
    <w:rsid w:val="00865809"/>
    <w:rsid w:val="00866AB2"/>
    <w:rsid w:val="00866ABA"/>
    <w:rsid w:val="00867054"/>
    <w:rsid w:val="0086779D"/>
    <w:rsid w:val="00870368"/>
    <w:rsid w:val="0087047C"/>
    <w:rsid w:val="00870676"/>
    <w:rsid w:val="008708E1"/>
    <w:rsid w:val="008716C5"/>
    <w:rsid w:val="008721B3"/>
    <w:rsid w:val="00872308"/>
    <w:rsid w:val="0087348B"/>
    <w:rsid w:val="008738AE"/>
    <w:rsid w:val="008739CF"/>
    <w:rsid w:val="00873B3F"/>
    <w:rsid w:val="00873C3A"/>
    <w:rsid w:val="00873F98"/>
    <w:rsid w:val="00874189"/>
    <w:rsid w:val="0087438C"/>
    <w:rsid w:val="00874F5E"/>
    <w:rsid w:val="008751C1"/>
    <w:rsid w:val="008755A8"/>
    <w:rsid w:val="00876117"/>
    <w:rsid w:val="00876865"/>
    <w:rsid w:val="00876E9B"/>
    <w:rsid w:val="008770B4"/>
    <w:rsid w:val="008771CA"/>
    <w:rsid w:val="00877A34"/>
    <w:rsid w:val="00877FB8"/>
    <w:rsid w:val="008802BE"/>
    <w:rsid w:val="00880958"/>
    <w:rsid w:val="00880A19"/>
    <w:rsid w:val="008812E0"/>
    <w:rsid w:val="008819C5"/>
    <w:rsid w:val="00881BC4"/>
    <w:rsid w:val="00881F34"/>
    <w:rsid w:val="008821CB"/>
    <w:rsid w:val="008827F2"/>
    <w:rsid w:val="00882B4E"/>
    <w:rsid w:val="00882C09"/>
    <w:rsid w:val="00882C5E"/>
    <w:rsid w:val="00882D0A"/>
    <w:rsid w:val="008834AA"/>
    <w:rsid w:val="00883A4B"/>
    <w:rsid w:val="00883C1B"/>
    <w:rsid w:val="00883D56"/>
    <w:rsid w:val="00883E87"/>
    <w:rsid w:val="008844EE"/>
    <w:rsid w:val="008844F2"/>
    <w:rsid w:val="00884DA3"/>
    <w:rsid w:val="00885034"/>
    <w:rsid w:val="00885F35"/>
    <w:rsid w:val="008861E6"/>
    <w:rsid w:val="00886321"/>
    <w:rsid w:val="008867F7"/>
    <w:rsid w:val="0088691A"/>
    <w:rsid w:val="00886B54"/>
    <w:rsid w:val="0088785D"/>
    <w:rsid w:val="008879B2"/>
    <w:rsid w:val="00887B29"/>
    <w:rsid w:val="00890628"/>
    <w:rsid w:val="008914E6"/>
    <w:rsid w:val="008924B8"/>
    <w:rsid w:val="00894463"/>
    <w:rsid w:val="00894D06"/>
    <w:rsid w:val="0089534F"/>
    <w:rsid w:val="00895584"/>
    <w:rsid w:val="00895729"/>
    <w:rsid w:val="00895E8C"/>
    <w:rsid w:val="008965D0"/>
    <w:rsid w:val="00897D55"/>
    <w:rsid w:val="00897DA6"/>
    <w:rsid w:val="008A024A"/>
    <w:rsid w:val="008A0BEC"/>
    <w:rsid w:val="008A0FD6"/>
    <w:rsid w:val="008A11A4"/>
    <w:rsid w:val="008A127D"/>
    <w:rsid w:val="008A1294"/>
    <w:rsid w:val="008A1774"/>
    <w:rsid w:val="008A17A1"/>
    <w:rsid w:val="008A200F"/>
    <w:rsid w:val="008A2120"/>
    <w:rsid w:val="008A2138"/>
    <w:rsid w:val="008A288D"/>
    <w:rsid w:val="008A2DE9"/>
    <w:rsid w:val="008A33F7"/>
    <w:rsid w:val="008A35B9"/>
    <w:rsid w:val="008A392C"/>
    <w:rsid w:val="008A5FFB"/>
    <w:rsid w:val="008A6017"/>
    <w:rsid w:val="008A694F"/>
    <w:rsid w:val="008A7686"/>
    <w:rsid w:val="008A7DB5"/>
    <w:rsid w:val="008B05A9"/>
    <w:rsid w:val="008B07A2"/>
    <w:rsid w:val="008B0C00"/>
    <w:rsid w:val="008B1303"/>
    <w:rsid w:val="008B1DA7"/>
    <w:rsid w:val="008B1EC1"/>
    <w:rsid w:val="008B23DF"/>
    <w:rsid w:val="008B23F8"/>
    <w:rsid w:val="008B26D3"/>
    <w:rsid w:val="008B4A84"/>
    <w:rsid w:val="008B5EA6"/>
    <w:rsid w:val="008B6C7F"/>
    <w:rsid w:val="008B7943"/>
    <w:rsid w:val="008B7CE6"/>
    <w:rsid w:val="008C002B"/>
    <w:rsid w:val="008C0287"/>
    <w:rsid w:val="008C0F0F"/>
    <w:rsid w:val="008C1042"/>
    <w:rsid w:val="008C17AA"/>
    <w:rsid w:val="008C17AF"/>
    <w:rsid w:val="008C2303"/>
    <w:rsid w:val="008C273B"/>
    <w:rsid w:val="008C2D12"/>
    <w:rsid w:val="008C3073"/>
    <w:rsid w:val="008C362C"/>
    <w:rsid w:val="008C3D91"/>
    <w:rsid w:val="008C483F"/>
    <w:rsid w:val="008C4842"/>
    <w:rsid w:val="008C4978"/>
    <w:rsid w:val="008C549F"/>
    <w:rsid w:val="008C54C1"/>
    <w:rsid w:val="008C66F0"/>
    <w:rsid w:val="008C6F2E"/>
    <w:rsid w:val="008C7372"/>
    <w:rsid w:val="008D0AB2"/>
    <w:rsid w:val="008D14CF"/>
    <w:rsid w:val="008D1913"/>
    <w:rsid w:val="008D246D"/>
    <w:rsid w:val="008D2977"/>
    <w:rsid w:val="008D30CC"/>
    <w:rsid w:val="008D31E2"/>
    <w:rsid w:val="008D32E4"/>
    <w:rsid w:val="008D3FA2"/>
    <w:rsid w:val="008D441A"/>
    <w:rsid w:val="008D48FE"/>
    <w:rsid w:val="008D4DA4"/>
    <w:rsid w:val="008D5585"/>
    <w:rsid w:val="008D634A"/>
    <w:rsid w:val="008D677F"/>
    <w:rsid w:val="008D6D5D"/>
    <w:rsid w:val="008D7CD5"/>
    <w:rsid w:val="008D7DCD"/>
    <w:rsid w:val="008D7EF8"/>
    <w:rsid w:val="008E01A2"/>
    <w:rsid w:val="008E131F"/>
    <w:rsid w:val="008E3140"/>
    <w:rsid w:val="008E3262"/>
    <w:rsid w:val="008E4195"/>
    <w:rsid w:val="008E42D9"/>
    <w:rsid w:val="008E5A18"/>
    <w:rsid w:val="008E5CFE"/>
    <w:rsid w:val="008E5FA5"/>
    <w:rsid w:val="008E606B"/>
    <w:rsid w:val="008E6620"/>
    <w:rsid w:val="008E669D"/>
    <w:rsid w:val="008E69BB"/>
    <w:rsid w:val="008E6B91"/>
    <w:rsid w:val="008E7DD1"/>
    <w:rsid w:val="008E7E50"/>
    <w:rsid w:val="008E7F7C"/>
    <w:rsid w:val="008F06C5"/>
    <w:rsid w:val="008F071C"/>
    <w:rsid w:val="008F0EEA"/>
    <w:rsid w:val="008F1035"/>
    <w:rsid w:val="008F146F"/>
    <w:rsid w:val="008F1B83"/>
    <w:rsid w:val="008F1F51"/>
    <w:rsid w:val="008F2113"/>
    <w:rsid w:val="008F22C1"/>
    <w:rsid w:val="008F2854"/>
    <w:rsid w:val="008F2E6A"/>
    <w:rsid w:val="008F3467"/>
    <w:rsid w:val="008F3555"/>
    <w:rsid w:val="008F392D"/>
    <w:rsid w:val="008F3C60"/>
    <w:rsid w:val="008F3D1F"/>
    <w:rsid w:val="008F46F5"/>
    <w:rsid w:val="008F521F"/>
    <w:rsid w:val="008F5EF0"/>
    <w:rsid w:val="008F65C8"/>
    <w:rsid w:val="008F6BDB"/>
    <w:rsid w:val="008F755D"/>
    <w:rsid w:val="008F7720"/>
    <w:rsid w:val="008F7948"/>
    <w:rsid w:val="008F7A9F"/>
    <w:rsid w:val="00900366"/>
    <w:rsid w:val="00900730"/>
    <w:rsid w:val="0090101B"/>
    <w:rsid w:val="0090109B"/>
    <w:rsid w:val="00901C19"/>
    <w:rsid w:val="00901F9D"/>
    <w:rsid w:val="00902CCC"/>
    <w:rsid w:val="009031C7"/>
    <w:rsid w:val="009033F6"/>
    <w:rsid w:val="0090424D"/>
    <w:rsid w:val="00904554"/>
    <w:rsid w:val="00905E38"/>
    <w:rsid w:val="00905EDC"/>
    <w:rsid w:val="00906623"/>
    <w:rsid w:val="00906B56"/>
    <w:rsid w:val="00907446"/>
    <w:rsid w:val="0090795E"/>
    <w:rsid w:val="00907F19"/>
    <w:rsid w:val="009100E5"/>
    <w:rsid w:val="00910810"/>
    <w:rsid w:val="00910A47"/>
    <w:rsid w:val="00910AF5"/>
    <w:rsid w:val="00910D7D"/>
    <w:rsid w:val="00910EA5"/>
    <w:rsid w:val="00911146"/>
    <w:rsid w:val="00911580"/>
    <w:rsid w:val="00911EE0"/>
    <w:rsid w:val="009120D8"/>
    <w:rsid w:val="00912126"/>
    <w:rsid w:val="00912541"/>
    <w:rsid w:val="00912799"/>
    <w:rsid w:val="00912BAB"/>
    <w:rsid w:val="00912E37"/>
    <w:rsid w:val="0091301F"/>
    <w:rsid w:val="00914334"/>
    <w:rsid w:val="0091464C"/>
    <w:rsid w:val="009147BC"/>
    <w:rsid w:val="00914CD8"/>
    <w:rsid w:val="00915896"/>
    <w:rsid w:val="00916277"/>
    <w:rsid w:val="009164AB"/>
    <w:rsid w:val="00916800"/>
    <w:rsid w:val="00916AB9"/>
    <w:rsid w:val="00917234"/>
    <w:rsid w:val="009172BC"/>
    <w:rsid w:val="00920310"/>
    <w:rsid w:val="009204CF"/>
    <w:rsid w:val="009208B1"/>
    <w:rsid w:val="00920FFA"/>
    <w:rsid w:val="00921773"/>
    <w:rsid w:val="009220F5"/>
    <w:rsid w:val="00922437"/>
    <w:rsid w:val="00922441"/>
    <w:rsid w:val="00922461"/>
    <w:rsid w:val="009227E8"/>
    <w:rsid w:val="00922F23"/>
    <w:rsid w:val="0092339E"/>
    <w:rsid w:val="0092351A"/>
    <w:rsid w:val="009237A3"/>
    <w:rsid w:val="00923C1C"/>
    <w:rsid w:val="00923F0F"/>
    <w:rsid w:val="009248C6"/>
    <w:rsid w:val="00924AC7"/>
    <w:rsid w:val="00924FF7"/>
    <w:rsid w:val="009254B8"/>
    <w:rsid w:val="00925660"/>
    <w:rsid w:val="00925EFB"/>
    <w:rsid w:val="009263C7"/>
    <w:rsid w:val="009264DE"/>
    <w:rsid w:val="009265A4"/>
    <w:rsid w:val="0092689E"/>
    <w:rsid w:val="0092709E"/>
    <w:rsid w:val="009272CD"/>
    <w:rsid w:val="00927516"/>
    <w:rsid w:val="009277C0"/>
    <w:rsid w:val="00927AF7"/>
    <w:rsid w:val="00927D29"/>
    <w:rsid w:val="0093019F"/>
    <w:rsid w:val="00930402"/>
    <w:rsid w:val="00930661"/>
    <w:rsid w:val="0093139C"/>
    <w:rsid w:val="00931A5B"/>
    <w:rsid w:val="0093232E"/>
    <w:rsid w:val="009325D0"/>
    <w:rsid w:val="009326C5"/>
    <w:rsid w:val="00932801"/>
    <w:rsid w:val="00932C15"/>
    <w:rsid w:val="00933798"/>
    <w:rsid w:val="00933AF7"/>
    <w:rsid w:val="00933B9C"/>
    <w:rsid w:val="009341DE"/>
    <w:rsid w:val="00934279"/>
    <w:rsid w:val="009342B1"/>
    <w:rsid w:val="00934689"/>
    <w:rsid w:val="00934EF0"/>
    <w:rsid w:val="009352EB"/>
    <w:rsid w:val="009357E8"/>
    <w:rsid w:val="00935F95"/>
    <w:rsid w:val="00935FDD"/>
    <w:rsid w:val="00936120"/>
    <w:rsid w:val="00936438"/>
    <w:rsid w:val="009364AA"/>
    <w:rsid w:val="00936617"/>
    <w:rsid w:val="00936B78"/>
    <w:rsid w:val="009406EB"/>
    <w:rsid w:val="009409F6"/>
    <w:rsid w:val="00941732"/>
    <w:rsid w:val="00942089"/>
    <w:rsid w:val="00942E07"/>
    <w:rsid w:val="009440E9"/>
    <w:rsid w:val="00944431"/>
    <w:rsid w:val="00945F99"/>
    <w:rsid w:val="00946542"/>
    <w:rsid w:val="00946BC7"/>
    <w:rsid w:val="00946E77"/>
    <w:rsid w:val="009471CB"/>
    <w:rsid w:val="00950987"/>
    <w:rsid w:val="00950D9F"/>
    <w:rsid w:val="00950F43"/>
    <w:rsid w:val="00950F97"/>
    <w:rsid w:val="00951115"/>
    <w:rsid w:val="009519FC"/>
    <w:rsid w:val="00952A76"/>
    <w:rsid w:val="009534B1"/>
    <w:rsid w:val="009538CB"/>
    <w:rsid w:val="00953FBF"/>
    <w:rsid w:val="0095433F"/>
    <w:rsid w:val="009543CA"/>
    <w:rsid w:val="009543EE"/>
    <w:rsid w:val="009545CC"/>
    <w:rsid w:val="0095498D"/>
    <w:rsid w:val="0095558B"/>
    <w:rsid w:val="0095559C"/>
    <w:rsid w:val="00955DCF"/>
    <w:rsid w:val="0095604B"/>
    <w:rsid w:val="00956F43"/>
    <w:rsid w:val="00957DF0"/>
    <w:rsid w:val="0096095C"/>
    <w:rsid w:val="00960A78"/>
    <w:rsid w:val="009610A6"/>
    <w:rsid w:val="00961448"/>
    <w:rsid w:val="00961B93"/>
    <w:rsid w:val="00961E29"/>
    <w:rsid w:val="00962033"/>
    <w:rsid w:val="00962A3C"/>
    <w:rsid w:val="00962FED"/>
    <w:rsid w:val="00963004"/>
    <w:rsid w:val="009649BC"/>
    <w:rsid w:val="00964A6B"/>
    <w:rsid w:val="00964ADB"/>
    <w:rsid w:val="009654A1"/>
    <w:rsid w:val="00965CA9"/>
    <w:rsid w:val="00965DF2"/>
    <w:rsid w:val="0096610A"/>
    <w:rsid w:val="009663EA"/>
    <w:rsid w:val="009665E0"/>
    <w:rsid w:val="00966740"/>
    <w:rsid w:val="00967456"/>
    <w:rsid w:val="00967471"/>
    <w:rsid w:val="00967DD1"/>
    <w:rsid w:val="00970708"/>
    <w:rsid w:val="00970F6E"/>
    <w:rsid w:val="009712CA"/>
    <w:rsid w:val="00971D17"/>
    <w:rsid w:val="00971DCE"/>
    <w:rsid w:val="009720E6"/>
    <w:rsid w:val="0097241B"/>
    <w:rsid w:val="0097244F"/>
    <w:rsid w:val="00972923"/>
    <w:rsid w:val="009735E7"/>
    <w:rsid w:val="00973CBC"/>
    <w:rsid w:val="00973F03"/>
    <w:rsid w:val="00974362"/>
    <w:rsid w:val="009747B7"/>
    <w:rsid w:val="00974F48"/>
    <w:rsid w:val="00975352"/>
    <w:rsid w:val="00975B7D"/>
    <w:rsid w:val="00976D83"/>
    <w:rsid w:val="0097703F"/>
    <w:rsid w:val="009770F8"/>
    <w:rsid w:val="009775EA"/>
    <w:rsid w:val="00977621"/>
    <w:rsid w:val="009777B3"/>
    <w:rsid w:val="0098034B"/>
    <w:rsid w:val="00981F5B"/>
    <w:rsid w:val="0098289B"/>
    <w:rsid w:val="00982A4A"/>
    <w:rsid w:val="009830FC"/>
    <w:rsid w:val="009833EE"/>
    <w:rsid w:val="00984064"/>
    <w:rsid w:val="0098407A"/>
    <w:rsid w:val="009840D3"/>
    <w:rsid w:val="009848BE"/>
    <w:rsid w:val="009850FB"/>
    <w:rsid w:val="00986A95"/>
    <w:rsid w:val="0098727C"/>
    <w:rsid w:val="00987467"/>
    <w:rsid w:val="00990428"/>
    <w:rsid w:val="009908D7"/>
    <w:rsid w:val="009910B2"/>
    <w:rsid w:val="00991171"/>
    <w:rsid w:val="00991674"/>
    <w:rsid w:val="009919CD"/>
    <w:rsid w:val="00991BD1"/>
    <w:rsid w:val="00991F24"/>
    <w:rsid w:val="00992746"/>
    <w:rsid w:val="00992A0F"/>
    <w:rsid w:val="00992E8B"/>
    <w:rsid w:val="00993695"/>
    <w:rsid w:val="00993805"/>
    <w:rsid w:val="00993A34"/>
    <w:rsid w:val="009947BE"/>
    <w:rsid w:val="00994DBC"/>
    <w:rsid w:val="00995737"/>
    <w:rsid w:val="00995CFA"/>
    <w:rsid w:val="00995D2D"/>
    <w:rsid w:val="009964AE"/>
    <w:rsid w:val="00996FDE"/>
    <w:rsid w:val="00997838"/>
    <w:rsid w:val="009A079D"/>
    <w:rsid w:val="009A0C5C"/>
    <w:rsid w:val="009A129E"/>
    <w:rsid w:val="009A137C"/>
    <w:rsid w:val="009A1601"/>
    <w:rsid w:val="009A1B71"/>
    <w:rsid w:val="009A28E5"/>
    <w:rsid w:val="009A2AEE"/>
    <w:rsid w:val="009A2D88"/>
    <w:rsid w:val="009A3840"/>
    <w:rsid w:val="009A4012"/>
    <w:rsid w:val="009A4020"/>
    <w:rsid w:val="009A43B3"/>
    <w:rsid w:val="009A518A"/>
    <w:rsid w:val="009A5208"/>
    <w:rsid w:val="009A5AE0"/>
    <w:rsid w:val="009A6ADD"/>
    <w:rsid w:val="009A6C4F"/>
    <w:rsid w:val="009A7137"/>
    <w:rsid w:val="009A7285"/>
    <w:rsid w:val="009A729E"/>
    <w:rsid w:val="009A7349"/>
    <w:rsid w:val="009A763C"/>
    <w:rsid w:val="009A7724"/>
    <w:rsid w:val="009A7B1B"/>
    <w:rsid w:val="009B00F7"/>
    <w:rsid w:val="009B0320"/>
    <w:rsid w:val="009B04D5"/>
    <w:rsid w:val="009B0AFA"/>
    <w:rsid w:val="009B1003"/>
    <w:rsid w:val="009B139F"/>
    <w:rsid w:val="009B1E0F"/>
    <w:rsid w:val="009B2286"/>
    <w:rsid w:val="009B2C3D"/>
    <w:rsid w:val="009B2CA4"/>
    <w:rsid w:val="009B3846"/>
    <w:rsid w:val="009B3EAB"/>
    <w:rsid w:val="009B40ED"/>
    <w:rsid w:val="009B4526"/>
    <w:rsid w:val="009B494A"/>
    <w:rsid w:val="009B4AE0"/>
    <w:rsid w:val="009B549F"/>
    <w:rsid w:val="009B5616"/>
    <w:rsid w:val="009B5896"/>
    <w:rsid w:val="009B5E42"/>
    <w:rsid w:val="009B6732"/>
    <w:rsid w:val="009B6988"/>
    <w:rsid w:val="009B69E0"/>
    <w:rsid w:val="009B6A2D"/>
    <w:rsid w:val="009B6A89"/>
    <w:rsid w:val="009B6BC5"/>
    <w:rsid w:val="009B73F3"/>
    <w:rsid w:val="009C02DB"/>
    <w:rsid w:val="009C077C"/>
    <w:rsid w:val="009C120C"/>
    <w:rsid w:val="009C1DE7"/>
    <w:rsid w:val="009C212F"/>
    <w:rsid w:val="009C2258"/>
    <w:rsid w:val="009C2544"/>
    <w:rsid w:val="009C2953"/>
    <w:rsid w:val="009C2CF0"/>
    <w:rsid w:val="009C381B"/>
    <w:rsid w:val="009C4455"/>
    <w:rsid w:val="009C44FE"/>
    <w:rsid w:val="009C53A1"/>
    <w:rsid w:val="009C57D8"/>
    <w:rsid w:val="009C5E8B"/>
    <w:rsid w:val="009C615B"/>
    <w:rsid w:val="009C65E8"/>
    <w:rsid w:val="009C6E65"/>
    <w:rsid w:val="009C7063"/>
    <w:rsid w:val="009C76B8"/>
    <w:rsid w:val="009C782F"/>
    <w:rsid w:val="009C786F"/>
    <w:rsid w:val="009C7B0E"/>
    <w:rsid w:val="009D0845"/>
    <w:rsid w:val="009D0C98"/>
    <w:rsid w:val="009D0DBC"/>
    <w:rsid w:val="009D1894"/>
    <w:rsid w:val="009D197E"/>
    <w:rsid w:val="009D2157"/>
    <w:rsid w:val="009D2259"/>
    <w:rsid w:val="009D27BE"/>
    <w:rsid w:val="009D2828"/>
    <w:rsid w:val="009D2A27"/>
    <w:rsid w:val="009D3289"/>
    <w:rsid w:val="009D3C18"/>
    <w:rsid w:val="009D3E18"/>
    <w:rsid w:val="009D4020"/>
    <w:rsid w:val="009D431F"/>
    <w:rsid w:val="009D50B4"/>
    <w:rsid w:val="009D52B3"/>
    <w:rsid w:val="009D558B"/>
    <w:rsid w:val="009D55A6"/>
    <w:rsid w:val="009D66F3"/>
    <w:rsid w:val="009D6863"/>
    <w:rsid w:val="009D71FA"/>
    <w:rsid w:val="009D78BC"/>
    <w:rsid w:val="009D7ACC"/>
    <w:rsid w:val="009D7D4E"/>
    <w:rsid w:val="009D7DA5"/>
    <w:rsid w:val="009E037A"/>
    <w:rsid w:val="009E0EB0"/>
    <w:rsid w:val="009E16BF"/>
    <w:rsid w:val="009E1E8E"/>
    <w:rsid w:val="009E22EF"/>
    <w:rsid w:val="009E2771"/>
    <w:rsid w:val="009E2D89"/>
    <w:rsid w:val="009E3856"/>
    <w:rsid w:val="009E39E5"/>
    <w:rsid w:val="009E3CFD"/>
    <w:rsid w:val="009E3D08"/>
    <w:rsid w:val="009E4828"/>
    <w:rsid w:val="009E5516"/>
    <w:rsid w:val="009E552E"/>
    <w:rsid w:val="009E58CE"/>
    <w:rsid w:val="009E61AF"/>
    <w:rsid w:val="009E64DF"/>
    <w:rsid w:val="009E6CE3"/>
    <w:rsid w:val="009F005C"/>
    <w:rsid w:val="009F007B"/>
    <w:rsid w:val="009F00B3"/>
    <w:rsid w:val="009F0955"/>
    <w:rsid w:val="009F2A5B"/>
    <w:rsid w:val="009F3011"/>
    <w:rsid w:val="009F33DB"/>
    <w:rsid w:val="009F3D11"/>
    <w:rsid w:val="009F4E5C"/>
    <w:rsid w:val="009F4E9B"/>
    <w:rsid w:val="009F5022"/>
    <w:rsid w:val="009F5058"/>
    <w:rsid w:val="009F5BBE"/>
    <w:rsid w:val="009F5C86"/>
    <w:rsid w:val="009F694B"/>
    <w:rsid w:val="009F69FA"/>
    <w:rsid w:val="009F7021"/>
    <w:rsid w:val="009F70A4"/>
    <w:rsid w:val="009F70AF"/>
    <w:rsid w:val="009F7AA6"/>
    <w:rsid w:val="00A000B0"/>
    <w:rsid w:val="00A0078D"/>
    <w:rsid w:val="00A00F58"/>
    <w:rsid w:val="00A01323"/>
    <w:rsid w:val="00A01935"/>
    <w:rsid w:val="00A01A12"/>
    <w:rsid w:val="00A02273"/>
    <w:rsid w:val="00A02454"/>
    <w:rsid w:val="00A0287B"/>
    <w:rsid w:val="00A035AB"/>
    <w:rsid w:val="00A03B9A"/>
    <w:rsid w:val="00A04DB9"/>
    <w:rsid w:val="00A05009"/>
    <w:rsid w:val="00A051E3"/>
    <w:rsid w:val="00A054ED"/>
    <w:rsid w:val="00A057E1"/>
    <w:rsid w:val="00A05B8B"/>
    <w:rsid w:val="00A06357"/>
    <w:rsid w:val="00A064D0"/>
    <w:rsid w:val="00A06582"/>
    <w:rsid w:val="00A06F9C"/>
    <w:rsid w:val="00A0716C"/>
    <w:rsid w:val="00A07714"/>
    <w:rsid w:val="00A078F4"/>
    <w:rsid w:val="00A07D1D"/>
    <w:rsid w:val="00A100BB"/>
    <w:rsid w:val="00A10825"/>
    <w:rsid w:val="00A10B6A"/>
    <w:rsid w:val="00A10B8E"/>
    <w:rsid w:val="00A115E1"/>
    <w:rsid w:val="00A11BC1"/>
    <w:rsid w:val="00A1281F"/>
    <w:rsid w:val="00A128EF"/>
    <w:rsid w:val="00A1308D"/>
    <w:rsid w:val="00A133D0"/>
    <w:rsid w:val="00A136DE"/>
    <w:rsid w:val="00A1383E"/>
    <w:rsid w:val="00A139F4"/>
    <w:rsid w:val="00A13B72"/>
    <w:rsid w:val="00A14051"/>
    <w:rsid w:val="00A14487"/>
    <w:rsid w:val="00A14B39"/>
    <w:rsid w:val="00A15343"/>
    <w:rsid w:val="00A15E76"/>
    <w:rsid w:val="00A15EA2"/>
    <w:rsid w:val="00A160B3"/>
    <w:rsid w:val="00A168A7"/>
    <w:rsid w:val="00A17112"/>
    <w:rsid w:val="00A1756B"/>
    <w:rsid w:val="00A178E7"/>
    <w:rsid w:val="00A17DFF"/>
    <w:rsid w:val="00A20179"/>
    <w:rsid w:val="00A20476"/>
    <w:rsid w:val="00A20910"/>
    <w:rsid w:val="00A20A70"/>
    <w:rsid w:val="00A21ED8"/>
    <w:rsid w:val="00A21FCC"/>
    <w:rsid w:val="00A2209F"/>
    <w:rsid w:val="00A22321"/>
    <w:rsid w:val="00A228CF"/>
    <w:rsid w:val="00A229F1"/>
    <w:rsid w:val="00A22E27"/>
    <w:rsid w:val="00A235B3"/>
    <w:rsid w:val="00A23CA3"/>
    <w:rsid w:val="00A23D0B"/>
    <w:rsid w:val="00A2443A"/>
    <w:rsid w:val="00A24988"/>
    <w:rsid w:val="00A257B4"/>
    <w:rsid w:val="00A259D1"/>
    <w:rsid w:val="00A25DB1"/>
    <w:rsid w:val="00A25FAC"/>
    <w:rsid w:val="00A2643F"/>
    <w:rsid w:val="00A26A90"/>
    <w:rsid w:val="00A26CDC"/>
    <w:rsid w:val="00A26EFE"/>
    <w:rsid w:val="00A2721C"/>
    <w:rsid w:val="00A2792F"/>
    <w:rsid w:val="00A279EA"/>
    <w:rsid w:val="00A27ADA"/>
    <w:rsid w:val="00A307E0"/>
    <w:rsid w:val="00A30998"/>
    <w:rsid w:val="00A30C0E"/>
    <w:rsid w:val="00A31626"/>
    <w:rsid w:val="00A31BD5"/>
    <w:rsid w:val="00A32554"/>
    <w:rsid w:val="00A32B99"/>
    <w:rsid w:val="00A3386A"/>
    <w:rsid w:val="00A345A8"/>
    <w:rsid w:val="00A34A4D"/>
    <w:rsid w:val="00A35911"/>
    <w:rsid w:val="00A35A74"/>
    <w:rsid w:val="00A36298"/>
    <w:rsid w:val="00A36611"/>
    <w:rsid w:val="00A36830"/>
    <w:rsid w:val="00A378CB"/>
    <w:rsid w:val="00A37F5F"/>
    <w:rsid w:val="00A400E3"/>
    <w:rsid w:val="00A407A8"/>
    <w:rsid w:val="00A40AA5"/>
    <w:rsid w:val="00A40AE7"/>
    <w:rsid w:val="00A40F61"/>
    <w:rsid w:val="00A410BC"/>
    <w:rsid w:val="00A4165E"/>
    <w:rsid w:val="00A416FA"/>
    <w:rsid w:val="00A41B80"/>
    <w:rsid w:val="00A42014"/>
    <w:rsid w:val="00A4228B"/>
    <w:rsid w:val="00A4233B"/>
    <w:rsid w:val="00A42A86"/>
    <w:rsid w:val="00A43217"/>
    <w:rsid w:val="00A4459D"/>
    <w:rsid w:val="00A44B22"/>
    <w:rsid w:val="00A4597C"/>
    <w:rsid w:val="00A468AB"/>
    <w:rsid w:val="00A4698B"/>
    <w:rsid w:val="00A50217"/>
    <w:rsid w:val="00A507B9"/>
    <w:rsid w:val="00A50936"/>
    <w:rsid w:val="00A51297"/>
    <w:rsid w:val="00A519B9"/>
    <w:rsid w:val="00A533A1"/>
    <w:rsid w:val="00A549E0"/>
    <w:rsid w:val="00A550EA"/>
    <w:rsid w:val="00A55511"/>
    <w:rsid w:val="00A55BDA"/>
    <w:rsid w:val="00A56210"/>
    <w:rsid w:val="00A562AB"/>
    <w:rsid w:val="00A56810"/>
    <w:rsid w:val="00A56DFD"/>
    <w:rsid w:val="00A56EA6"/>
    <w:rsid w:val="00A5706B"/>
    <w:rsid w:val="00A57515"/>
    <w:rsid w:val="00A57773"/>
    <w:rsid w:val="00A578FD"/>
    <w:rsid w:val="00A5792F"/>
    <w:rsid w:val="00A57CF5"/>
    <w:rsid w:val="00A6063B"/>
    <w:rsid w:val="00A60964"/>
    <w:rsid w:val="00A614F0"/>
    <w:rsid w:val="00A617E9"/>
    <w:rsid w:val="00A63201"/>
    <w:rsid w:val="00A63713"/>
    <w:rsid w:val="00A639A5"/>
    <w:rsid w:val="00A63C80"/>
    <w:rsid w:val="00A644AF"/>
    <w:rsid w:val="00A64832"/>
    <w:rsid w:val="00A65D30"/>
    <w:rsid w:val="00A65FD6"/>
    <w:rsid w:val="00A670E0"/>
    <w:rsid w:val="00A67370"/>
    <w:rsid w:val="00A67733"/>
    <w:rsid w:val="00A67994"/>
    <w:rsid w:val="00A67ABC"/>
    <w:rsid w:val="00A700D2"/>
    <w:rsid w:val="00A70197"/>
    <w:rsid w:val="00A70CCD"/>
    <w:rsid w:val="00A70ED1"/>
    <w:rsid w:val="00A71017"/>
    <w:rsid w:val="00A7173D"/>
    <w:rsid w:val="00A71AF5"/>
    <w:rsid w:val="00A726DC"/>
    <w:rsid w:val="00A72EBC"/>
    <w:rsid w:val="00A72EDA"/>
    <w:rsid w:val="00A730B4"/>
    <w:rsid w:val="00A73830"/>
    <w:rsid w:val="00A73A30"/>
    <w:rsid w:val="00A73E10"/>
    <w:rsid w:val="00A74739"/>
    <w:rsid w:val="00A74A44"/>
    <w:rsid w:val="00A74DEF"/>
    <w:rsid w:val="00A7504E"/>
    <w:rsid w:val="00A753A9"/>
    <w:rsid w:val="00A753AE"/>
    <w:rsid w:val="00A754FC"/>
    <w:rsid w:val="00A759E8"/>
    <w:rsid w:val="00A75FF0"/>
    <w:rsid w:val="00A767B5"/>
    <w:rsid w:val="00A7703D"/>
    <w:rsid w:val="00A772A3"/>
    <w:rsid w:val="00A77D8B"/>
    <w:rsid w:val="00A800D4"/>
    <w:rsid w:val="00A80B62"/>
    <w:rsid w:val="00A82637"/>
    <w:rsid w:val="00A82B57"/>
    <w:rsid w:val="00A83183"/>
    <w:rsid w:val="00A83702"/>
    <w:rsid w:val="00A8374B"/>
    <w:rsid w:val="00A83779"/>
    <w:rsid w:val="00A8402E"/>
    <w:rsid w:val="00A84300"/>
    <w:rsid w:val="00A84771"/>
    <w:rsid w:val="00A849A1"/>
    <w:rsid w:val="00A84F87"/>
    <w:rsid w:val="00A85981"/>
    <w:rsid w:val="00A859A4"/>
    <w:rsid w:val="00A85DCF"/>
    <w:rsid w:val="00A86645"/>
    <w:rsid w:val="00A86847"/>
    <w:rsid w:val="00A901F2"/>
    <w:rsid w:val="00A903F8"/>
    <w:rsid w:val="00A9071F"/>
    <w:rsid w:val="00A90B03"/>
    <w:rsid w:val="00A93709"/>
    <w:rsid w:val="00A93820"/>
    <w:rsid w:val="00A94869"/>
    <w:rsid w:val="00A95FA8"/>
    <w:rsid w:val="00A97014"/>
    <w:rsid w:val="00A972FF"/>
    <w:rsid w:val="00A97B15"/>
    <w:rsid w:val="00A97BE5"/>
    <w:rsid w:val="00A97EB7"/>
    <w:rsid w:val="00AA000A"/>
    <w:rsid w:val="00AA0405"/>
    <w:rsid w:val="00AA04BA"/>
    <w:rsid w:val="00AA118C"/>
    <w:rsid w:val="00AA1505"/>
    <w:rsid w:val="00AA172C"/>
    <w:rsid w:val="00AA1AD9"/>
    <w:rsid w:val="00AA1D09"/>
    <w:rsid w:val="00AA1D30"/>
    <w:rsid w:val="00AA1FD1"/>
    <w:rsid w:val="00AA20A3"/>
    <w:rsid w:val="00AA2361"/>
    <w:rsid w:val="00AA3097"/>
    <w:rsid w:val="00AA31DC"/>
    <w:rsid w:val="00AA369F"/>
    <w:rsid w:val="00AA36B6"/>
    <w:rsid w:val="00AA42D8"/>
    <w:rsid w:val="00AA4A26"/>
    <w:rsid w:val="00AA55DC"/>
    <w:rsid w:val="00AA5793"/>
    <w:rsid w:val="00AA586F"/>
    <w:rsid w:val="00AA595B"/>
    <w:rsid w:val="00AA5F57"/>
    <w:rsid w:val="00AA601D"/>
    <w:rsid w:val="00AA6578"/>
    <w:rsid w:val="00AA6B95"/>
    <w:rsid w:val="00AA6BFC"/>
    <w:rsid w:val="00AA78E7"/>
    <w:rsid w:val="00AA7BFC"/>
    <w:rsid w:val="00AB04CC"/>
    <w:rsid w:val="00AB0ABB"/>
    <w:rsid w:val="00AB1493"/>
    <w:rsid w:val="00AB15AA"/>
    <w:rsid w:val="00AB1A97"/>
    <w:rsid w:val="00AB1D49"/>
    <w:rsid w:val="00AB1E99"/>
    <w:rsid w:val="00AB1F58"/>
    <w:rsid w:val="00AB1FCC"/>
    <w:rsid w:val="00AB2064"/>
    <w:rsid w:val="00AB2309"/>
    <w:rsid w:val="00AB2DB3"/>
    <w:rsid w:val="00AB31F7"/>
    <w:rsid w:val="00AB336C"/>
    <w:rsid w:val="00AB34F1"/>
    <w:rsid w:val="00AB3590"/>
    <w:rsid w:val="00AB3FCA"/>
    <w:rsid w:val="00AB3FDB"/>
    <w:rsid w:val="00AB415A"/>
    <w:rsid w:val="00AB5154"/>
    <w:rsid w:val="00AB55F1"/>
    <w:rsid w:val="00AB5874"/>
    <w:rsid w:val="00AB5D28"/>
    <w:rsid w:val="00AB6022"/>
    <w:rsid w:val="00AB62D1"/>
    <w:rsid w:val="00AB68E4"/>
    <w:rsid w:val="00AB770B"/>
    <w:rsid w:val="00AC0781"/>
    <w:rsid w:val="00AC09CF"/>
    <w:rsid w:val="00AC17E2"/>
    <w:rsid w:val="00AC1B6C"/>
    <w:rsid w:val="00AC1D1B"/>
    <w:rsid w:val="00AC2763"/>
    <w:rsid w:val="00AC3B6C"/>
    <w:rsid w:val="00AC48E4"/>
    <w:rsid w:val="00AC54F1"/>
    <w:rsid w:val="00AC5A02"/>
    <w:rsid w:val="00AC6079"/>
    <w:rsid w:val="00AC6310"/>
    <w:rsid w:val="00AC6F8A"/>
    <w:rsid w:val="00AC7254"/>
    <w:rsid w:val="00AC7A68"/>
    <w:rsid w:val="00AC7C12"/>
    <w:rsid w:val="00AC7CAB"/>
    <w:rsid w:val="00AC7D3A"/>
    <w:rsid w:val="00AD07E7"/>
    <w:rsid w:val="00AD0C2C"/>
    <w:rsid w:val="00AD0E7D"/>
    <w:rsid w:val="00AD0EAA"/>
    <w:rsid w:val="00AD1075"/>
    <w:rsid w:val="00AD140B"/>
    <w:rsid w:val="00AD22CA"/>
    <w:rsid w:val="00AD31A4"/>
    <w:rsid w:val="00AD34DA"/>
    <w:rsid w:val="00AD39F8"/>
    <w:rsid w:val="00AD3AC3"/>
    <w:rsid w:val="00AD4BBD"/>
    <w:rsid w:val="00AD4DC4"/>
    <w:rsid w:val="00AD57C3"/>
    <w:rsid w:val="00AD58C2"/>
    <w:rsid w:val="00AD5F82"/>
    <w:rsid w:val="00AD63AE"/>
    <w:rsid w:val="00AD65FF"/>
    <w:rsid w:val="00AD6FA7"/>
    <w:rsid w:val="00AD7ADC"/>
    <w:rsid w:val="00AD7FEA"/>
    <w:rsid w:val="00AE0679"/>
    <w:rsid w:val="00AE20D6"/>
    <w:rsid w:val="00AE2441"/>
    <w:rsid w:val="00AE2E6F"/>
    <w:rsid w:val="00AE3142"/>
    <w:rsid w:val="00AE322F"/>
    <w:rsid w:val="00AE381A"/>
    <w:rsid w:val="00AE3B7A"/>
    <w:rsid w:val="00AE3EFF"/>
    <w:rsid w:val="00AE4000"/>
    <w:rsid w:val="00AE40D0"/>
    <w:rsid w:val="00AE56DB"/>
    <w:rsid w:val="00AE5CE7"/>
    <w:rsid w:val="00AE641C"/>
    <w:rsid w:val="00AE69BD"/>
    <w:rsid w:val="00AE7265"/>
    <w:rsid w:val="00AE7CFF"/>
    <w:rsid w:val="00AE7E96"/>
    <w:rsid w:val="00AE7FE7"/>
    <w:rsid w:val="00AF047A"/>
    <w:rsid w:val="00AF0832"/>
    <w:rsid w:val="00AF15B4"/>
    <w:rsid w:val="00AF1876"/>
    <w:rsid w:val="00AF3306"/>
    <w:rsid w:val="00AF33FC"/>
    <w:rsid w:val="00AF35E2"/>
    <w:rsid w:val="00AF384F"/>
    <w:rsid w:val="00AF3C70"/>
    <w:rsid w:val="00AF3D72"/>
    <w:rsid w:val="00AF4078"/>
    <w:rsid w:val="00AF4192"/>
    <w:rsid w:val="00AF4C77"/>
    <w:rsid w:val="00AF5A14"/>
    <w:rsid w:val="00AF68E5"/>
    <w:rsid w:val="00AF6A1B"/>
    <w:rsid w:val="00AF7AD0"/>
    <w:rsid w:val="00AF7E0C"/>
    <w:rsid w:val="00AF7FFE"/>
    <w:rsid w:val="00B00030"/>
    <w:rsid w:val="00B0025F"/>
    <w:rsid w:val="00B00E09"/>
    <w:rsid w:val="00B00E7D"/>
    <w:rsid w:val="00B01424"/>
    <w:rsid w:val="00B02108"/>
    <w:rsid w:val="00B02587"/>
    <w:rsid w:val="00B02720"/>
    <w:rsid w:val="00B02F5D"/>
    <w:rsid w:val="00B03034"/>
    <w:rsid w:val="00B03998"/>
    <w:rsid w:val="00B03E03"/>
    <w:rsid w:val="00B0429D"/>
    <w:rsid w:val="00B04581"/>
    <w:rsid w:val="00B04582"/>
    <w:rsid w:val="00B047E8"/>
    <w:rsid w:val="00B048C7"/>
    <w:rsid w:val="00B05002"/>
    <w:rsid w:val="00B05FEC"/>
    <w:rsid w:val="00B0650A"/>
    <w:rsid w:val="00B067F0"/>
    <w:rsid w:val="00B069C0"/>
    <w:rsid w:val="00B06BB2"/>
    <w:rsid w:val="00B06BF7"/>
    <w:rsid w:val="00B07D30"/>
    <w:rsid w:val="00B10168"/>
    <w:rsid w:val="00B11117"/>
    <w:rsid w:val="00B114BB"/>
    <w:rsid w:val="00B1175A"/>
    <w:rsid w:val="00B124A9"/>
    <w:rsid w:val="00B12E7D"/>
    <w:rsid w:val="00B1393C"/>
    <w:rsid w:val="00B13D51"/>
    <w:rsid w:val="00B13EF6"/>
    <w:rsid w:val="00B1514D"/>
    <w:rsid w:val="00B154D5"/>
    <w:rsid w:val="00B15518"/>
    <w:rsid w:val="00B155C9"/>
    <w:rsid w:val="00B166C2"/>
    <w:rsid w:val="00B16D1C"/>
    <w:rsid w:val="00B17023"/>
    <w:rsid w:val="00B173CC"/>
    <w:rsid w:val="00B20B40"/>
    <w:rsid w:val="00B20E98"/>
    <w:rsid w:val="00B21786"/>
    <w:rsid w:val="00B22713"/>
    <w:rsid w:val="00B22EA7"/>
    <w:rsid w:val="00B2366A"/>
    <w:rsid w:val="00B23C3A"/>
    <w:rsid w:val="00B23DF6"/>
    <w:rsid w:val="00B24599"/>
    <w:rsid w:val="00B246F1"/>
    <w:rsid w:val="00B25280"/>
    <w:rsid w:val="00B25D48"/>
    <w:rsid w:val="00B27129"/>
    <w:rsid w:val="00B273D7"/>
    <w:rsid w:val="00B27AFD"/>
    <w:rsid w:val="00B27CAD"/>
    <w:rsid w:val="00B30E18"/>
    <w:rsid w:val="00B31103"/>
    <w:rsid w:val="00B314E0"/>
    <w:rsid w:val="00B31979"/>
    <w:rsid w:val="00B32092"/>
    <w:rsid w:val="00B32304"/>
    <w:rsid w:val="00B3270F"/>
    <w:rsid w:val="00B3298D"/>
    <w:rsid w:val="00B329ED"/>
    <w:rsid w:val="00B332EA"/>
    <w:rsid w:val="00B3380F"/>
    <w:rsid w:val="00B33CF2"/>
    <w:rsid w:val="00B33D49"/>
    <w:rsid w:val="00B34076"/>
    <w:rsid w:val="00B35ADE"/>
    <w:rsid w:val="00B36356"/>
    <w:rsid w:val="00B365B4"/>
    <w:rsid w:val="00B368E7"/>
    <w:rsid w:val="00B36A8A"/>
    <w:rsid w:val="00B376F1"/>
    <w:rsid w:val="00B378E9"/>
    <w:rsid w:val="00B37A58"/>
    <w:rsid w:val="00B37D43"/>
    <w:rsid w:val="00B37F92"/>
    <w:rsid w:val="00B40403"/>
    <w:rsid w:val="00B404D4"/>
    <w:rsid w:val="00B4097C"/>
    <w:rsid w:val="00B40D56"/>
    <w:rsid w:val="00B40F1A"/>
    <w:rsid w:val="00B4182B"/>
    <w:rsid w:val="00B41BB2"/>
    <w:rsid w:val="00B431F4"/>
    <w:rsid w:val="00B4379E"/>
    <w:rsid w:val="00B438D0"/>
    <w:rsid w:val="00B43EDE"/>
    <w:rsid w:val="00B44DC8"/>
    <w:rsid w:val="00B44E6E"/>
    <w:rsid w:val="00B44F97"/>
    <w:rsid w:val="00B4536A"/>
    <w:rsid w:val="00B45391"/>
    <w:rsid w:val="00B4539C"/>
    <w:rsid w:val="00B454FA"/>
    <w:rsid w:val="00B45893"/>
    <w:rsid w:val="00B45AA7"/>
    <w:rsid w:val="00B45E76"/>
    <w:rsid w:val="00B4690A"/>
    <w:rsid w:val="00B46F29"/>
    <w:rsid w:val="00B46F67"/>
    <w:rsid w:val="00B47075"/>
    <w:rsid w:val="00B478A8"/>
    <w:rsid w:val="00B47B91"/>
    <w:rsid w:val="00B47F1F"/>
    <w:rsid w:val="00B47FB8"/>
    <w:rsid w:val="00B5030C"/>
    <w:rsid w:val="00B5033D"/>
    <w:rsid w:val="00B50BC1"/>
    <w:rsid w:val="00B50DB8"/>
    <w:rsid w:val="00B51276"/>
    <w:rsid w:val="00B51CC7"/>
    <w:rsid w:val="00B52CBC"/>
    <w:rsid w:val="00B53BDD"/>
    <w:rsid w:val="00B53E37"/>
    <w:rsid w:val="00B5483D"/>
    <w:rsid w:val="00B54F00"/>
    <w:rsid w:val="00B554E6"/>
    <w:rsid w:val="00B555B7"/>
    <w:rsid w:val="00B55778"/>
    <w:rsid w:val="00B55AD1"/>
    <w:rsid w:val="00B56EB0"/>
    <w:rsid w:val="00B570CB"/>
    <w:rsid w:val="00B576ED"/>
    <w:rsid w:val="00B578C5"/>
    <w:rsid w:val="00B61089"/>
    <w:rsid w:val="00B61194"/>
    <w:rsid w:val="00B61672"/>
    <w:rsid w:val="00B61711"/>
    <w:rsid w:val="00B61CD7"/>
    <w:rsid w:val="00B62897"/>
    <w:rsid w:val="00B630B9"/>
    <w:rsid w:val="00B638D1"/>
    <w:rsid w:val="00B64AB4"/>
    <w:rsid w:val="00B64F3A"/>
    <w:rsid w:val="00B65109"/>
    <w:rsid w:val="00B65E0B"/>
    <w:rsid w:val="00B6613A"/>
    <w:rsid w:val="00B6657B"/>
    <w:rsid w:val="00B66940"/>
    <w:rsid w:val="00B67529"/>
    <w:rsid w:val="00B6767C"/>
    <w:rsid w:val="00B676A0"/>
    <w:rsid w:val="00B677F1"/>
    <w:rsid w:val="00B67A66"/>
    <w:rsid w:val="00B67FD1"/>
    <w:rsid w:val="00B70398"/>
    <w:rsid w:val="00B70427"/>
    <w:rsid w:val="00B70805"/>
    <w:rsid w:val="00B70CA6"/>
    <w:rsid w:val="00B70E72"/>
    <w:rsid w:val="00B71029"/>
    <w:rsid w:val="00B71638"/>
    <w:rsid w:val="00B71796"/>
    <w:rsid w:val="00B71CE2"/>
    <w:rsid w:val="00B7212A"/>
    <w:rsid w:val="00B722CD"/>
    <w:rsid w:val="00B737D9"/>
    <w:rsid w:val="00B73D54"/>
    <w:rsid w:val="00B744A3"/>
    <w:rsid w:val="00B74686"/>
    <w:rsid w:val="00B74941"/>
    <w:rsid w:val="00B74BC6"/>
    <w:rsid w:val="00B7526C"/>
    <w:rsid w:val="00B76473"/>
    <w:rsid w:val="00B76700"/>
    <w:rsid w:val="00B768BE"/>
    <w:rsid w:val="00B769A9"/>
    <w:rsid w:val="00B76A1D"/>
    <w:rsid w:val="00B76DEE"/>
    <w:rsid w:val="00B7732A"/>
    <w:rsid w:val="00B77483"/>
    <w:rsid w:val="00B7753D"/>
    <w:rsid w:val="00B77643"/>
    <w:rsid w:val="00B779A3"/>
    <w:rsid w:val="00B77A5B"/>
    <w:rsid w:val="00B805B5"/>
    <w:rsid w:val="00B81025"/>
    <w:rsid w:val="00B81419"/>
    <w:rsid w:val="00B81A0E"/>
    <w:rsid w:val="00B81E58"/>
    <w:rsid w:val="00B827F4"/>
    <w:rsid w:val="00B82B00"/>
    <w:rsid w:val="00B8446A"/>
    <w:rsid w:val="00B84777"/>
    <w:rsid w:val="00B84AA1"/>
    <w:rsid w:val="00B84E60"/>
    <w:rsid w:val="00B85999"/>
    <w:rsid w:val="00B86544"/>
    <w:rsid w:val="00B86908"/>
    <w:rsid w:val="00B86E1F"/>
    <w:rsid w:val="00B87DB2"/>
    <w:rsid w:val="00B90E28"/>
    <w:rsid w:val="00B91133"/>
    <w:rsid w:val="00B912EF"/>
    <w:rsid w:val="00B92234"/>
    <w:rsid w:val="00B92518"/>
    <w:rsid w:val="00B926D3"/>
    <w:rsid w:val="00B9347B"/>
    <w:rsid w:val="00B93733"/>
    <w:rsid w:val="00B93A7A"/>
    <w:rsid w:val="00B9447D"/>
    <w:rsid w:val="00B94528"/>
    <w:rsid w:val="00B95255"/>
    <w:rsid w:val="00B958D4"/>
    <w:rsid w:val="00B95DF5"/>
    <w:rsid w:val="00B96D01"/>
    <w:rsid w:val="00B96FE9"/>
    <w:rsid w:val="00B9720A"/>
    <w:rsid w:val="00B97397"/>
    <w:rsid w:val="00B97FD3"/>
    <w:rsid w:val="00BA01F7"/>
    <w:rsid w:val="00BA02EF"/>
    <w:rsid w:val="00BA0811"/>
    <w:rsid w:val="00BA091C"/>
    <w:rsid w:val="00BA0E6B"/>
    <w:rsid w:val="00BA0EB8"/>
    <w:rsid w:val="00BA0EBB"/>
    <w:rsid w:val="00BA1589"/>
    <w:rsid w:val="00BA18E6"/>
    <w:rsid w:val="00BA2306"/>
    <w:rsid w:val="00BA233F"/>
    <w:rsid w:val="00BA2408"/>
    <w:rsid w:val="00BA2755"/>
    <w:rsid w:val="00BA2819"/>
    <w:rsid w:val="00BA30FF"/>
    <w:rsid w:val="00BA3563"/>
    <w:rsid w:val="00BA3683"/>
    <w:rsid w:val="00BA3A62"/>
    <w:rsid w:val="00BA43CA"/>
    <w:rsid w:val="00BA5298"/>
    <w:rsid w:val="00BA5586"/>
    <w:rsid w:val="00BA5EBD"/>
    <w:rsid w:val="00BA6080"/>
    <w:rsid w:val="00BA65F8"/>
    <w:rsid w:val="00BA6BF8"/>
    <w:rsid w:val="00BA6D43"/>
    <w:rsid w:val="00BA702B"/>
    <w:rsid w:val="00BA73CF"/>
    <w:rsid w:val="00BA76FA"/>
    <w:rsid w:val="00BA789D"/>
    <w:rsid w:val="00BA7A3A"/>
    <w:rsid w:val="00BA7E38"/>
    <w:rsid w:val="00BB015F"/>
    <w:rsid w:val="00BB0385"/>
    <w:rsid w:val="00BB0389"/>
    <w:rsid w:val="00BB0CD0"/>
    <w:rsid w:val="00BB0DC3"/>
    <w:rsid w:val="00BB15B5"/>
    <w:rsid w:val="00BB28F2"/>
    <w:rsid w:val="00BB2A4D"/>
    <w:rsid w:val="00BB3813"/>
    <w:rsid w:val="00BB4A06"/>
    <w:rsid w:val="00BB4C89"/>
    <w:rsid w:val="00BB4CC1"/>
    <w:rsid w:val="00BB5225"/>
    <w:rsid w:val="00BB531E"/>
    <w:rsid w:val="00BB5C0A"/>
    <w:rsid w:val="00BB6AE9"/>
    <w:rsid w:val="00BB6BB9"/>
    <w:rsid w:val="00BB6DEA"/>
    <w:rsid w:val="00BB6E44"/>
    <w:rsid w:val="00BB708E"/>
    <w:rsid w:val="00BB7B74"/>
    <w:rsid w:val="00BB7D7D"/>
    <w:rsid w:val="00BC01E3"/>
    <w:rsid w:val="00BC0381"/>
    <w:rsid w:val="00BC0CEC"/>
    <w:rsid w:val="00BC1590"/>
    <w:rsid w:val="00BC1B00"/>
    <w:rsid w:val="00BC1D82"/>
    <w:rsid w:val="00BC1F45"/>
    <w:rsid w:val="00BC21E5"/>
    <w:rsid w:val="00BC2E17"/>
    <w:rsid w:val="00BC2FA9"/>
    <w:rsid w:val="00BC313F"/>
    <w:rsid w:val="00BC322A"/>
    <w:rsid w:val="00BC3570"/>
    <w:rsid w:val="00BC4EAE"/>
    <w:rsid w:val="00BC53EC"/>
    <w:rsid w:val="00BC580E"/>
    <w:rsid w:val="00BC5967"/>
    <w:rsid w:val="00BC59AC"/>
    <w:rsid w:val="00BC5C05"/>
    <w:rsid w:val="00BC6E67"/>
    <w:rsid w:val="00BC71AE"/>
    <w:rsid w:val="00BC7437"/>
    <w:rsid w:val="00BC7A7B"/>
    <w:rsid w:val="00BC7E28"/>
    <w:rsid w:val="00BC7E95"/>
    <w:rsid w:val="00BD0926"/>
    <w:rsid w:val="00BD11B3"/>
    <w:rsid w:val="00BD1C5F"/>
    <w:rsid w:val="00BD1EB7"/>
    <w:rsid w:val="00BD20A6"/>
    <w:rsid w:val="00BD24BD"/>
    <w:rsid w:val="00BD2F0A"/>
    <w:rsid w:val="00BD3262"/>
    <w:rsid w:val="00BD331A"/>
    <w:rsid w:val="00BD42DF"/>
    <w:rsid w:val="00BD4A9E"/>
    <w:rsid w:val="00BD508A"/>
    <w:rsid w:val="00BD51B8"/>
    <w:rsid w:val="00BD592F"/>
    <w:rsid w:val="00BD60C2"/>
    <w:rsid w:val="00BD63F3"/>
    <w:rsid w:val="00BD6474"/>
    <w:rsid w:val="00BD65CA"/>
    <w:rsid w:val="00BD6A1A"/>
    <w:rsid w:val="00BD6A7C"/>
    <w:rsid w:val="00BD6A9D"/>
    <w:rsid w:val="00BD6EEC"/>
    <w:rsid w:val="00BE019A"/>
    <w:rsid w:val="00BE047D"/>
    <w:rsid w:val="00BE0C09"/>
    <w:rsid w:val="00BE113F"/>
    <w:rsid w:val="00BE11F7"/>
    <w:rsid w:val="00BE1224"/>
    <w:rsid w:val="00BE13FE"/>
    <w:rsid w:val="00BE230C"/>
    <w:rsid w:val="00BE328F"/>
    <w:rsid w:val="00BE3424"/>
    <w:rsid w:val="00BE37CC"/>
    <w:rsid w:val="00BE439E"/>
    <w:rsid w:val="00BE45F4"/>
    <w:rsid w:val="00BE47EB"/>
    <w:rsid w:val="00BE4961"/>
    <w:rsid w:val="00BE4C97"/>
    <w:rsid w:val="00BE5F06"/>
    <w:rsid w:val="00BE5FB3"/>
    <w:rsid w:val="00BE651E"/>
    <w:rsid w:val="00BE66AB"/>
    <w:rsid w:val="00BE66B6"/>
    <w:rsid w:val="00BE752B"/>
    <w:rsid w:val="00BE7AD9"/>
    <w:rsid w:val="00BE7D54"/>
    <w:rsid w:val="00BF0C4B"/>
    <w:rsid w:val="00BF0D27"/>
    <w:rsid w:val="00BF0D66"/>
    <w:rsid w:val="00BF20A5"/>
    <w:rsid w:val="00BF2552"/>
    <w:rsid w:val="00BF26A0"/>
    <w:rsid w:val="00BF28B6"/>
    <w:rsid w:val="00BF2A78"/>
    <w:rsid w:val="00BF2F5B"/>
    <w:rsid w:val="00BF381E"/>
    <w:rsid w:val="00BF4281"/>
    <w:rsid w:val="00BF4388"/>
    <w:rsid w:val="00BF4B50"/>
    <w:rsid w:val="00BF4C7B"/>
    <w:rsid w:val="00BF529B"/>
    <w:rsid w:val="00BF5F43"/>
    <w:rsid w:val="00BF67D5"/>
    <w:rsid w:val="00C002DF"/>
    <w:rsid w:val="00C00C71"/>
    <w:rsid w:val="00C00C88"/>
    <w:rsid w:val="00C00F83"/>
    <w:rsid w:val="00C01256"/>
    <w:rsid w:val="00C01F9E"/>
    <w:rsid w:val="00C024FC"/>
    <w:rsid w:val="00C02D91"/>
    <w:rsid w:val="00C035B3"/>
    <w:rsid w:val="00C03A09"/>
    <w:rsid w:val="00C03A99"/>
    <w:rsid w:val="00C03E24"/>
    <w:rsid w:val="00C042DA"/>
    <w:rsid w:val="00C04607"/>
    <w:rsid w:val="00C04A32"/>
    <w:rsid w:val="00C04C3A"/>
    <w:rsid w:val="00C0509F"/>
    <w:rsid w:val="00C05654"/>
    <w:rsid w:val="00C05E3E"/>
    <w:rsid w:val="00C0613A"/>
    <w:rsid w:val="00C07ADF"/>
    <w:rsid w:val="00C07E44"/>
    <w:rsid w:val="00C101BE"/>
    <w:rsid w:val="00C104B4"/>
    <w:rsid w:val="00C10E25"/>
    <w:rsid w:val="00C11383"/>
    <w:rsid w:val="00C1198E"/>
    <w:rsid w:val="00C124D0"/>
    <w:rsid w:val="00C128CB"/>
    <w:rsid w:val="00C13734"/>
    <w:rsid w:val="00C13BF4"/>
    <w:rsid w:val="00C14298"/>
    <w:rsid w:val="00C14580"/>
    <w:rsid w:val="00C1499D"/>
    <w:rsid w:val="00C14AF5"/>
    <w:rsid w:val="00C15AFF"/>
    <w:rsid w:val="00C15D06"/>
    <w:rsid w:val="00C164B8"/>
    <w:rsid w:val="00C16670"/>
    <w:rsid w:val="00C16A41"/>
    <w:rsid w:val="00C16C4F"/>
    <w:rsid w:val="00C1722B"/>
    <w:rsid w:val="00C173F5"/>
    <w:rsid w:val="00C1743D"/>
    <w:rsid w:val="00C175C9"/>
    <w:rsid w:val="00C17D90"/>
    <w:rsid w:val="00C20120"/>
    <w:rsid w:val="00C207AD"/>
    <w:rsid w:val="00C20BF0"/>
    <w:rsid w:val="00C213CC"/>
    <w:rsid w:val="00C215E4"/>
    <w:rsid w:val="00C21A4E"/>
    <w:rsid w:val="00C21A59"/>
    <w:rsid w:val="00C21B5E"/>
    <w:rsid w:val="00C21EE2"/>
    <w:rsid w:val="00C23489"/>
    <w:rsid w:val="00C236B7"/>
    <w:rsid w:val="00C2379D"/>
    <w:rsid w:val="00C23980"/>
    <w:rsid w:val="00C24041"/>
    <w:rsid w:val="00C248F5"/>
    <w:rsid w:val="00C24CFC"/>
    <w:rsid w:val="00C24FAE"/>
    <w:rsid w:val="00C25106"/>
    <w:rsid w:val="00C257EA"/>
    <w:rsid w:val="00C26532"/>
    <w:rsid w:val="00C26A67"/>
    <w:rsid w:val="00C26DA8"/>
    <w:rsid w:val="00C2741E"/>
    <w:rsid w:val="00C27893"/>
    <w:rsid w:val="00C27DD8"/>
    <w:rsid w:val="00C300FE"/>
    <w:rsid w:val="00C30D55"/>
    <w:rsid w:val="00C31018"/>
    <w:rsid w:val="00C31588"/>
    <w:rsid w:val="00C31F35"/>
    <w:rsid w:val="00C3236A"/>
    <w:rsid w:val="00C32886"/>
    <w:rsid w:val="00C32FD1"/>
    <w:rsid w:val="00C33C41"/>
    <w:rsid w:val="00C33F2F"/>
    <w:rsid w:val="00C33F30"/>
    <w:rsid w:val="00C3423D"/>
    <w:rsid w:val="00C3492E"/>
    <w:rsid w:val="00C34A1F"/>
    <w:rsid w:val="00C34CAB"/>
    <w:rsid w:val="00C3536E"/>
    <w:rsid w:val="00C35576"/>
    <w:rsid w:val="00C35C06"/>
    <w:rsid w:val="00C36E74"/>
    <w:rsid w:val="00C37796"/>
    <w:rsid w:val="00C37D26"/>
    <w:rsid w:val="00C37D6E"/>
    <w:rsid w:val="00C40543"/>
    <w:rsid w:val="00C40C5A"/>
    <w:rsid w:val="00C41571"/>
    <w:rsid w:val="00C416BF"/>
    <w:rsid w:val="00C41E2B"/>
    <w:rsid w:val="00C41F6C"/>
    <w:rsid w:val="00C42B23"/>
    <w:rsid w:val="00C42FC5"/>
    <w:rsid w:val="00C431C9"/>
    <w:rsid w:val="00C43332"/>
    <w:rsid w:val="00C4365E"/>
    <w:rsid w:val="00C43754"/>
    <w:rsid w:val="00C43E00"/>
    <w:rsid w:val="00C4449C"/>
    <w:rsid w:val="00C44C22"/>
    <w:rsid w:val="00C44F05"/>
    <w:rsid w:val="00C44F3D"/>
    <w:rsid w:val="00C45419"/>
    <w:rsid w:val="00C459EC"/>
    <w:rsid w:val="00C46123"/>
    <w:rsid w:val="00C4651C"/>
    <w:rsid w:val="00C465B5"/>
    <w:rsid w:val="00C466E6"/>
    <w:rsid w:val="00C46EE2"/>
    <w:rsid w:val="00C47DC2"/>
    <w:rsid w:val="00C50693"/>
    <w:rsid w:val="00C5075F"/>
    <w:rsid w:val="00C50CF5"/>
    <w:rsid w:val="00C51391"/>
    <w:rsid w:val="00C5163D"/>
    <w:rsid w:val="00C518CA"/>
    <w:rsid w:val="00C51DEB"/>
    <w:rsid w:val="00C524FE"/>
    <w:rsid w:val="00C52B24"/>
    <w:rsid w:val="00C5407C"/>
    <w:rsid w:val="00C541EC"/>
    <w:rsid w:val="00C555F8"/>
    <w:rsid w:val="00C559D1"/>
    <w:rsid w:val="00C55D55"/>
    <w:rsid w:val="00C55D9A"/>
    <w:rsid w:val="00C5685D"/>
    <w:rsid w:val="00C56A6A"/>
    <w:rsid w:val="00C56C8A"/>
    <w:rsid w:val="00C57FF0"/>
    <w:rsid w:val="00C6009C"/>
    <w:rsid w:val="00C6017F"/>
    <w:rsid w:val="00C6028B"/>
    <w:rsid w:val="00C6044A"/>
    <w:rsid w:val="00C60ECA"/>
    <w:rsid w:val="00C6120E"/>
    <w:rsid w:val="00C616AF"/>
    <w:rsid w:val="00C61738"/>
    <w:rsid w:val="00C62923"/>
    <w:rsid w:val="00C635A4"/>
    <w:rsid w:val="00C64115"/>
    <w:rsid w:val="00C641CD"/>
    <w:rsid w:val="00C6468F"/>
    <w:rsid w:val="00C6498A"/>
    <w:rsid w:val="00C64995"/>
    <w:rsid w:val="00C64DC4"/>
    <w:rsid w:val="00C65094"/>
    <w:rsid w:val="00C65A1B"/>
    <w:rsid w:val="00C65B5B"/>
    <w:rsid w:val="00C6676E"/>
    <w:rsid w:val="00C66867"/>
    <w:rsid w:val="00C6747B"/>
    <w:rsid w:val="00C70880"/>
    <w:rsid w:val="00C70B5F"/>
    <w:rsid w:val="00C70BAE"/>
    <w:rsid w:val="00C71911"/>
    <w:rsid w:val="00C71999"/>
    <w:rsid w:val="00C72300"/>
    <w:rsid w:val="00C729D6"/>
    <w:rsid w:val="00C73321"/>
    <w:rsid w:val="00C7335E"/>
    <w:rsid w:val="00C744BB"/>
    <w:rsid w:val="00C748C2"/>
    <w:rsid w:val="00C74A3A"/>
    <w:rsid w:val="00C75F61"/>
    <w:rsid w:val="00C7705D"/>
    <w:rsid w:val="00C77165"/>
    <w:rsid w:val="00C7765C"/>
    <w:rsid w:val="00C77729"/>
    <w:rsid w:val="00C77FA4"/>
    <w:rsid w:val="00C80443"/>
    <w:rsid w:val="00C80C0E"/>
    <w:rsid w:val="00C80D09"/>
    <w:rsid w:val="00C81216"/>
    <w:rsid w:val="00C8185F"/>
    <w:rsid w:val="00C81D59"/>
    <w:rsid w:val="00C8255A"/>
    <w:rsid w:val="00C833BA"/>
    <w:rsid w:val="00C83534"/>
    <w:rsid w:val="00C84354"/>
    <w:rsid w:val="00C84DE9"/>
    <w:rsid w:val="00C84E14"/>
    <w:rsid w:val="00C84FBF"/>
    <w:rsid w:val="00C85290"/>
    <w:rsid w:val="00C85F1D"/>
    <w:rsid w:val="00C862E5"/>
    <w:rsid w:val="00C86B91"/>
    <w:rsid w:val="00C87635"/>
    <w:rsid w:val="00C900CF"/>
    <w:rsid w:val="00C900F0"/>
    <w:rsid w:val="00C90555"/>
    <w:rsid w:val="00C90583"/>
    <w:rsid w:val="00C90736"/>
    <w:rsid w:val="00C90918"/>
    <w:rsid w:val="00C90B65"/>
    <w:rsid w:val="00C90CE2"/>
    <w:rsid w:val="00C90CF0"/>
    <w:rsid w:val="00C914DA"/>
    <w:rsid w:val="00C914FA"/>
    <w:rsid w:val="00C91740"/>
    <w:rsid w:val="00C91A5B"/>
    <w:rsid w:val="00C923B6"/>
    <w:rsid w:val="00C925F5"/>
    <w:rsid w:val="00C9277A"/>
    <w:rsid w:val="00C92981"/>
    <w:rsid w:val="00C93150"/>
    <w:rsid w:val="00C93195"/>
    <w:rsid w:val="00C93A2A"/>
    <w:rsid w:val="00C93CA6"/>
    <w:rsid w:val="00C93E5F"/>
    <w:rsid w:val="00C941CF"/>
    <w:rsid w:val="00C94683"/>
    <w:rsid w:val="00C94A99"/>
    <w:rsid w:val="00C94EBC"/>
    <w:rsid w:val="00C95260"/>
    <w:rsid w:val="00C95F8E"/>
    <w:rsid w:val="00C9659F"/>
    <w:rsid w:val="00C9714C"/>
    <w:rsid w:val="00C9730E"/>
    <w:rsid w:val="00C97405"/>
    <w:rsid w:val="00C97725"/>
    <w:rsid w:val="00C978C1"/>
    <w:rsid w:val="00C97C3F"/>
    <w:rsid w:val="00C97EE2"/>
    <w:rsid w:val="00CA05AC"/>
    <w:rsid w:val="00CA06BA"/>
    <w:rsid w:val="00CA09BA"/>
    <w:rsid w:val="00CA0A29"/>
    <w:rsid w:val="00CA1B51"/>
    <w:rsid w:val="00CA2507"/>
    <w:rsid w:val="00CA27E2"/>
    <w:rsid w:val="00CA30C9"/>
    <w:rsid w:val="00CA379A"/>
    <w:rsid w:val="00CA396D"/>
    <w:rsid w:val="00CA3AE4"/>
    <w:rsid w:val="00CA4DE1"/>
    <w:rsid w:val="00CA4F55"/>
    <w:rsid w:val="00CA5455"/>
    <w:rsid w:val="00CA54D0"/>
    <w:rsid w:val="00CA7073"/>
    <w:rsid w:val="00CA788C"/>
    <w:rsid w:val="00CB0275"/>
    <w:rsid w:val="00CB0435"/>
    <w:rsid w:val="00CB06DB"/>
    <w:rsid w:val="00CB11EA"/>
    <w:rsid w:val="00CB155A"/>
    <w:rsid w:val="00CB1C47"/>
    <w:rsid w:val="00CB20D6"/>
    <w:rsid w:val="00CB382B"/>
    <w:rsid w:val="00CB38C9"/>
    <w:rsid w:val="00CB3B8F"/>
    <w:rsid w:val="00CB3F37"/>
    <w:rsid w:val="00CB40A6"/>
    <w:rsid w:val="00CB4241"/>
    <w:rsid w:val="00CB45B2"/>
    <w:rsid w:val="00CB463D"/>
    <w:rsid w:val="00CB4AB0"/>
    <w:rsid w:val="00CB4CDE"/>
    <w:rsid w:val="00CB4F29"/>
    <w:rsid w:val="00CB4F75"/>
    <w:rsid w:val="00CB52DC"/>
    <w:rsid w:val="00CB54D0"/>
    <w:rsid w:val="00CB5733"/>
    <w:rsid w:val="00CB59AF"/>
    <w:rsid w:val="00CB617D"/>
    <w:rsid w:val="00CB62C3"/>
    <w:rsid w:val="00CB63A9"/>
    <w:rsid w:val="00CB6BA8"/>
    <w:rsid w:val="00CB7659"/>
    <w:rsid w:val="00CB79A5"/>
    <w:rsid w:val="00CB7E82"/>
    <w:rsid w:val="00CB7F43"/>
    <w:rsid w:val="00CC0629"/>
    <w:rsid w:val="00CC072E"/>
    <w:rsid w:val="00CC1024"/>
    <w:rsid w:val="00CC1214"/>
    <w:rsid w:val="00CC18DD"/>
    <w:rsid w:val="00CC19B8"/>
    <w:rsid w:val="00CC1C62"/>
    <w:rsid w:val="00CC1F8E"/>
    <w:rsid w:val="00CC2047"/>
    <w:rsid w:val="00CC20C6"/>
    <w:rsid w:val="00CC2258"/>
    <w:rsid w:val="00CC2798"/>
    <w:rsid w:val="00CC284B"/>
    <w:rsid w:val="00CC285E"/>
    <w:rsid w:val="00CC2ABB"/>
    <w:rsid w:val="00CC2FED"/>
    <w:rsid w:val="00CC369C"/>
    <w:rsid w:val="00CC3D64"/>
    <w:rsid w:val="00CC494C"/>
    <w:rsid w:val="00CC5ECA"/>
    <w:rsid w:val="00CC61B6"/>
    <w:rsid w:val="00CC63C9"/>
    <w:rsid w:val="00CC63CC"/>
    <w:rsid w:val="00CC65B5"/>
    <w:rsid w:val="00CC66AD"/>
    <w:rsid w:val="00CC7AB1"/>
    <w:rsid w:val="00CC7C04"/>
    <w:rsid w:val="00CC7DA8"/>
    <w:rsid w:val="00CD0235"/>
    <w:rsid w:val="00CD0D5F"/>
    <w:rsid w:val="00CD0EC8"/>
    <w:rsid w:val="00CD11CD"/>
    <w:rsid w:val="00CD1395"/>
    <w:rsid w:val="00CD1E47"/>
    <w:rsid w:val="00CD2C57"/>
    <w:rsid w:val="00CD3BA7"/>
    <w:rsid w:val="00CD3D4F"/>
    <w:rsid w:val="00CD3EE0"/>
    <w:rsid w:val="00CD40D5"/>
    <w:rsid w:val="00CD4483"/>
    <w:rsid w:val="00CD466F"/>
    <w:rsid w:val="00CD4670"/>
    <w:rsid w:val="00CD48A3"/>
    <w:rsid w:val="00CD4D1C"/>
    <w:rsid w:val="00CD4D7A"/>
    <w:rsid w:val="00CD52E0"/>
    <w:rsid w:val="00CD571B"/>
    <w:rsid w:val="00CD5828"/>
    <w:rsid w:val="00CD59AA"/>
    <w:rsid w:val="00CD5BDF"/>
    <w:rsid w:val="00CD5C7D"/>
    <w:rsid w:val="00CD62A3"/>
    <w:rsid w:val="00CD6369"/>
    <w:rsid w:val="00CD69BB"/>
    <w:rsid w:val="00CD7496"/>
    <w:rsid w:val="00CD7B69"/>
    <w:rsid w:val="00CD7E6F"/>
    <w:rsid w:val="00CE03A9"/>
    <w:rsid w:val="00CE08EA"/>
    <w:rsid w:val="00CE10C1"/>
    <w:rsid w:val="00CE18DE"/>
    <w:rsid w:val="00CE225D"/>
    <w:rsid w:val="00CE2939"/>
    <w:rsid w:val="00CE29A0"/>
    <w:rsid w:val="00CE311D"/>
    <w:rsid w:val="00CE3232"/>
    <w:rsid w:val="00CE330E"/>
    <w:rsid w:val="00CE3DF2"/>
    <w:rsid w:val="00CE42B9"/>
    <w:rsid w:val="00CE4A53"/>
    <w:rsid w:val="00CE4AC1"/>
    <w:rsid w:val="00CE4BD8"/>
    <w:rsid w:val="00CE4D7E"/>
    <w:rsid w:val="00CE4E4A"/>
    <w:rsid w:val="00CE5B1D"/>
    <w:rsid w:val="00CE5C7C"/>
    <w:rsid w:val="00CE7AEC"/>
    <w:rsid w:val="00CF1D3D"/>
    <w:rsid w:val="00CF1F62"/>
    <w:rsid w:val="00CF29AC"/>
    <w:rsid w:val="00CF2BAA"/>
    <w:rsid w:val="00CF2F34"/>
    <w:rsid w:val="00CF2F98"/>
    <w:rsid w:val="00CF382E"/>
    <w:rsid w:val="00CF3876"/>
    <w:rsid w:val="00CF3CBE"/>
    <w:rsid w:val="00CF6333"/>
    <w:rsid w:val="00CF6AAC"/>
    <w:rsid w:val="00CF6ECD"/>
    <w:rsid w:val="00CF78C4"/>
    <w:rsid w:val="00D00BBB"/>
    <w:rsid w:val="00D00DA5"/>
    <w:rsid w:val="00D013B4"/>
    <w:rsid w:val="00D01543"/>
    <w:rsid w:val="00D01585"/>
    <w:rsid w:val="00D01949"/>
    <w:rsid w:val="00D01AA1"/>
    <w:rsid w:val="00D01D00"/>
    <w:rsid w:val="00D052D1"/>
    <w:rsid w:val="00D05364"/>
    <w:rsid w:val="00D05859"/>
    <w:rsid w:val="00D05C0F"/>
    <w:rsid w:val="00D0616E"/>
    <w:rsid w:val="00D06331"/>
    <w:rsid w:val="00D065F5"/>
    <w:rsid w:val="00D06D26"/>
    <w:rsid w:val="00D06DB8"/>
    <w:rsid w:val="00D0700C"/>
    <w:rsid w:val="00D10153"/>
    <w:rsid w:val="00D102BD"/>
    <w:rsid w:val="00D10980"/>
    <w:rsid w:val="00D114D6"/>
    <w:rsid w:val="00D11FDB"/>
    <w:rsid w:val="00D1219C"/>
    <w:rsid w:val="00D12262"/>
    <w:rsid w:val="00D1249D"/>
    <w:rsid w:val="00D12E17"/>
    <w:rsid w:val="00D12EA2"/>
    <w:rsid w:val="00D1351B"/>
    <w:rsid w:val="00D140C3"/>
    <w:rsid w:val="00D14432"/>
    <w:rsid w:val="00D14720"/>
    <w:rsid w:val="00D14AFE"/>
    <w:rsid w:val="00D14B07"/>
    <w:rsid w:val="00D154F9"/>
    <w:rsid w:val="00D15690"/>
    <w:rsid w:val="00D157C9"/>
    <w:rsid w:val="00D15994"/>
    <w:rsid w:val="00D15A86"/>
    <w:rsid w:val="00D15CBF"/>
    <w:rsid w:val="00D167F6"/>
    <w:rsid w:val="00D16E1A"/>
    <w:rsid w:val="00D171D9"/>
    <w:rsid w:val="00D17A53"/>
    <w:rsid w:val="00D20061"/>
    <w:rsid w:val="00D2116D"/>
    <w:rsid w:val="00D218F2"/>
    <w:rsid w:val="00D2284E"/>
    <w:rsid w:val="00D22DD3"/>
    <w:rsid w:val="00D2309C"/>
    <w:rsid w:val="00D23D75"/>
    <w:rsid w:val="00D2405E"/>
    <w:rsid w:val="00D241F4"/>
    <w:rsid w:val="00D24556"/>
    <w:rsid w:val="00D26345"/>
    <w:rsid w:val="00D26430"/>
    <w:rsid w:val="00D26847"/>
    <w:rsid w:val="00D2695F"/>
    <w:rsid w:val="00D26BD4"/>
    <w:rsid w:val="00D2707E"/>
    <w:rsid w:val="00D307D8"/>
    <w:rsid w:val="00D30E27"/>
    <w:rsid w:val="00D31BEA"/>
    <w:rsid w:val="00D32068"/>
    <w:rsid w:val="00D323C2"/>
    <w:rsid w:val="00D32517"/>
    <w:rsid w:val="00D32FBE"/>
    <w:rsid w:val="00D3300F"/>
    <w:rsid w:val="00D333B8"/>
    <w:rsid w:val="00D34277"/>
    <w:rsid w:val="00D3433F"/>
    <w:rsid w:val="00D344BE"/>
    <w:rsid w:val="00D34502"/>
    <w:rsid w:val="00D348D3"/>
    <w:rsid w:val="00D34A44"/>
    <w:rsid w:val="00D3517D"/>
    <w:rsid w:val="00D35C45"/>
    <w:rsid w:val="00D36439"/>
    <w:rsid w:val="00D368BF"/>
    <w:rsid w:val="00D373C6"/>
    <w:rsid w:val="00D3768D"/>
    <w:rsid w:val="00D404CB"/>
    <w:rsid w:val="00D40708"/>
    <w:rsid w:val="00D4154F"/>
    <w:rsid w:val="00D41FC1"/>
    <w:rsid w:val="00D425B2"/>
    <w:rsid w:val="00D42EFE"/>
    <w:rsid w:val="00D43364"/>
    <w:rsid w:val="00D44492"/>
    <w:rsid w:val="00D447D5"/>
    <w:rsid w:val="00D44AA0"/>
    <w:rsid w:val="00D44EC3"/>
    <w:rsid w:val="00D45168"/>
    <w:rsid w:val="00D45609"/>
    <w:rsid w:val="00D45943"/>
    <w:rsid w:val="00D45D81"/>
    <w:rsid w:val="00D46245"/>
    <w:rsid w:val="00D4626F"/>
    <w:rsid w:val="00D46339"/>
    <w:rsid w:val="00D46E1B"/>
    <w:rsid w:val="00D50A25"/>
    <w:rsid w:val="00D50A3E"/>
    <w:rsid w:val="00D50E84"/>
    <w:rsid w:val="00D5149C"/>
    <w:rsid w:val="00D52C27"/>
    <w:rsid w:val="00D52CA2"/>
    <w:rsid w:val="00D53293"/>
    <w:rsid w:val="00D532E8"/>
    <w:rsid w:val="00D53673"/>
    <w:rsid w:val="00D53ECC"/>
    <w:rsid w:val="00D53EFC"/>
    <w:rsid w:val="00D546AF"/>
    <w:rsid w:val="00D54765"/>
    <w:rsid w:val="00D5500A"/>
    <w:rsid w:val="00D55276"/>
    <w:rsid w:val="00D553B5"/>
    <w:rsid w:val="00D55537"/>
    <w:rsid w:val="00D559D0"/>
    <w:rsid w:val="00D56817"/>
    <w:rsid w:val="00D568CE"/>
    <w:rsid w:val="00D57DF4"/>
    <w:rsid w:val="00D60835"/>
    <w:rsid w:val="00D609B3"/>
    <w:rsid w:val="00D60AA4"/>
    <w:rsid w:val="00D60C5D"/>
    <w:rsid w:val="00D61BA3"/>
    <w:rsid w:val="00D6324F"/>
    <w:rsid w:val="00D63348"/>
    <w:rsid w:val="00D6346F"/>
    <w:rsid w:val="00D63693"/>
    <w:rsid w:val="00D63F28"/>
    <w:rsid w:val="00D642FE"/>
    <w:rsid w:val="00D64318"/>
    <w:rsid w:val="00D64658"/>
    <w:rsid w:val="00D6494B"/>
    <w:rsid w:val="00D64A28"/>
    <w:rsid w:val="00D64C0B"/>
    <w:rsid w:val="00D64E2B"/>
    <w:rsid w:val="00D6510C"/>
    <w:rsid w:val="00D653DC"/>
    <w:rsid w:val="00D65441"/>
    <w:rsid w:val="00D66178"/>
    <w:rsid w:val="00D66241"/>
    <w:rsid w:val="00D66733"/>
    <w:rsid w:val="00D66A44"/>
    <w:rsid w:val="00D670C1"/>
    <w:rsid w:val="00D67651"/>
    <w:rsid w:val="00D676DA"/>
    <w:rsid w:val="00D67DF7"/>
    <w:rsid w:val="00D7033C"/>
    <w:rsid w:val="00D708E3"/>
    <w:rsid w:val="00D71BDA"/>
    <w:rsid w:val="00D71CFE"/>
    <w:rsid w:val="00D71E4B"/>
    <w:rsid w:val="00D71F5C"/>
    <w:rsid w:val="00D7267E"/>
    <w:rsid w:val="00D73501"/>
    <w:rsid w:val="00D74048"/>
    <w:rsid w:val="00D740CD"/>
    <w:rsid w:val="00D74756"/>
    <w:rsid w:val="00D747BD"/>
    <w:rsid w:val="00D74AB1"/>
    <w:rsid w:val="00D7555B"/>
    <w:rsid w:val="00D77474"/>
    <w:rsid w:val="00D775A6"/>
    <w:rsid w:val="00D7763F"/>
    <w:rsid w:val="00D776CE"/>
    <w:rsid w:val="00D77E06"/>
    <w:rsid w:val="00D77FC4"/>
    <w:rsid w:val="00D80012"/>
    <w:rsid w:val="00D8045C"/>
    <w:rsid w:val="00D80617"/>
    <w:rsid w:val="00D80772"/>
    <w:rsid w:val="00D80EF9"/>
    <w:rsid w:val="00D8104F"/>
    <w:rsid w:val="00D81991"/>
    <w:rsid w:val="00D823DC"/>
    <w:rsid w:val="00D8286B"/>
    <w:rsid w:val="00D82B02"/>
    <w:rsid w:val="00D833AF"/>
    <w:rsid w:val="00D835FA"/>
    <w:rsid w:val="00D83734"/>
    <w:rsid w:val="00D838C0"/>
    <w:rsid w:val="00D83BF4"/>
    <w:rsid w:val="00D840A4"/>
    <w:rsid w:val="00D84CA7"/>
    <w:rsid w:val="00D84F6D"/>
    <w:rsid w:val="00D8503F"/>
    <w:rsid w:val="00D85A6E"/>
    <w:rsid w:val="00D85D32"/>
    <w:rsid w:val="00D86A4B"/>
    <w:rsid w:val="00D87379"/>
    <w:rsid w:val="00D879BA"/>
    <w:rsid w:val="00D87A42"/>
    <w:rsid w:val="00D87CAE"/>
    <w:rsid w:val="00D906A7"/>
    <w:rsid w:val="00D90F20"/>
    <w:rsid w:val="00D90F27"/>
    <w:rsid w:val="00D91311"/>
    <w:rsid w:val="00D9170A"/>
    <w:rsid w:val="00D91AEF"/>
    <w:rsid w:val="00D91B57"/>
    <w:rsid w:val="00D91F89"/>
    <w:rsid w:val="00D9205F"/>
    <w:rsid w:val="00D92164"/>
    <w:rsid w:val="00D92E98"/>
    <w:rsid w:val="00D9302A"/>
    <w:rsid w:val="00D93698"/>
    <w:rsid w:val="00D93B40"/>
    <w:rsid w:val="00D93E73"/>
    <w:rsid w:val="00D93F0C"/>
    <w:rsid w:val="00D947CD"/>
    <w:rsid w:val="00D95832"/>
    <w:rsid w:val="00D95A04"/>
    <w:rsid w:val="00D95D68"/>
    <w:rsid w:val="00D95EF2"/>
    <w:rsid w:val="00D963AD"/>
    <w:rsid w:val="00D96FCE"/>
    <w:rsid w:val="00D97546"/>
    <w:rsid w:val="00D97B0F"/>
    <w:rsid w:val="00DA0708"/>
    <w:rsid w:val="00DA0E94"/>
    <w:rsid w:val="00DA1552"/>
    <w:rsid w:val="00DA1656"/>
    <w:rsid w:val="00DA27D4"/>
    <w:rsid w:val="00DA2A30"/>
    <w:rsid w:val="00DA371D"/>
    <w:rsid w:val="00DA439C"/>
    <w:rsid w:val="00DA4B25"/>
    <w:rsid w:val="00DA4CD0"/>
    <w:rsid w:val="00DA5127"/>
    <w:rsid w:val="00DA552D"/>
    <w:rsid w:val="00DA5879"/>
    <w:rsid w:val="00DA589C"/>
    <w:rsid w:val="00DA5924"/>
    <w:rsid w:val="00DA5E73"/>
    <w:rsid w:val="00DA63B2"/>
    <w:rsid w:val="00DA640C"/>
    <w:rsid w:val="00DA6482"/>
    <w:rsid w:val="00DA6992"/>
    <w:rsid w:val="00DA73B3"/>
    <w:rsid w:val="00DA7974"/>
    <w:rsid w:val="00DA7CDF"/>
    <w:rsid w:val="00DA7DB0"/>
    <w:rsid w:val="00DB0092"/>
    <w:rsid w:val="00DB0B6C"/>
    <w:rsid w:val="00DB0CA2"/>
    <w:rsid w:val="00DB0EAE"/>
    <w:rsid w:val="00DB1731"/>
    <w:rsid w:val="00DB1856"/>
    <w:rsid w:val="00DB1A30"/>
    <w:rsid w:val="00DB2219"/>
    <w:rsid w:val="00DB2B69"/>
    <w:rsid w:val="00DB317F"/>
    <w:rsid w:val="00DB3332"/>
    <w:rsid w:val="00DB372C"/>
    <w:rsid w:val="00DB39D9"/>
    <w:rsid w:val="00DB3ADA"/>
    <w:rsid w:val="00DB40BB"/>
    <w:rsid w:val="00DB412C"/>
    <w:rsid w:val="00DB4525"/>
    <w:rsid w:val="00DB4726"/>
    <w:rsid w:val="00DB482A"/>
    <w:rsid w:val="00DB49EB"/>
    <w:rsid w:val="00DB4A50"/>
    <w:rsid w:val="00DB4F84"/>
    <w:rsid w:val="00DB581A"/>
    <w:rsid w:val="00DB583D"/>
    <w:rsid w:val="00DB5C05"/>
    <w:rsid w:val="00DB5DA6"/>
    <w:rsid w:val="00DB5F1C"/>
    <w:rsid w:val="00DB6102"/>
    <w:rsid w:val="00DB6353"/>
    <w:rsid w:val="00DB63B6"/>
    <w:rsid w:val="00DB6614"/>
    <w:rsid w:val="00DB6E5D"/>
    <w:rsid w:val="00DB75C9"/>
    <w:rsid w:val="00DB7F26"/>
    <w:rsid w:val="00DC03DE"/>
    <w:rsid w:val="00DC0AFC"/>
    <w:rsid w:val="00DC0DE3"/>
    <w:rsid w:val="00DC15E4"/>
    <w:rsid w:val="00DC1E54"/>
    <w:rsid w:val="00DC2616"/>
    <w:rsid w:val="00DC2642"/>
    <w:rsid w:val="00DC2A93"/>
    <w:rsid w:val="00DC2BC4"/>
    <w:rsid w:val="00DC32F3"/>
    <w:rsid w:val="00DC3591"/>
    <w:rsid w:val="00DC3F49"/>
    <w:rsid w:val="00DC3F52"/>
    <w:rsid w:val="00DC4F66"/>
    <w:rsid w:val="00DC4FF9"/>
    <w:rsid w:val="00DC5CC9"/>
    <w:rsid w:val="00DC63E2"/>
    <w:rsid w:val="00DC67A5"/>
    <w:rsid w:val="00DC68D7"/>
    <w:rsid w:val="00DC6D58"/>
    <w:rsid w:val="00DC7DD7"/>
    <w:rsid w:val="00DC7EE3"/>
    <w:rsid w:val="00DD0182"/>
    <w:rsid w:val="00DD041D"/>
    <w:rsid w:val="00DD0C7B"/>
    <w:rsid w:val="00DD10EF"/>
    <w:rsid w:val="00DD2281"/>
    <w:rsid w:val="00DD27BD"/>
    <w:rsid w:val="00DD2903"/>
    <w:rsid w:val="00DD39FA"/>
    <w:rsid w:val="00DD4867"/>
    <w:rsid w:val="00DD4BA6"/>
    <w:rsid w:val="00DD4BDF"/>
    <w:rsid w:val="00DD4EDF"/>
    <w:rsid w:val="00DD555E"/>
    <w:rsid w:val="00DD5D05"/>
    <w:rsid w:val="00DD5FC9"/>
    <w:rsid w:val="00DD64C0"/>
    <w:rsid w:val="00DD6C12"/>
    <w:rsid w:val="00DD78F3"/>
    <w:rsid w:val="00DE01BA"/>
    <w:rsid w:val="00DE0AA9"/>
    <w:rsid w:val="00DE0E0F"/>
    <w:rsid w:val="00DE165F"/>
    <w:rsid w:val="00DE1662"/>
    <w:rsid w:val="00DE2005"/>
    <w:rsid w:val="00DE206D"/>
    <w:rsid w:val="00DE2594"/>
    <w:rsid w:val="00DE2762"/>
    <w:rsid w:val="00DE2E84"/>
    <w:rsid w:val="00DE2F1E"/>
    <w:rsid w:val="00DE3479"/>
    <w:rsid w:val="00DE4086"/>
    <w:rsid w:val="00DE44D2"/>
    <w:rsid w:val="00DE4693"/>
    <w:rsid w:val="00DE46CF"/>
    <w:rsid w:val="00DE46FC"/>
    <w:rsid w:val="00DE5215"/>
    <w:rsid w:val="00DE5260"/>
    <w:rsid w:val="00DE57A2"/>
    <w:rsid w:val="00DE5DEC"/>
    <w:rsid w:val="00DE6B95"/>
    <w:rsid w:val="00DE743A"/>
    <w:rsid w:val="00DE7491"/>
    <w:rsid w:val="00DE74B7"/>
    <w:rsid w:val="00DE7678"/>
    <w:rsid w:val="00DE7685"/>
    <w:rsid w:val="00DE7C73"/>
    <w:rsid w:val="00DE7E83"/>
    <w:rsid w:val="00DE7EAD"/>
    <w:rsid w:val="00DF0107"/>
    <w:rsid w:val="00DF02F5"/>
    <w:rsid w:val="00DF0339"/>
    <w:rsid w:val="00DF09FD"/>
    <w:rsid w:val="00DF0DA9"/>
    <w:rsid w:val="00DF19B5"/>
    <w:rsid w:val="00DF1C7A"/>
    <w:rsid w:val="00DF227C"/>
    <w:rsid w:val="00DF3619"/>
    <w:rsid w:val="00DF3747"/>
    <w:rsid w:val="00DF3C54"/>
    <w:rsid w:val="00DF3CE8"/>
    <w:rsid w:val="00DF3F52"/>
    <w:rsid w:val="00DF45B2"/>
    <w:rsid w:val="00DF4763"/>
    <w:rsid w:val="00DF4B2A"/>
    <w:rsid w:val="00DF4C62"/>
    <w:rsid w:val="00DF4EAB"/>
    <w:rsid w:val="00DF65CF"/>
    <w:rsid w:val="00DF6908"/>
    <w:rsid w:val="00DF690C"/>
    <w:rsid w:val="00DF7112"/>
    <w:rsid w:val="00DF7145"/>
    <w:rsid w:val="00DF797F"/>
    <w:rsid w:val="00DF7E00"/>
    <w:rsid w:val="00DF7FBE"/>
    <w:rsid w:val="00E000FE"/>
    <w:rsid w:val="00E0036F"/>
    <w:rsid w:val="00E0126D"/>
    <w:rsid w:val="00E01612"/>
    <w:rsid w:val="00E0196F"/>
    <w:rsid w:val="00E026D3"/>
    <w:rsid w:val="00E02C69"/>
    <w:rsid w:val="00E02DF8"/>
    <w:rsid w:val="00E0361E"/>
    <w:rsid w:val="00E04224"/>
    <w:rsid w:val="00E049C5"/>
    <w:rsid w:val="00E04A17"/>
    <w:rsid w:val="00E0539C"/>
    <w:rsid w:val="00E05E3A"/>
    <w:rsid w:val="00E06072"/>
    <w:rsid w:val="00E063BF"/>
    <w:rsid w:val="00E064D1"/>
    <w:rsid w:val="00E06A91"/>
    <w:rsid w:val="00E06EBD"/>
    <w:rsid w:val="00E07942"/>
    <w:rsid w:val="00E07AD4"/>
    <w:rsid w:val="00E07C80"/>
    <w:rsid w:val="00E07E8B"/>
    <w:rsid w:val="00E109C7"/>
    <w:rsid w:val="00E10D79"/>
    <w:rsid w:val="00E10E73"/>
    <w:rsid w:val="00E10F28"/>
    <w:rsid w:val="00E11F1C"/>
    <w:rsid w:val="00E12EB0"/>
    <w:rsid w:val="00E13620"/>
    <w:rsid w:val="00E13ADB"/>
    <w:rsid w:val="00E13D12"/>
    <w:rsid w:val="00E141C7"/>
    <w:rsid w:val="00E14581"/>
    <w:rsid w:val="00E14B44"/>
    <w:rsid w:val="00E14BEC"/>
    <w:rsid w:val="00E15670"/>
    <w:rsid w:val="00E157ED"/>
    <w:rsid w:val="00E157F2"/>
    <w:rsid w:val="00E15B46"/>
    <w:rsid w:val="00E15DC2"/>
    <w:rsid w:val="00E16030"/>
    <w:rsid w:val="00E16235"/>
    <w:rsid w:val="00E16B9D"/>
    <w:rsid w:val="00E172C3"/>
    <w:rsid w:val="00E17D28"/>
    <w:rsid w:val="00E2006E"/>
    <w:rsid w:val="00E2027E"/>
    <w:rsid w:val="00E2085C"/>
    <w:rsid w:val="00E20E94"/>
    <w:rsid w:val="00E210ED"/>
    <w:rsid w:val="00E213E4"/>
    <w:rsid w:val="00E214B5"/>
    <w:rsid w:val="00E21691"/>
    <w:rsid w:val="00E21FC4"/>
    <w:rsid w:val="00E22558"/>
    <w:rsid w:val="00E22865"/>
    <w:rsid w:val="00E237D6"/>
    <w:rsid w:val="00E23A41"/>
    <w:rsid w:val="00E23BE9"/>
    <w:rsid w:val="00E23C64"/>
    <w:rsid w:val="00E2407E"/>
    <w:rsid w:val="00E2454E"/>
    <w:rsid w:val="00E25866"/>
    <w:rsid w:val="00E25E32"/>
    <w:rsid w:val="00E25E44"/>
    <w:rsid w:val="00E2637E"/>
    <w:rsid w:val="00E27B09"/>
    <w:rsid w:val="00E301FE"/>
    <w:rsid w:val="00E303FE"/>
    <w:rsid w:val="00E30717"/>
    <w:rsid w:val="00E307A7"/>
    <w:rsid w:val="00E3084C"/>
    <w:rsid w:val="00E31B30"/>
    <w:rsid w:val="00E31F80"/>
    <w:rsid w:val="00E326CD"/>
    <w:rsid w:val="00E32EC2"/>
    <w:rsid w:val="00E33AE8"/>
    <w:rsid w:val="00E33BC3"/>
    <w:rsid w:val="00E3422C"/>
    <w:rsid w:val="00E342FE"/>
    <w:rsid w:val="00E35389"/>
    <w:rsid w:val="00E35AFB"/>
    <w:rsid w:val="00E35B09"/>
    <w:rsid w:val="00E35DDE"/>
    <w:rsid w:val="00E3665C"/>
    <w:rsid w:val="00E3675A"/>
    <w:rsid w:val="00E3700A"/>
    <w:rsid w:val="00E37053"/>
    <w:rsid w:val="00E374B2"/>
    <w:rsid w:val="00E375A6"/>
    <w:rsid w:val="00E3764F"/>
    <w:rsid w:val="00E37B59"/>
    <w:rsid w:val="00E37D2B"/>
    <w:rsid w:val="00E401FE"/>
    <w:rsid w:val="00E4060E"/>
    <w:rsid w:val="00E4096C"/>
    <w:rsid w:val="00E414C2"/>
    <w:rsid w:val="00E41BBE"/>
    <w:rsid w:val="00E41D4D"/>
    <w:rsid w:val="00E41E3B"/>
    <w:rsid w:val="00E4315D"/>
    <w:rsid w:val="00E4372B"/>
    <w:rsid w:val="00E447DD"/>
    <w:rsid w:val="00E44B57"/>
    <w:rsid w:val="00E44E06"/>
    <w:rsid w:val="00E44F1C"/>
    <w:rsid w:val="00E460B6"/>
    <w:rsid w:val="00E46178"/>
    <w:rsid w:val="00E47038"/>
    <w:rsid w:val="00E473EF"/>
    <w:rsid w:val="00E476BD"/>
    <w:rsid w:val="00E47D9B"/>
    <w:rsid w:val="00E47F99"/>
    <w:rsid w:val="00E5002F"/>
    <w:rsid w:val="00E512CB"/>
    <w:rsid w:val="00E51CAF"/>
    <w:rsid w:val="00E52829"/>
    <w:rsid w:val="00E52900"/>
    <w:rsid w:val="00E52C65"/>
    <w:rsid w:val="00E52FBF"/>
    <w:rsid w:val="00E533D5"/>
    <w:rsid w:val="00E533F3"/>
    <w:rsid w:val="00E534A4"/>
    <w:rsid w:val="00E534ED"/>
    <w:rsid w:val="00E53C91"/>
    <w:rsid w:val="00E542DE"/>
    <w:rsid w:val="00E5460F"/>
    <w:rsid w:val="00E54A65"/>
    <w:rsid w:val="00E54E09"/>
    <w:rsid w:val="00E5534F"/>
    <w:rsid w:val="00E55948"/>
    <w:rsid w:val="00E5594B"/>
    <w:rsid w:val="00E564B6"/>
    <w:rsid w:val="00E56B92"/>
    <w:rsid w:val="00E56EF4"/>
    <w:rsid w:val="00E5778A"/>
    <w:rsid w:val="00E61100"/>
    <w:rsid w:val="00E62437"/>
    <w:rsid w:val="00E626EF"/>
    <w:rsid w:val="00E62CF0"/>
    <w:rsid w:val="00E6353F"/>
    <w:rsid w:val="00E63630"/>
    <w:rsid w:val="00E6395E"/>
    <w:rsid w:val="00E63E0C"/>
    <w:rsid w:val="00E63EFC"/>
    <w:rsid w:val="00E64113"/>
    <w:rsid w:val="00E64220"/>
    <w:rsid w:val="00E6480F"/>
    <w:rsid w:val="00E64C96"/>
    <w:rsid w:val="00E64D3C"/>
    <w:rsid w:val="00E6511E"/>
    <w:rsid w:val="00E65620"/>
    <w:rsid w:val="00E65BA6"/>
    <w:rsid w:val="00E65FA4"/>
    <w:rsid w:val="00E66E45"/>
    <w:rsid w:val="00E670FF"/>
    <w:rsid w:val="00E67D96"/>
    <w:rsid w:val="00E703D2"/>
    <w:rsid w:val="00E70704"/>
    <w:rsid w:val="00E714CA"/>
    <w:rsid w:val="00E71FF1"/>
    <w:rsid w:val="00E723D1"/>
    <w:rsid w:val="00E72692"/>
    <w:rsid w:val="00E72805"/>
    <w:rsid w:val="00E72CA9"/>
    <w:rsid w:val="00E73199"/>
    <w:rsid w:val="00E731CB"/>
    <w:rsid w:val="00E7353D"/>
    <w:rsid w:val="00E73CB5"/>
    <w:rsid w:val="00E74078"/>
    <w:rsid w:val="00E74882"/>
    <w:rsid w:val="00E748CD"/>
    <w:rsid w:val="00E7533A"/>
    <w:rsid w:val="00E75B6F"/>
    <w:rsid w:val="00E75E22"/>
    <w:rsid w:val="00E765CA"/>
    <w:rsid w:val="00E76839"/>
    <w:rsid w:val="00E76CA9"/>
    <w:rsid w:val="00E76D9B"/>
    <w:rsid w:val="00E76DC1"/>
    <w:rsid w:val="00E77520"/>
    <w:rsid w:val="00E77B7F"/>
    <w:rsid w:val="00E77BED"/>
    <w:rsid w:val="00E80460"/>
    <w:rsid w:val="00E80AE1"/>
    <w:rsid w:val="00E8108E"/>
    <w:rsid w:val="00E81207"/>
    <w:rsid w:val="00E816E0"/>
    <w:rsid w:val="00E82EC5"/>
    <w:rsid w:val="00E83056"/>
    <w:rsid w:val="00E831AD"/>
    <w:rsid w:val="00E83ED8"/>
    <w:rsid w:val="00E84554"/>
    <w:rsid w:val="00E84979"/>
    <w:rsid w:val="00E85254"/>
    <w:rsid w:val="00E85A27"/>
    <w:rsid w:val="00E85C5C"/>
    <w:rsid w:val="00E85D1B"/>
    <w:rsid w:val="00E85F99"/>
    <w:rsid w:val="00E86181"/>
    <w:rsid w:val="00E8710A"/>
    <w:rsid w:val="00E871BA"/>
    <w:rsid w:val="00E875D1"/>
    <w:rsid w:val="00E87C24"/>
    <w:rsid w:val="00E87C60"/>
    <w:rsid w:val="00E87D3E"/>
    <w:rsid w:val="00E901CA"/>
    <w:rsid w:val="00E90284"/>
    <w:rsid w:val="00E91B31"/>
    <w:rsid w:val="00E925A1"/>
    <w:rsid w:val="00E92646"/>
    <w:rsid w:val="00E92A91"/>
    <w:rsid w:val="00E9310D"/>
    <w:rsid w:val="00E938EB"/>
    <w:rsid w:val="00E93A8D"/>
    <w:rsid w:val="00E93C93"/>
    <w:rsid w:val="00E93D3F"/>
    <w:rsid w:val="00E944B9"/>
    <w:rsid w:val="00E949E0"/>
    <w:rsid w:val="00E94AF5"/>
    <w:rsid w:val="00E94B23"/>
    <w:rsid w:val="00E95017"/>
    <w:rsid w:val="00E9543A"/>
    <w:rsid w:val="00E95BC7"/>
    <w:rsid w:val="00E9638E"/>
    <w:rsid w:val="00E968B7"/>
    <w:rsid w:val="00E96AA4"/>
    <w:rsid w:val="00E96B49"/>
    <w:rsid w:val="00E96B7D"/>
    <w:rsid w:val="00E97649"/>
    <w:rsid w:val="00E97724"/>
    <w:rsid w:val="00E97FF2"/>
    <w:rsid w:val="00EA0CE3"/>
    <w:rsid w:val="00EA0F72"/>
    <w:rsid w:val="00EA1F2D"/>
    <w:rsid w:val="00EA22BF"/>
    <w:rsid w:val="00EA235D"/>
    <w:rsid w:val="00EA25B8"/>
    <w:rsid w:val="00EA2BA5"/>
    <w:rsid w:val="00EA2BD1"/>
    <w:rsid w:val="00EA30C8"/>
    <w:rsid w:val="00EA3150"/>
    <w:rsid w:val="00EA3CCF"/>
    <w:rsid w:val="00EA3E66"/>
    <w:rsid w:val="00EA43BD"/>
    <w:rsid w:val="00EA43C4"/>
    <w:rsid w:val="00EA46DA"/>
    <w:rsid w:val="00EA4A45"/>
    <w:rsid w:val="00EA508C"/>
    <w:rsid w:val="00EA535E"/>
    <w:rsid w:val="00EA53B2"/>
    <w:rsid w:val="00EA57BB"/>
    <w:rsid w:val="00EA727F"/>
    <w:rsid w:val="00EA7CE4"/>
    <w:rsid w:val="00EA7E2D"/>
    <w:rsid w:val="00EA7FB8"/>
    <w:rsid w:val="00EB00DE"/>
    <w:rsid w:val="00EB0A1A"/>
    <w:rsid w:val="00EB0E16"/>
    <w:rsid w:val="00EB0FBA"/>
    <w:rsid w:val="00EB10CE"/>
    <w:rsid w:val="00EB119E"/>
    <w:rsid w:val="00EB11C3"/>
    <w:rsid w:val="00EB1328"/>
    <w:rsid w:val="00EB13D2"/>
    <w:rsid w:val="00EB141E"/>
    <w:rsid w:val="00EB149A"/>
    <w:rsid w:val="00EB16A8"/>
    <w:rsid w:val="00EB19F8"/>
    <w:rsid w:val="00EB1F99"/>
    <w:rsid w:val="00EB2072"/>
    <w:rsid w:val="00EB2096"/>
    <w:rsid w:val="00EB2161"/>
    <w:rsid w:val="00EB237F"/>
    <w:rsid w:val="00EB2473"/>
    <w:rsid w:val="00EB2614"/>
    <w:rsid w:val="00EB2DE8"/>
    <w:rsid w:val="00EB395A"/>
    <w:rsid w:val="00EB3A97"/>
    <w:rsid w:val="00EB3D0E"/>
    <w:rsid w:val="00EB3FA9"/>
    <w:rsid w:val="00EB4550"/>
    <w:rsid w:val="00EB468E"/>
    <w:rsid w:val="00EB4E41"/>
    <w:rsid w:val="00EB6161"/>
    <w:rsid w:val="00EB62E5"/>
    <w:rsid w:val="00EB66A3"/>
    <w:rsid w:val="00EB69CC"/>
    <w:rsid w:val="00EB6A29"/>
    <w:rsid w:val="00EB6ABF"/>
    <w:rsid w:val="00EC03FC"/>
    <w:rsid w:val="00EC06DC"/>
    <w:rsid w:val="00EC07CC"/>
    <w:rsid w:val="00EC0F26"/>
    <w:rsid w:val="00EC2000"/>
    <w:rsid w:val="00EC201F"/>
    <w:rsid w:val="00EC2165"/>
    <w:rsid w:val="00EC282B"/>
    <w:rsid w:val="00EC2A83"/>
    <w:rsid w:val="00EC2AC9"/>
    <w:rsid w:val="00EC2F7A"/>
    <w:rsid w:val="00EC3FFC"/>
    <w:rsid w:val="00EC4D8D"/>
    <w:rsid w:val="00EC5337"/>
    <w:rsid w:val="00EC55DF"/>
    <w:rsid w:val="00EC564D"/>
    <w:rsid w:val="00EC5EC9"/>
    <w:rsid w:val="00EC6342"/>
    <w:rsid w:val="00EC6AD2"/>
    <w:rsid w:val="00EC76CF"/>
    <w:rsid w:val="00ED0615"/>
    <w:rsid w:val="00ED07F9"/>
    <w:rsid w:val="00ED09A2"/>
    <w:rsid w:val="00ED0BB4"/>
    <w:rsid w:val="00ED0CBF"/>
    <w:rsid w:val="00ED1757"/>
    <w:rsid w:val="00ED180E"/>
    <w:rsid w:val="00ED1C33"/>
    <w:rsid w:val="00ED20B2"/>
    <w:rsid w:val="00ED2164"/>
    <w:rsid w:val="00ED22D3"/>
    <w:rsid w:val="00ED2579"/>
    <w:rsid w:val="00ED2D28"/>
    <w:rsid w:val="00ED30DA"/>
    <w:rsid w:val="00ED3544"/>
    <w:rsid w:val="00ED383B"/>
    <w:rsid w:val="00ED3B6E"/>
    <w:rsid w:val="00ED40F0"/>
    <w:rsid w:val="00ED4340"/>
    <w:rsid w:val="00ED5885"/>
    <w:rsid w:val="00ED58B1"/>
    <w:rsid w:val="00ED5A87"/>
    <w:rsid w:val="00ED5E42"/>
    <w:rsid w:val="00ED6042"/>
    <w:rsid w:val="00ED685A"/>
    <w:rsid w:val="00ED6ADF"/>
    <w:rsid w:val="00ED737A"/>
    <w:rsid w:val="00ED7867"/>
    <w:rsid w:val="00ED7964"/>
    <w:rsid w:val="00EE0D19"/>
    <w:rsid w:val="00EE2370"/>
    <w:rsid w:val="00EE34B4"/>
    <w:rsid w:val="00EE44DF"/>
    <w:rsid w:val="00EE4A0C"/>
    <w:rsid w:val="00EE5973"/>
    <w:rsid w:val="00EE5E3D"/>
    <w:rsid w:val="00EE695C"/>
    <w:rsid w:val="00EE6B92"/>
    <w:rsid w:val="00EF003B"/>
    <w:rsid w:val="00EF0A02"/>
    <w:rsid w:val="00EF0E6F"/>
    <w:rsid w:val="00EF0F03"/>
    <w:rsid w:val="00EF1055"/>
    <w:rsid w:val="00EF127C"/>
    <w:rsid w:val="00EF136B"/>
    <w:rsid w:val="00EF222D"/>
    <w:rsid w:val="00EF265B"/>
    <w:rsid w:val="00EF27E1"/>
    <w:rsid w:val="00EF2BA9"/>
    <w:rsid w:val="00EF3244"/>
    <w:rsid w:val="00EF3718"/>
    <w:rsid w:val="00EF3848"/>
    <w:rsid w:val="00EF44CC"/>
    <w:rsid w:val="00EF4845"/>
    <w:rsid w:val="00EF4862"/>
    <w:rsid w:val="00EF4A9F"/>
    <w:rsid w:val="00EF4B35"/>
    <w:rsid w:val="00EF5A00"/>
    <w:rsid w:val="00EF63CF"/>
    <w:rsid w:val="00EF66DC"/>
    <w:rsid w:val="00EF66FE"/>
    <w:rsid w:val="00EF6E9F"/>
    <w:rsid w:val="00EF7F32"/>
    <w:rsid w:val="00F00409"/>
    <w:rsid w:val="00F00AEE"/>
    <w:rsid w:val="00F00D70"/>
    <w:rsid w:val="00F0230E"/>
    <w:rsid w:val="00F0243D"/>
    <w:rsid w:val="00F02B61"/>
    <w:rsid w:val="00F030D8"/>
    <w:rsid w:val="00F045D4"/>
    <w:rsid w:val="00F049F9"/>
    <w:rsid w:val="00F069F0"/>
    <w:rsid w:val="00F06B7B"/>
    <w:rsid w:val="00F07047"/>
    <w:rsid w:val="00F07227"/>
    <w:rsid w:val="00F0723F"/>
    <w:rsid w:val="00F1032F"/>
    <w:rsid w:val="00F10547"/>
    <w:rsid w:val="00F106E1"/>
    <w:rsid w:val="00F108ED"/>
    <w:rsid w:val="00F10EA6"/>
    <w:rsid w:val="00F1168E"/>
    <w:rsid w:val="00F11902"/>
    <w:rsid w:val="00F11F6E"/>
    <w:rsid w:val="00F127D8"/>
    <w:rsid w:val="00F12DC9"/>
    <w:rsid w:val="00F12E9F"/>
    <w:rsid w:val="00F12F34"/>
    <w:rsid w:val="00F130CC"/>
    <w:rsid w:val="00F13425"/>
    <w:rsid w:val="00F1387C"/>
    <w:rsid w:val="00F13A93"/>
    <w:rsid w:val="00F13CEC"/>
    <w:rsid w:val="00F145E9"/>
    <w:rsid w:val="00F14E77"/>
    <w:rsid w:val="00F14F24"/>
    <w:rsid w:val="00F15428"/>
    <w:rsid w:val="00F16124"/>
    <w:rsid w:val="00F168A6"/>
    <w:rsid w:val="00F1699E"/>
    <w:rsid w:val="00F1794C"/>
    <w:rsid w:val="00F20ABA"/>
    <w:rsid w:val="00F20EA2"/>
    <w:rsid w:val="00F2126F"/>
    <w:rsid w:val="00F2138C"/>
    <w:rsid w:val="00F215C2"/>
    <w:rsid w:val="00F217D3"/>
    <w:rsid w:val="00F21900"/>
    <w:rsid w:val="00F21F10"/>
    <w:rsid w:val="00F236D9"/>
    <w:rsid w:val="00F23978"/>
    <w:rsid w:val="00F23A90"/>
    <w:rsid w:val="00F24221"/>
    <w:rsid w:val="00F24295"/>
    <w:rsid w:val="00F24708"/>
    <w:rsid w:val="00F24740"/>
    <w:rsid w:val="00F24E40"/>
    <w:rsid w:val="00F2535A"/>
    <w:rsid w:val="00F2568A"/>
    <w:rsid w:val="00F2569E"/>
    <w:rsid w:val="00F25746"/>
    <w:rsid w:val="00F25C0C"/>
    <w:rsid w:val="00F26176"/>
    <w:rsid w:val="00F2656A"/>
    <w:rsid w:val="00F26A5C"/>
    <w:rsid w:val="00F26A68"/>
    <w:rsid w:val="00F26D42"/>
    <w:rsid w:val="00F272A0"/>
    <w:rsid w:val="00F30500"/>
    <w:rsid w:val="00F306ED"/>
    <w:rsid w:val="00F307ED"/>
    <w:rsid w:val="00F30D01"/>
    <w:rsid w:val="00F31236"/>
    <w:rsid w:val="00F315EA"/>
    <w:rsid w:val="00F31649"/>
    <w:rsid w:val="00F323D0"/>
    <w:rsid w:val="00F326A7"/>
    <w:rsid w:val="00F32970"/>
    <w:rsid w:val="00F32EB2"/>
    <w:rsid w:val="00F3310F"/>
    <w:rsid w:val="00F334C2"/>
    <w:rsid w:val="00F33837"/>
    <w:rsid w:val="00F33955"/>
    <w:rsid w:val="00F33F7B"/>
    <w:rsid w:val="00F345D9"/>
    <w:rsid w:val="00F348BA"/>
    <w:rsid w:val="00F348FD"/>
    <w:rsid w:val="00F34A2C"/>
    <w:rsid w:val="00F34C9E"/>
    <w:rsid w:val="00F3594B"/>
    <w:rsid w:val="00F35EDE"/>
    <w:rsid w:val="00F35EE6"/>
    <w:rsid w:val="00F361D7"/>
    <w:rsid w:val="00F36E9C"/>
    <w:rsid w:val="00F37468"/>
    <w:rsid w:val="00F40316"/>
    <w:rsid w:val="00F40890"/>
    <w:rsid w:val="00F40D9F"/>
    <w:rsid w:val="00F42076"/>
    <w:rsid w:val="00F42879"/>
    <w:rsid w:val="00F42976"/>
    <w:rsid w:val="00F433F1"/>
    <w:rsid w:val="00F44C60"/>
    <w:rsid w:val="00F44DDD"/>
    <w:rsid w:val="00F454C2"/>
    <w:rsid w:val="00F4560D"/>
    <w:rsid w:val="00F45680"/>
    <w:rsid w:val="00F45990"/>
    <w:rsid w:val="00F459E2"/>
    <w:rsid w:val="00F45B90"/>
    <w:rsid w:val="00F46464"/>
    <w:rsid w:val="00F465C8"/>
    <w:rsid w:val="00F46B87"/>
    <w:rsid w:val="00F46EEA"/>
    <w:rsid w:val="00F46F46"/>
    <w:rsid w:val="00F50477"/>
    <w:rsid w:val="00F50D51"/>
    <w:rsid w:val="00F530A4"/>
    <w:rsid w:val="00F531AD"/>
    <w:rsid w:val="00F53E23"/>
    <w:rsid w:val="00F5495F"/>
    <w:rsid w:val="00F55C49"/>
    <w:rsid w:val="00F55ECB"/>
    <w:rsid w:val="00F564E9"/>
    <w:rsid w:val="00F56803"/>
    <w:rsid w:val="00F577F3"/>
    <w:rsid w:val="00F57D4D"/>
    <w:rsid w:val="00F57E74"/>
    <w:rsid w:val="00F60FD6"/>
    <w:rsid w:val="00F61394"/>
    <w:rsid w:val="00F62D4A"/>
    <w:rsid w:val="00F643D4"/>
    <w:rsid w:val="00F648D2"/>
    <w:rsid w:val="00F64CCD"/>
    <w:rsid w:val="00F657AF"/>
    <w:rsid w:val="00F6589B"/>
    <w:rsid w:val="00F65912"/>
    <w:rsid w:val="00F65B33"/>
    <w:rsid w:val="00F6655D"/>
    <w:rsid w:val="00F66A35"/>
    <w:rsid w:val="00F66A44"/>
    <w:rsid w:val="00F66D0C"/>
    <w:rsid w:val="00F6746F"/>
    <w:rsid w:val="00F674CA"/>
    <w:rsid w:val="00F676D5"/>
    <w:rsid w:val="00F67939"/>
    <w:rsid w:val="00F70460"/>
    <w:rsid w:val="00F70D54"/>
    <w:rsid w:val="00F70DB6"/>
    <w:rsid w:val="00F712CB"/>
    <w:rsid w:val="00F71BD0"/>
    <w:rsid w:val="00F72465"/>
    <w:rsid w:val="00F7280D"/>
    <w:rsid w:val="00F72A2F"/>
    <w:rsid w:val="00F731D9"/>
    <w:rsid w:val="00F732E9"/>
    <w:rsid w:val="00F73529"/>
    <w:rsid w:val="00F73573"/>
    <w:rsid w:val="00F73BFE"/>
    <w:rsid w:val="00F74A26"/>
    <w:rsid w:val="00F75AC1"/>
    <w:rsid w:val="00F75C77"/>
    <w:rsid w:val="00F76DC5"/>
    <w:rsid w:val="00F76FE4"/>
    <w:rsid w:val="00F77173"/>
    <w:rsid w:val="00F7729E"/>
    <w:rsid w:val="00F80993"/>
    <w:rsid w:val="00F81C2D"/>
    <w:rsid w:val="00F81C94"/>
    <w:rsid w:val="00F81F0C"/>
    <w:rsid w:val="00F82B5A"/>
    <w:rsid w:val="00F83469"/>
    <w:rsid w:val="00F834B2"/>
    <w:rsid w:val="00F8360C"/>
    <w:rsid w:val="00F83C85"/>
    <w:rsid w:val="00F847CE"/>
    <w:rsid w:val="00F84894"/>
    <w:rsid w:val="00F85A3C"/>
    <w:rsid w:val="00F8632F"/>
    <w:rsid w:val="00F867C0"/>
    <w:rsid w:val="00F86AD5"/>
    <w:rsid w:val="00F8713A"/>
    <w:rsid w:val="00F87368"/>
    <w:rsid w:val="00F87CB9"/>
    <w:rsid w:val="00F90469"/>
    <w:rsid w:val="00F908CA"/>
    <w:rsid w:val="00F90965"/>
    <w:rsid w:val="00F90A88"/>
    <w:rsid w:val="00F90EDB"/>
    <w:rsid w:val="00F91278"/>
    <w:rsid w:val="00F91353"/>
    <w:rsid w:val="00F91A57"/>
    <w:rsid w:val="00F9273C"/>
    <w:rsid w:val="00F92C0C"/>
    <w:rsid w:val="00F92F47"/>
    <w:rsid w:val="00F931EA"/>
    <w:rsid w:val="00F93255"/>
    <w:rsid w:val="00F9338C"/>
    <w:rsid w:val="00F93699"/>
    <w:rsid w:val="00F93738"/>
    <w:rsid w:val="00F93BEC"/>
    <w:rsid w:val="00F94269"/>
    <w:rsid w:val="00F94D7A"/>
    <w:rsid w:val="00F94F21"/>
    <w:rsid w:val="00F953B9"/>
    <w:rsid w:val="00F9545E"/>
    <w:rsid w:val="00F95905"/>
    <w:rsid w:val="00F96308"/>
    <w:rsid w:val="00F96641"/>
    <w:rsid w:val="00F96D68"/>
    <w:rsid w:val="00F97514"/>
    <w:rsid w:val="00F97571"/>
    <w:rsid w:val="00F97E07"/>
    <w:rsid w:val="00FA0844"/>
    <w:rsid w:val="00FA0D4C"/>
    <w:rsid w:val="00FA11D5"/>
    <w:rsid w:val="00FA1B69"/>
    <w:rsid w:val="00FA23B0"/>
    <w:rsid w:val="00FA2797"/>
    <w:rsid w:val="00FA2BFD"/>
    <w:rsid w:val="00FA2D32"/>
    <w:rsid w:val="00FA31C8"/>
    <w:rsid w:val="00FA34B9"/>
    <w:rsid w:val="00FA3A49"/>
    <w:rsid w:val="00FA40E5"/>
    <w:rsid w:val="00FA4174"/>
    <w:rsid w:val="00FA494F"/>
    <w:rsid w:val="00FA585F"/>
    <w:rsid w:val="00FA5D92"/>
    <w:rsid w:val="00FA6297"/>
    <w:rsid w:val="00FA6DE2"/>
    <w:rsid w:val="00FA7A33"/>
    <w:rsid w:val="00FA7E23"/>
    <w:rsid w:val="00FA7E5E"/>
    <w:rsid w:val="00FA7FF7"/>
    <w:rsid w:val="00FB083E"/>
    <w:rsid w:val="00FB0CC1"/>
    <w:rsid w:val="00FB13BC"/>
    <w:rsid w:val="00FB186F"/>
    <w:rsid w:val="00FB197B"/>
    <w:rsid w:val="00FB1A9F"/>
    <w:rsid w:val="00FB1CC3"/>
    <w:rsid w:val="00FB3C9A"/>
    <w:rsid w:val="00FB444F"/>
    <w:rsid w:val="00FB45E6"/>
    <w:rsid w:val="00FB460F"/>
    <w:rsid w:val="00FB473B"/>
    <w:rsid w:val="00FB489B"/>
    <w:rsid w:val="00FB5439"/>
    <w:rsid w:val="00FB5734"/>
    <w:rsid w:val="00FB5A88"/>
    <w:rsid w:val="00FB5A9A"/>
    <w:rsid w:val="00FB5AC1"/>
    <w:rsid w:val="00FB5B76"/>
    <w:rsid w:val="00FB60E1"/>
    <w:rsid w:val="00FB6B1A"/>
    <w:rsid w:val="00FB6C63"/>
    <w:rsid w:val="00FB7A68"/>
    <w:rsid w:val="00FB7DD1"/>
    <w:rsid w:val="00FB7EEB"/>
    <w:rsid w:val="00FC0B06"/>
    <w:rsid w:val="00FC144A"/>
    <w:rsid w:val="00FC176C"/>
    <w:rsid w:val="00FC1821"/>
    <w:rsid w:val="00FC2971"/>
    <w:rsid w:val="00FC2CBD"/>
    <w:rsid w:val="00FC2E63"/>
    <w:rsid w:val="00FC3639"/>
    <w:rsid w:val="00FC39C6"/>
    <w:rsid w:val="00FC4FEE"/>
    <w:rsid w:val="00FC515B"/>
    <w:rsid w:val="00FC56CD"/>
    <w:rsid w:val="00FC58A9"/>
    <w:rsid w:val="00FC5D58"/>
    <w:rsid w:val="00FC5D91"/>
    <w:rsid w:val="00FC61C2"/>
    <w:rsid w:val="00FC6C21"/>
    <w:rsid w:val="00FC741D"/>
    <w:rsid w:val="00FC7550"/>
    <w:rsid w:val="00FC7CE5"/>
    <w:rsid w:val="00FC7FEB"/>
    <w:rsid w:val="00FD0570"/>
    <w:rsid w:val="00FD0810"/>
    <w:rsid w:val="00FD0DA1"/>
    <w:rsid w:val="00FD1083"/>
    <w:rsid w:val="00FD29B9"/>
    <w:rsid w:val="00FD32BA"/>
    <w:rsid w:val="00FD3CCD"/>
    <w:rsid w:val="00FD40ED"/>
    <w:rsid w:val="00FD62E7"/>
    <w:rsid w:val="00FD6A66"/>
    <w:rsid w:val="00FD6E0A"/>
    <w:rsid w:val="00FD7DDD"/>
    <w:rsid w:val="00FDB579"/>
    <w:rsid w:val="00FE0213"/>
    <w:rsid w:val="00FE05F7"/>
    <w:rsid w:val="00FE1322"/>
    <w:rsid w:val="00FE132C"/>
    <w:rsid w:val="00FE1802"/>
    <w:rsid w:val="00FE1D79"/>
    <w:rsid w:val="00FE1DFB"/>
    <w:rsid w:val="00FE2070"/>
    <w:rsid w:val="00FE2162"/>
    <w:rsid w:val="00FE2422"/>
    <w:rsid w:val="00FE252D"/>
    <w:rsid w:val="00FE3FCC"/>
    <w:rsid w:val="00FE408A"/>
    <w:rsid w:val="00FE4302"/>
    <w:rsid w:val="00FE47B2"/>
    <w:rsid w:val="00FE480C"/>
    <w:rsid w:val="00FE5594"/>
    <w:rsid w:val="00FE564E"/>
    <w:rsid w:val="00FE59B1"/>
    <w:rsid w:val="00FE6594"/>
    <w:rsid w:val="00FE65A3"/>
    <w:rsid w:val="00FE716A"/>
    <w:rsid w:val="00FE7B49"/>
    <w:rsid w:val="00FE7FAC"/>
    <w:rsid w:val="00FF018B"/>
    <w:rsid w:val="00FF0AFD"/>
    <w:rsid w:val="00FF0BF7"/>
    <w:rsid w:val="00FF0F67"/>
    <w:rsid w:val="00FF111F"/>
    <w:rsid w:val="00FF117D"/>
    <w:rsid w:val="00FF2419"/>
    <w:rsid w:val="00FF2476"/>
    <w:rsid w:val="00FF25C9"/>
    <w:rsid w:val="00FF271D"/>
    <w:rsid w:val="00FF2F3A"/>
    <w:rsid w:val="00FF3356"/>
    <w:rsid w:val="00FF3584"/>
    <w:rsid w:val="00FF3AEE"/>
    <w:rsid w:val="00FF4241"/>
    <w:rsid w:val="00FF496F"/>
    <w:rsid w:val="00FF510F"/>
    <w:rsid w:val="00FF5B90"/>
    <w:rsid w:val="00FF6B11"/>
    <w:rsid w:val="00FF6BCE"/>
    <w:rsid w:val="00FF7FAC"/>
    <w:rsid w:val="0126B077"/>
    <w:rsid w:val="0191FB96"/>
    <w:rsid w:val="01C197A0"/>
    <w:rsid w:val="01DC856A"/>
    <w:rsid w:val="02776A3B"/>
    <w:rsid w:val="02A6C4A2"/>
    <w:rsid w:val="02A778C0"/>
    <w:rsid w:val="02A8CEBA"/>
    <w:rsid w:val="02CE6E85"/>
    <w:rsid w:val="031399A7"/>
    <w:rsid w:val="03175EC8"/>
    <w:rsid w:val="03AC11E3"/>
    <w:rsid w:val="03B3163B"/>
    <w:rsid w:val="03B70A2E"/>
    <w:rsid w:val="03C1CD0E"/>
    <w:rsid w:val="03D41737"/>
    <w:rsid w:val="03E6C8FF"/>
    <w:rsid w:val="04DC8FC3"/>
    <w:rsid w:val="059F5466"/>
    <w:rsid w:val="05C2CAF2"/>
    <w:rsid w:val="05CB7FB2"/>
    <w:rsid w:val="06364767"/>
    <w:rsid w:val="0646B8F0"/>
    <w:rsid w:val="0661901B"/>
    <w:rsid w:val="06F39145"/>
    <w:rsid w:val="07367FB5"/>
    <w:rsid w:val="0757E755"/>
    <w:rsid w:val="075CFC29"/>
    <w:rsid w:val="0835C83B"/>
    <w:rsid w:val="08EA4EE4"/>
    <w:rsid w:val="08EAB974"/>
    <w:rsid w:val="0900108A"/>
    <w:rsid w:val="0976FD6A"/>
    <w:rsid w:val="09B2DF18"/>
    <w:rsid w:val="0A497FD9"/>
    <w:rsid w:val="0A4DADBE"/>
    <w:rsid w:val="0A62BA32"/>
    <w:rsid w:val="0AB2FEF6"/>
    <w:rsid w:val="0AC660C5"/>
    <w:rsid w:val="0B55F379"/>
    <w:rsid w:val="0BC79E49"/>
    <w:rsid w:val="0BF9F82C"/>
    <w:rsid w:val="0C5D4B73"/>
    <w:rsid w:val="0C99D586"/>
    <w:rsid w:val="0CB4340C"/>
    <w:rsid w:val="0CDA827F"/>
    <w:rsid w:val="0CF085D9"/>
    <w:rsid w:val="0D66D41B"/>
    <w:rsid w:val="0DB3911D"/>
    <w:rsid w:val="0DC1D797"/>
    <w:rsid w:val="0E399C44"/>
    <w:rsid w:val="0E7A0D92"/>
    <w:rsid w:val="0E8F0D50"/>
    <w:rsid w:val="0E98C49A"/>
    <w:rsid w:val="0EA9D0BD"/>
    <w:rsid w:val="0EB878BC"/>
    <w:rsid w:val="0EE2CD70"/>
    <w:rsid w:val="0EE9A313"/>
    <w:rsid w:val="0F0A26AB"/>
    <w:rsid w:val="0F496624"/>
    <w:rsid w:val="0FEBAAC9"/>
    <w:rsid w:val="1043BFC3"/>
    <w:rsid w:val="106CC7F4"/>
    <w:rsid w:val="10DEAC68"/>
    <w:rsid w:val="111B6127"/>
    <w:rsid w:val="116D5975"/>
    <w:rsid w:val="1201D9BF"/>
    <w:rsid w:val="128F4461"/>
    <w:rsid w:val="12A169FE"/>
    <w:rsid w:val="12A462FD"/>
    <w:rsid w:val="12D8C831"/>
    <w:rsid w:val="12EC6074"/>
    <w:rsid w:val="1306C676"/>
    <w:rsid w:val="13A431DD"/>
    <w:rsid w:val="13F68842"/>
    <w:rsid w:val="146ADA93"/>
    <w:rsid w:val="14B37382"/>
    <w:rsid w:val="14B5A4B0"/>
    <w:rsid w:val="14DA49E6"/>
    <w:rsid w:val="15292DD3"/>
    <w:rsid w:val="152B9BF1"/>
    <w:rsid w:val="15322C77"/>
    <w:rsid w:val="157155C9"/>
    <w:rsid w:val="15A82701"/>
    <w:rsid w:val="15AB47EE"/>
    <w:rsid w:val="15D990CC"/>
    <w:rsid w:val="15DE1F3B"/>
    <w:rsid w:val="1608DE01"/>
    <w:rsid w:val="1611D4D8"/>
    <w:rsid w:val="161DAE61"/>
    <w:rsid w:val="1632CD1A"/>
    <w:rsid w:val="16942C08"/>
    <w:rsid w:val="16A0F84D"/>
    <w:rsid w:val="16CA6060"/>
    <w:rsid w:val="16E22503"/>
    <w:rsid w:val="176CC556"/>
    <w:rsid w:val="176D0468"/>
    <w:rsid w:val="179BABAC"/>
    <w:rsid w:val="17A3643E"/>
    <w:rsid w:val="17C967E4"/>
    <w:rsid w:val="17EF5ECF"/>
    <w:rsid w:val="180238D0"/>
    <w:rsid w:val="1802FFAD"/>
    <w:rsid w:val="1823C88A"/>
    <w:rsid w:val="1832CC7C"/>
    <w:rsid w:val="187D81AC"/>
    <w:rsid w:val="18887702"/>
    <w:rsid w:val="18A80F5A"/>
    <w:rsid w:val="18EACA69"/>
    <w:rsid w:val="18FFEF0C"/>
    <w:rsid w:val="191F825F"/>
    <w:rsid w:val="1A15F3E3"/>
    <w:rsid w:val="1A9E56CE"/>
    <w:rsid w:val="1AF22D59"/>
    <w:rsid w:val="1B397908"/>
    <w:rsid w:val="1BB48F6F"/>
    <w:rsid w:val="1C3265FF"/>
    <w:rsid w:val="1C762DFE"/>
    <w:rsid w:val="1C90A9D5"/>
    <w:rsid w:val="1CA38172"/>
    <w:rsid w:val="1CA3CB03"/>
    <w:rsid w:val="1CC4A0F2"/>
    <w:rsid w:val="1D25B49B"/>
    <w:rsid w:val="1D95F950"/>
    <w:rsid w:val="1DB7416B"/>
    <w:rsid w:val="1EE3B181"/>
    <w:rsid w:val="1F1C7C1F"/>
    <w:rsid w:val="1FF32A56"/>
    <w:rsid w:val="202D3F62"/>
    <w:rsid w:val="205B9170"/>
    <w:rsid w:val="208B6529"/>
    <w:rsid w:val="20A32001"/>
    <w:rsid w:val="20AA1C31"/>
    <w:rsid w:val="212066C0"/>
    <w:rsid w:val="2124A038"/>
    <w:rsid w:val="212D449F"/>
    <w:rsid w:val="215CDF52"/>
    <w:rsid w:val="21BD8A2E"/>
    <w:rsid w:val="22EE7A14"/>
    <w:rsid w:val="23245161"/>
    <w:rsid w:val="23287F46"/>
    <w:rsid w:val="2346BD83"/>
    <w:rsid w:val="235A750C"/>
    <w:rsid w:val="236C8C24"/>
    <w:rsid w:val="23C2247B"/>
    <w:rsid w:val="23C65BDA"/>
    <w:rsid w:val="23F88075"/>
    <w:rsid w:val="24111855"/>
    <w:rsid w:val="2434F63F"/>
    <w:rsid w:val="24518CB6"/>
    <w:rsid w:val="247AB001"/>
    <w:rsid w:val="24CF44AA"/>
    <w:rsid w:val="25267DB1"/>
    <w:rsid w:val="2547D8FE"/>
    <w:rsid w:val="25A6B50D"/>
    <w:rsid w:val="25BFB941"/>
    <w:rsid w:val="25C342F9"/>
    <w:rsid w:val="25DEE5A2"/>
    <w:rsid w:val="260E2E35"/>
    <w:rsid w:val="26656591"/>
    <w:rsid w:val="267F8096"/>
    <w:rsid w:val="267FE4B1"/>
    <w:rsid w:val="270555BF"/>
    <w:rsid w:val="2714CB29"/>
    <w:rsid w:val="2732BF5E"/>
    <w:rsid w:val="275AC456"/>
    <w:rsid w:val="27907D25"/>
    <w:rsid w:val="27FB734F"/>
    <w:rsid w:val="2849BAD2"/>
    <w:rsid w:val="28843B00"/>
    <w:rsid w:val="288D8E76"/>
    <w:rsid w:val="28C161D7"/>
    <w:rsid w:val="28EF808B"/>
    <w:rsid w:val="28FE7B23"/>
    <w:rsid w:val="291DD536"/>
    <w:rsid w:val="29C18C86"/>
    <w:rsid w:val="2A0BAE74"/>
    <w:rsid w:val="2A6DA811"/>
    <w:rsid w:val="2B3D8252"/>
    <w:rsid w:val="2B7CA225"/>
    <w:rsid w:val="2BDC8587"/>
    <w:rsid w:val="2BF9AABC"/>
    <w:rsid w:val="2C022DF7"/>
    <w:rsid w:val="2C4CC15B"/>
    <w:rsid w:val="2C5805AE"/>
    <w:rsid w:val="2C6CD6F2"/>
    <w:rsid w:val="2C8A17ED"/>
    <w:rsid w:val="2D13A040"/>
    <w:rsid w:val="2D326956"/>
    <w:rsid w:val="2D35AC48"/>
    <w:rsid w:val="2D3C19EB"/>
    <w:rsid w:val="2D5773D2"/>
    <w:rsid w:val="2DE4D0DF"/>
    <w:rsid w:val="2E049974"/>
    <w:rsid w:val="2E06FE8C"/>
    <w:rsid w:val="2E07E3AE"/>
    <w:rsid w:val="2ED59E7A"/>
    <w:rsid w:val="2EE761FD"/>
    <w:rsid w:val="2F2F4968"/>
    <w:rsid w:val="2F45B753"/>
    <w:rsid w:val="2F49043B"/>
    <w:rsid w:val="2F7C66B8"/>
    <w:rsid w:val="2F87AE52"/>
    <w:rsid w:val="304A10FD"/>
    <w:rsid w:val="30907977"/>
    <w:rsid w:val="309A65B6"/>
    <w:rsid w:val="31545B9E"/>
    <w:rsid w:val="31BCEC93"/>
    <w:rsid w:val="3235AA32"/>
    <w:rsid w:val="329F9AF2"/>
    <w:rsid w:val="32B574E3"/>
    <w:rsid w:val="32D0468D"/>
    <w:rsid w:val="3334060C"/>
    <w:rsid w:val="33623D16"/>
    <w:rsid w:val="351FB994"/>
    <w:rsid w:val="3554873E"/>
    <w:rsid w:val="356B268A"/>
    <w:rsid w:val="356F5163"/>
    <w:rsid w:val="363ED794"/>
    <w:rsid w:val="367FAEC4"/>
    <w:rsid w:val="36883E5A"/>
    <w:rsid w:val="369556C7"/>
    <w:rsid w:val="37B1DCE1"/>
    <w:rsid w:val="38732363"/>
    <w:rsid w:val="38832FA6"/>
    <w:rsid w:val="38845EAD"/>
    <w:rsid w:val="38AAC9D8"/>
    <w:rsid w:val="38E7B796"/>
    <w:rsid w:val="3943024D"/>
    <w:rsid w:val="397593D1"/>
    <w:rsid w:val="397DD82A"/>
    <w:rsid w:val="39D13901"/>
    <w:rsid w:val="3A0E81ED"/>
    <w:rsid w:val="3A3210F6"/>
    <w:rsid w:val="3B047605"/>
    <w:rsid w:val="3B1ED7EA"/>
    <w:rsid w:val="3B5ED6AB"/>
    <w:rsid w:val="3BA60341"/>
    <w:rsid w:val="3BAA5B03"/>
    <w:rsid w:val="3C21711E"/>
    <w:rsid w:val="3C24AC92"/>
    <w:rsid w:val="3C307E08"/>
    <w:rsid w:val="3CA04A83"/>
    <w:rsid w:val="3CAC5739"/>
    <w:rsid w:val="3CB399EA"/>
    <w:rsid w:val="3D055A3B"/>
    <w:rsid w:val="3D781F70"/>
    <w:rsid w:val="3DB68582"/>
    <w:rsid w:val="3DF5170C"/>
    <w:rsid w:val="3DF779E7"/>
    <w:rsid w:val="3DFC556F"/>
    <w:rsid w:val="3E079161"/>
    <w:rsid w:val="3E57CEDA"/>
    <w:rsid w:val="3E8F37B0"/>
    <w:rsid w:val="3E901D7E"/>
    <w:rsid w:val="3EEAED63"/>
    <w:rsid w:val="3F39BC20"/>
    <w:rsid w:val="3F7938DD"/>
    <w:rsid w:val="3F824242"/>
    <w:rsid w:val="404253B5"/>
    <w:rsid w:val="40E0A6DC"/>
    <w:rsid w:val="4110100D"/>
    <w:rsid w:val="413EB0D6"/>
    <w:rsid w:val="41517F44"/>
    <w:rsid w:val="41D77C1D"/>
    <w:rsid w:val="42DF4EAD"/>
    <w:rsid w:val="42E321E0"/>
    <w:rsid w:val="4347997C"/>
    <w:rsid w:val="437BA0D6"/>
    <w:rsid w:val="43855BDA"/>
    <w:rsid w:val="43C99A78"/>
    <w:rsid w:val="43FC9064"/>
    <w:rsid w:val="440917EC"/>
    <w:rsid w:val="440B3AB5"/>
    <w:rsid w:val="44210117"/>
    <w:rsid w:val="445EBCD2"/>
    <w:rsid w:val="44F6AF0C"/>
    <w:rsid w:val="450621B5"/>
    <w:rsid w:val="450C8A65"/>
    <w:rsid w:val="4510FC11"/>
    <w:rsid w:val="4538D1FE"/>
    <w:rsid w:val="453BF92C"/>
    <w:rsid w:val="459FE85D"/>
    <w:rsid w:val="45D7C3F1"/>
    <w:rsid w:val="45DF2A64"/>
    <w:rsid w:val="45E3F587"/>
    <w:rsid w:val="4602E770"/>
    <w:rsid w:val="462B7099"/>
    <w:rsid w:val="46553C55"/>
    <w:rsid w:val="4655D3CD"/>
    <w:rsid w:val="467BF70E"/>
    <w:rsid w:val="469DA5A0"/>
    <w:rsid w:val="46FDAF22"/>
    <w:rsid w:val="473E4A74"/>
    <w:rsid w:val="4749BDFE"/>
    <w:rsid w:val="474F7D0B"/>
    <w:rsid w:val="477FED26"/>
    <w:rsid w:val="478FB8A1"/>
    <w:rsid w:val="47995DF0"/>
    <w:rsid w:val="47ECFF70"/>
    <w:rsid w:val="47ED80E1"/>
    <w:rsid w:val="48101E72"/>
    <w:rsid w:val="48397092"/>
    <w:rsid w:val="48EFE81E"/>
    <w:rsid w:val="491DE896"/>
    <w:rsid w:val="497230AE"/>
    <w:rsid w:val="49A74E48"/>
    <w:rsid w:val="4AC56428"/>
    <w:rsid w:val="4B19B3DB"/>
    <w:rsid w:val="4BE9A362"/>
    <w:rsid w:val="4C13495D"/>
    <w:rsid w:val="4C3B64DC"/>
    <w:rsid w:val="4C8140F1"/>
    <w:rsid w:val="4D135694"/>
    <w:rsid w:val="4D351C1C"/>
    <w:rsid w:val="4D3655A4"/>
    <w:rsid w:val="4D409820"/>
    <w:rsid w:val="4DD17E59"/>
    <w:rsid w:val="4DF89581"/>
    <w:rsid w:val="4E641778"/>
    <w:rsid w:val="4EAE9D78"/>
    <w:rsid w:val="4ED3F4D2"/>
    <w:rsid w:val="4F0206D1"/>
    <w:rsid w:val="4F03FAF2"/>
    <w:rsid w:val="4F466D78"/>
    <w:rsid w:val="4FF292E6"/>
    <w:rsid w:val="50615835"/>
    <w:rsid w:val="5089816A"/>
    <w:rsid w:val="50A44234"/>
    <w:rsid w:val="50B6792A"/>
    <w:rsid w:val="50C12937"/>
    <w:rsid w:val="514968FD"/>
    <w:rsid w:val="515BE78C"/>
    <w:rsid w:val="51CD7ACE"/>
    <w:rsid w:val="5201FF63"/>
    <w:rsid w:val="5207A9EC"/>
    <w:rsid w:val="5252498B"/>
    <w:rsid w:val="526EB5BC"/>
    <w:rsid w:val="5290ED92"/>
    <w:rsid w:val="52ED24F4"/>
    <w:rsid w:val="53391C32"/>
    <w:rsid w:val="534B2152"/>
    <w:rsid w:val="53584374"/>
    <w:rsid w:val="5371930F"/>
    <w:rsid w:val="53D94390"/>
    <w:rsid w:val="54C17C15"/>
    <w:rsid w:val="54E9275A"/>
    <w:rsid w:val="55507334"/>
    <w:rsid w:val="558D08D0"/>
    <w:rsid w:val="5590F7BE"/>
    <w:rsid w:val="55A5D655"/>
    <w:rsid w:val="55C8D98D"/>
    <w:rsid w:val="55DE1BE1"/>
    <w:rsid w:val="560ED425"/>
    <w:rsid w:val="56390D95"/>
    <w:rsid w:val="56EF061C"/>
    <w:rsid w:val="56FAC0FD"/>
    <w:rsid w:val="57128799"/>
    <w:rsid w:val="572F8A47"/>
    <w:rsid w:val="574F48BE"/>
    <w:rsid w:val="577603BA"/>
    <w:rsid w:val="57AF2DBA"/>
    <w:rsid w:val="57B75EC8"/>
    <w:rsid w:val="59026C2C"/>
    <w:rsid w:val="5A60140D"/>
    <w:rsid w:val="5AC3299B"/>
    <w:rsid w:val="5B6FD666"/>
    <w:rsid w:val="5B89626F"/>
    <w:rsid w:val="5BA38212"/>
    <w:rsid w:val="5BD60A6A"/>
    <w:rsid w:val="5BD9AB7B"/>
    <w:rsid w:val="5CCEFE85"/>
    <w:rsid w:val="5D1B5B2E"/>
    <w:rsid w:val="5D3BA33E"/>
    <w:rsid w:val="5D4EA1E1"/>
    <w:rsid w:val="5DE7068E"/>
    <w:rsid w:val="5DF42235"/>
    <w:rsid w:val="5E1D48E8"/>
    <w:rsid w:val="5E215288"/>
    <w:rsid w:val="5E9A540B"/>
    <w:rsid w:val="5F1BD9E6"/>
    <w:rsid w:val="5F28A29F"/>
    <w:rsid w:val="5F2F8873"/>
    <w:rsid w:val="5FA4074C"/>
    <w:rsid w:val="607AF323"/>
    <w:rsid w:val="60A2D233"/>
    <w:rsid w:val="60E263CD"/>
    <w:rsid w:val="60FC2C46"/>
    <w:rsid w:val="61756D91"/>
    <w:rsid w:val="619EF866"/>
    <w:rsid w:val="61C19474"/>
    <w:rsid w:val="6245BA3E"/>
    <w:rsid w:val="6287B13D"/>
    <w:rsid w:val="62D25B9E"/>
    <w:rsid w:val="63321590"/>
    <w:rsid w:val="63D7E7B2"/>
    <w:rsid w:val="64C76BBF"/>
    <w:rsid w:val="6568CF73"/>
    <w:rsid w:val="65E4E299"/>
    <w:rsid w:val="662590A7"/>
    <w:rsid w:val="664BEF86"/>
    <w:rsid w:val="667021D4"/>
    <w:rsid w:val="66C5D0A9"/>
    <w:rsid w:val="67E4F6C1"/>
    <w:rsid w:val="67ECBDD8"/>
    <w:rsid w:val="67FC297A"/>
    <w:rsid w:val="689EFB8E"/>
    <w:rsid w:val="68BB0F46"/>
    <w:rsid w:val="68FF0785"/>
    <w:rsid w:val="698321D9"/>
    <w:rsid w:val="69B55B3F"/>
    <w:rsid w:val="69B92E63"/>
    <w:rsid w:val="6A76BCCF"/>
    <w:rsid w:val="6B0C0DA1"/>
    <w:rsid w:val="6B298B21"/>
    <w:rsid w:val="6B70C34A"/>
    <w:rsid w:val="6B931EB2"/>
    <w:rsid w:val="6BF3FD2A"/>
    <w:rsid w:val="6C6B9987"/>
    <w:rsid w:val="6D1CACA5"/>
    <w:rsid w:val="6D810A54"/>
    <w:rsid w:val="6DB37CC1"/>
    <w:rsid w:val="6DF17B70"/>
    <w:rsid w:val="6E15B4C2"/>
    <w:rsid w:val="6E55EC48"/>
    <w:rsid w:val="6E7CEB22"/>
    <w:rsid w:val="6F00E81F"/>
    <w:rsid w:val="6F5494C7"/>
    <w:rsid w:val="6FD05AA6"/>
    <w:rsid w:val="6FEE0D3F"/>
    <w:rsid w:val="6FFFDF8E"/>
    <w:rsid w:val="703373A0"/>
    <w:rsid w:val="707BD56E"/>
    <w:rsid w:val="70901BC8"/>
    <w:rsid w:val="70BF9BCC"/>
    <w:rsid w:val="70D59404"/>
    <w:rsid w:val="7115761F"/>
    <w:rsid w:val="711EB2AF"/>
    <w:rsid w:val="715B6FA8"/>
    <w:rsid w:val="716A297E"/>
    <w:rsid w:val="718A7436"/>
    <w:rsid w:val="7259DA16"/>
    <w:rsid w:val="727F50D0"/>
    <w:rsid w:val="72B8F5A2"/>
    <w:rsid w:val="72D35BA4"/>
    <w:rsid w:val="72FA9292"/>
    <w:rsid w:val="7349529F"/>
    <w:rsid w:val="735C1675"/>
    <w:rsid w:val="739FA310"/>
    <w:rsid w:val="73A0E0F2"/>
    <w:rsid w:val="7402B78A"/>
    <w:rsid w:val="74916AC5"/>
    <w:rsid w:val="74B4FE50"/>
    <w:rsid w:val="74EF9F41"/>
    <w:rsid w:val="75099C7F"/>
    <w:rsid w:val="755877EB"/>
    <w:rsid w:val="7682E107"/>
    <w:rsid w:val="76F58810"/>
    <w:rsid w:val="77CE2831"/>
    <w:rsid w:val="77D526F2"/>
    <w:rsid w:val="77E5B101"/>
    <w:rsid w:val="77FD6173"/>
    <w:rsid w:val="78701CD6"/>
    <w:rsid w:val="78EA347B"/>
    <w:rsid w:val="78FCD455"/>
    <w:rsid w:val="7939E237"/>
    <w:rsid w:val="794AB824"/>
    <w:rsid w:val="79A78B22"/>
    <w:rsid w:val="7B04270B"/>
    <w:rsid w:val="7B49E748"/>
    <w:rsid w:val="7BF9F741"/>
    <w:rsid w:val="7C163C5F"/>
    <w:rsid w:val="7CCA654E"/>
    <w:rsid w:val="7D220201"/>
    <w:rsid w:val="7D49C0AA"/>
    <w:rsid w:val="7D5243DD"/>
    <w:rsid w:val="7D97C781"/>
    <w:rsid w:val="7DB0C1BB"/>
    <w:rsid w:val="7DE20C31"/>
    <w:rsid w:val="7DF6ED41"/>
    <w:rsid w:val="7F011CC8"/>
    <w:rsid w:val="7F1BA3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3717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911580"/>
    <w:pPr>
      <w:widowControl w:val="0"/>
      <w:autoSpaceDE w:val="0"/>
      <w:autoSpaceDN w:val="0"/>
      <w:adjustRightInd w:val="0"/>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91158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56164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autoSpaceDE w:val="0"/>
      <w:autoSpaceDN w:val="0"/>
      <w:adjustRightInd w:val="0"/>
      <w:spacing w:after="0" w:line="240" w:lineRule="auto"/>
      <w:ind w:left="1440" w:hanging="720"/>
      <w:outlineLvl w:val="2"/>
    </w:pPr>
    <w:rPr>
      <w:rFonts w:ascii="Times New Roman" w:eastAsia="Times New Roman" w:hAnsi="Times New Roman" w:cs="Times New Roman"/>
      <w:sz w:val="24"/>
      <w:szCs w:val="26"/>
    </w:rPr>
  </w:style>
  <w:style w:type="paragraph" w:styleId="Heading4">
    <w:name w:val="heading 4"/>
    <w:basedOn w:val="Heading3"/>
    <w:next w:val="Normal"/>
    <w:link w:val="Heading4Char"/>
    <w:uiPriority w:val="9"/>
    <w:unhideWhenUsed/>
    <w:qFormat/>
    <w:rsid w:val="002339A2"/>
    <w:pPr>
      <w:outlineLvl w:val="3"/>
    </w:pPr>
  </w:style>
  <w:style w:type="paragraph" w:styleId="Heading5">
    <w:name w:val="heading 5"/>
    <w:basedOn w:val="Normal"/>
    <w:next w:val="FERCparanumber"/>
    <w:link w:val="Heading5Char"/>
    <w:uiPriority w:val="9"/>
    <w:qFormat/>
    <w:rsid w:val="00AE3B7A"/>
    <w:pPr>
      <w:tabs>
        <w:tab w:val="left" w:pos="720"/>
        <w:tab w:val="left" w:pos="1440"/>
        <w:tab w:val="left" w:pos="2160"/>
        <w:tab w:val="left" w:pos="2880"/>
        <w:tab w:val="left" w:pos="3600"/>
      </w:tabs>
      <w:outlineLvl w:val="4"/>
    </w:pPr>
    <w:rPr>
      <w:rFonts w:ascii="Times New Roman" w:eastAsia="Calibri" w:hAnsi="Times New Roman" w:cs="Times New Roman"/>
      <w:b/>
      <w:bCs/>
      <w:sz w:val="24"/>
      <w:szCs w:val="24"/>
    </w:rPr>
  </w:style>
  <w:style w:type="paragraph" w:styleId="Heading6">
    <w:name w:val="heading 6"/>
    <w:basedOn w:val="Normal"/>
    <w:next w:val="FERCparanumber"/>
    <w:link w:val="Heading6Char"/>
    <w:uiPriority w:val="9"/>
    <w:qFormat/>
    <w:rsid w:val="00911580"/>
    <w:pPr>
      <w:keepNext/>
      <w:keepLines/>
      <w:tabs>
        <w:tab w:val="num" w:pos="4320"/>
      </w:tabs>
      <w:autoSpaceDE w:val="0"/>
      <w:autoSpaceDN w:val="0"/>
      <w:adjustRightInd w:val="0"/>
      <w:spacing w:after="260" w:line="240" w:lineRule="auto"/>
      <w:ind w:left="4320" w:hanging="720"/>
      <w:outlineLvl w:val="5"/>
    </w:pPr>
    <w:rPr>
      <w:rFonts w:ascii="Times New Roman" w:eastAsia="Times New Roman" w:hAnsi="Times New Roman" w:cs="Times New Roman"/>
      <w:b/>
      <w:bCs/>
      <w:kern w:val="32"/>
      <w:sz w:val="26"/>
      <w:u w:val="single"/>
    </w:rPr>
  </w:style>
  <w:style w:type="paragraph" w:styleId="Heading7">
    <w:name w:val="heading 7"/>
    <w:basedOn w:val="Normal"/>
    <w:next w:val="FERCparanumber"/>
    <w:link w:val="Heading7Char"/>
    <w:uiPriority w:val="9"/>
    <w:qFormat/>
    <w:rsid w:val="00911580"/>
    <w:pPr>
      <w:keepNext/>
      <w:keepLines/>
      <w:tabs>
        <w:tab w:val="num" w:pos="5040"/>
      </w:tabs>
      <w:autoSpaceDE w:val="0"/>
      <w:autoSpaceDN w:val="0"/>
      <w:adjustRightInd w:val="0"/>
      <w:spacing w:after="260" w:line="240" w:lineRule="auto"/>
      <w:ind w:left="5040" w:hanging="720"/>
      <w:outlineLvl w:val="6"/>
    </w:pPr>
    <w:rPr>
      <w:rFonts w:ascii="Times New Roman" w:eastAsia="Times New Roman" w:hAnsi="Times New Roman" w:cs="Times New Roman"/>
      <w:b/>
      <w:kern w:val="32"/>
      <w:sz w:val="26"/>
      <w:szCs w:val="24"/>
      <w:u w:val="single"/>
    </w:rPr>
  </w:style>
  <w:style w:type="paragraph" w:styleId="Heading8">
    <w:name w:val="heading 8"/>
    <w:basedOn w:val="Normal"/>
    <w:next w:val="FERCparanumber"/>
    <w:link w:val="Heading8Char"/>
    <w:uiPriority w:val="9"/>
    <w:qFormat/>
    <w:rsid w:val="00911580"/>
    <w:pPr>
      <w:keepNext/>
      <w:keepLines/>
      <w:tabs>
        <w:tab w:val="num" w:pos="5760"/>
      </w:tabs>
      <w:autoSpaceDE w:val="0"/>
      <w:autoSpaceDN w:val="0"/>
      <w:adjustRightInd w:val="0"/>
      <w:spacing w:after="260" w:line="240" w:lineRule="auto"/>
      <w:ind w:left="5760" w:hanging="720"/>
      <w:outlineLvl w:val="7"/>
    </w:pPr>
    <w:rPr>
      <w:rFonts w:ascii="Times New Roman" w:eastAsia="Times New Roman" w:hAnsi="Times New Roman" w:cs="Times New Roman"/>
      <w:b/>
      <w:iCs/>
      <w:kern w:val="32"/>
      <w:sz w:val="26"/>
      <w:szCs w:val="24"/>
      <w:u w:val="single"/>
    </w:rPr>
  </w:style>
  <w:style w:type="paragraph" w:styleId="Heading9">
    <w:name w:val="heading 9"/>
    <w:basedOn w:val="Normal"/>
    <w:next w:val="FERCparanumber"/>
    <w:link w:val="Heading9Char"/>
    <w:uiPriority w:val="9"/>
    <w:qFormat/>
    <w:rsid w:val="00911580"/>
    <w:pPr>
      <w:keepNext/>
      <w:keepLines/>
      <w:tabs>
        <w:tab w:val="num" w:pos="6480"/>
      </w:tabs>
      <w:autoSpaceDE w:val="0"/>
      <w:autoSpaceDN w:val="0"/>
      <w:adjustRightInd w:val="0"/>
      <w:spacing w:after="260" w:line="240" w:lineRule="auto"/>
      <w:ind w:left="6480" w:hanging="720"/>
      <w:outlineLvl w:val="8"/>
    </w:pPr>
    <w:rPr>
      <w:rFonts w:ascii="Times New Roman" w:eastAsia="Times New Roman" w:hAnsi="Times New Roman" w:cs="Times New Roman"/>
      <w:b/>
      <w:kern w:val="32"/>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80"/>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91158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61642"/>
    <w:rPr>
      <w:rFonts w:ascii="Times New Roman" w:eastAsia="Times New Roman" w:hAnsi="Times New Roman" w:cs="Times New Roman"/>
      <w:sz w:val="24"/>
      <w:szCs w:val="26"/>
    </w:rPr>
  </w:style>
  <w:style w:type="character" w:customStyle="1" w:styleId="Heading4Char">
    <w:name w:val="Heading 4 Char"/>
    <w:basedOn w:val="DefaultParagraphFont"/>
    <w:link w:val="Heading4"/>
    <w:uiPriority w:val="9"/>
    <w:rsid w:val="002339A2"/>
    <w:rPr>
      <w:rFonts w:ascii="Times New Roman" w:eastAsia="Times New Roman" w:hAnsi="Times New Roman" w:cs="Times New Roman"/>
      <w:sz w:val="24"/>
      <w:szCs w:val="26"/>
    </w:rPr>
  </w:style>
  <w:style w:type="paragraph" w:customStyle="1" w:styleId="BodyFootnote">
    <w:name w:val="Body Footnote"/>
    <w:basedOn w:val="FootnoteText"/>
    <w:rsid w:val="00911580"/>
    <w:rPr>
      <w:szCs w:val="26"/>
    </w:rPr>
  </w:style>
  <w:style w:type="paragraph" w:styleId="FootnoteText">
    <w:name w:val="footnote text"/>
    <w:aliases w:val="Footnote Text Char Ch,Footnote Text Char Ch1,Footnote Text Char Char1 Char,Footnote Text Char1 Char Char Char,Footnote Text Char2 Char,Footnote Text1 Char,Footnote Text1 Char1,f,fn,fn Char Char,ft,ft Char,ft Char Ch"/>
    <w:basedOn w:val="Normal"/>
    <w:link w:val="FootnoteTextChar"/>
    <w:uiPriority w:val="99"/>
    <w:qFormat/>
    <w:rsid w:val="00911580"/>
    <w:pPr>
      <w:widowControl w:val="0"/>
      <w:autoSpaceDE w:val="0"/>
      <w:autoSpaceDN w:val="0"/>
      <w:adjustRightInd w:val="0"/>
      <w:spacing w:after="26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ootnote Text Char Ch Char,Footnote Text Char Ch1 Char,Footnote Text Char Char1 Char Char,Footnote Text Char1 Char Char Char Char,Footnote Text Char2 Char Char,Footnote Text1 Char Char,Footnote Text1 Char1 Char,f Char,fn Char,ft Char1"/>
    <w:basedOn w:val="DefaultParagraphFont"/>
    <w:link w:val="FootnoteText"/>
    <w:uiPriority w:val="99"/>
    <w:rsid w:val="00911580"/>
    <w:rPr>
      <w:rFonts w:ascii="Times New Roman" w:eastAsia="Times New Roman" w:hAnsi="Times New Roman" w:cs="Times New Roman"/>
      <w:sz w:val="26"/>
      <w:szCs w:val="20"/>
    </w:rPr>
  </w:style>
  <w:style w:type="character" w:customStyle="1" w:styleId="SYSHYPERTEXT">
    <w:name w:val="SYS_HYPERTEXT"/>
    <w:rsid w:val="00911580"/>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911580"/>
    <w:rPr>
      <w:rFonts w:ascii="Times New Roman" w:hAnsi="Times New Roman" w:cs="Times New Roman"/>
      <w:b/>
      <w:sz w:val="26"/>
      <w:szCs w:val="26"/>
      <w:vertAlign w:val="superscript"/>
    </w:rPr>
  </w:style>
  <w:style w:type="paragraph" w:styleId="ListContinue">
    <w:name w:val="List Continue"/>
    <w:basedOn w:val="Normal"/>
    <w:semiHidden/>
    <w:rsid w:val="00911580"/>
    <w:pPr>
      <w:spacing w:after="120" w:line="240" w:lineRule="auto"/>
      <w:ind w:left="360"/>
    </w:pPr>
    <w:rPr>
      <w:rFonts w:ascii="Times New Roman" w:eastAsia="Times New Roman" w:hAnsi="Times New Roman" w:cs="Times New Roman"/>
      <w:sz w:val="24"/>
      <w:szCs w:val="24"/>
    </w:rPr>
  </w:style>
  <w:style w:type="paragraph" w:customStyle="1" w:styleId="LegalFormat">
    <w:name w:val="Legal Format"/>
    <w:basedOn w:val="ListContinue"/>
    <w:rsid w:val="00911580"/>
    <w:pPr>
      <w:numPr>
        <w:numId w:val="1"/>
      </w:numPr>
      <w:spacing w:after="0"/>
    </w:pPr>
  </w:style>
  <w:style w:type="paragraph" w:styleId="Footer">
    <w:name w:val="footer"/>
    <w:basedOn w:val="Normal"/>
    <w:link w:val="FooterChar"/>
    <w:uiPriority w:val="99"/>
    <w:rsid w:val="0091158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11580"/>
    <w:rPr>
      <w:rFonts w:ascii="Times New Roman" w:eastAsia="Times New Roman" w:hAnsi="Times New Roman" w:cs="Times New Roman"/>
      <w:sz w:val="24"/>
      <w:szCs w:val="24"/>
    </w:rPr>
  </w:style>
  <w:style w:type="paragraph" w:styleId="Header">
    <w:name w:val="header"/>
    <w:basedOn w:val="Normal"/>
    <w:link w:val="HeaderChar"/>
    <w:uiPriority w:val="99"/>
    <w:rsid w:val="0091158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11580"/>
    <w:rPr>
      <w:rFonts w:ascii="Times New Roman" w:eastAsia="Times New Roman" w:hAnsi="Times New Roman" w:cs="Times New Roman"/>
      <w:sz w:val="24"/>
      <w:szCs w:val="24"/>
    </w:rPr>
  </w:style>
  <w:style w:type="character" w:styleId="PageNumber">
    <w:name w:val="page number"/>
    <w:basedOn w:val="DefaultParagraphFont"/>
    <w:rsid w:val="00911580"/>
  </w:style>
  <w:style w:type="paragraph" w:customStyle="1" w:styleId="FERCparanumber">
    <w:name w:val="FERC paranumber"/>
    <w:basedOn w:val="Normal"/>
    <w:link w:val="FERCparanumberChar"/>
    <w:qFormat/>
    <w:rsid w:val="00911580"/>
    <w:pPr>
      <w:widowControl w:val="0"/>
      <w:numPr>
        <w:numId w:val="2"/>
      </w:numPr>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uiPriority w:val="99"/>
    <w:rsid w:val="00911580"/>
    <w:rPr>
      <w:color w:val="0000FF"/>
      <w:u w:val="single"/>
    </w:rPr>
  </w:style>
  <w:style w:type="paragraph" w:styleId="BodyText">
    <w:name w:val="Body Text"/>
    <w:basedOn w:val="Normal"/>
    <w:link w:val="BodyTextChar"/>
    <w:qFormat/>
    <w:rsid w:val="00911580"/>
    <w:pPr>
      <w:spacing w:after="0"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1580"/>
    <w:rPr>
      <w:rFonts w:ascii="Times New Roman" w:eastAsia="Times New Roman" w:hAnsi="Times New Roman" w:cs="Times New Roman"/>
      <w:sz w:val="24"/>
      <w:szCs w:val="20"/>
    </w:rPr>
  </w:style>
  <w:style w:type="paragraph" w:styleId="TOC1">
    <w:name w:val="toc 1"/>
    <w:basedOn w:val="Normal"/>
    <w:next w:val="Normal"/>
    <w:uiPriority w:val="39"/>
    <w:rsid w:val="00911580"/>
    <w:pPr>
      <w:tabs>
        <w:tab w:val="right" w:leader="dot" w:pos="9350"/>
      </w:tabs>
      <w:spacing w:before="120" w:after="120" w:line="240" w:lineRule="auto"/>
      <w:ind w:left="720" w:hanging="720"/>
    </w:pPr>
    <w:rPr>
      <w:rFonts w:ascii="Times New Roman" w:eastAsia="Times New Roman" w:hAnsi="Times New Roman" w:cs="Times New Roman"/>
      <w:b/>
      <w:bCs/>
      <w:noProof/>
      <w:sz w:val="24"/>
      <w:szCs w:val="20"/>
    </w:rPr>
  </w:style>
  <w:style w:type="paragraph" w:styleId="TOC2">
    <w:name w:val="toc 2"/>
    <w:basedOn w:val="Normal"/>
    <w:next w:val="Normal"/>
    <w:uiPriority w:val="39"/>
    <w:rsid w:val="00911580"/>
    <w:pPr>
      <w:tabs>
        <w:tab w:val="left" w:pos="1440"/>
        <w:tab w:val="right" w:leader="dot" w:pos="9350"/>
      </w:tabs>
      <w:spacing w:after="0" w:line="240" w:lineRule="auto"/>
      <w:ind w:left="1440" w:hanging="720"/>
    </w:pPr>
    <w:rPr>
      <w:rFonts w:ascii="Times New Roman" w:eastAsia="Times New Roman" w:hAnsi="Times New Roman" w:cs="Times New Roman"/>
      <w:sz w:val="24"/>
      <w:szCs w:val="20"/>
    </w:rPr>
  </w:style>
  <w:style w:type="paragraph" w:styleId="TOC3">
    <w:name w:val="toc 3"/>
    <w:basedOn w:val="Normal"/>
    <w:next w:val="Normal"/>
    <w:uiPriority w:val="39"/>
    <w:rsid w:val="00911580"/>
    <w:pPr>
      <w:spacing w:after="0" w:line="240" w:lineRule="auto"/>
      <w:ind w:left="2160" w:hanging="720"/>
    </w:pPr>
    <w:rPr>
      <w:rFonts w:ascii="Times New Roman" w:eastAsia="Times New Roman" w:hAnsi="Times New Roman" w:cs="Times New Roman"/>
      <w:sz w:val="24"/>
      <w:szCs w:val="20"/>
    </w:rPr>
  </w:style>
  <w:style w:type="paragraph" w:styleId="TOC4">
    <w:name w:val="toc 4"/>
    <w:basedOn w:val="Normal"/>
    <w:next w:val="Normal"/>
    <w:uiPriority w:val="39"/>
    <w:rsid w:val="00911580"/>
    <w:pPr>
      <w:spacing w:after="0" w:line="240" w:lineRule="auto"/>
      <w:ind w:left="2880" w:hanging="720"/>
    </w:pPr>
    <w:rPr>
      <w:rFonts w:ascii="Times New Roman" w:eastAsia="Times New Roman" w:hAnsi="Times New Roman" w:cs="Times New Roman"/>
      <w:sz w:val="24"/>
      <w:szCs w:val="20"/>
    </w:rPr>
  </w:style>
  <w:style w:type="character" w:styleId="FollowedHyperlink">
    <w:name w:val="FollowedHyperlink"/>
    <w:rsid w:val="00911580"/>
    <w:rPr>
      <w:color w:val="800080"/>
      <w:u w:val="single"/>
    </w:rPr>
  </w:style>
  <w:style w:type="paragraph" w:styleId="BalloonText">
    <w:name w:val="Balloon Text"/>
    <w:basedOn w:val="Normal"/>
    <w:link w:val="BalloonTextChar"/>
    <w:rsid w:val="00911580"/>
    <w:pPr>
      <w:widowControl w:val="0"/>
      <w:autoSpaceDE w:val="0"/>
      <w:autoSpaceDN w:val="0"/>
      <w:adjustRightInd w:val="0"/>
      <w:spacing w:after="0" w:line="240" w:lineRule="auto"/>
    </w:pPr>
    <w:rPr>
      <w:rFonts w:ascii="Arial" w:eastAsia="Times New Roman" w:hAnsi="Arial" w:cs="Arial"/>
      <w:sz w:val="20"/>
      <w:szCs w:val="16"/>
    </w:rPr>
  </w:style>
  <w:style w:type="character" w:customStyle="1" w:styleId="BalloonTextChar">
    <w:name w:val="Balloon Text Char"/>
    <w:basedOn w:val="DefaultParagraphFont"/>
    <w:link w:val="BalloonText"/>
    <w:rsid w:val="00911580"/>
    <w:rPr>
      <w:rFonts w:ascii="Arial" w:eastAsia="Times New Roman" w:hAnsi="Arial" w:cs="Arial"/>
      <w:sz w:val="20"/>
      <w:szCs w:val="16"/>
    </w:rPr>
  </w:style>
  <w:style w:type="character" w:styleId="CommentReference">
    <w:name w:val="annotation reference"/>
    <w:rsid w:val="00911580"/>
    <w:rPr>
      <w:sz w:val="16"/>
      <w:szCs w:val="16"/>
    </w:rPr>
  </w:style>
  <w:style w:type="paragraph" w:styleId="CommentText">
    <w:name w:val="annotation text"/>
    <w:basedOn w:val="Normal"/>
    <w:link w:val="CommentTextChar"/>
    <w:rsid w:val="009115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911580"/>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911580"/>
    <w:rPr>
      <w:b/>
      <w:bCs/>
    </w:rPr>
  </w:style>
  <w:style w:type="character" w:customStyle="1" w:styleId="CommentSubjectChar">
    <w:name w:val="Comment Subject Char"/>
    <w:basedOn w:val="CommentTextChar"/>
    <w:link w:val="CommentSubject"/>
    <w:uiPriority w:val="99"/>
    <w:semiHidden/>
    <w:rsid w:val="00911580"/>
    <w:rPr>
      <w:rFonts w:ascii="Times New Roman" w:eastAsia="Times New Roman" w:hAnsi="Times New Roman" w:cs="Times New Roman"/>
      <w:b/>
      <w:bCs/>
      <w:sz w:val="20"/>
      <w:szCs w:val="20"/>
    </w:rPr>
  </w:style>
  <w:style w:type="character" w:customStyle="1" w:styleId="FERCparanumberChar">
    <w:name w:val="FERC paranumber Char"/>
    <w:link w:val="FERCparanumber"/>
    <w:rsid w:val="0091158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11580"/>
    <w:pPr>
      <w:widowControl w:val="0"/>
      <w:spacing w:after="0" w:line="240" w:lineRule="auto"/>
      <w:ind w:left="720"/>
      <w:contextualSpacing/>
    </w:pPr>
    <w:rPr>
      <w:rFonts w:ascii="Times New Roman" w:hAnsi="Times New Roman" w:cs="Times New Roman"/>
      <w:sz w:val="26"/>
    </w:rPr>
  </w:style>
  <w:style w:type="character" w:customStyle="1" w:styleId="ListParagraphChar">
    <w:name w:val="List Paragraph Char"/>
    <w:link w:val="ListParagraph"/>
    <w:uiPriority w:val="34"/>
    <w:locked/>
    <w:rsid w:val="00911580"/>
    <w:rPr>
      <w:rFonts w:ascii="Times New Roman" w:hAnsi="Times New Roman" w:cs="Times New Roman"/>
      <w:sz w:val="26"/>
    </w:rPr>
  </w:style>
  <w:style w:type="paragraph" w:styleId="Revision">
    <w:name w:val="Revision"/>
    <w:hidden/>
    <w:uiPriority w:val="99"/>
    <w:semiHidden/>
    <w:rsid w:val="00911580"/>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9115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11580"/>
    <w:pPr>
      <w:keepNext/>
      <w:keepLines/>
      <w:widowControl/>
      <w:autoSpaceDE/>
      <w:autoSpaceDN/>
      <w:adjustRightInd/>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5">
    <w:name w:val="toc 5"/>
    <w:basedOn w:val="Normal"/>
    <w:next w:val="Normal"/>
    <w:uiPriority w:val="39"/>
    <w:unhideWhenUsed/>
    <w:rsid w:val="00911580"/>
    <w:pPr>
      <w:spacing w:after="100"/>
      <w:ind w:left="880"/>
    </w:pPr>
    <w:rPr>
      <w:rFonts w:eastAsiaTheme="minorEastAsia"/>
    </w:rPr>
  </w:style>
  <w:style w:type="paragraph" w:styleId="TOC6">
    <w:name w:val="toc 6"/>
    <w:basedOn w:val="Normal"/>
    <w:next w:val="Normal"/>
    <w:uiPriority w:val="39"/>
    <w:unhideWhenUsed/>
    <w:rsid w:val="00911580"/>
    <w:pPr>
      <w:spacing w:after="100"/>
      <w:ind w:left="1100"/>
    </w:pPr>
    <w:rPr>
      <w:rFonts w:eastAsiaTheme="minorEastAsia"/>
    </w:rPr>
  </w:style>
  <w:style w:type="paragraph" w:styleId="TOC7">
    <w:name w:val="toc 7"/>
    <w:basedOn w:val="Normal"/>
    <w:next w:val="Normal"/>
    <w:uiPriority w:val="39"/>
    <w:unhideWhenUsed/>
    <w:rsid w:val="00911580"/>
    <w:pPr>
      <w:spacing w:after="100"/>
      <w:ind w:left="1320"/>
    </w:pPr>
    <w:rPr>
      <w:rFonts w:eastAsiaTheme="minorEastAsia"/>
    </w:rPr>
  </w:style>
  <w:style w:type="paragraph" w:styleId="TOC8">
    <w:name w:val="toc 8"/>
    <w:basedOn w:val="Normal"/>
    <w:next w:val="Normal"/>
    <w:uiPriority w:val="39"/>
    <w:unhideWhenUsed/>
    <w:rsid w:val="00911580"/>
    <w:pPr>
      <w:spacing w:after="100"/>
      <w:ind w:left="1540"/>
    </w:pPr>
    <w:rPr>
      <w:rFonts w:eastAsiaTheme="minorEastAsia"/>
    </w:rPr>
  </w:style>
  <w:style w:type="paragraph" w:styleId="TOC9">
    <w:name w:val="toc 9"/>
    <w:basedOn w:val="Normal"/>
    <w:next w:val="Normal"/>
    <w:uiPriority w:val="39"/>
    <w:unhideWhenUsed/>
    <w:rsid w:val="00911580"/>
    <w:pPr>
      <w:spacing w:after="100"/>
      <w:ind w:left="1760"/>
    </w:pPr>
    <w:rPr>
      <w:rFonts w:eastAsiaTheme="minorEastAsia"/>
    </w:rPr>
  </w:style>
  <w:style w:type="character" w:styleId="UnresolvedMention">
    <w:name w:val="Unresolved Mention"/>
    <w:basedOn w:val="DefaultParagraphFont"/>
    <w:uiPriority w:val="99"/>
    <w:unhideWhenUsed/>
    <w:rsid w:val="00911580"/>
    <w:rPr>
      <w:color w:val="605E5C"/>
      <w:shd w:val="clear" w:color="auto" w:fill="E1DFDD"/>
    </w:rPr>
  </w:style>
  <w:style w:type="character" w:customStyle="1" w:styleId="Heading5Char">
    <w:name w:val="Heading 5 Char"/>
    <w:basedOn w:val="DefaultParagraphFont"/>
    <w:link w:val="Heading5"/>
    <w:rsid w:val="00AE3B7A"/>
    <w:rPr>
      <w:rFonts w:ascii="Times New Roman" w:eastAsia="Calibri" w:hAnsi="Times New Roman" w:cs="Times New Roman"/>
      <w:b/>
      <w:bCs/>
      <w:sz w:val="24"/>
      <w:szCs w:val="24"/>
    </w:rPr>
  </w:style>
  <w:style w:type="character" w:customStyle="1" w:styleId="Heading6Char">
    <w:name w:val="Heading 6 Char"/>
    <w:basedOn w:val="DefaultParagraphFont"/>
    <w:link w:val="Heading6"/>
    <w:rsid w:val="00911580"/>
    <w:rPr>
      <w:rFonts w:ascii="Times New Roman" w:eastAsia="Times New Roman" w:hAnsi="Times New Roman" w:cs="Times New Roman"/>
      <w:b/>
      <w:bCs/>
      <w:kern w:val="32"/>
      <w:sz w:val="26"/>
      <w:u w:val="single"/>
    </w:rPr>
  </w:style>
  <w:style w:type="character" w:customStyle="1" w:styleId="Heading7Char">
    <w:name w:val="Heading 7 Char"/>
    <w:basedOn w:val="DefaultParagraphFont"/>
    <w:link w:val="Heading7"/>
    <w:rsid w:val="00911580"/>
    <w:rPr>
      <w:rFonts w:ascii="Times New Roman" w:eastAsia="Times New Roman" w:hAnsi="Times New Roman" w:cs="Times New Roman"/>
      <w:b/>
      <w:kern w:val="32"/>
      <w:sz w:val="26"/>
      <w:szCs w:val="24"/>
      <w:u w:val="single"/>
    </w:rPr>
  </w:style>
  <w:style w:type="character" w:customStyle="1" w:styleId="Heading8Char">
    <w:name w:val="Heading 8 Char"/>
    <w:basedOn w:val="DefaultParagraphFont"/>
    <w:link w:val="Heading8"/>
    <w:rsid w:val="00911580"/>
    <w:rPr>
      <w:rFonts w:ascii="Times New Roman" w:eastAsia="Times New Roman" w:hAnsi="Times New Roman" w:cs="Times New Roman"/>
      <w:b/>
      <w:iCs/>
      <w:kern w:val="32"/>
      <w:sz w:val="26"/>
      <w:szCs w:val="24"/>
      <w:u w:val="single"/>
    </w:rPr>
  </w:style>
  <w:style w:type="character" w:customStyle="1" w:styleId="Heading9Char">
    <w:name w:val="Heading 9 Char"/>
    <w:basedOn w:val="DefaultParagraphFont"/>
    <w:link w:val="Heading9"/>
    <w:rsid w:val="00911580"/>
    <w:rPr>
      <w:rFonts w:ascii="Times New Roman" w:eastAsia="Times New Roman" w:hAnsi="Times New Roman" w:cs="Times New Roman"/>
      <w:b/>
      <w:kern w:val="32"/>
      <w:sz w:val="26"/>
      <w:u w:val="single"/>
    </w:rPr>
  </w:style>
  <w:style w:type="character" w:styleId="LineNumber">
    <w:name w:val="line number"/>
    <w:basedOn w:val="DefaultParagraphFont"/>
    <w:rsid w:val="00911580"/>
  </w:style>
  <w:style w:type="paragraph" w:styleId="Bibliography">
    <w:name w:val="Bibliography"/>
    <w:basedOn w:val="Normal"/>
    <w:next w:val="Normal"/>
    <w:uiPriority w:val="37"/>
    <w:semiHidden/>
    <w:unhideWhenUsed/>
    <w:rsid w:val="0091158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customStyle="1" w:styleId="BlockIndent">
    <w:name w:val="Block Indent"/>
    <w:basedOn w:val="Normal"/>
    <w:next w:val="Normal"/>
    <w:link w:val="BlockIndentChar"/>
    <w:rsid w:val="00911580"/>
    <w:pPr>
      <w:autoSpaceDE w:val="0"/>
      <w:autoSpaceDN w:val="0"/>
      <w:adjustRightInd w:val="0"/>
      <w:spacing w:after="240" w:line="240" w:lineRule="auto"/>
      <w:ind w:left="1440" w:right="1440"/>
    </w:pPr>
    <w:rPr>
      <w:rFonts w:ascii="Times New Roman" w:eastAsia="Times New Roman" w:hAnsi="Times New Roman" w:cs="Times New Roman"/>
      <w:sz w:val="26"/>
      <w:szCs w:val="24"/>
    </w:rPr>
  </w:style>
  <w:style w:type="paragraph" w:styleId="BlockText">
    <w:name w:val="Block Text"/>
    <w:basedOn w:val="Normal"/>
    <w:rsid w:val="00911580"/>
    <w:pPr>
      <w:widowControl w:val="0"/>
      <w:autoSpaceDE w:val="0"/>
      <w:autoSpaceDN w:val="0"/>
      <w:adjustRightInd w:val="0"/>
      <w:spacing w:after="120" w:line="240" w:lineRule="auto"/>
      <w:ind w:left="1440" w:right="1440"/>
    </w:pPr>
    <w:rPr>
      <w:rFonts w:ascii="Times New Roman" w:eastAsia="Times New Roman" w:hAnsi="Times New Roman" w:cs="Times New Roman"/>
      <w:sz w:val="26"/>
      <w:szCs w:val="24"/>
    </w:rPr>
  </w:style>
  <w:style w:type="paragraph" w:styleId="BodyText2">
    <w:name w:val="Body Text 2"/>
    <w:basedOn w:val="Normal"/>
    <w:link w:val="BodyText2Char"/>
    <w:rsid w:val="00911580"/>
    <w:pPr>
      <w:widowControl w:val="0"/>
      <w:autoSpaceDE w:val="0"/>
      <w:autoSpaceDN w:val="0"/>
      <w:adjustRightInd w:val="0"/>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911580"/>
    <w:rPr>
      <w:rFonts w:ascii="Times New Roman" w:eastAsia="Times New Roman" w:hAnsi="Times New Roman" w:cs="Times New Roman"/>
      <w:sz w:val="26"/>
      <w:szCs w:val="24"/>
    </w:rPr>
  </w:style>
  <w:style w:type="paragraph" w:styleId="BodyText3">
    <w:name w:val="Body Text 3"/>
    <w:basedOn w:val="Normal"/>
    <w:link w:val="BodyText3Char"/>
    <w:rsid w:val="00911580"/>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11580"/>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911580"/>
    <w:pPr>
      <w:widowControl w:val="0"/>
      <w:autoSpaceDE w:val="0"/>
      <w:autoSpaceDN w:val="0"/>
      <w:adjustRightInd w:val="0"/>
      <w:spacing w:after="120" w:line="240" w:lineRule="auto"/>
      <w:ind w:firstLine="210"/>
    </w:pPr>
    <w:rPr>
      <w:sz w:val="26"/>
      <w:szCs w:val="24"/>
    </w:rPr>
  </w:style>
  <w:style w:type="character" w:customStyle="1" w:styleId="BodyTextFirstIndentChar">
    <w:name w:val="Body Text First Indent Char"/>
    <w:basedOn w:val="BodyTextChar"/>
    <w:link w:val="BodyTextFirstIndent"/>
    <w:rsid w:val="00911580"/>
    <w:rPr>
      <w:rFonts w:ascii="Times New Roman" w:eastAsia="Times New Roman" w:hAnsi="Times New Roman" w:cs="Times New Roman"/>
      <w:sz w:val="26"/>
      <w:szCs w:val="24"/>
    </w:rPr>
  </w:style>
  <w:style w:type="paragraph" w:styleId="BodyTextIndent">
    <w:name w:val="Body Text Indent"/>
    <w:basedOn w:val="Normal"/>
    <w:link w:val="BodyTextIndentChar"/>
    <w:rsid w:val="00911580"/>
    <w:pPr>
      <w:widowControl w:val="0"/>
      <w:autoSpaceDE w:val="0"/>
      <w:autoSpaceDN w:val="0"/>
      <w:adjustRightInd w:val="0"/>
      <w:spacing w:after="120" w:line="240" w:lineRule="auto"/>
      <w:ind w:left="36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911580"/>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911580"/>
    <w:pPr>
      <w:ind w:firstLine="210"/>
    </w:pPr>
  </w:style>
  <w:style w:type="character" w:customStyle="1" w:styleId="BodyTextFirstIndent2Char">
    <w:name w:val="Body Text First Indent 2 Char"/>
    <w:basedOn w:val="BodyTextIndentChar"/>
    <w:link w:val="BodyTextFirstIndent2"/>
    <w:rsid w:val="00911580"/>
    <w:rPr>
      <w:rFonts w:ascii="Times New Roman" w:eastAsia="Times New Roman" w:hAnsi="Times New Roman" w:cs="Times New Roman"/>
      <w:sz w:val="26"/>
      <w:szCs w:val="24"/>
    </w:rPr>
  </w:style>
  <w:style w:type="paragraph" w:styleId="BodyTextIndent2">
    <w:name w:val="Body Text Indent 2"/>
    <w:basedOn w:val="Normal"/>
    <w:link w:val="BodyTextIndent2Char"/>
    <w:rsid w:val="00911580"/>
    <w:pPr>
      <w:widowControl w:val="0"/>
      <w:autoSpaceDE w:val="0"/>
      <w:autoSpaceDN w:val="0"/>
      <w:adjustRightInd w:val="0"/>
      <w:spacing w:after="120" w:line="480" w:lineRule="auto"/>
      <w:ind w:left="360"/>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911580"/>
    <w:rPr>
      <w:rFonts w:ascii="Times New Roman" w:eastAsia="Times New Roman" w:hAnsi="Times New Roman" w:cs="Times New Roman"/>
      <w:sz w:val="26"/>
      <w:szCs w:val="24"/>
    </w:rPr>
  </w:style>
  <w:style w:type="paragraph" w:styleId="BodyTextIndent3">
    <w:name w:val="Body Text Indent 3"/>
    <w:basedOn w:val="Normal"/>
    <w:link w:val="BodyTextIndent3Char"/>
    <w:rsid w:val="00911580"/>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1580"/>
    <w:rPr>
      <w:rFonts w:ascii="Times New Roman" w:eastAsia="Times New Roman" w:hAnsi="Times New Roman" w:cs="Times New Roman"/>
      <w:sz w:val="16"/>
      <w:szCs w:val="16"/>
    </w:rPr>
  </w:style>
  <w:style w:type="paragraph" w:styleId="Caption">
    <w:name w:val="caption"/>
    <w:basedOn w:val="Normal"/>
    <w:next w:val="Normal"/>
    <w:qFormat/>
    <w:rsid w:val="00911580"/>
    <w:pPr>
      <w:widowControl w:val="0"/>
      <w:autoSpaceDE w:val="0"/>
      <w:autoSpaceDN w:val="0"/>
      <w:adjustRightInd w:val="0"/>
      <w:spacing w:before="120" w:after="120" w:line="240" w:lineRule="auto"/>
    </w:pPr>
    <w:rPr>
      <w:rFonts w:ascii="Times New Roman" w:eastAsia="Times New Roman" w:hAnsi="Times New Roman" w:cs="Times New Roman"/>
      <w:b/>
      <w:bCs/>
      <w:sz w:val="26"/>
      <w:szCs w:val="20"/>
    </w:rPr>
  </w:style>
  <w:style w:type="paragraph" w:styleId="Closing">
    <w:name w:val="Closing"/>
    <w:basedOn w:val="Normal"/>
    <w:link w:val="ClosingChar"/>
    <w:rsid w:val="00911580"/>
    <w:pPr>
      <w:widowControl w:val="0"/>
      <w:autoSpaceDE w:val="0"/>
      <w:autoSpaceDN w:val="0"/>
      <w:adjustRightInd w:val="0"/>
      <w:spacing w:after="0" w:line="240" w:lineRule="auto"/>
      <w:ind w:left="4320"/>
    </w:pPr>
    <w:rPr>
      <w:rFonts w:ascii="Times New Roman" w:eastAsia="Times New Roman" w:hAnsi="Times New Roman" w:cs="Times New Roman"/>
      <w:sz w:val="26"/>
      <w:szCs w:val="24"/>
    </w:rPr>
  </w:style>
  <w:style w:type="character" w:customStyle="1" w:styleId="ClosingChar">
    <w:name w:val="Closing Char"/>
    <w:basedOn w:val="DefaultParagraphFont"/>
    <w:link w:val="Closing"/>
    <w:rsid w:val="00911580"/>
    <w:rPr>
      <w:rFonts w:ascii="Times New Roman" w:eastAsia="Times New Roman" w:hAnsi="Times New Roman" w:cs="Times New Roman"/>
      <w:sz w:val="26"/>
      <w:szCs w:val="24"/>
    </w:rPr>
  </w:style>
  <w:style w:type="paragraph" w:styleId="Date">
    <w:name w:val="Date"/>
    <w:basedOn w:val="Normal"/>
    <w:next w:val="Normal"/>
    <w:link w:val="DateChar"/>
    <w:rsid w:val="0091158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character" w:customStyle="1" w:styleId="DateChar">
    <w:name w:val="Date Char"/>
    <w:basedOn w:val="DefaultParagraphFont"/>
    <w:link w:val="Date"/>
    <w:rsid w:val="00911580"/>
    <w:rPr>
      <w:rFonts w:ascii="Times New Roman" w:eastAsia="Times New Roman" w:hAnsi="Times New Roman" w:cs="Times New Roman"/>
      <w:sz w:val="26"/>
      <w:szCs w:val="24"/>
    </w:rPr>
  </w:style>
  <w:style w:type="paragraph" w:styleId="DocumentMap">
    <w:name w:val="Document Map"/>
    <w:basedOn w:val="Normal"/>
    <w:link w:val="DocumentMapChar"/>
    <w:semiHidden/>
    <w:rsid w:val="00911580"/>
    <w:pPr>
      <w:widowControl w:val="0"/>
      <w:shd w:val="clear" w:color="auto" w:fill="000080"/>
      <w:autoSpaceDE w:val="0"/>
      <w:autoSpaceDN w:val="0"/>
      <w:adjustRightInd w:val="0"/>
      <w:spacing w:after="0" w:line="240" w:lineRule="auto"/>
    </w:pPr>
    <w:rPr>
      <w:rFonts w:ascii="Tahoma" w:eastAsia="Times New Roman" w:hAnsi="Tahoma" w:cs="Tahoma"/>
      <w:sz w:val="26"/>
      <w:szCs w:val="24"/>
    </w:rPr>
  </w:style>
  <w:style w:type="character" w:customStyle="1" w:styleId="DocumentMapChar">
    <w:name w:val="Document Map Char"/>
    <w:basedOn w:val="DefaultParagraphFont"/>
    <w:link w:val="DocumentMap"/>
    <w:semiHidden/>
    <w:rsid w:val="00911580"/>
    <w:rPr>
      <w:rFonts w:ascii="Tahoma" w:eastAsia="Times New Roman" w:hAnsi="Tahoma" w:cs="Tahoma"/>
      <w:sz w:val="26"/>
      <w:szCs w:val="24"/>
      <w:shd w:val="clear" w:color="auto" w:fill="000080"/>
    </w:rPr>
  </w:style>
  <w:style w:type="paragraph" w:styleId="E-mailSignature">
    <w:name w:val="E-mail Signature"/>
    <w:basedOn w:val="Normal"/>
    <w:link w:val="E-mailSignatureChar"/>
    <w:rsid w:val="0091158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character" w:customStyle="1" w:styleId="E-mailSignatureChar">
    <w:name w:val="E-mail Signature Char"/>
    <w:basedOn w:val="DefaultParagraphFont"/>
    <w:link w:val="E-mailSignature"/>
    <w:rsid w:val="00911580"/>
    <w:rPr>
      <w:rFonts w:ascii="Times New Roman" w:eastAsia="Times New Roman" w:hAnsi="Times New Roman" w:cs="Times New Roman"/>
      <w:sz w:val="26"/>
      <w:szCs w:val="24"/>
    </w:rPr>
  </w:style>
  <w:style w:type="paragraph" w:styleId="EndnoteText">
    <w:name w:val="endnote text"/>
    <w:basedOn w:val="Normal"/>
    <w:link w:val="EndnoteTextChar"/>
    <w:semiHidden/>
    <w:rsid w:val="0091158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1580"/>
    <w:rPr>
      <w:rFonts w:ascii="Times New Roman" w:eastAsia="Times New Roman" w:hAnsi="Times New Roman" w:cs="Times New Roman"/>
      <w:sz w:val="20"/>
      <w:szCs w:val="20"/>
    </w:rPr>
  </w:style>
  <w:style w:type="paragraph" w:styleId="EnvelopeAddress">
    <w:name w:val="envelope address"/>
    <w:basedOn w:val="Normal"/>
    <w:rsid w:val="00911580"/>
    <w:pPr>
      <w:framePr w:w="7920" w:h="1980" w:hRule="exact" w:hSpace="180" w:wrap="auto" w:hAnchor="page" w:xAlign="center" w:yAlign="bottom"/>
      <w:widowControl w:val="0"/>
      <w:autoSpaceDE w:val="0"/>
      <w:autoSpaceDN w:val="0"/>
      <w:adjustRightInd w:val="0"/>
      <w:spacing w:after="0" w:line="240" w:lineRule="auto"/>
      <w:ind w:left="2880"/>
    </w:pPr>
    <w:rPr>
      <w:rFonts w:ascii="Arial" w:eastAsia="Times New Roman" w:hAnsi="Arial" w:cs="Arial"/>
      <w:sz w:val="24"/>
      <w:szCs w:val="24"/>
    </w:rPr>
  </w:style>
  <w:style w:type="paragraph" w:styleId="EnvelopeReturn">
    <w:name w:val="envelope return"/>
    <w:basedOn w:val="Normal"/>
    <w:rsid w:val="00911580"/>
    <w:pPr>
      <w:widowControl w:val="0"/>
      <w:autoSpaceDE w:val="0"/>
      <w:autoSpaceDN w:val="0"/>
      <w:adjustRightInd w:val="0"/>
      <w:spacing w:after="0" w:line="240" w:lineRule="auto"/>
    </w:pPr>
    <w:rPr>
      <w:rFonts w:ascii="Arial" w:eastAsia="Times New Roman" w:hAnsi="Arial" w:cs="Arial"/>
      <w:sz w:val="20"/>
      <w:szCs w:val="20"/>
    </w:rPr>
  </w:style>
  <w:style w:type="paragraph" w:styleId="HTMLAddress">
    <w:name w:val="HTML Address"/>
    <w:basedOn w:val="Normal"/>
    <w:link w:val="HTMLAddressChar"/>
    <w:rsid w:val="00911580"/>
    <w:pPr>
      <w:widowControl w:val="0"/>
      <w:autoSpaceDE w:val="0"/>
      <w:autoSpaceDN w:val="0"/>
      <w:adjustRightInd w:val="0"/>
      <w:spacing w:after="0" w:line="240" w:lineRule="auto"/>
    </w:pPr>
    <w:rPr>
      <w:rFonts w:ascii="Times New Roman" w:eastAsia="Times New Roman" w:hAnsi="Times New Roman" w:cs="Times New Roman"/>
      <w:i/>
      <w:iCs/>
      <w:sz w:val="26"/>
      <w:szCs w:val="24"/>
    </w:rPr>
  </w:style>
  <w:style w:type="character" w:customStyle="1" w:styleId="HTMLAddressChar">
    <w:name w:val="HTML Address Char"/>
    <w:basedOn w:val="DefaultParagraphFont"/>
    <w:link w:val="HTMLAddress"/>
    <w:rsid w:val="00911580"/>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9115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11580"/>
    <w:rPr>
      <w:rFonts w:ascii="Courier New" w:eastAsia="Times New Roman" w:hAnsi="Courier New" w:cs="Courier New"/>
      <w:sz w:val="20"/>
      <w:szCs w:val="20"/>
    </w:rPr>
  </w:style>
  <w:style w:type="paragraph" w:styleId="Index1">
    <w:name w:val="index 1"/>
    <w:basedOn w:val="Normal"/>
    <w:next w:val="Normal"/>
    <w:semiHidden/>
    <w:rsid w:val="00911580"/>
    <w:pPr>
      <w:widowControl w:val="0"/>
      <w:autoSpaceDE w:val="0"/>
      <w:autoSpaceDN w:val="0"/>
      <w:adjustRightInd w:val="0"/>
      <w:spacing w:after="0" w:line="240" w:lineRule="auto"/>
      <w:ind w:left="260" w:hanging="260"/>
    </w:pPr>
    <w:rPr>
      <w:rFonts w:ascii="Times New Roman" w:eastAsia="Times New Roman" w:hAnsi="Times New Roman" w:cs="Times New Roman"/>
      <w:sz w:val="26"/>
      <w:szCs w:val="24"/>
    </w:rPr>
  </w:style>
  <w:style w:type="paragraph" w:styleId="Index2">
    <w:name w:val="index 2"/>
    <w:basedOn w:val="Normal"/>
    <w:next w:val="Normal"/>
    <w:semiHidden/>
    <w:rsid w:val="00911580"/>
    <w:pPr>
      <w:widowControl w:val="0"/>
      <w:autoSpaceDE w:val="0"/>
      <w:autoSpaceDN w:val="0"/>
      <w:adjustRightInd w:val="0"/>
      <w:spacing w:after="0" w:line="240" w:lineRule="auto"/>
      <w:ind w:left="520" w:hanging="260"/>
    </w:pPr>
    <w:rPr>
      <w:rFonts w:ascii="Times New Roman" w:eastAsia="Times New Roman" w:hAnsi="Times New Roman" w:cs="Times New Roman"/>
      <w:sz w:val="26"/>
      <w:szCs w:val="24"/>
    </w:rPr>
  </w:style>
  <w:style w:type="paragraph" w:styleId="Index3">
    <w:name w:val="index 3"/>
    <w:basedOn w:val="Normal"/>
    <w:next w:val="Normal"/>
    <w:semiHidden/>
    <w:rsid w:val="00911580"/>
    <w:pPr>
      <w:widowControl w:val="0"/>
      <w:autoSpaceDE w:val="0"/>
      <w:autoSpaceDN w:val="0"/>
      <w:adjustRightInd w:val="0"/>
      <w:spacing w:after="0" w:line="240" w:lineRule="auto"/>
      <w:ind w:left="780" w:hanging="260"/>
    </w:pPr>
    <w:rPr>
      <w:rFonts w:ascii="Times New Roman" w:eastAsia="Times New Roman" w:hAnsi="Times New Roman" w:cs="Times New Roman"/>
      <w:sz w:val="26"/>
      <w:szCs w:val="24"/>
    </w:rPr>
  </w:style>
  <w:style w:type="paragraph" w:styleId="Index4">
    <w:name w:val="index 4"/>
    <w:basedOn w:val="Normal"/>
    <w:next w:val="Normal"/>
    <w:semiHidden/>
    <w:rsid w:val="00911580"/>
    <w:pPr>
      <w:widowControl w:val="0"/>
      <w:autoSpaceDE w:val="0"/>
      <w:autoSpaceDN w:val="0"/>
      <w:adjustRightInd w:val="0"/>
      <w:spacing w:after="0" w:line="240" w:lineRule="auto"/>
      <w:ind w:left="1040" w:hanging="260"/>
    </w:pPr>
    <w:rPr>
      <w:rFonts w:ascii="Times New Roman" w:eastAsia="Times New Roman" w:hAnsi="Times New Roman" w:cs="Times New Roman"/>
      <w:sz w:val="26"/>
      <w:szCs w:val="24"/>
    </w:rPr>
  </w:style>
  <w:style w:type="paragraph" w:styleId="Index5">
    <w:name w:val="index 5"/>
    <w:basedOn w:val="Normal"/>
    <w:next w:val="Normal"/>
    <w:semiHidden/>
    <w:rsid w:val="00911580"/>
    <w:pPr>
      <w:widowControl w:val="0"/>
      <w:autoSpaceDE w:val="0"/>
      <w:autoSpaceDN w:val="0"/>
      <w:adjustRightInd w:val="0"/>
      <w:spacing w:after="0" w:line="240" w:lineRule="auto"/>
      <w:ind w:left="1300" w:hanging="260"/>
    </w:pPr>
    <w:rPr>
      <w:rFonts w:ascii="Times New Roman" w:eastAsia="Times New Roman" w:hAnsi="Times New Roman" w:cs="Times New Roman"/>
      <w:sz w:val="26"/>
      <w:szCs w:val="24"/>
    </w:rPr>
  </w:style>
  <w:style w:type="paragraph" w:styleId="Index6">
    <w:name w:val="index 6"/>
    <w:basedOn w:val="Normal"/>
    <w:next w:val="Normal"/>
    <w:semiHidden/>
    <w:rsid w:val="00911580"/>
    <w:pPr>
      <w:widowControl w:val="0"/>
      <w:autoSpaceDE w:val="0"/>
      <w:autoSpaceDN w:val="0"/>
      <w:adjustRightInd w:val="0"/>
      <w:spacing w:after="0" w:line="240" w:lineRule="auto"/>
      <w:ind w:left="1560" w:hanging="260"/>
    </w:pPr>
    <w:rPr>
      <w:rFonts w:ascii="Times New Roman" w:eastAsia="Times New Roman" w:hAnsi="Times New Roman" w:cs="Times New Roman"/>
      <w:sz w:val="26"/>
      <w:szCs w:val="24"/>
    </w:rPr>
  </w:style>
  <w:style w:type="paragraph" w:styleId="Index7">
    <w:name w:val="index 7"/>
    <w:basedOn w:val="Normal"/>
    <w:next w:val="Normal"/>
    <w:semiHidden/>
    <w:rsid w:val="00911580"/>
    <w:pPr>
      <w:widowControl w:val="0"/>
      <w:autoSpaceDE w:val="0"/>
      <w:autoSpaceDN w:val="0"/>
      <w:adjustRightInd w:val="0"/>
      <w:spacing w:after="0" w:line="240" w:lineRule="auto"/>
      <w:ind w:left="1820" w:hanging="260"/>
    </w:pPr>
    <w:rPr>
      <w:rFonts w:ascii="Times New Roman" w:eastAsia="Times New Roman" w:hAnsi="Times New Roman" w:cs="Times New Roman"/>
      <w:sz w:val="26"/>
      <w:szCs w:val="24"/>
    </w:rPr>
  </w:style>
  <w:style w:type="paragraph" w:styleId="Index8">
    <w:name w:val="index 8"/>
    <w:basedOn w:val="Normal"/>
    <w:next w:val="Normal"/>
    <w:semiHidden/>
    <w:rsid w:val="00911580"/>
    <w:pPr>
      <w:widowControl w:val="0"/>
      <w:autoSpaceDE w:val="0"/>
      <w:autoSpaceDN w:val="0"/>
      <w:adjustRightInd w:val="0"/>
      <w:spacing w:after="0" w:line="240" w:lineRule="auto"/>
      <w:ind w:left="2080" w:hanging="260"/>
    </w:pPr>
    <w:rPr>
      <w:rFonts w:ascii="Times New Roman" w:eastAsia="Times New Roman" w:hAnsi="Times New Roman" w:cs="Times New Roman"/>
      <w:sz w:val="26"/>
      <w:szCs w:val="24"/>
    </w:rPr>
  </w:style>
  <w:style w:type="paragraph" w:styleId="Index9">
    <w:name w:val="index 9"/>
    <w:basedOn w:val="Normal"/>
    <w:next w:val="Normal"/>
    <w:semiHidden/>
    <w:rsid w:val="00911580"/>
    <w:pPr>
      <w:widowControl w:val="0"/>
      <w:autoSpaceDE w:val="0"/>
      <w:autoSpaceDN w:val="0"/>
      <w:adjustRightInd w:val="0"/>
      <w:spacing w:after="0" w:line="240" w:lineRule="auto"/>
      <w:ind w:left="2340" w:hanging="260"/>
    </w:pPr>
    <w:rPr>
      <w:rFonts w:ascii="Times New Roman" w:eastAsia="Times New Roman" w:hAnsi="Times New Roman" w:cs="Times New Roman"/>
      <w:sz w:val="26"/>
      <w:szCs w:val="24"/>
    </w:rPr>
  </w:style>
  <w:style w:type="paragraph" w:styleId="IndexHeading">
    <w:name w:val="index heading"/>
    <w:basedOn w:val="Normal"/>
    <w:next w:val="Index1"/>
    <w:semiHidden/>
    <w:rsid w:val="00911580"/>
    <w:pPr>
      <w:widowControl w:val="0"/>
      <w:autoSpaceDE w:val="0"/>
      <w:autoSpaceDN w:val="0"/>
      <w:adjustRightInd w:val="0"/>
      <w:spacing w:after="0" w:line="240" w:lineRule="auto"/>
    </w:pPr>
    <w:rPr>
      <w:rFonts w:ascii="Arial" w:eastAsia="Times New Roman" w:hAnsi="Arial" w:cs="Arial"/>
      <w:b/>
      <w:bCs/>
      <w:sz w:val="26"/>
      <w:szCs w:val="24"/>
    </w:rPr>
  </w:style>
  <w:style w:type="paragraph" w:styleId="IntenseQuote">
    <w:name w:val="Intense Quote"/>
    <w:basedOn w:val="Normal"/>
    <w:next w:val="Normal"/>
    <w:link w:val="IntenseQuoteChar"/>
    <w:uiPriority w:val="30"/>
    <w:qFormat/>
    <w:rsid w:val="00911580"/>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cs="Times New Roman"/>
      <w:b/>
      <w:bCs/>
      <w:i/>
      <w:iCs/>
      <w:color w:val="4F81BD"/>
      <w:sz w:val="26"/>
      <w:szCs w:val="24"/>
    </w:rPr>
  </w:style>
  <w:style w:type="character" w:customStyle="1" w:styleId="IntenseQuoteChar">
    <w:name w:val="Intense Quote Char"/>
    <w:basedOn w:val="DefaultParagraphFont"/>
    <w:link w:val="IntenseQuote"/>
    <w:uiPriority w:val="30"/>
    <w:rsid w:val="00911580"/>
    <w:rPr>
      <w:rFonts w:ascii="Times New Roman" w:eastAsia="Times New Roman" w:hAnsi="Times New Roman" w:cs="Times New Roman"/>
      <w:b/>
      <w:bCs/>
      <w:i/>
      <w:iCs/>
      <w:color w:val="4F81BD"/>
      <w:sz w:val="26"/>
      <w:szCs w:val="24"/>
    </w:rPr>
  </w:style>
  <w:style w:type="paragraph" w:styleId="List">
    <w:name w:val="List"/>
    <w:basedOn w:val="Normal"/>
    <w:rsid w:val="00911580"/>
    <w:pPr>
      <w:widowControl w:val="0"/>
      <w:autoSpaceDE w:val="0"/>
      <w:autoSpaceDN w:val="0"/>
      <w:adjustRightInd w:val="0"/>
      <w:spacing w:after="0" w:line="240" w:lineRule="auto"/>
      <w:ind w:left="360" w:hanging="360"/>
    </w:pPr>
    <w:rPr>
      <w:rFonts w:ascii="Times New Roman" w:eastAsia="Times New Roman" w:hAnsi="Times New Roman" w:cs="Times New Roman"/>
      <w:sz w:val="26"/>
      <w:szCs w:val="24"/>
    </w:rPr>
  </w:style>
  <w:style w:type="paragraph" w:styleId="List2">
    <w:name w:val="List 2"/>
    <w:basedOn w:val="Normal"/>
    <w:rsid w:val="00911580"/>
    <w:pPr>
      <w:widowControl w:val="0"/>
      <w:autoSpaceDE w:val="0"/>
      <w:autoSpaceDN w:val="0"/>
      <w:adjustRightInd w:val="0"/>
      <w:spacing w:after="0" w:line="240" w:lineRule="auto"/>
      <w:ind w:left="720" w:hanging="360"/>
    </w:pPr>
    <w:rPr>
      <w:rFonts w:ascii="Times New Roman" w:eastAsia="Times New Roman" w:hAnsi="Times New Roman" w:cs="Times New Roman"/>
      <w:sz w:val="26"/>
      <w:szCs w:val="24"/>
    </w:rPr>
  </w:style>
  <w:style w:type="paragraph" w:styleId="List3">
    <w:name w:val="List 3"/>
    <w:basedOn w:val="Normal"/>
    <w:rsid w:val="00911580"/>
    <w:pPr>
      <w:widowControl w:val="0"/>
      <w:autoSpaceDE w:val="0"/>
      <w:autoSpaceDN w:val="0"/>
      <w:adjustRightInd w:val="0"/>
      <w:spacing w:after="0" w:line="240" w:lineRule="auto"/>
      <w:ind w:left="1080" w:hanging="360"/>
    </w:pPr>
    <w:rPr>
      <w:rFonts w:ascii="Times New Roman" w:eastAsia="Times New Roman" w:hAnsi="Times New Roman" w:cs="Times New Roman"/>
      <w:sz w:val="26"/>
      <w:szCs w:val="24"/>
    </w:rPr>
  </w:style>
  <w:style w:type="paragraph" w:styleId="List4">
    <w:name w:val="List 4"/>
    <w:basedOn w:val="Normal"/>
    <w:rsid w:val="00911580"/>
    <w:pPr>
      <w:widowControl w:val="0"/>
      <w:autoSpaceDE w:val="0"/>
      <w:autoSpaceDN w:val="0"/>
      <w:adjustRightInd w:val="0"/>
      <w:spacing w:after="0" w:line="240" w:lineRule="auto"/>
      <w:ind w:left="1440" w:hanging="360"/>
    </w:pPr>
    <w:rPr>
      <w:rFonts w:ascii="Times New Roman" w:eastAsia="Times New Roman" w:hAnsi="Times New Roman" w:cs="Times New Roman"/>
      <w:sz w:val="26"/>
      <w:szCs w:val="24"/>
    </w:rPr>
  </w:style>
  <w:style w:type="paragraph" w:styleId="List5">
    <w:name w:val="List 5"/>
    <w:basedOn w:val="Normal"/>
    <w:rsid w:val="00911580"/>
    <w:pPr>
      <w:widowControl w:val="0"/>
      <w:autoSpaceDE w:val="0"/>
      <w:autoSpaceDN w:val="0"/>
      <w:adjustRightInd w:val="0"/>
      <w:spacing w:after="0" w:line="240" w:lineRule="auto"/>
      <w:ind w:left="1800" w:hanging="360"/>
    </w:pPr>
    <w:rPr>
      <w:rFonts w:ascii="Times New Roman" w:eastAsia="Times New Roman" w:hAnsi="Times New Roman" w:cs="Times New Roman"/>
      <w:sz w:val="26"/>
      <w:szCs w:val="24"/>
    </w:rPr>
  </w:style>
  <w:style w:type="paragraph" w:styleId="ListBullet">
    <w:name w:val="List Bullet"/>
    <w:basedOn w:val="Normal"/>
    <w:rsid w:val="00911580"/>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6"/>
      <w:szCs w:val="24"/>
    </w:rPr>
  </w:style>
  <w:style w:type="paragraph" w:styleId="ListBullet2">
    <w:name w:val="List Bullet 2"/>
    <w:basedOn w:val="Normal"/>
    <w:rsid w:val="00911580"/>
    <w:pPr>
      <w:widowControl w:val="0"/>
      <w:tabs>
        <w:tab w:val="num" w:pos="720"/>
      </w:tabs>
      <w:autoSpaceDE w:val="0"/>
      <w:autoSpaceDN w:val="0"/>
      <w:adjustRightInd w:val="0"/>
      <w:spacing w:after="0" w:line="240" w:lineRule="auto"/>
      <w:ind w:left="720" w:hanging="360"/>
    </w:pPr>
    <w:rPr>
      <w:rFonts w:ascii="Times New Roman" w:eastAsia="Times New Roman" w:hAnsi="Times New Roman" w:cs="Times New Roman"/>
      <w:sz w:val="26"/>
      <w:szCs w:val="24"/>
    </w:rPr>
  </w:style>
  <w:style w:type="paragraph" w:styleId="ListBullet3">
    <w:name w:val="List Bullet 3"/>
    <w:basedOn w:val="Normal"/>
    <w:rsid w:val="00911580"/>
    <w:pPr>
      <w:widowControl w:val="0"/>
      <w:tabs>
        <w:tab w:val="num" w:pos="1080"/>
      </w:tabs>
      <w:autoSpaceDE w:val="0"/>
      <w:autoSpaceDN w:val="0"/>
      <w:adjustRightInd w:val="0"/>
      <w:spacing w:after="0" w:line="240" w:lineRule="auto"/>
      <w:ind w:left="1080" w:hanging="360"/>
    </w:pPr>
    <w:rPr>
      <w:rFonts w:ascii="Times New Roman" w:eastAsia="Times New Roman" w:hAnsi="Times New Roman" w:cs="Times New Roman"/>
      <w:sz w:val="26"/>
      <w:szCs w:val="24"/>
    </w:rPr>
  </w:style>
  <w:style w:type="paragraph" w:styleId="ListBullet4">
    <w:name w:val="List Bullet 4"/>
    <w:basedOn w:val="Normal"/>
    <w:rsid w:val="00911580"/>
    <w:pPr>
      <w:widowControl w:val="0"/>
      <w:tabs>
        <w:tab w:val="num" w:pos="1440"/>
      </w:tabs>
      <w:autoSpaceDE w:val="0"/>
      <w:autoSpaceDN w:val="0"/>
      <w:adjustRightInd w:val="0"/>
      <w:spacing w:after="0" w:line="240" w:lineRule="auto"/>
      <w:ind w:left="1440" w:hanging="360"/>
    </w:pPr>
    <w:rPr>
      <w:rFonts w:ascii="Times New Roman" w:eastAsia="Times New Roman" w:hAnsi="Times New Roman" w:cs="Times New Roman"/>
      <w:sz w:val="26"/>
      <w:szCs w:val="24"/>
    </w:rPr>
  </w:style>
  <w:style w:type="paragraph" w:styleId="ListBullet5">
    <w:name w:val="List Bullet 5"/>
    <w:basedOn w:val="Normal"/>
    <w:rsid w:val="00911580"/>
    <w:pPr>
      <w:widowControl w:val="0"/>
      <w:tabs>
        <w:tab w:val="num" w:pos="1800"/>
      </w:tabs>
      <w:autoSpaceDE w:val="0"/>
      <w:autoSpaceDN w:val="0"/>
      <w:adjustRightInd w:val="0"/>
      <w:spacing w:after="0" w:line="240" w:lineRule="auto"/>
      <w:ind w:left="1800" w:hanging="360"/>
    </w:pPr>
    <w:rPr>
      <w:rFonts w:ascii="Times New Roman" w:eastAsia="Times New Roman" w:hAnsi="Times New Roman" w:cs="Times New Roman"/>
      <w:sz w:val="26"/>
      <w:szCs w:val="24"/>
    </w:rPr>
  </w:style>
  <w:style w:type="paragraph" w:styleId="ListContinue2">
    <w:name w:val="List Continue 2"/>
    <w:basedOn w:val="Normal"/>
    <w:rsid w:val="00911580"/>
    <w:pPr>
      <w:widowControl w:val="0"/>
      <w:autoSpaceDE w:val="0"/>
      <w:autoSpaceDN w:val="0"/>
      <w:adjustRightInd w:val="0"/>
      <w:spacing w:after="120" w:line="240" w:lineRule="auto"/>
      <w:ind w:left="720"/>
    </w:pPr>
    <w:rPr>
      <w:rFonts w:ascii="Times New Roman" w:eastAsia="Times New Roman" w:hAnsi="Times New Roman" w:cs="Times New Roman"/>
      <w:sz w:val="26"/>
      <w:szCs w:val="24"/>
    </w:rPr>
  </w:style>
  <w:style w:type="paragraph" w:styleId="ListContinue3">
    <w:name w:val="List Continue 3"/>
    <w:basedOn w:val="Normal"/>
    <w:rsid w:val="00911580"/>
    <w:pPr>
      <w:widowControl w:val="0"/>
      <w:autoSpaceDE w:val="0"/>
      <w:autoSpaceDN w:val="0"/>
      <w:adjustRightInd w:val="0"/>
      <w:spacing w:after="120" w:line="240" w:lineRule="auto"/>
      <w:ind w:left="1080"/>
    </w:pPr>
    <w:rPr>
      <w:rFonts w:ascii="Times New Roman" w:eastAsia="Times New Roman" w:hAnsi="Times New Roman" w:cs="Times New Roman"/>
      <w:sz w:val="26"/>
      <w:szCs w:val="24"/>
    </w:rPr>
  </w:style>
  <w:style w:type="paragraph" w:styleId="ListContinue4">
    <w:name w:val="List Continue 4"/>
    <w:basedOn w:val="Normal"/>
    <w:rsid w:val="00911580"/>
    <w:pPr>
      <w:widowControl w:val="0"/>
      <w:autoSpaceDE w:val="0"/>
      <w:autoSpaceDN w:val="0"/>
      <w:adjustRightInd w:val="0"/>
      <w:spacing w:after="120" w:line="240" w:lineRule="auto"/>
      <w:ind w:left="1440"/>
    </w:pPr>
    <w:rPr>
      <w:rFonts w:ascii="Times New Roman" w:eastAsia="Times New Roman" w:hAnsi="Times New Roman" w:cs="Times New Roman"/>
      <w:sz w:val="26"/>
      <w:szCs w:val="24"/>
    </w:rPr>
  </w:style>
  <w:style w:type="paragraph" w:styleId="ListContinue5">
    <w:name w:val="List Continue 5"/>
    <w:basedOn w:val="Normal"/>
    <w:rsid w:val="00911580"/>
    <w:pPr>
      <w:widowControl w:val="0"/>
      <w:autoSpaceDE w:val="0"/>
      <w:autoSpaceDN w:val="0"/>
      <w:adjustRightInd w:val="0"/>
      <w:spacing w:after="120" w:line="240" w:lineRule="auto"/>
      <w:ind w:left="1800"/>
    </w:pPr>
    <w:rPr>
      <w:rFonts w:ascii="Times New Roman" w:eastAsia="Times New Roman" w:hAnsi="Times New Roman" w:cs="Times New Roman"/>
      <w:sz w:val="26"/>
      <w:szCs w:val="24"/>
    </w:rPr>
  </w:style>
  <w:style w:type="paragraph" w:styleId="ListNumber">
    <w:name w:val="List Number"/>
    <w:basedOn w:val="Normal"/>
    <w:rsid w:val="00911580"/>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6"/>
      <w:szCs w:val="24"/>
    </w:rPr>
  </w:style>
  <w:style w:type="paragraph" w:styleId="ListNumber2">
    <w:name w:val="List Number 2"/>
    <w:basedOn w:val="Normal"/>
    <w:rsid w:val="00911580"/>
    <w:pPr>
      <w:widowControl w:val="0"/>
      <w:tabs>
        <w:tab w:val="num" w:pos="720"/>
      </w:tabs>
      <w:autoSpaceDE w:val="0"/>
      <w:autoSpaceDN w:val="0"/>
      <w:adjustRightInd w:val="0"/>
      <w:spacing w:after="0" w:line="240" w:lineRule="auto"/>
      <w:ind w:left="720" w:hanging="360"/>
    </w:pPr>
    <w:rPr>
      <w:rFonts w:ascii="Times New Roman" w:eastAsia="Times New Roman" w:hAnsi="Times New Roman" w:cs="Times New Roman"/>
      <w:sz w:val="26"/>
      <w:szCs w:val="24"/>
    </w:rPr>
  </w:style>
  <w:style w:type="paragraph" w:styleId="ListNumber3">
    <w:name w:val="List Number 3"/>
    <w:basedOn w:val="Normal"/>
    <w:rsid w:val="00911580"/>
    <w:pPr>
      <w:widowControl w:val="0"/>
      <w:tabs>
        <w:tab w:val="num" w:pos="1080"/>
      </w:tabs>
      <w:autoSpaceDE w:val="0"/>
      <w:autoSpaceDN w:val="0"/>
      <w:adjustRightInd w:val="0"/>
      <w:spacing w:after="0" w:line="240" w:lineRule="auto"/>
      <w:ind w:left="1080" w:hanging="360"/>
    </w:pPr>
    <w:rPr>
      <w:rFonts w:ascii="Times New Roman" w:eastAsia="Times New Roman" w:hAnsi="Times New Roman" w:cs="Times New Roman"/>
      <w:sz w:val="26"/>
      <w:szCs w:val="24"/>
    </w:rPr>
  </w:style>
  <w:style w:type="paragraph" w:styleId="ListNumber4">
    <w:name w:val="List Number 4"/>
    <w:basedOn w:val="Normal"/>
    <w:rsid w:val="00911580"/>
    <w:pPr>
      <w:widowControl w:val="0"/>
      <w:tabs>
        <w:tab w:val="num" w:pos="1440"/>
      </w:tabs>
      <w:autoSpaceDE w:val="0"/>
      <w:autoSpaceDN w:val="0"/>
      <w:adjustRightInd w:val="0"/>
      <w:spacing w:after="0" w:line="240" w:lineRule="auto"/>
      <w:ind w:left="1440" w:hanging="360"/>
    </w:pPr>
    <w:rPr>
      <w:rFonts w:ascii="Times New Roman" w:eastAsia="Times New Roman" w:hAnsi="Times New Roman" w:cs="Times New Roman"/>
      <w:sz w:val="26"/>
      <w:szCs w:val="24"/>
    </w:rPr>
  </w:style>
  <w:style w:type="paragraph" w:styleId="ListNumber5">
    <w:name w:val="List Number 5"/>
    <w:basedOn w:val="Normal"/>
    <w:rsid w:val="00911580"/>
    <w:pPr>
      <w:widowControl w:val="0"/>
      <w:tabs>
        <w:tab w:val="num" w:pos="1800"/>
      </w:tabs>
      <w:autoSpaceDE w:val="0"/>
      <w:autoSpaceDN w:val="0"/>
      <w:adjustRightInd w:val="0"/>
      <w:spacing w:after="0" w:line="240" w:lineRule="auto"/>
      <w:ind w:left="1800" w:hanging="360"/>
    </w:pPr>
    <w:rPr>
      <w:rFonts w:ascii="Times New Roman" w:eastAsia="Times New Roman" w:hAnsi="Times New Roman" w:cs="Times New Roman"/>
      <w:sz w:val="26"/>
      <w:szCs w:val="24"/>
    </w:rPr>
  </w:style>
  <w:style w:type="paragraph" w:styleId="Macro">
    <w:name w:val="macro"/>
    <w:link w:val="MacroTextChar"/>
    <w:semiHidden/>
    <w:rsid w:val="0091158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911580"/>
    <w:rPr>
      <w:rFonts w:ascii="Courier New" w:eastAsia="Times New Roman" w:hAnsi="Courier New" w:cs="Courier New"/>
      <w:sz w:val="20"/>
      <w:szCs w:val="20"/>
    </w:rPr>
  </w:style>
  <w:style w:type="paragraph" w:styleId="MessageHeader">
    <w:name w:val="Message Header"/>
    <w:basedOn w:val="Normal"/>
    <w:link w:val="MessageHeaderChar"/>
    <w:rsid w:val="00911580"/>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911580"/>
    <w:rPr>
      <w:rFonts w:ascii="Arial" w:eastAsia="Times New Roman" w:hAnsi="Arial" w:cs="Arial"/>
      <w:sz w:val="24"/>
      <w:szCs w:val="24"/>
      <w:shd w:val="pct20" w:color="auto" w:fill="auto"/>
    </w:rPr>
  </w:style>
  <w:style w:type="paragraph" w:customStyle="1" w:styleId="myTOC1">
    <w:name w:val="myTOC 1"/>
    <w:basedOn w:val="Normal"/>
    <w:next w:val="Normal"/>
    <w:rsid w:val="00911580"/>
    <w:pPr>
      <w:widowControl w:val="0"/>
      <w:tabs>
        <w:tab w:val="left" w:leader="dot" w:pos="9648"/>
      </w:tabs>
      <w:autoSpaceDE w:val="0"/>
      <w:autoSpaceDN w:val="0"/>
      <w:adjustRightInd w:val="0"/>
      <w:spacing w:before="120" w:after="0" w:line="240" w:lineRule="auto"/>
    </w:pPr>
    <w:rPr>
      <w:rFonts w:ascii="Times New Roman" w:eastAsia="Times New Roman" w:hAnsi="Times New Roman" w:cs="Times New Roman"/>
      <w:sz w:val="26"/>
      <w:szCs w:val="26"/>
    </w:rPr>
  </w:style>
  <w:style w:type="paragraph" w:customStyle="1" w:styleId="myTOC2">
    <w:name w:val="myTOC 2"/>
    <w:basedOn w:val="Normal"/>
    <w:next w:val="Normal"/>
    <w:rsid w:val="00911580"/>
    <w:pPr>
      <w:widowControl w:val="0"/>
      <w:tabs>
        <w:tab w:val="left" w:leader="dot" w:pos="9648"/>
      </w:tabs>
      <w:autoSpaceDE w:val="0"/>
      <w:autoSpaceDN w:val="0"/>
      <w:adjustRightInd w:val="0"/>
      <w:spacing w:after="0" w:line="240" w:lineRule="auto"/>
      <w:ind w:left="288"/>
    </w:pPr>
    <w:rPr>
      <w:rFonts w:ascii="Times New Roman" w:eastAsia="Times New Roman" w:hAnsi="Times New Roman" w:cs="Times New Roman"/>
      <w:sz w:val="26"/>
      <w:szCs w:val="26"/>
    </w:rPr>
  </w:style>
  <w:style w:type="paragraph" w:customStyle="1" w:styleId="myTOC3">
    <w:name w:val="myTOC 3"/>
    <w:basedOn w:val="Normal"/>
    <w:next w:val="Normal"/>
    <w:rsid w:val="00911580"/>
    <w:pPr>
      <w:widowControl w:val="0"/>
      <w:tabs>
        <w:tab w:val="left" w:leader="dot" w:pos="9648"/>
      </w:tabs>
      <w:autoSpaceDE w:val="0"/>
      <w:autoSpaceDN w:val="0"/>
      <w:adjustRightInd w:val="0"/>
      <w:spacing w:after="0" w:line="240" w:lineRule="auto"/>
      <w:ind w:left="576"/>
    </w:pPr>
    <w:rPr>
      <w:rFonts w:ascii="Times New Roman" w:eastAsia="Times New Roman" w:hAnsi="Times New Roman" w:cs="Times New Roman"/>
      <w:sz w:val="26"/>
      <w:szCs w:val="26"/>
    </w:rPr>
  </w:style>
  <w:style w:type="paragraph" w:customStyle="1" w:styleId="myTOC4">
    <w:name w:val="myTOC 4"/>
    <w:basedOn w:val="Normal"/>
    <w:next w:val="Normal"/>
    <w:rsid w:val="00911580"/>
    <w:pPr>
      <w:widowControl w:val="0"/>
      <w:tabs>
        <w:tab w:val="left" w:leader="dot" w:pos="9648"/>
      </w:tabs>
      <w:autoSpaceDE w:val="0"/>
      <w:autoSpaceDN w:val="0"/>
      <w:adjustRightInd w:val="0"/>
      <w:spacing w:after="0" w:line="240" w:lineRule="auto"/>
      <w:ind w:left="864"/>
    </w:pPr>
    <w:rPr>
      <w:rFonts w:ascii="Times New Roman" w:eastAsia="Times New Roman" w:hAnsi="Times New Roman" w:cs="Times New Roman"/>
      <w:sz w:val="26"/>
      <w:szCs w:val="26"/>
    </w:rPr>
  </w:style>
  <w:style w:type="paragraph" w:customStyle="1" w:styleId="myTOC5">
    <w:name w:val="myTOC 5"/>
    <w:basedOn w:val="Normal"/>
    <w:next w:val="Normal"/>
    <w:rsid w:val="00911580"/>
    <w:pPr>
      <w:widowControl w:val="0"/>
      <w:tabs>
        <w:tab w:val="left" w:leader="dot" w:pos="9648"/>
      </w:tabs>
      <w:autoSpaceDE w:val="0"/>
      <w:autoSpaceDN w:val="0"/>
      <w:adjustRightInd w:val="0"/>
      <w:spacing w:after="0" w:line="240" w:lineRule="auto"/>
      <w:ind w:left="1152"/>
    </w:pPr>
    <w:rPr>
      <w:rFonts w:ascii="Times New Roman" w:eastAsia="Times New Roman" w:hAnsi="Times New Roman" w:cs="Times New Roman"/>
      <w:sz w:val="26"/>
      <w:szCs w:val="26"/>
    </w:rPr>
  </w:style>
  <w:style w:type="paragraph" w:customStyle="1" w:styleId="myTOC6">
    <w:name w:val="myTOC 6"/>
    <w:basedOn w:val="Normal"/>
    <w:next w:val="Normal"/>
    <w:rsid w:val="00911580"/>
    <w:pPr>
      <w:tabs>
        <w:tab w:val="left" w:leader="dot" w:pos="9648"/>
      </w:tabs>
      <w:spacing w:after="0" w:line="240" w:lineRule="auto"/>
      <w:ind w:left="1440"/>
    </w:pPr>
    <w:rPr>
      <w:rFonts w:ascii="Times New Roman" w:eastAsia="Times New Roman" w:hAnsi="Times New Roman" w:cs="Times New Roman"/>
      <w:sz w:val="26"/>
      <w:szCs w:val="26"/>
    </w:rPr>
  </w:style>
  <w:style w:type="paragraph" w:customStyle="1" w:styleId="myTOC7">
    <w:name w:val="myTOC 7"/>
    <w:basedOn w:val="Normal"/>
    <w:next w:val="Normal"/>
    <w:rsid w:val="00911580"/>
    <w:pPr>
      <w:tabs>
        <w:tab w:val="left" w:leader="dot" w:pos="9648"/>
      </w:tabs>
      <w:spacing w:after="0" w:line="240" w:lineRule="auto"/>
      <w:ind w:left="1728"/>
    </w:pPr>
    <w:rPr>
      <w:rFonts w:ascii="Times New Roman" w:eastAsia="Times New Roman" w:hAnsi="Times New Roman" w:cs="Times New Roman"/>
      <w:sz w:val="26"/>
      <w:szCs w:val="26"/>
    </w:rPr>
  </w:style>
  <w:style w:type="paragraph" w:customStyle="1" w:styleId="myTOC8">
    <w:name w:val="myTOC 8"/>
    <w:basedOn w:val="Normal"/>
    <w:next w:val="Normal"/>
    <w:rsid w:val="00911580"/>
    <w:pPr>
      <w:tabs>
        <w:tab w:val="left" w:leader="dot" w:pos="9648"/>
      </w:tabs>
      <w:spacing w:after="0" w:line="240" w:lineRule="auto"/>
      <w:ind w:left="2016"/>
    </w:pPr>
    <w:rPr>
      <w:rFonts w:ascii="Times New Roman" w:eastAsia="Times New Roman" w:hAnsi="Times New Roman" w:cs="Times New Roman"/>
      <w:sz w:val="26"/>
      <w:szCs w:val="26"/>
    </w:rPr>
  </w:style>
  <w:style w:type="paragraph" w:customStyle="1" w:styleId="myTOC9">
    <w:name w:val="myTOC 9"/>
    <w:basedOn w:val="Normal"/>
    <w:next w:val="Normal"/>
    <w:rsid w:val="00911580"/>
    <w:pPr>
      <w:tabs>
        <w:tab w:val="left" w:leader="dot" w:pos="9648"/>
      </w:tabs>
      <w:spacing w:after="0" w:line="240" w:lineRule="auto"/>
      <w:ind w:left="2304"/>
    </w:pPr>
    <w:rPr>
      <w:rFonts w:ascii="Times New Roman" w:eastAsia="Times New Roman" w:hAnsi="Times New Roman" w:cs="Times New Roman"/>
      <w:sz w:val="26"/>
      <w:szCs w:val="26"/>
    </w:rPr>
  </w:style>
  <w:style w:type="paragraph" w:styleId="NoSpacing">
    <w:name w:val="No Spacing"/>
    <w:uiPriority w:val="1"/>
    <w:qFormat/>
    <w:rsid w:val="0091158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paragraph" w:customStyle="1" w:styleId="Non-TOCStyle">
    <w:name w:val="Non-TOC Style"/>
    <w:basedOn w:val="Normal"/>
    <w:next w:val="FERCparanumber"/>
    <w:rsid w:val="00911580"/>
    <w:pPr>
      <w:keepNext/>
      <w:keepLines/>
      <w:autoSpaceDE w:val="0"/>
      <w:autoSpaceDN w:val="0"/>
      <w:adjustRightInd w:val="0"/>
      <w:spacing w:after="260" w:line="240" w:lineRule="auto"/>
      <w:jc w:val="center"/>
      <w:outlineLvl w:val="4"/>
    </w:pPr>
    <w:rPr>
      <w:rFonts w:ascii="Times New Roman" w:eastAsia="Times New Roman" w:hAnsi="Times New Roman" w:cs="Times New Roman"/>
      <w:b/>
      <w:sz w:val="26"/>
      <w:szCs w:val="26"/>
      <w:u w:val="single"/>
    </w:rPr>
  </w:style>
  <w:style w:type="paragraph" w:styleId="NormalWeb">
    <w:name w:val="Normal (Web)"/>
    <w:basedOn w:val="Normal"/>
    <w:uiPriority w:val="99"/>
    <w:rsid w:val="009115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911580"/>
    <w:pPr>
      <w:widowControl w:val="0"/>
      <w:autoSpaceDE w:val="0"/>
      <w:autoSpaceDN w:val="0"/>
      <w:adjustRightInd w:val="0"/>
      <w:spacing w:after="0" w:line="240" w:lineRule="auto"/>
      <w:ind w:left="720"/>
    </w:pPr>
    <w:rPr>
      <w:rFonts w:ascii="Times New Roman" w:eastAsia="Times New Roman" w:hAnsi="Times New Roman" w:cs="Times New Roman"/>
      <w:sz w:val="26"/>
      <w:szCs w:val="24"/>
    </w:rPr>
  </w:style>
  <w:style w:type="paragraph" w:styleId="NoteHeading">
    <w:name w:val="Note Heading"/>
    <w:basedOn w:val="Normal"/>
    <w:next w:val="Normal"/>
    <w:link w:val="NoteHeadingChar"/>
    <w:rsid w:val="0091158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character" w:customStyle="1" w:styleId="NoteHeadingChar">
    <w:name w:val="Note Heading Char"/>
    <w:basedOn w:val="DefaultParagraphFont"/>
    <w:link w:val="NoteHeading"/>
    <w:rsid w:val="00911580"/>
    <w:rPr>
      <w:rFonts w:ascii="Times New Roman" w:eastAsia="Times New Roman" w:hAnsi="Times New Roman" w:cs="Times New Roman"/>
      <w:sz w:val="26"/>
      <w:szCs w:val="24"/>
    </w:rPr>
  </w:style>
  <w:style w:type="paragraph" w:styleId="PlainText">
    <w:name w:val="Plain Text"/>
    <w:basedOn w:val="Normal"/>
    <w:link w:val="PlainTextChar"/>
    <w:rsid w:val="009115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1580"/>
    <w:rPr>
      <w:rFonts w:ascii="Courier New" w:eastAsia="Times New Roman" w:hAnsi="Courier New" w:cs="Courier New"/>
      <w:sz w:val="20"/>
      <w:szCs w:val="20"/>
    </w:rPr>
  </w:style>
  <w:style w:type="paragraph" w:styleId="Quote">
    <w:name w:val="Quote"/>
    <w:basedOn w:val="Normal"/>
    <w:next w:val="Normal"/>
    <w:link w:val="QuoteChar"/>
    <w:uiPriority w:val="29"/>
    <w:qFormat/>
    <w:rsid w:val="00911580"/>
    <w:pPr>
      <w:widowControl w:val="0"/>
      <w:autoSpaceDE w:val="0"/>
      <w:autoSpaceDN w:val="0"/>
      <w:adjustRightInd w:val="0"/>
      <w:spacing w:after="0" w:line="240" w:lineRule="auto"/>
    </w:pPr>
    <w:rPr>
      <w:rFonts w:ascii="Times New Roman" w:eastAsia="Times New Roman" w:hAnsi="Times New Roman" w:cs="Times New Roman"/>
      <w:i/>
      <w:iCs/>
      <w:color w:val="000000"/>
      <w:sz w:val="26"/>
      <w:szCs w:val="24"/>
    </w:rPr>
  </w:style>
  <w:style w:type="character" w:customStyle="1" w:styleId="QuoteChar">
    <w:name w:val="Quote Char"/>
    <w:basedOn w:val="DefaultParagraphFont"/>
    <w:link w:val="Quote"/>
    <w:uiPriority w:val="29"/>
    <w:rsid w:val="00911580"/>
    <w:rPr>
      <w:rFonts w:ascii="Times New Roman" w:eastAsia="Times New Roman" w:hAnsi="Times New Roman" w:cs="Times New Roman"/>
      <w:i/>
      <w:iCs/>
      <w:color w:val="000000"/>
      <w:sz w:val="26"/>
      <w:szCs w:val="24"/>
    </w:rPr>
  </w:style>
  <w:style w:type="paragraph" w:styleId="Salutation">
    <w:name w:val="Salutation"/>
    <w:basedOn w:val="Normal"/>
    <w:next w:val="Normal"/>
    <w:link w:val="SalutationChar"/>
    <w:rsid w:val="00911580"/>
    <w:pPr>
      <w:widowControl w:val="0"/>
      <w:autoSpaceDE w:val="0"/>
      <w:autoSpaceDN w:val="0"/>
      <w:adjustRightInd w:val="0"/>
      <w:spacing w:after="0" w:line="240" w:lineRule="auto"/>
    </w:pPr>
    <w:rPr>
      <w:rFonts w:ascii="Times New Roman" w:eastAsia="Times New Roman" w:hAnsi="Times New Roman" w:cs="Times New Roman"/>
      <w:sz w:val="26"/>
      <w:szCs w:val="24"/>
    </w:rPr>
  </w:style>
  <w:style w:type="character" w:customStyle="1" w:styleId="SalutationChar">
    <w:name w:val="Salutation Char"/>
    <w:basedOn w:val="DefaultParagraphFont"/>
    <w:link w:val="Salutation"/>
    <w:rsid w:val="00911580"/>
    <w:rPr>
      <w:rFonts w:ascii="Times New Roman" w:eastAsia="Times New Roman" w:hAnsi="Times New Roman" w:cs="Times New Roman"/>
      <w:sz w:val="26"/>
      <w:szCs w:val="24"/>
    </w:rPr>
  </w:style>
  <w:style w:type="paragraph" w:styleId="Signature">
    <w:name w:val="Signature"/>
    <w:basedOn w:val="Normal"/>
    <w:link w:val="SignatureChar"/>
    <w:rsid w:val="00911580"/>
    <w:pPr>
      <w:widowControl w:val="0"/>
      <w:autoSpaceDE w:val="0"/>
      <w:autoSpaceDN w:val="0"/>
      <w:adjustRightInd w:val="0"/>
      <w:spacing w:after="0" w:line="240" w:lineRule="auto"/>
      <w:ind w:left="4320"/>
    </w:pPr>
    <w:rPr>
      <w:rFonts w:ascii="Times New Roman" w:eastAsia="Times New Roman" w:hAnsi="Times New Roman" w:cs="Times New Roman"/>
      <w:sz w:val="26"/>
      <w:szCs w:val="24"/>
    </w:rPr>
  </w:style>
  <w:style w:type="character" w:customStyle="1" w:styleId="SignatureChar">
    <w:name w:val="Signature Char"/>
    <w:basedOn w:val="DefaultParagraphFont"/>
    <w:link w:val="Signature"/>
    <w:rsid w:val="00911580"/>
    <w:rPr>
      <w:rFonts w:ascii="Times New Roman" w:eastAsia="Times New Roman" w:hAnsi="Times New Roman" w:cs="Times New Roman"/>
      <w:sz w:val="26"/>
      <w:szCs w:val="24"/>
    </w:rPr>
  </w:style>
  <w:style w:type="paragraph" w:styleId="Subtitle">
    <w:name w:val="Subtitle"/>
    <w:basedOn w:val="Normal"/>
    <w:link w:val="SubtitleChar"/>
    <w:qFormat/>
    <w:rsid w:val="00911580"/>
    <w:pPr>
      <w:widowControl w:val="0"/>
      <w:autoSpaceDE w:val="0"/>
      <w:autoSpaceDN w:val="0"/>
      <w:adjustRightInd w:val="0"/>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911580"/>
    <w:rPr>
      <w:rFonts w:ascii="Arial" w:eastAsia="Times New Roman" w:hAnsi="Arial" w:cs="Arial"/>
      <w:sz w:val="24"/>
      <w:szCs w:val="24"/>
    </w:rPr>
  </w:style>
  <w:style w:type="paragraph" w:styleId="TableofAuthorities">
    <w:name w:val="table of authorities"/>
    <w:basedOn w:val="Normal"/>
    <w:next w:val="Normal"/>
    <w:semiHidden/>
    <w:rsid w:val="00911580"/>
    <w:pPr>
      <w:widowControl w:val="0"/>
      <w:autoSpaceDE w:val="0"/>
      <w:autoSpaceDN w:val="0"/>
      <w:adjustRightInd w:val="0"/>
      <w:spacing w:after="0" w:line="240" w:lineRule="auto"/>
      <w:ind w:left="260" w:hanging="260"/>
    </w:pPr>
    <w:rPr>
      <w:rFonts w:ascii="Times New Roman" w:eastAsia="Times New Roman" w:hAnsi="Times New Roman" w:cs="Times New Roman"/>
      <w:sz w:val="26"/>
      <w:szCs w:val="24"/>
    </w:rPr>
  </w:style>
  <w:style w:type="paragraph" w:styleId="TableofFigures">
    <w:name w:val="table of figures"/>
    <w:basedOn w:val="Normal"/>
    <w:next w:val="Normal"/>
    <w:semiHidden/>
    <w:rsid w:val="00911580"/>
    <w:pPr>
      <w:widowControl w:val="0"/>
      <w:autoSpaceDE w:val="0"/>
      <w:autoSpaceDN w:val="0"/>
      <w:adjustRightInd w:val="0"/>
      <w:spacing w:after="0" w:line="240" w:lineRule="auto"/>
      <w:ind w:left="520" w:hanging="520"/>
    </w:pPr>
    <w:rPr>
      <w:rFonts w:ascii="Times New Roman" w:eastAsia="Times New Roman" w:hAnsi="Times New Roman" w:cs="Times New Roman"/>
      <w:sz w:val="26"/>
      <w:szCs w:val="24"/>
    </w:rPr>
  </w:style>
  <w:style w:type="paragraph" w:styleId="Title">
    <w:name w:val="Title"/>
    <w:basedOn w:val="Normal"/>
    <w:link w:val="TitleChar"/>
    <w:qFormat/>
    <w:rsid w:val="00911580"/>
    <w:pPr>
      <w:widowControl w:val="0"/>
      <w:autoSpaceDE w:val="0"/>
      <w:autoSpaceDN w:val="0"/>
      <w:adjustRightInd w:val="0"/>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911580"/>
    <w:rPr>
      <w:rFonts w:ascii="Arial" w:eastAsia="Times New Roman" w:hAnsi="Arial" w:cs="Arial"/>
      <w:b/>
      <w:bCs/>
      <w:kern w:val="28"/>
      <w:sz w:val="32"/>
      <w:szCs w:val="32"/>
    </w:rPr>
  </w:style>
  <w:style w:type="paragraph" w:styleId="TOAHeading">
    <w:name w:val="toa heading"/>
    <w:basedOn w:val="Normal"/>
    <w:next w:val="Normal"/>
    <w:semiHidden/>
    <w:rsid w:val="00911580"/>
    <w:pPr>
      <w:widowControl w:val="0"/>
      <w:autoSpaceDE w:val="0"/>
      <w:autoSpaceDN w:val="0"/>
      <w:adjustRightInd w:val="0"/>
      <w:spacing w:before="120" w:after="0" w:line="240" w:lineRule="auto"/>
    </w:pPr>
    <w:rPr>
      <w:rFonts w:ascii="Arial" w:eastAsia="Times New Roman" w:hAnsi="Arial" w:cs="Arial"/>
      <w:b/>
      <w:bCs/>
      <w:sz w:val="24"/>
      <w:szCs w:val="24"/>
    </w:rPr>
  </w:style>
  <w:style w:type="paragraph" w:customStyle="1" w:styleId="Body1">
    <w:name w:val="Body 1"/>
    <w:rsid w:val="00911580"/>
    <w:pPr>
      <w:widowControl w:val="0"/>
      <w:spacing w:after="0" w:line="240" w:lineRule="auto"/>
      <w:outlineLvl w:val="0"/>
    </w:pPr>
    <w:rPr>
      <w:rFonts w:ascii="Times New Roman" w:eastAsia="Arial Unicode MS" w:hAnsi="Times New Roman" w:cs="Times New Roman"/>
      <w:color w:val="000000"/>
      <w:sz w:val="26"/>
      <w:szCs w:val="20"/>
      <w:u w:color="000000"/>
    </w:rPr>
  </w:style>
  <w:style w:type="character" w:customStyle="1" w:styleId="FERCparanumberChar1">
    <w:name w:val="FERC paranumber Char1"/>
    <w:uiPriority w:val="99"/>
    <w:locked/>
    <w:rsid w:val="00911580"/>
    <w:rPr>
      <w:rFonts w:ascii="Times New Roman" w:eastAsia="Times New Roman" w:hAnsi="Times New Roman" w:cs="Times New Roman"/>
      <w:sz w:val="26"/>
      <w:szCs w:val="24"/>
    </w:rPr>
  </w:style>
  <w:style w:type="character" w:styleId="Emphasis">
    <w:name w:val="Emphasis"/>
    <w:qFormat/>
    <w:rsid w:val="00911580"/>
    <w:rPr>
      <w:i/>
      <w:iCs/>
    </w:rPr>
  </w:style>
  <w:style w:type="character" w:styleId="Strong">
    <w:name w:val="Strong"/>
    <w:uiPriority w:val="22"/>
    <w:qFormat/>
    <w:rsid w:val="00911580"/>
    <w:rPr>
      <w:b/>
      <w:bCs/>
    </w:rPr>
  </w:style>
  <w:style w:type="paragraph" w:customStyle="1" w:styleId="TableParagraph">
    <w:name w:val="Table Paragraph"/>
    <w:basedOn w:val="Normal"/>
    <w:uiPriority w:val="1"/>
    <w:qFormat/>
    <w:rsid w:val="00AD4DC4"/>
    <w:pPr>
      <w:widowControl w:val="0"/>
      <w:autoSpaceDE w:val="0"/>
      <w:autoSpaceDN w:val="0"/>
      <w:spacing w:after="0" w:line="240" w:lineRule="auto"/>
      <w:ind w:left="108"/>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9115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155ptBold">
    <w:name w:val="Style Footnote Reference + 15.5 pt Bold"/>
    <w:rsid w:val="00911580"/>
    <w:rPr>
      <w:rFonts w:ascii="Times New Roman" w:hAnsi="Times New Roman"/>
      <w:b/>
      <w:bCs/>
      <w:sz w:val="31"/>
      <w:szCs w:val="31"/>
      <w:vertAlign w:val="superscript"/>
    </w:rPr>
  </w:style>
  <w:style w:type="character" w:customStyle="1" w:styleId="StyleFootnoteReferenceGoudyOlStBT155ptBold">
    <w:name w:val="Style Footnote Reference + GoudyOlSt BT 15.5 pt Bold"/>
    <w:rsid w:val="00911580"/>
    <w:rPr>
      <w:rFonts w:ascii="Times New Roman" w:hAnsi="Times New Roman"/>
      <w:b/>
      <w:bCs/>
      <w:sz w:val="26"/>
      <w:szCs w:val="31"/>
      <w:vertAlign w:val="superscript"/>
    </w:rPr>
  </w:style>
  <w:style w:type="character" w:customStyle="1" w:styleId="StyleFootnoteReferenceBlack">
    <w:name w:val="Style Footnote Reference + Black"/>
    <w:rsid w:val="00911580"/>
    <w:rPr>
      <w:rFonts w:ascii="Times New Roman" w:hAnsi="Times New Roman"/>
      <w:b w:val="0"/>
      <w:color w:val="000000"/>
      <w:sz w:val="26"/>
      <w:szCs w:val="26"/>
      <w:vertAlign w:val="superscript"/>
    </w:rPr>
  </w:style>
  <w:style w:type="paragraph" w:customStyle="1" w:styleId="levnl1">
    <w:name w:val="_levnl1"/>
    <w:basedOn w:val="Normal"/>
    <w:rsid w:val="0091158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outlineLvl w:val="0"/>
    </w:pPr>
    <w:rPr>
      <w:rFonts w:ascii="Times New Roman" w:eastAsia="Times New Roman" w:hAnsi="Times New Roman" w:cs="Times New Roman"/>
      <w:sz w:val="20"/>
      <w:szCs w:val="26"/>
    </w:rPr>
  </w:style>
  <w:style w:type="paragraph" w:customStyle="1" w:styleId="StyleHeading1Heading1CharHeading1Char1CharHeading1Char">
    <w:name w:val="Style Heading 1Heading 1 CharHeading 1 Char1 CharHeading 1 Char ..."/>
    <w:basedOn w:val="Heading1"/>
    <w:rsid w:val="00911580"/>
    <w:pPr>
      <w:widowControl/>
    </w:pPr>
    <w:rPr>
      <w:rFonts w:cs="Arial"/>
      <w:bCs/>
      <w:sz w:val="26"/>
      <w:szCs w:val="20"/>
    </w:rPr>
  </w:style>
  <w:style w:type="paragraph" w:customStyle="1" w:styleId="GeneralTextLvl28pt">
    <w:name w:val="General Text Lvl 2 8pt"/>
    <w:basedOn w:val="Normal"/>
    <w:rsid w:val="00911580"/>
    <w:pPr>
      <w:numPr>
        <w:ilvl w:val="2"/>
        <w:numId w:val="3"/>
      </w:numPr>
      <w:autoSpaceDE w:val="0"/>
      <w:autoSpaceDN w:val="0"/>
      <w:adjustRightInd w:val="0"/>
      <w:spacing w:after="120" w:line="240" w:lineRule="auto"/>
    </w:pPr>
    <w:rPr>
      <w:rFonts w:ascii="Univlt" w:eastAsia="Times New Roman" w:hAnsi="Univlt" w:cs="Times New Roman"/>
      <w:i/>
      <w:sz w:val="16"/>
      <w:szCs w:val="20"/>
    </w:rPr>
  </w:style>
  <w:style w:type="paragraph" w:customStyle="1" w:styleId="GeneralTextLvl18pt">
    <w:name w:val="General Text Lvl 1 8pt"/>
    <w:basedOn w:val="Normal"/>
    <w:rsid w:val="00911580"/>
    <w:pPr>
      <w:autoSpaceDE w:val="0"/>
      <w:autoSpaceDN w:val="0"/>
      <w:adjustRightInd w:val="0"/>
      <w:spacing w:after="120" w:line="240" w:lineRule="auto"/>
      <w:ind w:left="360"/>
    </w:pPr>
    <w:rPr>
      <w:rFonts w:ascii="Univlt" w:eastAsia="Times New Roman" w:hAnsi="Univlt" w:cs="Times New Roman"/>
      <w:sz w:val="16"/>
      <w:szCs w:val="20"/>
    </w:rPr>
  </w:style>
  <w:style w:type="paragraph" w:customStyle="1" w:styleId="Command">
    <w:name w:val="Command"/>
    <w:basedOn w:val="BodyText"/>
    <w:rsid w:val="00911580"/>
    <w:pPr>
      <w:tabs>
        <w:tab w:val="left" w:pos="-1800"/>
      </w:tabs>
      <w:spacing w:after="120" w:line="240" w:lineRule="auto"/>
      <w:ind w:firstLine="0"/>
    </w:pPr>
    <w:rPr>
      <w:rFonts w:ascii="Arial" w:hAnsi="Arial" w:cs="Arial"/>
      <w:b/>
      <w:sz w:val="26"/>
      <w:szCs w:val="26"/>
    </w:rPr>
  </w:style>
  <w:style w:type="paragraph" w:customStyle="1" w:styleId="Default">
    <w:name w:val="Default"/>
    <w:rsid w:val="009115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9">
    <w:name w:val="9"/>
    <w:basedOn w:val="DefaultParagraphFont"/>
    <w:uiPriority w:val="9"/>
    <w:semiHidden/>
    <w:rsid w:val="00911580"/>
    <w:rPr>
      <w:rFonts w:asciiTheme="majorHAnsi" w:eastAsiaTheme="majorEastAsia" w:hAnsiTheme="majorHAnsi" w:cstheme="majorBidi"/>
      <w:color w:val="2F5496" w:themeColor="accent1" w:themeShade="BF"/>
      <w:sz w:val="26"/>
      <w:szCs w:val="26"/>
    </w:rPr>
  </w:style>
  <w:style w:type="character" w:customStyle="1" w:styleId="8">
    <w:name w:val="8"/>
    <w:basedOn w:val="DefaultParagraphFont"/>
    <w:uiPriority w:val="9"/>
    <w:semiHidden/>
    <w:rsid w:val="00911580"/>
    <w:rPr>
      <w:rFonts w:asciiTheme="majorHAnsi" w:eastAsiaTheme="majorEastAsia" w:hAnsiTheme="majorHAnsi" w:cstheme="majorBidi"/>
      <w:color w:val="1F3763" w:themeColor="accent1" w:themeShade="7F"/>
      <w:sz w:val="24"/>
      <w:szCs w:val="24"/>
    </w:rPr>
  </w:style>
  <w:style w:type="character" w:customStyle="1" w:styleId="7">
    <w:name w:val="7"/>
    <w:basedOn w:val="DefaultParagraphFont"/>
    <w:uiPriority w:val="9"/>
    <w:semiHidden/>
    <w:rsid w:val="00911580"/>
    <w:rPr>
      <w:rFonts w:asciiTheme="majorHAnsi" w:eastAsiaTheme="majorEastAsia" w:hAnsiTheme="majorHAnsi" w:cstheme="majorBidi"/>
      <w:i/>
      <w:iCs/>
      <w:color w:val="2F5496" w:themeColor="accent1" w:themeShade="BF"/>
    </w:rPr>
  </w:style>
  <w:style w:type="character" w:customStyle="1" w:styleId="6">
    <w:name w:val="6"/>
    <w:basedOn w:val="DefaultParagraphFont"/>
    <w:uiPriority w:val="9"/>
    <w:semiHidden/>
    <w:rsid w:val="00911580"/>
    <w:rPr>
      <w:rFonts w:asciiTheme="majorHAnsi" w:eastAsiaTheme="majorEastAsia" w:hAnsiTheme="majorHAnsi" w:cstheme="majorBidi"/>
      <w:color w:val="2F5496" w:themeColor="accent1" w:themeShade="BF"/>
    </w:rPr>
  </w:style>
  <w:style w:type="character" w:customStyle="1" w:styleId="5">
    <w:name w:val="5"/>
    <w:basedOn w:val="DefaultParagraphFont"/>
    <w:uiPriority w:val="9"/>
    <w:semiHidden/>
    <w:rsid w:val="00911580"/>
    <w:rPr>
      <w:rFonts w:asciiTheme="majorHAnsi" w:eastAsiaTheme="majorEastAsia" w:hAnsiTheme="majorHAnsi" w:cstheme="majorBidi"/>
      <w:color w:val="1F3763" w:themeColor="accent1" w:themeShade="7F"/>
    </w:rPr>
  </w:style>
  <w:style w:type="character" w:customStyle="1" w:styleId="4">
    <w:name w:val="4"/>
    <w:basedOn w:val="DefaultParagraphFont"/>
    <w:uiPriority w:val="9"/>
    <w:semiHidden/>
    <w:rsid w:val="00911580"/>
    <w:rPr>
      <w:rFonts w:asciiTheme="majorHAnsi" w:eastAsiaTheme="majorEastAsia" w:hAnsiTheme="majorHAnsi" w:cstheme="majorBidi"/>
      <w:i/>
      <w:iCs/>
      <w:color w:val="1F3763" w:themeColor="accent1" w:themeShade="7F"/>
    </w:rPr>
  </w:style>
  <w:style w:type="character" w:customStyle="1" w:styleId="3">
    <w:name w:val="3"/>
    <w:basedOn w:val="DefaultParagraphFont"/>
    <w:uiPriority w:val="9"/>
    <w:semiHidden/>
    <w:rsid w:val="00911580"/>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911580"/>
    <w:rPr>
      <w:rFonts w:asciiTheme="majorHAnsi" w:eastAsiaTheme="majorEastAsia" w:hAnsiTheme="majorHAnsi" w:cstheme="majorBidi"/>
      <w:i/>
      <w:iCs/>
      <w:color w:val="272727" w:themeColor="text1" w:themeTint="D8"/>
      <w:sz w:val="21"/>
      <w:szCs w:val="21"/>
    </w:rPr>
  </w:style>
  <w:style w:type="paragraph" w:customStyle="1" w:styleId="FERCNopara">
    <w:name w:val="FERC Nopara"/>
    <w:basedOn w:val="Normal"/>
    <w:uiPriority w:val="1"/>
    <w:qFormat/>
    <w:rsid w:val="003E3320"/>
    <w:pPr>
      <w:widowControl w:val="0"/>
      <w:spacing w:after="260" w:line="240" w:lineRule="auto"/>
      <w:ind w:firstLine="720"/>
    </w:pPr>
    <w:rPr>
      <w:rFonts w:ascii="Times New Roman" w:hAnsi="Times New Roman" w:cs="Times New Roman"/>
      <w:sz w:val="24"/>
      <w:szCs w:val="20"/>
    </w:rPr>
  </w:style>
  <w:style w:type="character" w:styleId="Mention">
    <w:name w:val="Mention"/>
    <w:basedOn w:val="DefaultParagraphFont"/>
    <w:uiPriority w:val="99"/>
    <w:unhideWhenUsed/>
    <w:rsid w:val="00911580"/>
    <w:rPr>
      <w:color w:val="2B579A"/>
      <w:shd w:val="clear" w:color="auto" w:fill="E1DFDD"/>
    </w:rPr>
  </w:style>
  <w:style w:type="character" w:customStyle="1" w:styleId="BlockIndentChar">
    <w:name w:val="Block Indent Char"/>
    <w:basedOn w:val="FERCparanumberChar"/>
    <w:link w:val="BlockIndent"/>
    <w:rsid w:val="00911580"/>
    <w:rPr>
      <w:rFonts w:ascii="Times New Roman" w:eastAsia="Times New Roman" w:hAnsi="Times New Roman" w:cs="Times New Roman"/>
      <w:sz w:val="26"/>
      <w:szCs w:val="24"/>
    </w:rPr>
  </w:style>
  <w:style w:type="character" w:styleId="PlaceholderText">
    <w:name w:val="Placeholder Text"/>
    <w:basedOn w:val="DefaultParagraphFont"/>
    <w:uiPriority w:val="99"/>
    <w:semiHidden/>
    <w:rsid w:val="00911580"/>
    <w:rPr>
      <w:color w:val="808080"/>
    </w:rPr>
  </w:style>
  <w:style w:type="table" w:customStyle="1" w:styleId="TableGrid4">
    <w:name w:val="Table Grid4"/>
    <w:basedOn w:val="TableNormal"/>
    <w:next w:val="TableGrid"/>
    <w:uiPriority w:val="59"/>
    <w:rsid w:val="009115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11580"/>
    <w:rPr>
      <w:color w:val="0563C1"/>
      <w:u w:val="single"/>
    </w:rPr>
  </w:style>
  <w:style w:type="table" w:customStyle="1" w:styleId="TableGrid2">
    <w:name w:val="Table Grid2"/>
    <w:basedOn w:val="TableNormal"/>
    <w:next w:val="TableGrid"/>
    <w:rsid w:val="00911580"/>
    <w:pPr>
      <w:widowControl w:val="0"/>
      <w:autoSpaceDE w:val="0"/>
      <w:autoSpaceDN w:val="0"/>
      <w:adjustRightInd w:val="0"/>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TOCStyleChar">
    <w:name w:val="Non-TOC Style Char"/>
    <w:basedOn w:val="DefaultParagraphFont"/>
    <w:rsid w:val="00911580"/>
    <w:rPr>
      <w:rFonts w:ascii="Times New Roman" w:eastAsia="Malgun Gothic" w:hAnsi="Times New Roman" w:cs="Times New Roman"/>
      <w:b w:val="0"/>
      <w:kern w:val="32"/>
      <w:sz w:val="26"/>
      <w:szCs w:val="32"/>
      <w:u w:val="single"/>
    </w:rPr>
  </w:style>
  <w:style w:type="character" w:customStyle="1" w:styleId="UnresolvedMention1">
    <w:name w:val="Unresolved Mention1"/>
    <w:basedOn w:val="DefaultParagraphFont"/>
    <w:uiPriority w:val="99"/>
    <w:semiHidden/>
    <w:unhideWhenUsed/>
    <w:rsid w:val="00911580"/>
    <w:rPr>
      <w:color w:val="605E5C"/>
      <w:shd w:val="clear" w:color="auto" w:fill="E1DFDD"/>
    </w:rPr>
  </w:style>
  <w:style w:type="character" w:customStyle="1" w:styleId="10">
    <w:name w:val="10"/>
    <w:basedOn w:val="DefaultParagraphFont"/>
    <w:uiPriority w:val="9"/>
    <w:rsid w:val="00911580"/>
    <w:rPr>
      <w:rFonts w:ascii="Calibri Light" w:eastAsia="Malgun Gothic" w:hAnsi="Calibri Light" w:cs="Times New Roman"/>
      <w:color w:val="2F5496"/>
      <w:sz w:val="32"/>
      <w:szCs w:val="32"/>
    </w:rPr>
  </w:style>
  <w:style w:type="character" w:customStyle="1" w:styleId="1">
    <w:name w:val="1"/>
    <w:basedOn w:val="DefaultParagraphFont"/>
    <w:uiPriority w:val="9"/>
    <w:rsid w:val="00911580"/>
    <w:rPr>
      <w:rFonts w:ascii="Times New Roman" w:eastAsia="Malgun Gothic" w:hAnsi="Times New Roman" w:cs="Times New Roman"/>
      <w:b/>
      <w:kern w:val="32"/>
      <w:sz w:val="26"/>
      <w:szCs w:val="32"/>
      <w:u w:val="single"/>
    </w:rPr>
  </w:style>
  <w:style w:type="character" w:customStyle="1" w:styleId="18">
    <w:name w:val="18"/>
    <w:basedOn w:val="DefaultParagraphFont"/>
    <w:uiPriority w:val="9"/>
    <w:rsid w:val="00911580"/>
    <w:rPr>
      <w:rFonts w:ascii="Calibri Light" w:eastAsia="Malgun Gothic" w:hAnsi="Calibri Light" w:cs="Times New Roman"/>
      <w:color w:val="2F5496"/>
      <w:sz w:val="32"/>
      <w:szCs w:val="32"/>
    </w:rPr>
  </w:style>
  <w:style w:type="character" w:customStyle="1" w:styleId="17">
    <w:name w:val="17"/>
    <w:basedOn w:val="DefaultParagraphFont"/>
    <w:uiPriority w:val="9"/>
    <w:semiHidden/>
    <w:rsid w:val="00911580"/>
    <w:rPr>
      <w:rFonts w:ascii="Calibri Light" w:eastAsia="Malgun Gothic" w:hAnsi="Calibri Light" w:cs="Times New Roman"/>
      <w:color w:val="2F5496"/>
      <w:sz w:val="26"/>
      <w:szCs w:val="26"/>
    </w:rPr>
  </w:style>
  <w:style w:type="character" w:customStyle="1" w:styleId="16">
    <w:name w:val="16"/>
    <w:basedOn w:val="DefaultParagraphFont"/>
    <w:uiPriority w:val="9"/>
    <w:semiHidden/>
    <w:rsid w:val="00911580"/>
    <w:rPr>
      <w:rFonts w:ascii="Calibri Light" w:eastAsia="Malgun Gothic" w:hAnsi="Calibri Light" w:cs="Times New Roman"/>
      <w:color w:val="1F3763"/>
      <w:sz w:val="24"/>
      <w:szCs w:val="24"/>
    </w:rPr>
  </w:style>
  <w:style w:type="character" w:customStyle="1" w:styleId="15">
    <w:name w:val="15"/>
    <w:basedOn w:val="DefaultParagraphFont"/>
    <w:uiPriority w:val="9"/>
    <w:semiHidden/>
    <w:rsid w:val="00911580"/>
    <w:rPr>
      <w:rFonts w:ascii="Calibri Light" w:eastAsia="Malgun Gothic" w:hAnsi="Calibri Light" w:cs="Times New Roman"/>
      <w:i/>
      <w:iCs/>
      <w:color w:val="2F5496"/>
    </w:rPr>
  </w:style>
  <w:style w:type="character" w:customStyle="1" w:styleId="14">
    <w:name w:val="14"/>
    <w:basedOn w:val="DefaultParagraphFont"/>
    <w:uiPriority w:val="9"/>
    <w:semiHidden/>
    <w:rsid w:val="00911580"/>
    <w:rPr>
      <w:rFonts w:ascii="Calibri Light" w:eastAsia="Malgun Gothic" w:hAnsi="Calibri Light" w:cs="Times New Roman"/>
      <w:color w:val="2F5496"/>
    </w:rPr>
  </w:style>
  <w:style w:type="character" w:customStyle="1" w:styleId="13">
    <w:name w:val="13"/>
    <w:basedOn w:val="DefaultParagraphFont"/>
    <w:uiPriority w:val="9"/>
    <w:semiHidden/>
    <w:rsid w:val="00911580"/>
    <w:rPr>
      <w:rFonts w:ascii="Calibri Light" w:eastAsia="Malgun Gothic" w:hAnsi="Calibri Light" w:cs="Times New Roman"/>
      <w:color w:val="1F3763"/>
    </w:rPr>
  </w:style>
  <w:style w:type="character" w:customStyle="1" w:styleId="12">
    <w:name w:val="12"/>
    <w:basedOn w:val="DefaultParagraphFont"/>
    <w:uiPriority w:val="9"/>
    <w:semiHidden/>
    <w:rsid w:val="00911580"/>
    <w:rPr>
      <w:rFonts w:ascii="Calibri Light" w:eastAsia="Malgun Gothic" w:hAnsi="Calibri Light" w:cs="Times New Roman"/>
      <w:i/>
      <w:iCs/>
      <w:color w:val="1F3763"/>
    </w:rPr>
  </w:style>
  <w:style w:type="character" w:customStyle="1" w:styleId="11">
    <w:name w:val="11"/>
    <w:basedOn w:val="DefaultParagraphFont"/>
    <w:uiPriority w:val="9"/>
    <w:semiHidden/>
    <w:rsid w:val="00911580"/>
    <w:rPr>
      <w:rFonts w:ascii="Calibri Light" w:eastAsia="Malgun Gothic" w:hAnsi="Calibri Light" w:cs="Times New Roman"/>
      <w:color w:val="272727"/>
      <w:sz w:val="21"/>
      <w:szCs w:val="21"/>
    </w:rPr>
  </w:style>
  <w:style w:type="table" w:customStyle="1" w:styleId="TableGrid3">
    <w:name w:val="Table Grid3"/>
    <w:basedOn w:val="TableNormal"/>
    <w:next w:val="TableGrid"/>
    <w:rsid w:val="0091158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911580"/>
    <w:rPr>
      <w:vertAlign w:val="superscript"/>
    </w:rPr>
  </w:style>
  <w:style w:type="character" w:customStyle="1" w:styleId="UnresolvedMention2">
    <w:name w:val="Unresolved Mention2"/>
    <w:basedOn w:val="DefaultParagraphFont"/>
    <w:uiPriority w:val="99"/>
    <w:semiHidden/>
    <w:unhideWhenUsed/>
    <w:rsid w:val="00911580"/>
    <w:rPr>
      <w:color w:val="605E5C"/>
      <w:shd w:val="clear" w:color="auto" w:fill="E1DFDD"/>
    </w:rPr>
  </w:style>
  <w:style w:type="character" w:customStyle="1" w:styleId="UnresolvedMention3">
    <w:name w:val="Unresolved Mention3"/>
    <w:basedOn w:val="DefaultParagraphFont"/>
    <w:uiPriority w:val="99"/>
    <w:semiHidden/>
    <w:unhideWhenUsed/>
    <w:rsid w:val="00911580"/>
    <w:rPr>
      <w:color w:val="605E5C"/>
      <w:shd w:val="clear" w:color="auto" w:fill="E1DFDD"/>
    </w:rPr>
  </w:style>
  <w:style w:type="character" w:customStyle="1" w:styleId="UnresolvedMention4">
    <w:name w:val="Unresolved Mention4"/>
    <w:basedOn w:val="DefaultParagraphFont"/>
    <w:uiPriority w:val="99"/>
    <w:semiHidden/>
    <w:unhideWhenUsed/>
    <w:rsid w:val="00911580"/>
    <w:rPr>
      <w:color w:val="605E5C"/>
      <w:shd w:val="clear" w:color="auto" w:fill="E1DFDD"/>
    </w:rPr>
  </w:style>
  <w:style w:type="table" w:customStyle="1" w:styleId="GridTable1Light1">
    <w:name w:val="Grid Table 1 Light1"/>
    <w:basedOn w:val="TableNormal"/>
    <w:next w:val="GridTable1Light"/>
    <w:uiPriority w:val="46"/>
    <w:rsid w:val="00911580"/>
    <w:pPr>
      <w:spacing w:after="0" w:line="240" w:lineRule="auto"/>
    </w:pPr>
    <w:rPr>
      <w:rFonts w:eastAsia="Malgun Gothic"/>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91158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11580"/>
  </w:style>
  <w:style w:type="table" w:styleId="GridTable1Light">
    <w:name w:val="Grid Table 1 Light"/>
    <w:basedOn w:val="TableNormal"/>
    <w:uiPriority w:val="46"/>
    <w:rsid w:val="009115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unhideWhenUsed/>
    <w:rsid w:val="00760048"/>
    <w:rPr>
      <w:color w:val="2B579A"/>
      <w:shd w:val="clear" w:color="auto" w:fill="E1DFDD"/>
    </w:rPr>
  </w:style>
  <w:style w:type="paragraph" w:customStyle="1" w:styleId="AppendixHeader">
    <w:name w:val="Appendix Header"/>
    <w:basedOn w:val="Heading1"/>
    <w:qFormat/>
    <w:rsid w:val="00FE47B2"/>
    <w:pPr>
      <w:numPr>
        <w:numId w:val="24"/>
      </w:numPr>
    </w:pPr>
    <w:rPr>
      <w:sz w:val="26"/>
      <w:szCs w:val="26"/>
    </w:rPr>
  </w:style>
  <w:style w:type="paragraph" w:customStyle="1" w:styleId="AppendixFirstLevel">
    <w:name w:val="Appendix First Level"/>
    <w:basedOn w:val="Heading2"/>
    <w:qFormat/>
    <w:rsid w:val="00FE47B2"/>
    <w:rPr>
      <w:b/>
      <w:bCs/>
      <w:sz w:val="26"/>
      <w:szCs w:val="26"/>
    </w:rPr>
  </w:style>
  <w:style w:type="paragraph" w:customStyle="1" w:styleId="AppendixSecondLevel">
    <w:name w:val="Appendix Second Level"/>
    <w:basedOn w:val="Heading3"/>
    <w:qFormat/>
    <w:rsid w:val="00FE47B2"/>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endnotes" Target="endnote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footer" Target="footer11.xml" /><Relationship Id="rId31" Type="http://schemas.openxmlformats.org/officeDocument/2006/relationships/footer" Target="footer12.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0.xml" /><Relationship Id="rId35" Type="http://schemas.openxmlformats.org/officeDocument/2006/relationships/header" Target="header11.xml" /><Relationship Id="rId36" Type="http://schemas.openxmlformats.org/officeDocument/2006/relationships/footer" Target="footer15.xml" /><Relationship Id="rId37" Type="http://schemas.openxmlformats.org/officeDocument/2006/relationships/footer" Target="footer16.xml" /><Relationship Id="rId38" Type="http://schemas.openxmlformats.org/officeDocument/2006/relationships/header" Target="header12.xml" /><Relationship Id="rId39" Type="http://schemas.openxmlformats.org/officeDocument/2006/relationships/footer" Target="footer17.xml" /><Relationship Id="rId4" Type="http://schemas.openxmlformats.org/officeDocument/2006/relationships/webSettings" Target="webSettings.xml" /><Relationship Id="rId40" Type="http://schemas.openxmlformats.org/officeDocument/2006/relationships/footer" Target="footer18.xml" /><Relationship Id="rId41" Type="http://schemas.openxmlformats.org/officeDocument/2006/relationships/footer" Target="footer19.xml" /><Relationship Id="rId42" Type="http://schemas.openxmlformats.org/officeDocument/2006/relationships/footer" Target="footer20.xml" /><Relationship Id="rId43" Type="http://schemas.openxmlformats.org/officeDocument/2006/relationships/footer" Target="footer21.xml" /><Relationship Id="rId44" Type="http://schemas.openxmlformats.org/officeDocument/2006/relationships/footer" Target="footer22.xml" /><Relationship Id="rId45" Type="http://schemas.openxmlformats.org/officeDocument/2006/relationships/footer" Target="footer23.xml" /><Relationship Id="rId46" Type="http://schemas.openxmlformats.org/officeDocument/2006/relationships/footer" Target="footer24.xml" /><Relationship Id="rId47" Type="http://schemas.openxmlformats.org/officeDocument/2006/relationships/header" Target="header13.xml" /><Relationship Id="rId48" Type="http://schemas.openxmlformats.org/officeDocument/2006/relationships/header" Target="header14.xml" /><Relationship Id="rId49" Type="http://schemas.openxmlformats.org/officeDocument/2006/relationships/footer" Target="footer25.xml" /><Relationship Id="rId5" Type="http://schemas.openxmlformats.org/officeDocument/2006/relationships/fontTable" Target="fontTable.xml" /><Relationship Id="rId50" Type="http://schemas.openxmlformats.org/officeDocument/2006/relationships/footer" Target="footer26.xml" /><Relationship Id="rId51" Type="http://schemas.openxmlformats.org/officeDocument/2006/relationships/header" Target="header15.xml" /><Relationship Id="rId52" Type="http://schemas.openxmlformats.org/officeDocument/2006/relationships/footer" Target="footer27.xml" /><Relationship Id="rId53" Type="http://schemas.openxmlformats.org/officeDocument/2006/relationships/footer" Target="footer28.xml" /><Relationship Id="rId54" Type="http://schemas.openxmlformats.org/officeDocument/2006/relationships/hyperlink" Target="http://www.ferc.gov/legal/adr.asp" TargetMode="External" /><Relationship Id="rId55" Type="http://schemas.openxmlformats.org/officeDocument/2006/relationships/footer" Target="footer29.xml" /><Relationship Id="rId56" Type="http://schemas.openxmlformats.org/officeDocument/2006/relationships/footer" Target="footer30.xml" /><Relationship Id="rId57" Type="http://schemas.openxmlformats.org/officeDocument/2006/relationships/footer" Target="footer31.xml" /><Relationship Id="rId58" Type="http://schemas.openxmlformats.org/officeDocument/2006/relationships/footer" Target="footer32.xml" /><Relationship Id="rId59" Type="http://schemas.openxmlformats.org/officeDocument/2006/relationships/footer" Target="footer33.xml" /><Relationship Id="rId6" Type="http://schemas.openxmlformats.org/officeDocument/2006/relationships/customXml" Target="../customXml/item1.xml" /><Relationship Id="rId60" Type="http://schemas.openxmlformats.org/officeDocument/2006/relationships/footer" Target="footer34.xml" /><Relationship Id="rId61" Type="http://schemas.openxmlformats.org/officeDocument/2006/relationships/footer" Target="footer35.xml" /><Relationship Id="rId62" Type="http://schemas.openxmlformats.org/officeDocument/2006/relationships/footer" Target="footer36.xml" /><Relationship Id="rId63" Type="http://schemas.openxmlformats.org/officeDocument/2006/relationships/header" Target="header16.xml" /><Relationship Id="rId64" Type="http://schemas.openxmlformats.org/officeDocument/2006/relationships/header" Target="header17.xml" /><Relationship Id="rId65" Type="http://schemas.openxmlformats.org/officeDocument/2006/relationships/footer" Target="footer37.xml" /><Relationship Id="rId66" Type="http://schemas.openxmlformats.org/officeDocument/2006/relationships/footer" Target="footer38.xml" /><Relationship Id="rId67" Type="http://schemas.openxmlformats.org/officeDocument/2006/relationships/header" Target="header18.xml" /><Relationship Id="rId68" Type="http://schemas.openxmlformats.org/officeDocument/2006/relationships/footer" Target="footer39.xml" /><Relationship Id="rId69" Type="http://schemas.openxmlformats.org/officeDocument/2006/relationships/footer" Target="footer40.xml" /><Relationship Id="rId7" Type="http://schemas.openxmlformats.org/officeDocument/2006/relationships/customXml" Target="../customXml/item2.xml" /><Relationship Id="rId70" Type="http://schemas.openxmlformats.org/officeDocument/2006/relationships/footer" Target="footer41.xml" /><Relationship Id="rId71" Type="http://schemas.openxmlformats.org/officeDocument/2006/relationships/footer" Target="footer42.xml" /><Relationship Id="rId72" Type="http://schemas.openxmlformats.org/officeDocument/2006/relationships/footer" Target="footer43.xml" /><Relationship Id="rId73" Type="http://schemas.openxmlformats.org/officeDocument/2006/relationships/header" Target="header19.xml" /><Relationship Id="rId74" Type="http://schemas.openxmlformats.org/officeDocument/2006/relationships/header" Target="header20.xml" /><Relationship Id="rId75" Type="http://schemas.openxmlformats.org/officeDocument/2006/relationships/footer" Target="footer44.xml" /><Relationship Id="rId76" Type="http://schemas.openxmlformats.org/officeDocument/2006/relationships/footer" Target="footer45.xml" /><Relationship Id="rId77" Type="http://schemas.openxmlformats.org/officeDocument/2006/relationships/header" Target="header21.xml" /><Relationship Id="rId78" Type="http://schemas.openxmlformats.org/officeDocument/2006/relationships/footer" Target="footer46.xml" /><Relationship Id="rId79" Type="http://schemas.openxmlformats.org/officeDocument/2006/relationships/theme" Target="theme/theme1.xml" /><Relationship Id="rId8" Type="http://schemas.openxmlformats.org/officeDocument/2006/relationships/customXml" Target="../customXml/item3.xml" /><Relationship Id="rId80" Type="http://schemas.openxmlformats.org/officeDocument/2006/relationships/numbering" Target="numbering.xml" /><Relationship Id="rId81" Type="http://schemas.openxmlformats.org/officeDocument/2006/relationships/styles" Target="styles.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rc.gov/news-events/news/e-1-commissioner-christie-concurrence-order-no-2023-interconnection-final-r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1C7FF822-1CA3-49F7-A0B7-7CBE82CC81F3}">
  <ds:schemaRefs>
    <ds:schemaRef ds:uri="Microsoft.SharePoint.Taxonomy.ContentTypeSync"/>
  </ds:schemaRefs>
</ds:datastoreItem>
</file>

<file path=customXml/itemProps2.xml><?xml version="1.0" encoding="utf-8"?>
<ds:datastoreItem xmlns:ds="http://schemas.openxmlformats.org/officeDocument/2006/customXml" ds:itemID="{453595E9-BC6E-40F0-9F98-121D80E11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766D8-5A9F-415B-B8F9-F63D67999BA5}">
  <ds:schemaRefs>
    <ds:schemaRef ds:uri="http://schemas.microsoft.com/sharepoint/v3/contenttype/forms"/>
  </ds:schemaRefs>
</ds:datastoreItem>
</file>

<file path=customXml/itemProps4.xml><?xml version="1.0" encoding="utf-8"?>
<ds:datastoreItem xmlns:ds="http://schemas.openxmlformats.org/officeDocument/2006/customXml" ds:itemID="{CE41C124-7D13-4952-BDB1-D5ABB0E4DA6B}">
  <ds:schemaRefs>
    <ds:schemaRef ds:uri="http://schemas.openxmlformats.org/officeDocument/2006/bibliography"/>
  </ds:schemaRefs>
</ds:datastoreItem>
</file>

<file path=customXml/itemProps5.xml><?xml version="1.0" encoding="utf-8"?>
<ds:datastoreItem xmlns:ds="http://schemas.openxmlformats.org/officeDocument/2006/customXml" ds:itemID="{89B938E4-1FBC-4596-8AB9-B630B1571989}">
  <ds:schemaRef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236045</Words>
  <Characters>1345461</Characters>
  <Application>Microsoft Office Word</Application>
  <DocSecurity>0</DocSecurity>
  <Lines>11212</Lines>
  <Paragraphs>3156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2024-04-12T12:11:00Z</dcterms:created>
  <dcterms:modified xsi:type="dcterms:W3CDTF">2024-04-12T12:11:00Z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8a853d4e-345e-4e1e-bd65-a870592ca0a1</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2024-04-12T12:10:56Z</vt:lpwstr>
  </property>
  <property fmtid="{D5CDD505-2E9C-101B-9397-08002B2CF9AE}" pid="8" name="MSIP_Label_6155a89b-0f08-4a93-8ea2-8a916d6643b5_SiteId">
    <vt:lpwstr>19caa9e9-04ff-43fa-885f-d77fac387903</vt:lpwstr>
  </property>
</Properties>
</file>